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theme/themeOverride1.xml" ContentType="application/vnd.openxmlformats-officedocument.themeOverride+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charts/chart52.xml" ContentType="application/vnd.openxmlformats-officedocument.drawingml.chart+xml"/>
  <Override PartName="/word/theme/themeOverride2.xml" ContentType="application/vnd.openxmlformats-officedocument.themeOverride+xml"/>
  <Override PartName="/word/charts/chart53.xml" ContentType="application/vnd.openxmlformats-officedocument.drawingml.chart+xml"/>
  <Override PartName="/word/theme/themeOverride3.xml" ContentType="application/vnd.openxmlformats-officedocument.themeOverride+xml"/>
  <Override PartName="/word/charts/chart54.xml" ContentType="application/vnd.openxmlformats-officedocument.drawingml.chart+xml"/>
  <Override PartName="/word/theme/themeOverride4.xml" ContentType="application/vnd.openxmlformats-officedocument.themeOverride+xml"/>
  <Override PartName="/word/charts/chart55.xml" ContentType="application/vnd.openxmlformats-officedocument.drawingml.chart+xml"/>
  <Override PartName="/word/theme/themeOverride5.xml" ContentType="application/vnd.openxmlformats-officedocument.themeOverride+xml"/>
  <Override PartName="/word/charts/chart56.xml" ContentType="application/vnd.openxmlformats-officedocument.drawingml.chart+xml"/>
  <Override PartName="/word/theme/themeOverride6.xml" ContentType="application/vnd.openxmlformats-officedocument.themeOverride+xml"/>
  <Override PartName="/word/charts/chart57.xml" ContentType="application/vnd.openxmlformats-officedocument.drawingml.chart+xml"/>
  <Override PartName="/word/theme/themeOverride7.xml" ContentType="application/vnd.openxmlformats-officedocument.themeOverride+xml"/>
  <Override PartName="/word/charts/chart58.xml" ContentType="application/vnd.openxmlformats-officedocument.drawingml.chart+xml"/>
  <Override PartName="/word/theme/themeOverride8.xml" ContentType="application/vnd.openxmlformats-officedocument.themeOverride+xml"/>
  <Override PartName="/word/charts/chart59.xml" ContentType="application/vnd.openxmlformats-officedocument.drawingml.chart+xml"/>
  <Override PartName="/word/theme/themeOverride9.xml" ContentType="application/vnd.openxmlformats-officedocument.themeOverride+xml"/>
  <Override PartName="/word/charts/chart60.xml" ContentType="application/vnd.openxmlformats-officedocument.drawingml.chart+xml"/>
  <Override PartName="/word/theme/themeOverride10.xml" ContentType="application/vnd.openxmlformats-officedocument.themeOverride+xml"/>
  <Override PartName="/word/charts/chart61.xml" ContentType="application/vnd.openxmlformats-officedocument.drawingml.chart+xml"/>
  <Override PartName="/word/theme/themeOverride11.xml" ContentType="application/vnd.openxmlformats-officedocument.themeOverride+xml"/>
  <Override PartName="/word/charts/chart62.xml" ContentType="application/vnd.openxmlformats-officedocument.drawingml.chart+xml"/>
  <Override PartName="/word/theme/themeOverride12.xml" ContentType="application/vnd.openxmlformats-officedocument.themeOverride+xml"/>
  <Override PartName="/word/charts/chart63.xml" ContentType="application/vnd.openxmlformats-officedocument.drawingml.chart+xml"/>
  <Override PartName="/word/theme/themeOverride13.xml" ContentType="application/vnd.openxmlformats-officedocument.themeOverride+xml"/>
  <Override PartName="/word/charts/chart64.xml" ContentType="application/vnd.openxmlformats-officedocument.drawingml.chart+xml"/>
  <Override PartName="/word/theme/themeOverride14.xml" ContentType="application/vnd.openxmlformats-officedocument.themeOverride+xml"/>
  <Override PartName="/word/charts/chart65.xml" ContentType="application/vnd.openxmlformats-officedocument.drawingml.chart+xml"/>
  <Override PartName="/word/theme/themeOverride15.xml" ContentType="application/vnd.openxmlformats-officedocument.themeOverride+xml"/>
  <Override PartName="/word/charts/chart66.xml" ContentType="application/vnd.openxmlformats-officedocument.drawingml.chart+xml"/>
  <Override PartName="/word/theme/themeOverride16.xml" ContentType="application/vnd.openxmlformats-officedocument.themeOverride+xml"/>
  <Override PartName="/word/charts/chart67.xml" ContentType="application/vnd.openxmlformats-officedocument.drawingml.chart+xml"/>
  <Override PartName="/word/theme/themeOverride17.xml" ContentType="application/vnd.openxmlformats-officedocument.themeOverride+xml"/>
  <Override PartName="/word/charts/chart68.xml" ContentType="application/vnd.openxmlformats-officedocument.drawingml.chart+xml"/>
  <Override PartName="/word/theme/themeOverride18.xml" ContentType="application/vnd.openxmlformats-officedocument.themeOverride+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charts/chart69.xml" ContentType="application/vnd.openxmlformats-officedocument.drawingml.chart+xml"/>
  <Override PartName="/word/theme/themeOverride19.xml" ContentType="application/vnd.openxmlformats-officedocument.themeOverride+xml"/>
  <Override PartName="/word/charts/chart70.xml" ContentType="application/vnd.openxmlformats-officedocument.drawingml.chart+xml"/>
  <Override PartName="/word/theme/themeOverride20.xml" ContentType="application/vnd.openxmlformats-officedocument.themeOverride+xml"/>
  <Override PartName="/word/charts/chart71.xml" ContentType="application/vnd.openxmlformats-officedocument.drawingml.chart+xml"/>
  <Override PartName="/word/theme/themeOverride21.xml" ContentType="application/vnd.openxmlformats-officedocument.themeOverride+xml"/>
  <Override PartName="/word/charts/chart72.xml" ContentType="application/vnd.openxmlformats-officedocument.drawingml.chart+xml"/>
  <Override PartName="/word/theme/themeOverride22.xml" ContentType="application/vnd.openxmlformats-officedocument.themeOverride+xml"/>
  <Override PartName="/word/charts/chart73.xml" ContentType="application/vnd.openxmlformats-officedocument.drawingml.chart+xml"/>
  <Override PartName="/word/theme/themeOverride23.xml" ContentType="application/vnd.openxmlformats-officedocument.themeOverride+xml"/>
  <Override PartName="/word/charts/chart74.xml" ContentType="application/vnd.openxmlformats-officedocument.drawingml.chart+xml"/>
  <Override PartName="/word/theme/themeOverride24.xml" ContentType="application/vnd.openxmlformats-officedocument.themeOverride+xml"/>
  <Override PartName="/word/charts/chart75.xml" ContentType="application/vnd.openxmlformats-officedocument.drawingml.chart+xml"/>
  <Override PartName="/word/theme/themeOverride25.xml" ContentType="application/vnd.openxmlformats-officedocument.themeOverride+xml"/>
  <Override PartName="/word/charts/chart76.xml" ContentType="application/vnd.openxmlformats-officedocument.drawingml.chart+xml"/>
  <Override PartName="/word/theme/themeOverride26.xml" ContentType="application/vnd.openxmlformats-officedocument.themeOverride+xml"/>
  <Override PartName="/word/charts/chart77.xml" ContentType="application/vnd.openxmlformats-officedocument.drawingml.chart+xml"/>
  <Override PartName="/word/theme/themeOverride27.xml" ContentType="application/vnd.openxmlformats-officedocument.themeOverride+xml"/>
  <Override PartName="/word/charts/chart78.xml" ContentType="application/vnd.openxmlformats-officedocument.drawingml.chart+xml"/>
  <Override PartName="/word/theme/themeOverride28.xml" ContentType="application/vnd.openxmlformats-officedocument.themeOverride+xml"/>
  <Override PartName="/word/charts/chart79.xml" ContentType="application/vnd.openxmlformats-officedocument.drawingml.chart+xml"/>
  <Override PartName="/word/theme/themeOverride29.xml" ContentType="application/vnd.openxmlformats-officedocument.themeOverride+xml"/>
  <Override PartName="/word/charts/chart80.xml" ContentType="application/vnd.openxmlformats-officedocument.drawingml.chart+xml"/>
  <Override PartName="/word/theme/themeOverride30.xml" ContentType="application/vnd.openxmlformats-officedocument.themeOverride+xml"/>
  <Override PartName="/word/charts/chart81.xml" ContentType="application/vnd.openxmlformats-officedocument.drawingml.chart+xml"/>
  <Override PartName="/word/theme/themeOverride31.xml" ContentType="application/vnd.openxmlformats-officedocument.themeOverride+xml"/>
  <Override PartName="/word/charts/chart82.xml" ContentType="application/vnd.openxmlformats-officedocument.drawingml.chart+xml"/>
  <Override PartName="/word/theme/themeOverride32.xml" ContentType="application/vnd.openxmlformats-officedocument.themeOverride+xml"/>
  <Override PartName="/word/charts/chart83.xml" ContentType="application/vnd.openxmlformats-officedocument.drawingml.chart+xml"/>
  <Override PartName="/word/theme/themeOverride33.xml" ContentType="application/vnd.openxmlformats-officedocument.themeOverride+xml"/>
  <Override PartName="/word/charts/chart84.xml" ContentType="application/vnd.openxmlformats-officedocument.drawingml.chart+xml"/>
  <Override PartName="/word/theme/themeOverride34.xml" ContentType="application/vnd.openxmlformats-officedocument.themeOverride+xml"/>
  <Override PartName="/word/charts/chart85.xml" ContentType="application/vnd.openxmlformats-officedocument.drawingml.chart+xml"/>
  <Override PartName="/word/theme/themeOverride35.xml" ContentType="application/vnd.openxmlformats-officedocument.themeOverride+xml"/>
  <Override PartName="/word/charts/chart86.xml" ContentType="application/vnd.openxmlformats-officedocument.drawingml.chart+xml"/>
  <Override PartName="/word/theme/themeOverride36.xml" ContentType="application/vnd.openxmlformats-officedocument.themeOverride+xml"/>
  <Override PartName="/word/charts/chart87.xml" ContentType="application/vnd.openxmlformats-officedocument.drawingml.chart+xml"/>
  <Override PartName="/word/theme/themeOverride37.xml" ContentType="application/vnd.openxmlformats-officedocument.themeOverride+xml"/>
  <Override PartName="/word/charts/chart88.xml" ContentType="application/vnd.openxmlformats-officedocument.drawingml.chart+xml"/>
  <Override PartName="/word/theme/themeOverride38.xml" ContentType="application/vnd.openxmlformats-officedocument.themeOverride+xml"/>
  <Override PartName="/word/charts/chart89.xml" ContentType="application/vnd.openxmlformats-officedocument.drawingml.chart+xml"/>
  <Override PartName="/word/theme/themeOverride39.xml" ContentType="application/vnd.openxmlformats-officedocument.themeOverride+xml"/>
  <Override PartName="/word/charts/chart90.xml" ContentType="application/vnd.openxmlformats-officedocument.drawingml.chart+xml"/>
  <Override PartName="/word/theme/themeOverride40.xml" ContentType="application/vnd.openxmlformats-officedocument.themeOverride+xml"/>
  <Override PartName="/word/charts/chart91.xml" ContentType="application/vnd.openxmlformats-officedocument.drawingml.chart+xml"/>
  <Override PartName="/word/theme/themeOverride41.xml" ContentType="application/vnd.openxmlformats-officedocument.themeOverride+xml"/>
  <Override PartName="/word/charts/chart92.xml" ContentType="application/vnd.openxmlformats-officedocument.drawingml.chart+xml"/>
  <Override PartName="/word/theme/themeOverride42.xml" ContentType="application/vnd.openxmlformats-officedocument.themeOverride+xml"/>
  <Override PartName="/word/charts/chart93.xml" ContentType="application/vnd.openxmlformats-officedocument.drawingml.chart+xml"/>
  <Override PartName="/word/theme/themeOverride43.xml" ContentType="application/vnd.openxmlformats-officedocument.themeOverride+xml"/>
  <Override PartName="/word/charts/chart94.xml" ContentType="application/vnd.openxmlformats-officedocument.drawingml.chart+xml"/>
  <Override PartName="/word/theme/themeOverride44.xml" ContentType="application/vnd.openxmlformats-officedocument.themeOverride+xml"/>
  <Override PartName="/word/charts/chart95.xml" ContentType="application/vnd.openxmlformats-officedocument.drawingml.chart+xml"/>
  <Override PartName="/word/theme/themeOverride45.xml" ContentType="application/vnd.openxmlformats-officedocument.themeOverride+xml"/>
  <Override PartName="/word/charts/chart96.xml" ContentType="application/vnd.openxmlformats-officedocument.drawingml.chart+xml"/>
  <Override PartName="/word/theme/themeOverride46.xml" ContentType="application/vnd.openxmlformats-officedocument.themeOverride+xml"/>
  <Override PartName="/word/charts/chart97.xml" ContentType="application/vnd.openxmlformats-officedocument.drawingml.chart+xml"/>
  <Override PartName="/word/theme/themeOverride47.xml" ContentType="application/vnd.openxmlformats-officedocument.themeOverride+xml"/>
  <Override PartName="/word/charts/chart98.xml" ContentType="application/vnd.openxmlformats-officedocument.drawingml.chart+xml"/>
  <Override PartName="/word/theme/themeOverride48.xml" ContentType="application/vnd.openxmlformats-officedocument.themeOverride+xml"/>
  <Override PartName="/word/charts/chart99.xml" ContentType="application/vnd.openxmlformats-officedocument.drawingml.chart+xml"/>
  <Override PartName="/word/theme/themeOverride49.xml" ContentType="application/vnd.openxmlformats-officedocument.themeOverride+xml"/>
  <Override PartName="/word/charts/chart100.xml" ContentType="application/vnd.openxmlformats-officedocument.drawingml.chart+xml"/>
  <Override PartName="/word/theme/themeOverride50.xml" ContentType="application/vnd.openxmlformats-officedocument.themeOverride+xml"/>
  <Override PartName="/word/charts/chart101.xml" ContentType="application/vnd.openxmlformats-officedocument.drawingml.chart+xml"/>
  <Override PartName="/word/theme/themeOverride51.xml" ContentType="application/vnd.openxmlformats-officedocument.themeOverride+xml"/>
  <Override PartName="/word/charts/chart102.xml" ContentType="application/vnd.openxmlformats-officedocument.drawingml.chart+xml"/>
  <Override PartName="/word/theme/themeOverride52.xml" ContentType="application/vnd.openxmlformats-officedocument.themeOverride+xml"/>
  <Override PartName="/word/charts/chart103.xml" ContentType="application/vnd.openxmlformats-officedocument.drawingml.chart+xml"/>
  <Override PartName="/word/theme/themeOverride53.xml" ContentType="application/vnd.openxmlformats-officedocument.themeOverride+xml"/>
  <Override PartName="/word/charts/chart104.xml" ContentType="application/vnd.openxmlformats-officedocument.drawingml.chart+xml"/>
  <Override PartName="/word/theme/themeOverride54.xml" ContentType="application/vnd.openxmlformats-officedocument.themeOverride+xml"/>
  <Override PartName="/word/charts/chart105.xml" ContentType="application/vnd.openxmlformats-officedocument.drawingml.chart+xml"/>
  <Override PartName="/word/theme/themeOverride55.xml" ContentType="application/vnd.openxmlformats-officedocument.themeOverride+xml"/>
  <Override PartName="/word/charts/chart106.xml" ContentType="application/vnd.openxmlformats-officedocument.drawingml.chart+xml"/>
  <Override PartName="/word/charts/chart107.xml" ContentType="application/vnd.openxmlformats-officedocument.drawingml.chart+xml"/>
  <Override PartName="/word/charts/chart108.xml" ContentType="application/vnd.openxmlformats-officedocument.drawingml.chart+xml"/>
  <Override PartName="/word/charts/chart109.xml" ContentType="application/vnd.openxmlformats-officedocument.drawingml.chart+xml"/>
  <Override PartName="/word/charts/chart110.xml" ContentType="application/vnd.openxmlformats-officedocument.drawingml.chart+xml"/>
  <Override PartName="/word/charts/chart111.xml" ContentType="application/vnd.openxmlformats-officedocument.drawingml.chart+xml"/>
  <Override PartName="/word/charts/chart112.xml" ContentType="application/vnd.openxmlformats-officedocument.drawingml.chart+xml"/>
  <Override PartName="/word/charts/chart113.xml" ContentType="application/vnd.openxmlformats-officedocument.drawingml.chart+xml"/>
  <Override PartName="/word/charts/chart114.xml" ContentType="application/vnd.openxmlformats-officedocument.drawingml.chart+xml"/>
  <Override PartName="/word/charts/chart115.xml" ContentType="application/vnd.openxmlformats-officedocument.drawingml.chart+xml"/>
  <Override PartName="/word/charts/chart116.xml" ContentType="application/vnd.openxmlformats-officedocument.drawingml.chart+xml"/>
  <Override PartName="/word/charts/chart117.xml" ContentType="application/vnd.openxmlformats-officedocument.drawingml.chart+xml"/>
  <Override PartName="/word/charts/chart118.xml" ContentType="application/vnd.openxmlformats-officedocument.drawingml.chart+xml"/>
  <Override PartName="/word/theme/themeOverride56.xml" ContentType="application/vnd.openxmlformats-officedocument.themeOverride+xml"/>
  <Override PartName="/word/charts/chart119.xml" ContentType="application/vnd.openxmlformats-officedocument.drawingml.chart+xml"/>
  <Override PartName="/word/theme/themeOverride57.xml" ContentType="application/vnd.openxmlformats-officedocument.themeOverride+xml"/>
  <Override PartName="/word/charts/chart120.xml" ContentType="application/vnd.openxmlformats-officedocument.drawingml.chart+xml"/>
  <Override PartName="/word/theme/themeOverride58.xml" ContentType="application/vnd.openxmlformats-officedocument.themeOverride+xml"/>
  <Override PartName="/word/charts/chart121.xml" ContentType="application/vnd.openxmlformats-officedocument.drawingml.chart+xml"/>
  <Override PartName="/word/theme/themeOverride59.xml" ContentType="application/vnd.openxmlformats-officedocument.themeOverride+xml"/>
  <Override PartName="/word/charts/chart122.xml" ContentType="application/vnd.openxmlformats-officedocument.drawingml.chart+xml"/>
  <Override PartName="/word/theme/themeOverride60.xml" ContentType="application/vnd.openxmlformats-officedocument.themeOverride+xml"/>
  <Override PartName="/word/charts/chart123.xml" ContentType="application/vnd.openxmlformats-officedocument.drawingml.chart+xml"/>
  <Override PartName="/word/theme/themeOverride61.xml" ContentType="application/vnd.openxmlformats-officedocument.themeOverride+xml"/>
  <Override PartName="/word/charts/chart124.xml" ContentType="application/vnd.openxmlformats-officedocument.drawingml.chart+xml"/>
  <Override PartName="/word/theme/themeOverride62.xml" ContentType="application/vnd.openxmlformats-officedocument.themeOverride+xml"/>
  <Override PartName="/word/charts/chart125.xml" ContentType="application/vnd.openxmlformats-officedocument.drawingml.chart+xml"/>
  <Override PartName="/word/theme/themeOverride63.xml" ContentType="application/vnd.openxmlformats-officedocument.themeOverride+xml"/>
  <Override PartName="/word/charts/chart126.xml" ContentType="application/vnd.openxmlformats-officedocument.drawingml.chart+xml"/>
  <Override PartName="/word/charts/chart12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046E" w:rsidRDefault="00F2046E" w:rsidP="00F2046E">
      <w:pPr>
        <w:pStyle w:val="Header"/>
        <w:jc w:val="center"/>
        <w:rPr>
          <w:rFonts w:ascii="Arial" w:eastAsia="Calibri" w:hAnsi="Arial" w:cs="Arial"/>
          <w:i/>
          <w:color w:val="000000" w:themeColor="text1"/>
          <w:sz w:val="56"/>
          <w:szCs w:val="56"/>
        </w:rPr>
      </w:pPr>
    </w:p>
    <w:p w:rsidR="00F2046E" w:rsidRDefault="00F2046E" w:rsidP="00F2046E">
      <w:pPr>
        <w:pStyle w:val="Header"/>
        <w:jc w:val="center"/>
        <w:rPr>
          <w:rFonts w:ascii="Arial" w:eastAsia="Calibri" w:hAnsi="Arial" w:cs="Arial"/>
          <w:i/>
          <w:color w:val="000000" w:themeColor="text1"/>
          <w:sz w:val="56"/>
          <w:szCs w:val="56"/>
        </w:rPr>
      </w:pPr>
    </w:p>
    <w:p w:rsidR="00F2046E" w:rsidRDefault="00F2046E" w:rsidP="00F2046E">
      <w:pPr>
        <w:pStyle w:val="Header"/>
        <w:jc w:val="center"/>
        <w:rPr>
          <w:rFonts w:ascii="Arial" w:eastAsia="Calibri" w:hAnsi="Arial" w:cs="Arial"/>
          <w:i/>
          <w:color w:val="000000" w:themeColor="text1"/>
          <w:sz w:val="56"/>
          <w:szCs w:val="56"/>
        </w:rPr>
      </w:pPr>
    </w:p>
    <w:p w:rsidR="0092527A" w:rsidRDefault="0092527A" w:rsidP="00F2046E">
      <w:pPr>
        <w:pStyle w:val="Header"/>
        <w:jc w:val="center"/>
        <w:rPr>
          <w:rFonts w:ascii="Arial" w:eastAsia="Calibri" w:hAnsi="Arial" w:cs="Arial"/>
          <w:i/>
          <w:color w:val="000000" w:themeColor="text1"/>
          <w:sz w:val="56"/>
          <w:szCs w:val="56"/>
        </w:rPr>
      </w:pPr>
    </w:p>
    <w:p w:rsidR="0092527A" w:rsidRDefault="0092527A" w:rsidP="00F2046E">
      <w:pPr>
        <w:pStyle w:val="Header"/>
        <w:jc w:val="center"/>
        <w:rPr>
          <w:rFonts w:ascii="Arial" w:eastAsia="Calibri" w:hAnsi="Arial" w:cs="Arial"/>
          <w:i/>
          <w:color w:val="000000" w:themeColor="text1"/>
          <w:sz w:val="56"/>
          <w:szCs w:val="56"/>
        </w:rPr>
      </w:pPr>
    </w:p>
    <w:p w:rsidR="0092527A" w:rsidRDefault="0092527A" w:rsidP="00F2046E">
      <w:pPr>
        <w:pStyle w:val="Header"/>
        <w:jc w:val="center"/>
        <w:rPr>
          <w:rFonts w:ascii="Arial" w:eastAsia="Calibri" w:hAnsi="Arial" w:cs="Arial"/>
          <w:i/>
          <w:color w:val="000000" w:themeColor="text1"/>
          <w:sz w:val="56"/>
          <w:szCs w:val="56"/>
        </w:rPr>
      </w:pPr>
    </w:p>
    <w:p w:rsidR="00F2046E" w:rsidRDefault="00F2046E" w:rsidP="00F2046E">
      <w:pPr>
        <w:pStyle w:val="Header"/>
        <w:jc w:val="center"/>
        <w:rPr>
          <w:rFonts w:ascii="Arial" w:eastAsia="Calibri" w:hAnsi="Arial" w:cs="Arial"/>
          <w:i/>
          <w:color w:val="000000" w:themeColor="text1"/>
          <w:sz w:val="56"/>
          <w:szCs w:val="56"/>
        </w:rPr>
      </w:pPr>
    </w:p>
    <w:p w:rsidR="0092527A" w:rsidRDefault="0092527A" w:rsidP="0092527A">
      <w:pPr>
        <w:pStyle w:val="Header"/>
        <w:jc w:val="center"/>
        <w:rPr>
          <w:rFonts w:ascii="Arial" w:eastAsia="Calibri" w:hAnsi="Arial" w:cs="Arial"/>
          <w:i/>
          <w:emboss/>
          <w:color w:val="000000" w:themeColor="text1"/>
          <w:sz w:val="56"/>
          <w:szCs w:val="56"/>
        </w:rPr>
      </w:pPr>
      <w:r w:rsidRPr="00B93FFC">
        <w:rPr>
          <w:rFonts w:ascii="Arial" w:eastAsia="Calibri" w:hAnsi="Arial" w:cs="Arial"/>
          <w:i/>
          <w:emboss/>
          <w:color w:val="000000" w:themeColor="text1"/>
          <w:sz w:val="56"/>
          <w:szCs w:val="56"/>
        </w:rPr>
        <w:t xml:space="preserve">Raport </w:t>
      </w:r>
      <w:r>
        <w:rPr>
          <w:rFonts w:ascii="Arial" w:eastAsia="Calibri" w:hAnsi="Arial" w:cs="Arial"/>
          <w:i/>
          <w:emboss/>
          <w:color w:val="000000" w:themeColor="text1"/>
          <w:sz w:val="56"/>
          <w:szCs w:val="56"/>
        </w:rPr>
        <w:t>anual</w:t>
      </w:r>
      <w:r w:rsidRPr="00B93FFC">
        <w:rPr>
          <w:rFonts w:ascii="Arial" w:eastAsia="Calibri" w:hAnsi="Arial" w:cs="Arial"/>
          <w:i/>
          <w:emboss/>
          <w:color w:val="000000" w:themeColor="text1"/>
          <w:sz w:val="56"/>
          <w:szCs w:val="56"/>
        </w:rPr>
        <w:t xml:space="preserve"> privind starea mediului </w:t>
      </w:r>
      <w:r>
        <w:rPr>
          <w:rFonts w:ascii="Arial" w:eastAsia="Calibri" w:hAnsi="Arial" w:cs="Arial"/>
          <w:i/>
          <w:emboss/>
          <w:color w:val="000000" w:themeColor="text1"/>
          <w:sz w:val="56"/>
          <w:szCs w:val="56"/>
        </w:rPr>
        <w:t>în judeţul Vaslui</w:t>
      </w:r>
      <w:r w:rsidR="00341504">
        <w:rPr>
          <w:rFonts w:ascii="Arial" w:eastAsia="Calibri" w:hAnsi="Arial" w:cs="Arial"/>
          <w:i/>
          <w:emboss/>
          <w:color w:val="000000" w:themeColor="text1"/>
          <w:sz w:val="56"/>
          <w:szCs w:val="56"/>
        </w:rPr>
        <w:t>-</w:t>
      </w:r>
      <w:r w:rsidRPr="00B93FFC">
        <w:rPr>
          <w:rFonts w:ascii="Arial" w:eastAsia="Calibri" w:hAnsi="Arial" w:cs="Arial"/>
          <w:i/>
          <w:emboss/>
          <w:color w:val="000000" w:themeColor="text1"/>
          <w:sz w:val="56"/>
          <w:szCs w:val="56"/>
        </w:rPr>
        <w:t xml:space="preserve"> 201</w:t>
      </w:r>
      <w:r>
        <w:rPr>
          <w:rFonts w:ascii="Arial" w:eastAsia="Calibri" w:hAnsi="Arial" w:cs="Arial"/>
          <w:i/>
          <w:emboss/>
          <w:color w:val="000000" w:themeColor="text1"/>
          <w:sz w:val="56"/>
          <w:szCs w:val="56"/>
        </w:rPr>
        <w:t>5</w:t>
      </w:r>
    </w:p>
    <w:p w:rsidR="0092527A" w:rsidRDefault="0092527A" w:rsidP="0092527A">
      <w:pPr>
        <w:pStyle w:val="Header"/>
        <w:jc w:val="center"/>
        <w:rPr>
          <w:rFonts w:ascii="Arial" w:eastAsia="Calibri" w:hAnsi="Arial" w:cs="Arial"/>
          <w:i/>
          <w:emboss/>
          <w:color w:val="000000" w:themeColor="text1"/>
          <w:sz w:val="56"/>
          <w:szCs w:val="56"/>
        </w:rPr>
      </w:pPr>
    </w:p>
    <w:p w:rsidR="00F2046E" w:rsidRPr="00F2046E" w:rsidRDefault="00F2046E" w:rsidP="00F2046E">
      <w:pPr>
        <w:pStyle w:val="Header"/>
        <w:jc w:val="center"/>
        <w:rPr>
          <w:rFonts w:ascii="Arial" w:eastAsia="Calibri" w:hAnsi="Arial" w:cs="Arial"/>
          <w:i/>
          <w:color w:val="000000" w:themeColor="text1"/>
          <w:sz w:val="56"/>
          <w:szCs w:val="56"/>
        </w:rPr>
      </w:pPr>
    </w:p>
    <w:p w:rsidR="00F2046E" w:rsidRPr="00F2046E" w:rsidRDefault="00F2046E" w:rsidP="00F2046E">
      <w:pPr>
        <w:pStyle w:val="Header"/>
        <w:jc w:val="center"/>
        <w:rPr>
          <w:rFonts w:ascii="Arial" w:eastAsia="Calibri" w:hAnsi="Arial" w:cs="Arial"/>
          <w:i/>
          <w:color w:val="000000" w:themeColor="text1"/>
          <w:sz w:val="56"/>
          <w:szCs w:val="56"/>
        </w:rPr>
      </w:pPr>
    </w:p>
    <w:p w:rsidR="00F2046E" w:rsidRPr="00F2046E" w:rsidRDefault="00F2046E" w:rsidP="00F2046E">
      <w:pPr>
        <w:pStyle w:val="Header"/>
        <w:jc w:val="center"/>
        <w:rPr>
          <w:rFonts w:ascii="Arial" w:eastAsia="Calibri" w:hAnsi="Arial" w:cs="Arial"/>
          <w:i/>
          <w:color w:val="000000" w:themeColor="text1"/>
          <w:sz w:val="56"/>
          <w:szCs w:val="56"/>
        </w:rPr>
      </w:pPr>
    </w:p>
    <w:p w:rsidR="00F2046E" w:rsidRDefault="00F2046E" w:rsidP="00396034">
      <w:pPr>
        <w:pStyle w:val="Header"/>
        <w:rPr>
          <w:rFonts w:ascii="Arial" w:eastAsia="Calibri" w:hAnsi="Arial" w:cs="Arial"/>
          <w:i/>
          <w:color w:val="000000" w:themeColor="text1"/>
          <w:sz w:val="56"/>
          <w:szCs w:val="56"/>
        </w:rPr>
      </w:pPr>
    </w:p>
    <w:p w:rsidR="00396034" w:rsidRPr="00F2046E" w:rsidRDefault="00396034" w:rsidP="00396034">
      <w:pPr>
        <w:pStyle w:val="Header"/>
        <w:rPr>
          <w:rFonts w:ascii="Arial" w:eastAsia="Calibri" w:hAnsi="Arial" w:cs="Arial"/>
          <w:i/>
          <w:color w:val="000000" w:themeColor="text1"/>
          <w:sz w:val="56"/>
          <w:szCs w:val="56"/>
        </w:rPr>
      </w:pPr>
    </w:p>
    <w:p w:rsidR="00F2046E" w:rsidRDefault="00F2046E" w:rsidP="00F2046E">
      <w:pPr>
        <w:pStyle w:val="Header"/>
        <w:jc w:val="center"/>
        <w:rPr>
          <w:rFonts w:ascii="Arial" w:eastAsia="Calibri" w:hAnsi="Arial" w:cs="Arial"/>
          <w:i/>
          <w:color w:val="000000" w:themeColor="text1"/>
          <w:sz w:val="56"/>
          <w:szCs w:val="56"/>
        </w:rPr>
      </w:pPr>
    </w:p>
    <w:p w:rsidR="00F2046E" w:rsidRDefault="00F2046E" w:rsidP="00F2046E">
      <w:pPr>
        <w:pStyle w:val="Header"/>
        <w:jc w:val="center"/>
        <w:rPr>
          <w:rFonts w:ascii="Arial" w:eastAsia="Calibri" w:hAnsi="Arial" w:cs="Arial"/>
          <w:i/>
          <w:color w:val="000000" w:themeColor="text1"/>
          <w:sz w:val="56"/>
          <w:szCs w:val="56"/>
        </w:rPr>
      </w:pPr>
    </w:p>
    <w:p w:rsidR="0092527A" w:rsidRPr="00341504" w:rsidRDefault="00341504" w:rsidP="0092527A">
      <w:pPr>
        <w:pStyle w:val="Header"/>
        <w:numPr>
          <w:ilvl w:val="0"/>
          <w:numId w:val="1"/>
        </w:numPr>
        <w:jc w:val="center"/>
        <w:rPr>
          <w:emboss/>
          <w:color w:val="000000" w:themeColor="text1"/>
          <w:sz w:val="44"/>
          <w:szCs w:val="44"/>
        </w:rPr>
      </w:pPr>
      <w:r w:rsidRPr="00341504">
        <w:rPr>
          <w:rFonts w:ascii="Arial" w:hAnsi="Arial" w:cs="Arial"/>
          <w:b/>
          <w:emboss/>
          <w:color w:val="000000" w:themeColor="text1"/>
          <w:sz w:val="44"/>
          <w:szCs w:val="44"/>
        </w:rPr>
        <w:t xml:space="preserve">2016 </w:t>
      </w:r>
      <w:r w:rsidR="0092527A" w:rsidRPr="00341504">
        <w:rPr>
          <w:rFonts w:ascii="Arial" w:eastAsia="Calibri" w:hAnsi="Arial" w:cs="Arial"/>
          <w:i/>
          <w:emboss/>
          <w:color w:val="000000" w:themeColor="text1"/>
          <w:sz w:val="44"/>
          <w:szCs w:val="44"/>
        </w:rPr>
        <w:t>-</w:t>
      </w:r>
    </w:p>
    <w:p w:rsidR="0092527A" w:rsidRPr="00B93FFC" w:rsidRDefault="0092527A" w:rsidP="0092527A">
      <w:pPr>
        <w:jc w:val="center"/>
        <w:rPr>
          <w:rFonts w:ascii="Arial" w:hAnsi="Arial" w:cs="Arial"/>
          <w:b/>
          <w:emboss/>
          <w:color w:val="000000" w:themeColor="text1"/>
          <w:sz w:val="36"/>
          <w:szCs w:val="36"/>
        </w:rPr>
      </w:pPr>
      <w:r>
        <w:rPr>
          <w:rFonts w:ascii="Arial" w:hAnsi="Arial" w:cs="Arial"/>
          <w:b/>
          <w:color w:val="000000" w:themeColor="text1"/>
          <w:sz w:val="40"/>
          <w:szCs w:val="40"/>
        </w:rPr>
        <w:t xml:space="preserve">     </w:t>
      </w:r>
    </w:p>
    <w:p w:rsidR="007C45A1" w:rsidRDefault="007C45A1" w:rsidP="007C45A1">
      <w:pPr>
        <w:tabs>
          <w:tab w:val="left" w:pos="4238"/>
        </w:tabs>
        <w:spacing w:after="0" w:line="360" w:lineRule="auto"/>
        <w:rPr>
          <w:rFonts w:ascii="Arial" w:eastAsia="SimSun" w:hAnsi="Arial" w:cs="Arial"/>
          <w:b/>
          <w:sz w:val="20"/>
          <w:szCs w:val="20"/>
          <w:lang w:val="ro-RO"/>
        </w:rPr>
      </w:pPr>
      <w:r>
        <w:rPr>
          <w:rFonts w:ascii="Arial" w:eastAsia="SimSun" w:hAnsi="Arial" w:cs="Arial"/>
          <w:b/>
          <w:sz w:val="20"/>
          <w:szCs w:val="20"/>
          <w:lang w:val="ro-RO"/>
        </w:rPr>
        <w:tab/>
      </w:r>
    </w:p>
    <w:p w:rsidR="00341504" w:rsidRDefault="00341504" w:rsidP="007C45A1">
      <w:pPr>
        <w:tabs>
          <w:tab w:val="left" w:pos="4238"/>
        </w:tabs>
        <w:spacing w:after="0" w:line="360" w:lineRule="auto"/>
        <w:rPr>
          <w:rFonts w:ascii="Arial" w:eastAsia="SimSun" w:hAnsi="Arial" w:cs="Arial"/>
          <w:b/>
          <w:sz w:val="20"/>
          <w:szCs w:val="20"/>
          <w:lang w:val="ro-RO"/>
        </w:rPr>
      </w:pPr>
    </w:p>
    <w:p w:rsidR="007C45A1" w:rsidRDefault="007C45A1" w:rsidP="00F2046E">
      <w:pPr>
        <w:spacing w:after="0" w:line="360" w:lineRule="auto"/>
        <w:jc w:val="center"/>
        <w:rPr>
          <w:rFonts w:ascii="Arial" w:eastAsia="SimSun" w:hAnsi="Arial" w:cs="Arial"/>
          <w:b/>
          <w:sz w:val="20"/>
          <w:szCs w:val="20"/>
          <w:lang w:val="ro-RO"/>
        </w:rPr>
      </w:pPr>
    </w:p>
    <w:p w:rsidR="007C45A1" w:rsidRDefault="007C45A1" w:rsidP="00F2046E">
      <w:pPr>
        <w:spacing w:after="0" w:line="360" w:lineRule="auto"/>
        <w:jc w:val="center"/>
        <w:rPr>
          <w:rFonts w:ascii="Arial" w:eastAsia="SimSun" w:hAnsi="Arial" w:cs="Arial"/>
          <w:b/>
          <w:sz w:val="20"/>
          <w:szCs w:val="20"/>
          <w:lang w:val="ro-RO"/>
        </w:rPr>
      </w:pPr>
    </w:p>
    <w:p w:rsidR="00F2046E" w:rsidRPr="008A7850" w:rsidRDefault="00F2046E" w:rsidP="00F2046E">
      <w:pPr>
        <w:spacing w:after="0" w:line="360" w:lineRule="auto"/>
        <w:jc w:val="center"/>
        <w:rPr>
          <w:rFonts w:ascii="Arial" w:eastAsia="SimSun" w:hAnsi="Arial" w:cs="Arial"/>
          <w:b/>
          <w:sz w:val="20"/>
          <w:szCs w:val="20"/>
          <w:lang w:val="ro-RO"/>
        </w:rPr>
      </w:pPr>
      <w:r w:rsidRPr="008A7850">
        <w:rPr>
          <w:rFonts w:ascii="Arial" w:eastAsia="SimSun" w:hAnsi="Arial" w:cs="Arial"/>
          <w:b/>
          <w:sz w:val="20"/>
          <w:szCs w:val="20"/>
          <w:lang w:val="ro-RO"/>
        </w:rPr>
        <w:t>CUPRINS</w:t>
      </w:r>
    </w:p>
    <w:p w:rsidR="00F2046E" w:rsidRPr="008A7850" w:rsidRDefault="00F2046E" w:rsidP="00F2046E">
      <w:pPr>
        <w:spacing w:after="0" w:line="240" w:lineRule="auto"/>
        <w:ind w:left="720"/>
        <w:rPr>
          <w:rFonts w:ascii="Arial" w:eastAsia="SimSun" w:hAnsi="Arial" w:cs="Arial"/>
          <w:color w:val="FF0000"/>
          <w:sz w:val="20"/>
          <w:szCs w:val="20"/>
          <w:lang w:val="ro-RO"/>
        </w:rPr>
      </w:pPr>
    </w:p>
    <w:p w:rsidR="00F2046E" w:rsidRPr="008A7850" w:rsidRDefault="00F2046E" w:rsidP="00F2046E">
      <w:pPr>
        <w:numPr>
          <w:ilvl w:val="0"/>
          <w:numId w:val="2"/>
        </w:numPr>
        <w:spacing w:after="0" w:line="360" w:lineRule="auto"/>
        <w:rPr>
          <w:rFonts w:ascii="Arial" w:eastAsia="SimSun" w:hAnsi="Arial" w:cs="Arial"/>
          <w:b/>
          <w:sz w:val="20"/>
          <w:szCs w:val="20"/>
          <w:lang w:val="ro-RO"/>
        </w:rPr>
      </w:pPr>
      <w:r w:rsidRPr="008A7850">
        <w:rPr>
          <w:rFonts w:ascii="Arial" w:eastAsia="SimSun" w:hAnsi="Arial" w:cs="Arial"/>
          <w:b/>
          <w:sz w:val="20"/>
          <w:szCs w:val="20"/>
          <w:lang w:val="ro-RO"/>
        </w:rPr>
        <w:t>CALITATEA ŞI POLUAREA AERULUI ÎNCONJURĂTOR</w:t>
      </w:r>
      <w:r>
        <w:rPr>
          <w:rFonts w:ascii="Arial" w:eastAsia="SimSun" w:hAnsi="Arial" w:cs="Arial"/>
          <w:b/>
          <w:sz w:val="20"/>
          <w:szCs w:val="20"/>
          <w:lang w:val="ro-RO"/>
        </w:rPr>
        <w:t>...........................................................</w:t>
      </w:r>
      <w:r w:rsidR="006B05C6">
        <w:rPr>
          <w:rFonts w:ascii="Arial" w:eastAsia="SimSun" w:hAnsi="Arial" w:cs="Arial"/>
          <w:b/>
          <w:sz w:val="20"/>
          <w:szCs w:val="20"/>
          <w:lang w:val="ro-RO"/>
        </w:rPr>
        <w:t>4</w:t>
      </w:r>
      <w:r w:rsidRPr="008A7850">
        <w:rPr>
          <w:rFonts w:ascii="Arial" w:eastAsia="SimSun" w:hAnsi="Arial" w:cs="Arial"/>
          <w:b/>
          <w:sz w:val="20"/>
          <w:szCs w:val="20"/>
          <w:lang w:val="ro-RO"/>
        </w:rPr>
        <w:t xml:space="preserve"> </w:t>
      </w:r>
      <w:r w:rsidRPr="008A7850">
        <w:rPr>
          <w:rFonts w:ascii="Arial" w:eastAsia="SimSun" w:hAnsi="Arial" w:cs="Arial"/>
          <w:b/>
          <w:sz w:val="20"/>
          <w:szCs w:val="20"/>
          <w:lang w:val="ro-RO"/>
        </w:rPr>
        <w:tab/>
        <w:t xml:space="preserve"> </w:t>
      </w:r>
    </w:p>
    <w:p w:rsidR="00F2046E" w:rsidRPr="008A7850" w:rsidRDefault="00F2046E" w:rsidP="00F2046E">
      <w:pPr>
        <w:numPr>
          <w:ilvl w:val="1"/>
          <w:numId w:val="2"/>
        </w:numPr>
        <w:spacing w:after="0" w:line="240" w:lineRule="auto"/>
        <w:ind w:left="851" w:hanging="482"/>
        <w:rPr>
          <w:rFonts w:ascii="Arial" w:eastAsia="SimSun" w:hAnsi="Arial" w:cs="Arial"/>
          <w:b/>
          <w:sz w:val="20"/>
          <w:szCs w:val="20"/>
          <w:lang w:val="ro-RO"/>
        </w:rPr>
      </w:pPr>
      <w:r w:rsidRPr="008A7850">
        <w:rPr>
          <w:rFonts w:ascii="Arial" w:eastAsia="SimSun" w:hAnsi="Arial" w:cs="Arial"/>
          <w:b/>
          <w:sz w:val="20"/>
          <w:szCs w:val="20"/>
          <w:lang w:val="ro-RO"/>
        </w:rPr>
        <w:t>Calitatea aerului înconjurător: stare şi consecinţe.........................................................</w:t>
      </w:r>
      <w:r w:rsidRPr="008A7850">
        <w:rPr>
          <w:rFonts w:ascii="Arial" w:eastAsia="SimSun" w:hAnsi="Arial" w:cs="Arial"/>
          <w:b/>
          <w:sz w:val="20"/>
          <w:szCs w:val="20"/>
          <w:lang w:val="ro-RO"/>
        </w:rPr>
        <w:tab/>
      </w:r>
      <w:r>
        <w:rPr>
          <w:rFonts w:ascii="Arial" w:eastAsia="SimSun" w:hAnsi="Arial" w:cs="Arial"/>
          <w:b/>
          <w:sz w:val="20"/>
          <w:szCs w:val="20"/>
          <w:lang w:val="ro-RO"/>
        </w:rPr>
        <w:t>..........</w:t>
      </w:r>
      <w:r w:rsidR="006B05C6">
        <w:rPr>
          <w:rFonts w:ascii="Arial" w:eastAsia="SimSun" w:hAnsi="Arial" w:cs="Arial"/>
          <w:b/>
          <w:sz w:val="20"/>
          <w:szCs w:val="20"/>
          <w:lang w:val="ro-RO"/>
        </w:rPr>
        <w:t>4</w:t>
      </w:r>
    </w:p>
    <w:p w:rsidR="00F2046E" w:rsidRPr="008A7850" w:rsidRDefault="00F2046E" w:rsidP="00F2046E">
      <w:pPr>
        <w:numPr>
          <w:ilvl w:val="2"/>
          <w:numId w:val="2"/>
        </w:numPr>
        <w:spacing w:after="0" w:line="240" w:lineRule="auto"/>
        <w:ind w:left="1134" w:hanging="538"/>
        <w:rPr>
          <w:rFonts w:ascii="Arial" w:eastAsia="SimSun" w:hAnsi="Arial" w:cs="Arial"/>
          <w:i/>
          <w:sz w:val="20"/>
          <w:szCs w:val="20"/>
          <w:lang w:val="ro-RO"/>
        </w:rPr>
      </w:pPr>
      <w:r w:rsidRPr="008A7850">
        <w:rPr>
          <w:rFonts w:ascii="Arial" w:eastAsia="SimSun" w:hAnsi="Arial" w:cs="Arial"/>
          <w:i/>
          <w:sz w:val="20"/>
          <w:szCs w:val="20"/>
          <w:lang w:val="ro-RO"/>
        </w:rPr>
        <w:t>Starea de calitate a aerului înconjurător</w:t>
      </w:r>
      <w:r>
        <w:rPr>
          <w:rFonts w:ascii="Arial" w:eastAsia="SimSun" w:hAnsi="Arial" w:cs="Arial"/>
          <w:i/>
          <w:sz w:val="20"/>
          <w:szCs w:val="20"/>
          <w:lang w:val="ro-RO"/>
        </w:rPr>
        <w:t>.................................................................................</w:t>
      </w:r>
      <w:r w:rsidR="004163B5">
        <w:rPr>
          <w:rFonts w:ascii="Arial" w:eastAsia="SimSun" w:hAnsi="Arial" w:cs="Arial"/>
          <w:i/>
          <w:sz w:val="20"/>
          <w:szCs w:val="20"/>
          <w:lang w:val="ro-RO"/>
        </w:rPr>
        <w:t>.</w:t>
      </w:r>
      <w:r w:rsidR="00B50CC6">
        <w:rPr>
          <w:rFonts w:ascii="Arial" w:eastAsia="SimSun" w:hAnsi="Arial" w:cs="Arial"/>
          <w:i/>
          <w:sz w:val="20"/>
          <w:szCs w:val="20"/>
          <w:lang w:val="ro-RO"/>
        </w:rPr>
        <w:t>4</w:t>
      </w:r>
    </w:p>
    <w:p w:rsidR="00F2046E" w:rsidRPr="008A7850" w:rsidRDefault="00F2046E" w:rsidP="00F2046E">
      <w:pPr>
        <w:numPr>
          <w:ilvl w:val="3"/>
          <w:numId w:val="2"/>
        </w:numPr>
        <w:spacing w:after="0" w:line="240" w:lineRule="auto"/>
        <w:ind w:left="1418" w:hanging="638"/>
        <w:rPr>
          <w:rFonts w:ascii="Arial" w:eastAsia="SimSun" w:hAnsi="Arial" w:cs="Arial"/>
          <w:sz w:val="20"/>
          <w:szCs w:val="20"/>
          <w:lang w:val="ro-RO"/>
        </w:rPr>
      </w:pPr>
      <w:r w:rsidRPr="008A7850">
        <w:rPr>
          <w:rFonts w:ascii="Arial" w:eastAsia="SimSun" w:hAnsi="Arial" w:cs="Arial"/>
          <w:sz w:val="20"/>
          <w:szCs w:val="20"/>
          <w:lang w:val="ro-RO"/>
        </w:rPr>
        <w:t>Nivelul concentraţiilor medii anuale ale poluanţilor atmosferici în aerul înconjurător</w:t>
      </w:r>
      <w:r>
        <w:rPr>
          <w:rFonts w:ascii="Arial" w:eastAsia="SimSun" w:hAnsi="Arial" w:cs="Arial"/>
          <w:sz w:val="20"/>
          <w:szCs w:val="20"/>
          <w:lang w:val="ro-RO"/>
        </w:rPr>
        <w:t>..........</w:t>
      </w:r>
      <w:r w:rsidR="00B50CC6">
        <w:rPr>
          <w:rFonts w:ascii="Arial" w:eastAsia="SimSun" w:hAnsi="Arial" w:cs="Arial"/>
          <w:sz w:val="20"/>
          <w:szCs w:val="20"/>
          <w:lang w:val="ro-RO"/>
        </w:rPr>
        <w:t>4</w:t>
      </w:r>
      <w:r w:rsidRPr="008A7850">
        <w:rPr>
          <w:rFonts w:ascii="Arial" w:eastAsia="SimSun" w:hAnsi="Arial" w:cs="Arial"/>
          <w:sz w:val="20"/>
          <w:szCs w:val="20"/>
          <w:lang w:val="ro-RO"/>
        </w:rPr>
        <w:t xml:space="preserve">     </w:t>
      </w:r>
    </w:p>
    <w:p w:rsidR="00F2046E" w:rsidRPr="008A7850" w:rsidRDefault="00F2046E" w:rsidP="00F2046E">
      <w:pPr>
        <w:numPr>
          <w:ilvl w:val="3"/>
          <w:numId w:val="2"/>
        </w:numPr>
        <w:spacing w:after="0" w:line="240" w:lineRule="auto"/>
        <w:ind w:left="1418" w:hanging="638"/>
        <w:rPr>
          <w:rFonts w:ascii="Arial" w:eastAsia="SimSun" w:hAnsi="Arial" w:cs="Arial"/>
          <w:sz w:val="20"/>
          <w:szCs w:val="20"/>
          <w:lang w:val="ro-RO"/>
        </w:rPr>
      </w:pPr>
      <w:r w:rsidRPr="008A7850">
        <w:rPr>
          <w:rFonts w:ascii="Arial" w:eastAsia="SimSun" w:hAnsi="Arial" w:cs="Arial"/>
          <w:sz w:val="20"/>
          <w:szCs w:val="20"/>
          <w:lang w:val="ro-RO"/>
        </w:rPr>
        <w:t>Tendinţe privind concentraţiile medii anuale ale anumitor poluanţi atmosferici</w:t>
      </w:r>
      <w:r w:rsidR="00D20484">
        <w:rPr>
          <w:rFonts w:ascii="Arial" w:eastAsia="SimSun" w:hAnsi="Arial" w:cs="Arial"/>
          <w:sz w:val="20"/>
          <w:szCs w:val="20"/>
          <w:lang w:val="ro-RO"/>
        </w:rPr>
        <w:t>...........</w:t>
      </w:r>
      <w:r w:rsidR="006B05C6">
        <w:rPr>
          <w:rFonts w:ascii="Arial" w:eastAsia="SimSun" w:hAnsi="Arial" w:cs="Arial"/>
          <w:sz w:val="20"/>
          <w:szCs w:val="20"/>
          <w:lang w:val="ro-RO"/>
        </w:rPr>
        <w:t>.....</w:t>
      </w:r>
      <w:r w:rsidR="00B50CC6">
        <w:rPr>
          <w:rFonts w:ascii="Arial" w:eastAsia="SimSun" w:hAnsi="Arial" w:cs="Arial"/>
          <w:sz w:val="20"/>
          <w:szCs w:val="20"/>
          <w:lang w:val="ro-RO"/>
        </w:rPr>
        <w:t>..9</w:t>
      </w:r>
    </w:p>
    <w:p w:rsidR="00F2046E" w:rsidRPr="008A7850" w:rsidRDefault="00F2046E" w:rsidP="00F2046E">
      <w:pPr>
        <w:numPr>
          <w:ilvl w:val="3"/>
          <w:numId w:val="2"/>
        </w:numPr>
        <w:spacing w:after="0" w:line="240" w:lineRule="auto"/>
        <w:ind w:left="1418" w:hanging="638"/>
        <w:rPr>
          <w:rFonts w:ascii="Arial" w:eastAsia="SimSun" w:hAnsi="Arial" w:cs="Arial"/>
          <w:sz w:val="20"/>
          <w:szCs w:val="20"/>
          <w:lang w:val="ro-RO"/>
        </w:rPr>
      </w:pPr>
      <w:r w:rsidRPr="008A7850">
        <w:rPr>
          <w:rFonts w:ascii="Arial" w:eastAsia="SimSun" w:hAnsi="Arial" w:cs="Arial"/>
          <w:sz w:val="20"/>
          <w:szCs w:val="20"/>
          <w:lang w:val="ro-RO"/>
        </w:rPr>
        <w:t>Depăşiri ale valorilor limită şi valorilor ţintă privind calitatea aerului înconjurător în zonele urbane</w:t>
      </w:r>
      <w:r>
        <w:rPr>
          <w:rFonts w:ascii="Arial" w:eastAsia="SimSun" w:hAnsi="Arial" w:cs="Arial"/>
          <w:sz w:val="20"/>
          <w:szCs w:val="20"/>
          <w:lang w:val="ro-RO"/>
        </w:rPr>
        <w:t>...............................................................................................................................1</w:t>
      </w:r>
      <w:r w:rsidR="00B50CC6">
        <w:rPr>
          <w:rFonts w:ascii="Arial" w:eastAsia="SimSun" w:hAnsi="Arial" w:cs="Arial"/>
          <w:sz w:val="20"/>
          <w:szCs w:val="20"/>
          <w:lang w:val="ro-RO"/>
        </w:rPr>
        <w:t>3</w:t>
      </w:r>
    </w:p>
    <w:p w:rsidR="00F2046E" w:rsidRPr="008A7850" w:rsidRDefault="00F2046E" w:rsidP="00F2046E">
      <w:pPr>
        <w:numPr>
          <w:ilvl w:val="2"/>
          <w:numId w:val="2"/>
        </w:numPr>
        <w:spacing w:after="0" w:line="240" w:lineRule="auto"/>
        <w:ind w:left="1134" w:hanging="538"/>
        <w:rPr>
          <w:rFonts w:ascii="Arial" w:eastAsia="SimSun" w:hAnsi="Arial" w:cs="Arial"/>
          <w:i/>
          <w:sz w:val="20"/>
          <w:szCs w:val="20"/>
          <w:lang w:val="ro-RO"/>
        </w:rPr>
      </w:pPr>
      <w:r w:rsidRPr="008A7850">
        <w:rPr>
          <w:rFonts w:ascii="Arial" w:eastAsia="SimSun" w:hAnsi="Arial" w:cs="Arial"/>
          <w:i/>
          <w:sz w:val="20"/>
          <w:szCs w:val="20"/>
          <w:lang w:val="ro-RO"/>
        </w:rPr>
        <w:t>Efectele poluării aerului înconjurător</w:t>
      </w:r>
      <w:r>
        <w:rPr>
          <w:rFonts w:ascii="Arial" w:eastAsia="SimSun" w:hAnsi="Arial" w:cs="Arial"/>
          <w:i/>
          <w:sz w:val="20"/>
          <w:szCs w:val="20"/>
          <w:lang w:val="ro-RO"/>
        </w:rPr>
        <w:t>.....................................................................................</w:t>
      </w:r>
      <w:r w:rsidRPr="008A7850">
        <w:rPr>
          <w:rFonts w:ascii="Arial" w:eastAsia="SimSun" w:hAnsi="Arial" w:cs="Arial"/>
          <w:i/>
          <w:sz w:val="20"/>
          <w:szCs w:val="20"/>
          <w:lang w:val="ro-RO"/>
        </w:rPr>
        <w:t xml:space="preserve"> </w:t>
      </w:r>
      <w:r>
        <w:rPr>
          <w:rFonts w:ascii="Arial" w:eastAsia="SimSun" w:hAnsi="Arial" w:cs="Arial"/>
          <w:i/>
          <w:sz w:val="20"/>
          <w:szCs w:val="20"/>
          <w:lang w:val="ro-RO"/>
        </w:rPr>
        <w:t>1</w:t>
      </w:r>
      <w:r w:rsidR="00B50CC6">
        <w:rPr>
          <w:rFonts w:ascii="Arial" w:eastAsia="SimSun" w:hAnsi="Arial" w:cs="Arial"/>
          <w:i/>
          <w:sz w:val="20"/>
          <w:szCs w:val="20"/>
          <w:lang w:val="ro-RO"/>
        </w:rPr>
        <w:t>4</w:t>
      </w:r>
      <w:r>
        <w:rPr>
          <w:rFonts w:ascii="Arial" w:eastAsia="SimSun" w:hAnsi="Arial" w:cs="Arial"/>
          <w:i/>
          <w:sz w:val="20"/>
          <w:szCs w:val="20"/>
          <w:lang w:val="ro-RO"/>
        </w:rPr>
        <w:t xml:space="preserve"> </w:t>
      </w:r>
    </w:p>
    <w:p w:rsidR="00F2046E" w:rsidRPr="008A7850" w:rsidRDefault="00F2046E" w:rsidP="00F2046E">
      <w:pPr>
        <w:numPr>
          <w:ilvl w:val="3"/>
          <w:numId w:val="2"/>
        </w:numPr>
        <w:spacing w:after="0" w:line="240" w:lineRule="auto"/>
        <w:ind w:left="1418" w:hanging="638"/>
        <w:rPr>
          <w:rFonts w:ascii="Arial" w:eastAsia="SimSun" w:hAnsi="Arial" w:cs="Arial"/>
          <w:sz w:val="20"/>
          <w:szCs w:val="20"/>
          <w:lang w:val="ro-RO"/>
        </w:rPr>
      </w:pPr>
      <w:r w:rsidRPr="008A7850">
        <w:rPr>
          <w:rFonts w:ascii="Arial" w:eastAsia="SimSun" w:hAnsi="Arial" w:cs="Arial"/>
          <w:sz w:val="20"/>
          <w:szCs w:val="20"/>
          <w:lang w:val="ro-RO"/>
        </w:rPr>
        <w:t>Efectele poluării aerului înconjurător asupra sănătăţii</w:t>
      </w:r>
      <w:r>
        <w:rPr>
          <w:rFonts w:ascii="Arial" w:eastAsia="SimSun" w:hAnsi="Arial" w:cs="Arial"/>
          <w:sz w:val="20"/>
          <w:szCs w:val="20"/>
          <w:lang w:val="ro-RO"/>
        </w:rPr>
        <w:t>......................................................1</w:t>
      </w:r>
      <w:r w:rsidR="00B50CC6">
        <w:rPr>
          <w:rFonts w:ascii="Arial" w:eastAsia="SimSun" w:hAnsi="Arial" w:cs="Arial"/>
          <w:sz w:val="20"/>
          <w:szCs w:val="20"/>
          <w:lang w:val="ro-RO"/>
        </w:rPr>
        <w:t>4</w:t>
      </w:r>
      <w:r w:rsidRPr="008A7850">
        <w:rPr>
          <w:rFonts w:ascii="Arial" w:eastAsia="SimSun" w:hAnsi="Arial" w:cs="Arial"/>
          <w:sz w:val="20"/>
          <w:szCs w:val="20"/>
          <w:lang w:val="ro-RO"/>
        </w:rPr>
        <w:t xml:space="preserve"> </w:t>
      </w:r>
      <w:r w:rsidRPr="008A7850">
        <w:rPr>
          <w:rFonts w:ascii="Arial" w:eastAsia="SimSun" w:hAnsi="Arial" w:cs="Arial"/>
          <w:sz w:val="20"/>
          <w:szCs w:val="20"/>
          <w:lang w:val="ro-RO"/>
        </w:rPr>
        <w:tab/>
        <w:t xml:space="preserve"> </w:t>
      </w:r>
    </w:p>
    <w:p w:rsidR="00F2046E" w:rsidRPr="008A7850" w:rsidRDefault="00F2046E" w:rsidP="00F2046E">
      <w:pPr>
        <w:numPr>
          <w:ilvl w:val="3"/>
          <w:numId w:val="2"/>
        </w:numPr>
        <w:spacing w:after="0" w:line="240" w:lineRule="auto"/>
        <w:ind w:left="1418" w:hanging="638"/>
        <w:rPr>
          <w:rFonts w:ascii="Arial" w:eastAsia="SimSun" w:hAnsi="Arial" w:cs="Arial"/>
          <w:sz w:val="20"/>
          <w:szCs w:val="20"/>
          <w:lang w:val="ro-RO"/>
        </w:rPr>
      </w:pPr>
      <w:r w:rsidRPr="008A7850">
        <w:rPr>
          <w:rFonts w:ascii="Arial" w:eastAsia="SimSun" w:hAnsi="Arial" w:cs="Arial"/>
          <w:sz w:val="20"/>
          <w:szCs w:val="20"/>
          <w:lang w:val="ro-RO"/>
        </w:rPr>
        <w:t>Efectele poluării aerului înconjurător asupra ecosistemelor</w:t>
      </w:r>
      <w:r>
        <w:rPr>
          <w:rFonts w:ascii="Arial" w:eastAsia="SimSun" w:hAnsi="Arial" w:cs="Arial"/>
          <w:sz w:val="20"/>
          <w:szCs w:val="20"/>
          <w:lang w:val="ro-RO"/>
        </w:rPr>
        <w:t>.............................................1</w:t>
      </w:r>
      <w:r w:rsidR="00B50CC6">
        <w:rPr>
          <w:rFonts w:ascii="Arial" w:eastAsia="SimSun" w:hAnsi="Arial" w:cs="Arial"/>
          <w:sz w:val="20"/>
          <w:szCs w:val="20"/>
          <w:lang w:val="ro-RO"/>
        </w:rPr>
        <w:t>6</w:t>
      </w:r>
      <w:r w:rsidRPr="008A7850">
        <w:rPr>
          <w:rFonts w:ascii="Arial" w:eastAsia="SimSun" w:hAnsi="Arial" w:cs="Arial"/>
          <w:sz w:val="20"/>
          <w:szCs w:val="20"/>
          <w:lang w:val="ro-RO"/>
        </w:rPr>
        <w:t xml:space="preserve"> </w:t>
      </w:r>
      <w:r w:rsidRPr="008A7850">
        <w:rPr>
          <w:rFonts w:ascii="Arial" w:eastAsia="SimSun" w:hAnsi="Arial" w:cs="Arial"/>
          <w:sz w:val="20"/>
          <w:szCs w:val="20"/>
          <w:lang w:val="ro-RO"/>
        </w:rPr>
        <w:tab/>
        <w:t xml:space="preserve"> </w:t>
      </w:r>
    </w:p>
    <w:p w:rsidR="00F2046E" w:rsidRPr="008A7850" w:rsidRDefault="00F2046E" w:rsidP="00F2046E">
      <w:pPr>
        <w:numPr>
          <w:ilvl w:val="3"/>
          <w:numId w:val="2"/>
        </w:numPr>
        <w:spacing w:after="0" w:line="240" w:lineRule="auto"/>
        <w:ind w:left="1418" w:hanging="638"/>
        <w:rPr>
          <w:rFonts w:ascii="Arial" w:eastAsia="SimSun" w:hAnsi="Arial" w:cs="Arial"/>
          <w:sz w:val="20"/>
          <w:szCs w:val="20"/>
          <w:lang w:val="ro-RO"/>
        </w:rPr>
      </w:pPr>
      <w:r w:rsidRPr="008A7850">
        <w:rPr>
          <w:rFonts w:ascii="Arial" w:eastAsia="SimSun" w:hAnsi="Arial" w:cs="Arial"/>
          <w:sz w:val="20"/>
          <w:szCs w:val="20"/>
          <w:lang w:val="ro-RO"/>
        </w:rPr>
        <w:t>Efectele poluării aerului înconjurăt</w:t>
      </w:r>
      <w:r>
        <w:rPr>
          <w:rFonts w:ascii="Arial" w:eastAsia="SimSun" w:hAnsi="Arial" w:cs="Arial"/>
          <w:sz w:val="20"/>
          <w:szCs w:val="20"/>
          <w:lang w:val="ro-RO"/>
        </w:rPr>
        <w:t>or asupra solului şi vegetaţiei.....................................1</w:t>
      </w:r>
      <w:r w:rsidR="00B50CC6">
        <w:rPr>
          <w:rFonts w:ascii="Arial" w:eastAsia="SimSun" w:hAnsi="Arial" w:cs="Arial"/>
          <w:sz w:val="20"/>
          <w:szCs w:val="20"/>
          <w:lang w:val="ro-RO"/>
        </w:rPr>
        <w:t>6</w:t>
      </w:r>
      <w:r w:rsidRPr="008A7850">
        <w:rPr>
          <w:rFonts w:ascii="Arial" w:eastAsia="SimSun" w:hAnsi="Arial" w:cs="Arial"/>
          <w:sz w:val="20"/>
          <w:szCs w:val="20"/>
          <w:lang w:val="ro-RO"/>
        </w:rPr>
        <w:t xml:space="preserve"> </w:t>
      </w:r>
    </w:p>
    <w:p w:rsidR="00F2046E" w:rsidRPr="006E7B4E" w:rsidRDefault="00F2046E" w:rsidP="00F2046E">
      <w:pPr>
        <w:numPr>
          <w:ilvl w:val="1"/>
          <w:numId w:val="2"/>
        </w:numPr>
        <w:spacing w:after="0" w:line="240" w:lineRule="auto"/>
        <w:ind w:left="851" w:hanging="482"/>
        <w:rPr>
          <w:rFonts w:ascii="Arial" w:eastAsia="SimSun" w:hAnsi="Arial" w:cs="Arial"/>
          <w:b/>
          <w:sz w:val="20"/>
          <w:szCs w:val="20"/>
          <w:lang w:val="ro-RO"/>
        </w:rPr>
      </w:pPr>
      <w:r w:rsidRPr="008A7850">
        <w:rPr>
          <w:rFonts w:ascii="Arial" w:eastAsia="SimSun" w:hAnsi="Arial" w:cs="Arial"/>
          <w:b/>
          <w:sz w:val="20"/>
          <w:szCs w:val="20"/>
          <w:lang w:val="ro-RO"/>
        </w:rPr>
        <w:t xml:space="preserve">Factorii determinanţi şi presiunile care afectează </w:t>
      </w:r>
      <w:r w:rsidRPr="006E7B4E">
        <w:rPr>
          <w:rFonts w:ascii="Arial" w:eastAsia="SimSun" w:hAnsi="Arial" w:cs="Arial"/>
          <w:b/>
          <w:sz w:val="20"/>
          <w:szCs w:val="20"/>
          <w:lang w:val="ro-RO"/>
        </w:rPr>
        <w:t>starea de calitate a aerului înconjurător</w:t>
      </w:r>
      <w:r>
        <w:rPr>
          <w:rFonts w:ascii="Arial" w:eastAsia="SimSun" w:hAnsi="Arial" w:cs="Arial"/>
          <w:b/>
          <w:sz w:val="20"/>
          <w:szCs w:val="20"/>
          <w:lang w:val="ro-RO"/>
        </w:rPr>
        <w:t>..............................................................................................................................1</w:t>
      </w:r>
      <w:r w:rsidR="00B50CC6">
        <w:rPr>
          <w:rFonts w:ascii="Arial" w:eastAsia="SimSun" w:hAnsi="Arial" w:cs="Arial"/>
          <w:b/>
          <w:sz w:val="20"/>
          <w:szCs w:val="20"/>
          <w:lang w:val="ro-RO"/>
        </w:rPr>
        <w:t>6</w:t>
      </w:r>
      <w:r w:rsidRPr="006E7B4E">
        <w:rPr>
          <w:rFonts w:ascii="Arial" w:eastAsia="SimSun" w:hAnsi="Arial" w:cs="Arial"/>
          <w:b/>
          <w:sz w:val="20"/>
          <w:szCs w:val="20"/>
          <w:lang w:val="ro-RO"/>
        </w:rPr>
        <w:t xml:space="preserve"> </w:t>
      </w:r>
    </w:p>
    <w:p w:rsidR="00F2046E" w:rsidRPr="008A7850" w:rsidRDefault="00F2046E" w:rsidP="00F2046E">
      <w:pPr>
        <w:numPr>
          <w:ilvl w:val="2"/>
          <w:numId w:val="2"/>
        </w:numPr>
        <w:spacing w:after="0" w:line="240" w:lineRule="auto"/>
        <w:ind w:left="1134" w:hanging="538"/>
        <w:rPr>
          <w:rFonts w:ascii="Arial" w:eastAsia="SimSun" w:hAnsi="Arial" w:cs="Arial"/>
          <w:i/>
          <w:sz w:val="20"/>
          <w:szCs w:val="20"/>
          <w:lang w:val="ro-RO"/>
        </w:rPr>
      </w:pPr>
      <w:r w:rsidRPr="008A7850">
        <w:rPr>
          <w:rFonts w:ascii="Arial" w:eastAsia="SimSun" w:hAnsi="Arial" w:cs="Arial"/>
          <w:i/>
          <w:sz w:val="20"/>
          <w:szCs w:val="20"/>
          <w:lang w:val="ro-RO"/>
        </w:rPr>
        <w:t>Emisiile de poluanţi atmosferici şi principale surse de emisie</w:t>
      </w:r>
      <w:r>
        <w:rPr>
          <w:rFonts w:ascii="Arial" w:eastAsia="SimSun" w:hAnsi="Arial" w:cs="Arial"/>
          <w:i/>
          <w:sz w:val="20"/>
          <w:szCs w:val="20"/>
          <w:lang w:val="ro-RO"/>
        </w:rPr>
        <w:t>..............................................1</w:t>
      </w:r>
      <w:r w:rsidR="00B50CC6">
        <w:rPr>
          <w:rFonts w:ascii="Arial" w:eastAsia="SimSun" w:hAnsi="Arial" w:cs="Arial"/>
          <w:i/>
          <w:sz w:val="20"/>
          <w:szCs w:val="20"/>
          <w:lang w:val="ro-RO"/>
        </w:rPr>
        <w:t>6</w:t>
      </w:r>
      <w:r w:rsidRPr="008A7850">
        <w:rPr>
          <w:rFonts w:ascii="Arial" w:eastAsia="SimSun" w:hAnsi="Arial" w:cs="Arial"/>
          <w:i/>
          <w:sz w:val="20"/>
          <w:szCs w:val="20"/>
          <w:lang w:val="ro-RO"/>
        </w:rPr>
        <w:tab/>
      </w:r>
    </w:p>
    <w:p w:rsidR="00F2046E" w:rsidRPr="008A7850" w:rsidRDefault="00F2046E" w:rsidP="00F2046E">
      <w:pPr>
        <w:numPr>
          <w:ilvl w:val="3"/>
          <w:numId w:val="2"/>
        </w:numPr>
        <w:spacing w:after="0" w:line="240" w:lineRule="auto"/>
        <w:ind w:left="1418" w:hanging="638"/>
        <w:rPr>
          <w:rFonts w:ascii="Arial" w:eastAsia="SimSun" w:hAnsi="Arial" w:cs="Arial"/>
          <w:sz w:val="20"/>
          <w:szCs w:val="20"/>
          <w:lang w:val="ro-RO"/>
        </w:rPr>
      </w:pPr>
      <w:r w:rsidRPr="008A7850">
        <w:rPr>
          <w:rFonts w:ascii="Arial" w:eastAsia="SimSun" w:hAnsi="Arial" w:cs="Arial"/>
          <w:sz w:val="20"/>
          <w:szCs w:val="20"/>
          <w:lang w:val="ro-RO"/>
        </w:rPr>
        <w:t>Energia</w:t>
      </w:r>
      <w:r>
        <w:rPr>
          <w:rFonts w:ascii="Arial" w:eastAsia="SimSun" w:hAnsi="Arial" w:cs="Arial"/>
          <w:sz w:val="20"/>
          <w:szCs w:val="20"/>
          <w:lang w:val="ro-RO"/>
        </w:rPr>
        <w:t>.............................................................................................................................2</w:t>
      </w:r>
      <w:r w:rsidR="00B50CC6">
        <w:rPr>
          <w:rFonts w:ascii="Arial" w:eastAsia="SimSun" w:hAnsi="Arial" w:cs="Arial"/>
          <w:sz w:val="20"/>
          <w:szCs w:val="20"/>
          <w:lang w:val="ro-RO"/>
        </w:rPr>
        <w:t>7</w:t>
      </w:r>
      <w:r w:rsidRPr="008A7850">
        <w:rPr>
          <w:rFonts w:ascii="Arial" w:eastAsia="SimSun" w:hAnsi="Arial" w:cs="Arial"/>
          <w:sz w:val="20"/>
          <w:szCs w:val="20"/>
          <w:lang w:val="ro-RO"/>
        </w:rPr>
        <w:t xml:space="preserve"> </w:t>
      </w:r>
      <w:r w:rsidRPr="008A7850">
        <w:rPr>
          <w:rFonts w:ascii="Arial" w:eastAsia="SimSun" w:hAnsi="Arial" w:cs="Arial"/>
          <w:sz w:val="20"/>
          <w:szCs w:val="20"/>
          <w:lang w:val="ro-RO"/>
        </w:rPr>
        <w:tab/>
        <w:t xml:space="preserve"> </w:t>
      </w:r>
    </w:p>
    <w:p w:rsidR="00F2046E" w:rsidRPr="008A7850" w:rsidRDefault="00F2046E" w:rsidP="00F2046E">
      <w:pPr>
        <w:numPr>
          <w:ilvl w:val="3"/>
          <w:numId w:val="2"/>
        </w:numPr>
        <w:spacing w:after="0" w:line="240" w:lineRule="auto"/>
        <w:ind w:left="1418" w:hanging="638"/>
        <w:rPr>
          <w:rFonts w:ascii="Arial" w:eastAsia="SimSun" w:hAnsi="Arial" w:cs="Arial"/>
          <w:sz w:val="20"/>
          <w:szCs w:val="20"/>
          <w:lang w:val="ro-RO"/>
        </w:rPr>
      </w:pPr>
      <w:r w:rsidRPr="008A7850">
        <w:rPr>
          <w:rFonts w:ascii="Arial" w:eastAsia="SimSun" w:hAnsi="Arial" w:cs="Arial"/>
          <w:sz w:val="20"/>
          <w:szCs w:val="20"/>
          <w:lang w:val="ro-RO"/>
        </w:rPr>
        <w:t>Industria</w:t>
      </w:r>
      <w:r>
        <w:rPr>
          <w:rFonts w:ascii="Arial" w:eastAsia="SimSun" w:hAnsi="Arial" w:cs="Arial"/>
          <w:sz w:val="20"/>
          <w:szCs w:val="20"/>
          <w:lang w:val="ro-RO"/>
        </w:rPr>
        <w:t>............................................................................................</w:t>
      </w:r>
      <w:r w:rsidR="00AB5797">
        <w:rPr>
          <w:rFonts w:ascii="Arial" w:eastAsia="SimSun" w:hAnsi="Arial" w:cs="Arial"/>
          <w:sz w:val="20"/>
          <w:szCs w:val="20"/>
          <w:lang w:val="ro-RO"/>
        </w:rPr>
        <w:t>................................</w:t>
      </w:r>
      <w:r w:rsidR="00D7335A">
        <w:rPr>
          <w:rFonts w:ascii="Arial" w:eastAsia="SimSun" w:hAnsi="Arial" w:cs="Arial"/>
          <w:sz w:val="20"/>
          <w:szCs w:val="20"/>
          <w:lang w:val="ro-RO"/>
        </w:rPr>
        <w:t>28</w:t>
      </w:r>
      <w:r w:rsidRPr="008A7850">
        <w:rPr>
          <w:rFonts w:ascii="Arial" w:eastAsia="SimSun" w:hAnsi="Arial" w:cs="Arial"/>
          <w:sz w:val="20"/>
          <w:szCs w:val="20"/>
          <w:lang w:val="ro-RO"/>
        </w:rPr>
        <w:t xml:space="preserve"> </w:t>
      </w:r>
      <w:r w:rsidRPr="008A7850">
        <w:rPr>
          <w:rFonts w:ascii="Arial" w:eastAsia="SimSun" w:hAnsi="Arial" w:cs="Arial"/>
          <w:sz w:val="20"/>
          <w:szCs w:val="20"/>
          <w:lang w:val="ro-RO"/>
        </w:rPr>
        <w:tab/>
        <w:t xml:space="preserve"> </w:t>
      </w:r>
    </w:p>
    <w:p w:rsidR="00F2046E" w:rsidRPr="008A7850" w:rsidRDefault="00F2046E" w:rsidP="00F2046E">
      <w:pPr>
        <w:numPr>
          <w:ilvl w:val="3"/>
          <w:numId w:val="2"/>
        </w:numPr>
        <w:spacing w:after="0" w:line="240" w:lineRule="auto"/>
        <w:ind w:left="1418" w:hanging="638"/>
        <w:rPr>
          <w:rFonts w:ascii="Arial" w:eastAsia="SimSun" w:hAnsi="Arial" w:cs="Arial"/>
          <w:sz w:val="20"/>
          <w:szCs w:val="20"/>
          <w:lang w:val="ro-RO"/>
        </w:rPr>
      </w:pPr>
      <w:r w:rsidRPr="008A7850">
        <w:rPr>
          <w:rFonts w:ascii="Arial" w:eastAsia="SimSun" w:hAnsi="Arial" w:cs="Arial"/>
          <w:sz w:val="20"/>
          <w:szCs w:val="20"/>
          <w:lang w:val="ro-RO"/>
        </w:rPr>
        <w:t>Transportul</w:t>
      </w:r>
      <w:r>
        <w:rPr>
          <w:rFonts w:ascii="Arial" w:eastAsia="SimSun" w:hAnsi="Arial" w:cs="Arial"/>
          <w:sz w:val="20"/>
          <w:szCs w:val="20"/>
          <w:lang w:val="ro-RO"/>
        </w:rPr>
        <w:t>.......................................................................................................................3</w:t>
      </w:r>
      <w:r w:rsidR="00D7335A">
        <w:rPr>
          <w:rFonts w:ascii="Arial" w:eastAsia="SimSun" w:hAnsi="Arial" w:cs="Arial"/>
          <w:sz w:val="20"/>
          <w:szCs w:val="20"/>
          <w:lang w:val="ro-RO"/>
        </w:rPr>
        <w:t>1</w:t>
      </w:r>
      <w:r w:rsidRPr="008A7850">
        <w:rPr>
          <w:rFonts w:ascii="Arial" w:eastAsia="SimSun" w:hAnsi="Arial" w:cs="Arial"/>
          <w:sz w:val="20"/>
          <w:szCs w:val="20"/>
          <w:lang w:val="ro-RO"/>
        </w:rPr>
        <w:tab/>
      </w:r>
    </w:p>
    <w:p w:rsidR="00F2046E" w:rsidRPr="008A7850" w:rsidRDefault="00F2046E" w:rsidP="00F2046E">
      <w:pPr>
        <w:numPr>
          <w:ilvl w:val="3"/>
          <w:numId w:val="2"/>
        </w:numPr>
        <w:spacing w:after="0" w:line="240" w:lineRule="auto"/>
        <w:ind w:left="1418" w:hanging="638"/>
        <w:rPr>
          <w:rFonts w:ascii="Arial" w:eastAsia="SimSun" w:hAnsi="Arial" w:cs="Arial"/>
          <w:sz w:val="20"/>
          <w:szCs w:val="20"/>
          <w:lang w:val="ro-RO"/>
        </w:rPr>
      </w:pPr>
      <w:r w:rsidRPr="008A7850">
        <w:rPr>
          <w:rFonts w:ascii="Arial" w:eastAsia="SimSun" w:hAnsi="Arial" w:cs="Arial"/>
          <w:sz w:val="20"/>
          <w:szCs w:val="20"/>
          <w:lang w:val="ro-RO"/>
        </w:rPr>
        <w:t>Agricultura</w:t>
      </w:r>
      <w:r>
        <w:rPr>
          <w:rFonts w:ascii="Arial" w:eastAsia="SimSun" w:hAnsi="Arial" w:cs="Arial"/>
          <w:sz w:val="20"/>
          <w:szCs w:val="20"/>
          <w:lang w:val="ro-RO"/>
        </w:rPr>
        <w:t>........................................................................................................................3</w:t>
      </w:r>
      <w:r w:rsidR="00D7335A">
        <w:rPr>
          <w:rFonts w:ascii="Arial" w:eastAsia="SimSun" w:hAnsi="Arial" w:cs="Arial"/>
          <w:sz w:val="20"/>
          <w:szCs w:val="20"/>
          <w:lang w:val="ro-RO"/>
        </w:rPr>
        <w:t>2</w:t>
      </w:r>
      <w:r w:rsidRPr="008A7850">
        <w:rPr>
          <w:rFonts w:ascii="Arial" w:eastAsia="SimSun" w:hAnsi="Arial" w:cs="Arial"/>
          <w:sz w:val="20"/>
          <w:szCs w:val="20"/>
          <w:lang w:val="ro-RO"/>
        </w:rPr>
        <w:tab/>
      </w:r>
      <w:r w:rsidRPr="008A7850">
        <w:rPr>
          <w:rFonts w:ascii="Arial" w:eastAsia="SimSun" w:hAnsi="Arial" w:cs="Arial"/>
          <w:color w:val="FF0000"/>
          <w:sz w:val="20"/>
          <w:szCs w:val="20"/>
          <w:lang w:val="ro-RO"/>
        </w:rPr>
        <w:t xml:space="preserve"> </w:t>
      </w:r>
    </w:p>
    <w:p w:rsidR="00F2046E" w:rsidRPr="008A7850" w:rsidRDefault="00F2046E" w:rsidP="00F2046E">
      <w:pPr>
        <w:spacing w:after="0" w:line="240" w:lineRule="auto"/>
        <w:ind w:firstLine="360"/>
        <w:rPr>
          <w:rFonts w:ascii="Arial" w:eastAsia="SimSun" w:hAnsi="Arial" w:cs="Arial"/>
          <w:b/>
          <w:sz w:val="20"/>
          <w:szCs w:val="20"/>
          <w:lang w:val="ro-RO"/>
        </w:rPr>
      </w:pPr>
      <w:r w:rsidRPr="008A7850">
        <w:rPr>
          <w:rFonts w:ascii="Arial" w:eastAsia="SimSun" w:hAnsi="Arial" w:cs="Arial"/>
          <w:b/>
          <w:sz w:val="20"/>
          <w:szCs w:val="20"/>
          <w:lang w:val="ro-RO"/>
        </w:rPr>
        <w:t>I.3. Tendinţe şi prognoze privind poluarea aerului înconjurător</w:t>
      </w:r>
      <w:r>
        <w:rPr>
          <w:rFonts w:ascii="Arial" w:eastAsia="SimSun" w:hAnsi="Arial" w:cs="Arial"/>
          <w:b/>
          <w:sz w:val="20"/>
          <w:szCs w:val="20"/>
          <w:lang w:val="ro-RO"/>
        </w:rPr>
        <w:t>..................................................3</w:t>
      </w:r>
      <w:r w:rsidR="00D7335A">
        <w:rPr>
          <w:rFonts w:ascii="Arial" w:eastAsia="SimSun" w:hAnsi="Arial" w:cs="Arial"/>
          <w:b/>
          <w:sz w:val="20"/>
          <w:szCs w:val="20"/>
          <w:lang w:val="ro-RO"/>
        </w:rPr>
        <w:t>2</w:t>
      </w:r>
    </w:p>
    <w:p w:rsidR="00F2046E" w:rsidRPr="008A7850" w:rsidRDefault="00F2046E" w:rsidP="00F2046E">
      <w:pPr>
        <w:spacing w:after="0" w:line="240" w:lineRule="auto"/>
        <w:ind w:left="360" w:firstLine="270"/>
        <w:rPr>
          <w:rFonts w:ascii="Arial" w:eastAsia="SimSun" w:hAnsi="Arial" w:cs="Arial"/>
          <w:i/>
          <w:sz w:val="20"/>
          <w:szCs w:val="20"/>
          <w:lang w:val="ro-RO"/>
        </w:rPr>
      </w:pPr>
      <w:r w:rsidRPr="008A7850">
        <w:rPr>
          <w:rFonts w:ascii="Arial" w:eastAsia="SimSun" w:hAnsi="Arial" w:cs="Arial"/>
          <w:i/>
          <w:sz w:val="20"/>
          <w:szCs w:val="20"/>
          <w:lang w:val="ro-RO"/>
        </w:rPr>
        <w:t>I.3.1. Tendinţe privind emisiile principalilor poluanţi atmosferici</w:t>
      </w:r>
      <w:r>
        <w:rPr>
          <w:rFonts w:ascii="Arial" w:eastAsia="SimSun" w:hAnsi="Arial" w:cs="Arial"/>
          <w:i/>
          <w:sz w:val="20"/>
          <w:szCs w:val="20"/>
          <w:lang w:val="ro-RO"/>
        </w:rPr>
        <w:t>....................................................3</w:t>
      </w:r>
      <w:r w:rsidR="00D7335A">
        <w:rPr>
          <w:rFonts w:ascii="Arial" w:eastAsia="SimSun" w:hAnsi="Arial" w:cs="Arial"/>
          <w:i/>
          <w:sz w:val="20"/>
          <w:szCs w:val="20"/>
          <w:lang w:val="ro-RO"/>
        </w:rPr>
        <w:t>2</w:t>
      </w:r>
    </w:p>
    <w:p w:rsidR="00F2046E" w:rsidRPr="008A7850" w:rsidRDefault="00F2046E" w:rsidP="00F2046E">
      <w:pPr>
        <w:spacing w:after="0" w:line="240" w:lineRule="auto"/>
        <w:ind w:left="113" w:firstLine="247"/>
        <w:rPr>
          <w:rFonts w:ascii="Arial" w:eastAsia="SimSun" w:hAnsi="Arial" w:cs="Arial"/>
          <w:b/>
          <w:sz w:val="20"/>
          <w:szCs w:val="20"/>
          <w:lang w:val="ro-RO"/>
        </w:rPr>
      </w:pPr>
      <w:r w:rsidRPr="008A7850">
        <w:rPr>
          <w:rFonts w:ascii="Arial" w:eastAsia="SimSun" w:hAnsi="Arial" w:cs="Arial"/>
          <w:b/>
          <w:sz w:val="20"/>
          <w:szCs w:val="20"/>
          <w:lang w:val="ro-RO"/>
        </w:rPr>
        <w:t>I.4. Politici, acţiuni şi măsuri pentru îmbunătăţirea calităţii aerului înconjurător</w:t>
      </w:r>
      <w:r>
        <w:rPr>
          <w:rFonts w:ascii="Arial" w:eastAsia="SimSun" w:hAnsi="Arial" w:cs="Arial"/>
          <w:b/>
          <w:sz w:val="20"/>
          <w:szCs w:val="20"/>
          <w:lang w:val="ro-RO"/>
        </w:rPr>
        <w:t>.......................3</w:t>
      </w:r>
      <w:r w:rsidR="00D7335A">
        <w:rPr>
          <w:rFonts w:ascii="Arial" w:eastAsia="SimSun" w:hAnsi="Arial" w:cs="Arial"/>
          <w:b/>
          <w:sz w:val="20"/>
          <w:szCs w:val="20"/>
          <w:lang w:val="ro-RO"/>
        </w:rPr>
        <w:t>2</w:t>
      </w:r>
      <w:r w:rsidRPr="008A7850">
        <w:rPr>
          <w:rFonts w:ascii="Arial" w:eastAsia="SimSun" w:hAnsi="Arial" w:cs="Arial"/>
          <w:b/>
          <w:sz w:val="20"/>
          <w:szCs w:val="20"/>
          <w:lang w:val="ro-RO"/>
        </w:rPr>
        <w:tab/>
        <w:t xml:space="preserve"> </w:t>
      </w:r>
    </w:p>
    <w:p w:rsidR="00F2046E" w:rsidRDefault="00F2046E" w:rsidP="00F2046E">
      <w:pPr>
        <w:spacing w:after="0" w:line="240" w:lineRule="auto"/>
        <w:ind w:left="720"/>
        <w:rPr>
          <w:rFonts w:ascii="Arial" w:eastAsia="SimSun" w:hAnsi="Arial" w:cs="Arial"/>
          <w:b/>
          <w:color w:val="FF0000"/>
          <w:sz w:val="20"/>
          <w:szCs w:val="20"/>
          <w:lang w:val="ro-RO"/>
        </w:rPr>
      </w:pPr>
    </w:p>
    <w:p w:rsidR="00F2046E" w:rsidRPr="008A7850" w:rsidRDefault="00F2046E" w:rsidP="00F2046E">
      <w:pPr>
        <w:numPr>
          <w:ilvl w:val="0"/>
          <w:numId w:val="2"/>
        </w:numPr>
        <w:spacing w:after="0" w:line="360" w:lineRule="auto"/>
        <w:rPr>
          <w:rFonts w:ascii="Arial" w:eastAsia="SimSun" w:hAnsi="Arial" w:cs="Arial"/>
          <w:b/>
          <w:sz w:val="20"/>
          <w:szCs w:val="20"/>
          <w:lang w:val="ro-RO"/>
        </w:rPr>
      </w:pPr>
      <w:r w:rsidRPr="008A7850">
        <w:rPr>
          <w:rFonts w:ascii="Arial" w:eastAsia="SimSun" w:hAnsi="Arial" w:cs="Arial"/>
          <w:b/>
          <w:sz w:val="20"/>
          <w:szCs w:val="20"/>
          <w:lang w:val="ro-RO"/>
        </w:rPr>
        <w:t>APA</w:t>
      </w:r>
      <w:r>
        <w:rPr>
          <w:rFonts w:ascii="Arial" w:eastAsia="SimSun" w:hAnsi="Arial" w:cs="Arial"/>
          <w:b/>
          <w:sz w:val="20"/>
          <w:szCs w:val="20"/>
          <w:lang w:val="ro-RO"/>
        </w:rPr>
        <w:t>..............................................................................................................................................3</w:t>
      </w:r>
      <w:r w:rsidR="00D7335A">
        <w:rPr>
          <w:rFonts w:ascii="Arial" w:eastAsia="SimSun" w:hAnsi="Arial" w:cs="Arial"/>
          <w:b/>
          <w:sz w:val="20"/>
          <w:szCs w:val="20"/>
          <w:lang w:val="ro-RO"/>
        </w:rPr>
        <w:t>4</w:t>
      </w:r>
      <w:r w:rsidRPr="008A7850">
        <w:rPr>
          <w:rFonts w:ascii="Arial" w:eastAsia="SimSun" w:hAnsi="Arial" w:cs="Arial"/>
          <w:b/>
          <w:sz w:val="20"/>
          <w:szCs w:val="20"/>
          <w:lang w:val="ro-RO"/>
        </w:rPr>
        <w:t xml:space="preserve"> </w:t>
      </w:r>
      <w:r w:rsidRPr="008A7850">
        <w:rPr>
          <w:rFonts w:ascii="Arial" w:eastAsia="SimSun" w:hAnsi="Arial" w:cs="Arial"/>
          <w:b/>
          <w:sz w:val="20"/>
          <w:szCs w:val="20"/>
          <w:lang w:val="ro-RO"/>
        </w:rPr>
        <w:tab/>
        <w:t xml:space="preserve"> </w:t>
      </w:r>
    </w:p>
    <w:p w:rsidR="00F2046E" w:rsidRPr="008A7850" w:rsidRDefault="00F2046E" w:rsidP="00F2046E">
      <w:pPr>
        <w:numPr>
          <w:ilvl w:val="1"/>
          <w:numId w:val="2"/>
        </w:numPr>
        <w:spacing w:after="0" w:line="240" w:lineRule="auto"/>
        <w:ind w:left="851" w:hanging="482"/>
        <w:rPr>
          <w:rFonts w:ascii="Arial" w:eastAsia="SimSun" w:hAnsi="Arial" w:cs="Arial"/>
          <w:b/>
          <w:sz w:val="20"/>
          <w:szCs w:val="20"/>
          <w:lang w:val="ro-RO"/>
        </w:rPr>
      </w:pPr>
      <w:r w:rsidRPr="008A7850">
        <w:rPr>
          <w:rFonts w:ascii="Arial" w:eastAsia="SimSun" w:hAnsi="Arial" w:cs="Arial"/>
          <w:b/>
          <w:sz w:val="20"/>
          <w:szCs w:val="20"/>
          <w:lang w:val="ro-RO"/>
        </w:rPr>
        <w:t>Resursele de apă, Cantităţi şi debite</w:t>
      </w:r>
      <w:r>
        <w:rPr>
          <w:rFonts w:ascii="Arial" w:eastAsia="SimSun" w:hAnsi="Arial" w:cs="Arial"/>
          <w:b/>
          <w:sz w:val="20"/>
          <w:szCs w:val="20"/>
          <w:lang w:val="ro-RO"/>
        </w:rPr>
        <w:t>.......................................................................................3</w:t>
      </w:r>
      <w:r w:rsidR="00D7335A">
        <w:rPr>
          <w:rFonts w:ascii="Arial" w:eastAsia="SimSun" w:hAnsi="Arial" w:cs="Arial"/>
          <w:b/>
          <w:sz w:val="20"/>
          <w:szCs w:val="20"/>
          <w:lang w:val="ro-RO"/>
        </w:rPr>
        <w:t>4</w:t>
      </w:r>
    </w:p>
    <w:p w:rsidR="00F2046E" w:rsidRPr="008A7850" w:rsidRDefault="00F2046E" w:rsidP="00F2046E">
      <w:pPr>
        <w:numPr>
          <w:ilvl w:val="2"/>
          <w:numId w:val="2"/>
        </w:numPr>
        <w:spacing w:after="0" w:line="240" w:lineRule="auto"/>
        <w:ind w:left="1134" w:hanging="538"/>
        <w:rPr>
          <w:rFonts w:ascii="Arial" w:eastAsia="SimSun" w:hAnsi="Arial" w:cs="Arial"/>
          <w:i/>
          <w:sz w:val="20"/>
          <w:szCs w:val="20"/>
          <w:lang w:val="ro-RO"/>
        </w:rPr>
      </w:pPr>
      <w:r w:rsidRPr="008A7850">
        <w:rPr>
          <w:rFonts w:ascii="Arial" w:eastAsia="SimSun" w:hAnsi="Arial" w:cs="Arial"/>
          <w:i/>
          <w:sz w:val="20"/>
          <w:szCs w:val="20"/>
          <w:lang w:val="ro-RO"/>
        </w:rPr>
        <w:t xml:space="preserve"> Stare, presiuni şi consecinţe</w:t>
      </w:r>
      <w:r>
        <w:rPr>
          <w:rFonts w:ascii="Arial" w:eastAsia="SimSun" w:hAnsi="Arial" w:cs="Arial"/>
          <w:i/>
          <w:sz w:val="20"/>
          <w:szCs w:val="20"/>
          <w:lang w:val="ro-RO"/>
        </w:rPr>
        <w:t>.................................................................................................3</w:t>
      </w:r>
      <w:r w:rsidR="00D7335A">
        <w:rPr>
          <w:rFonts w:ascii="Arial" w:eastAsia="SimSun" w:hAnsi="Arial" w:cs="Arial"/>
          <w:i/>
          <w:sz w:val="20"/>
          <w:szCs w:val="20"/>
          <w:lang w:val="ro-RO"/>
        </w:rPr>
        <w:t>4</w:t>
      </w:r>
      <w:r w:rsidRPr="008A7850">
        <w:rPr>
          <w:rFonts w:ascii="Arial" w:eastAsia="SimSun" w:hAnsi="Arial" w:cs="Arial"/>
          <w:i/>
          <w:sz w:val="20"/>
          <w:szCs w:val="20"/>
          <w:lang w:val="ro-RO"/>
        </w:rPr>
        <w:t xml:space="preserve"> </w:t>
      </w:r>
      <w:r w:rsidRPr="008A7850">
        <w:rPr>
          <w:rFonts w:ascii="Arial" w:eastAsia="SimSun" w:hAnsi="Arial" w:cs="Arial"/>
          <w:i/>
          <w:sz w:val="20"/>
          <w:szCs w:val="20"/>
          <w:lang w:val="ro-RO"/>
        </w:rPr>
        <w:tab/>
        <w:t xml:space="preserve">  </w:t>
      </w:r>
    </w:p>
    <w:p w:rsidR="00F2046E" w:rsidRPr="008A7850" w:rsidRDefault="00F2046E" w:rsidP="00F2046E">
      <w:pPr>
        <w:numPr>
          <w:ilvl w:val="3"/>
          <w:numId w:val="2"/>
        </w:numPr>
        <w:spacing w:after="0" w:line="240" w:lineRule="auto"/>
        <w:ind w:left="1498" w:hanging="718"/>
        <w:rPr>
          <w:rFonts w:ascii="Arial" w:eastAsia="SimSun" w:hAnsi="Arial" w:cs="Arial"/>
          <w:sz w:val="20"/>
          <w:szCs w:val="20"/>
          <w:lang w:val="ro-RO"/>
        </w:rPr>
      </w:pPr>
      <w:r w:rsidRPr="008A7850">
        <w:rPr>
          <w:rFonts w:ascii="Arial" w:eastAsia="SimSun" w:hAnsi="Arial" w:cs="Arial"/>
          <w:sz w:val="20"/>
          <w:szCs w:val="20"/>
          <w:lang w:val="ro-RO"/>
        </w:rPr>
        <w:t>Resurse de apă potenţiale şi tehnic utilizabile</w:t>
      </w:r>
      <w:r>
        <w:rPr>
          <w:rFonts w:ascii="Arial" w:eastAsia="SimSun" w:hAnsi="Arial" w:cs="Arial"/>
          <w:sz w:val="20"/>
          <w:szCs w:val="20"/>
          <w:lang w:val="ro-RO"/>
        </w:rPr>
        <w:t>................................................................</w:t>
      </w:r>
      <w:r w:rsidRPr="008A7850">
        <w:rPr>
          <w:rFonts w:ascii="Arial" w:eastAsia="SimSun" w:hAnsi="Arial" w:cs="Arial"/>
          <w:sz w:val="20"/>
          <w:szCs w:val="20"/>
          <w:lang w:val="ro-RO"/>
        </w:rPr>
        <w:t xml:space="preserve"> </w:t>
      </w:r>
      <w:r>
        <w:rPr>
          <w:rFonts w:ascii="Arial" w:eastAsia="SimSun" w:hAnsi="Arial" w:cs="Arial"/>
          <w:sz w:val="20"/>
          <w:szCs w:val="20"/>
          <w:lang w:val="ro-RO"/>
        </w:rPr>
        <w:t>3</w:t>
      </w:r>
      <w:r w:rsidR="00D7335A">
        <w:rPr>
          <w:rFonts w:ascii="Arial" w:eastAsia="SimSun" w:hAnsi="Arial" w:cs="Arial"/>
          <w:sz w:val="20"/>
          <w:szCs w:val="20"/>
          <w:lang w:val="ro-RO"/>
        </w:rPr>
        <w:t>4</w:t>
      </w:r>
      <w:r w:rsidRPr="008A7850">
        <w:rPr>
          <w:rFonts w:ascii="Arial" w:eastAsia="SimSun" w:hAnsi="Arial" w:cs="Arial"/>
          <w:sz w:val="20"/>
          <w:szCs w:val="20"/>
          <w:lang w:val="ro-RO"/>
        </w:rPr>
        <w:t xml:space="preserve"> </w:t>
      </w:r>
    </w:p>
    <w:p w:rsidR="00F2046E" w:rsidRPr="008A7850" w:rsidRDefault="00F2046E" w:rsidP="00F2046E">
      <w:pPr>
        <w:numPr>
          <w:ilvl w:val="3"/>
          <w:numId w:val="2"/>
        </w:numPr>
        <w:spacing w:after="0" w:line="240" w:lineRule="auto"/>
        <w:ind w:left="1498" w:hanging="718"/>
        <w:rPr>
          <w:rFonts w:ascii="Arial" w:eastAsia="SimSun" w:hAnsi="Arial" w:cs="Arial"/>
          <w:sz w:val="20"/>
          <w:szCs w:val="20"/>
          <w:lang w:val="ro-RO"/>
        </w:rPr>
      </w:pPr>
      <w:r w:rsidRPr="008A7850">
        <w:rPr>
          <w:rFonts w:ascii="Arial" w:eastAsia="SimSun" w:hAnsi="Arial" w:cs="Arial"/>
          <w:sz w:val="20"/>
          <w:szCs w:val="20"/>
          <w:lang w:val="ro-RO"/>
        </w:rPr>
        <w:t>Utilizarea resurselor de apă</w:t>
      </w:r>
      <w:r>
        <w:rPr>
          <w:rFonts w:ascii="Arial" w:eastAsia="SimSun" w:hAnsi="Arial" w:cs="Arial"/>
          <w:sz w:val="20"/>
          <w:szCs w:val="20"/>
          <w:lang w:val="ro-RO"/>
        </w:rPr>
        <w:t>.............................................................................................</w:t>
      </w:r>
      <w:r w:rsidR="00D7335A">
        <w:rPr>
          <w:rFonts w:ascii="Arial" w:eastAsia="SimSun" w:hAnsi="Arial" w:cs="Arial"/>
          <w:sz w:val="20"/>
          <w:szCs w:val="20"/>
          <w:lang w:val="ro-RO"/>
        </w:rPr>
        <w:t>36</w:t>
      </w:r>
      <w:r w:rsidRPr="008A7850">
        <w:rPr>
          <w:rFonts w:ascii="Arial" w:eastAsia="SimSun" w:hAnsi="Arial" w:cs="Arial"/>
          <w:sz w:val="20"/>
          <w:szCs w:val="20"/>
          <w:lang w:val="ro-RO"/>
        </w:rPr>
        <w:t xml:space="preserve"> </w:t>
      </w:r>
    </w:p>
    <w:p w:rsidR="00F2046E" w:rsidRPr="008A7850" w:rsidRDefault="00F2046E" w:rsidP="00F2046E">
      <w:pPr>
        <w:numPr>
          <w:ilvl w:val="3"/>
          <w:numId w:val="2"/>
        </w:numPr>
        <w:spacing w:after="0" w:line="240" w:lineRule="auto"/>
        <w:ind w:left="1498" w:hanging="718"/>
        <w:rPr>
          <w:rFonts w:ascii="Arial" w:eastAsia="SimSun" w:hAnsi="Arial" w:cs="Arial"/>
          <w:sz w:val="20"/>
          <w:szCs w:val="20"/>
          <w:lang w:val="ro-RO"/>
        </w:rPr>
      </w:pPr>
      <w:r w:rsidRPr="008A7850">
        <w:rPr>
          <w:rFonts w:ascii="Arial" w:eastAsia="SimSun" w:hAnsi="Arial" w:cs="Arial"/>
          <w:sz w:val="20"/>
          <w:szCs w:val="20"/>
          <w:lang w:val="ro-RO"/>
        </w:rPr>
        <w:t>Evenimente extreme produse de debitele cursurilor de apă</w:t>
      </w:r>
      <w:r>
        <w:rPr>
          <w:rFonts w:ascii="Arial" w:eastAsia="SimSun" w:hAnsi="Arial" w:cs="Arial"/>
          <w:sz w:val="20"/>
          <w:szCs w:val="20"/>
          <w:lang w:val="ro-RO"/>
        </w:rPr>
        <w:t>............................................</w:t>
      </w:r>
      <w:r w:rsidR="00D7335A">
        <w:rPr>
          <w:rFonts w:ascii="Arial" w:eastAsia="SimSun" w:hAnsi="Arial" w:cs="Arial"/>
          <w:sz w:val="20"/>
          <w:szCs w:val="20"/>
          <w:lang w:val="ro-RO"/>
        </w:rPr>
        <w:t>37</w:t>
      </w:r>
      <w:r w:rsidRPr="008A7850">
        <w:rPr>
          <w:rFonts w:ascii="Arial" w:eastAsia="SimSun" w:hAnsi="Arial" w:cs="Arial"/>
          <w:sz w:val="20"/>
          <w:szCs w:val="20"/>
          <w:lang w:val="ro-RO"/>
        </w:rPr>
        <w:t xml:space="preserve"> </w:t>
      </w:r>
    </w:p>
    <w:p w:rsidR="00F2046E" w:rsidRPr="008A7850" w:rsidRDefault="00F2046E" w:rsidP="00F2046E">
      <w:pPr>
        <w:numPr>
          <w:ilvl w:val="3"/>
          <w:numId w:val="2"/>
        </w:numPr>
        <w:spacing w:after="0" w:line="240" w:lineRule="auto"/>
        <w:ind w:left="1498" w:hanging="718"/>
        <w:rPr>
          <w:rFonts w:ascii="Arial" w:eastAsia="SimSun" w:hAnsi="Arial" w:cs="Arial"/>
          <w:sz w:val="20"/>
          <w:szCs w:val="20"/>
          <w:lang w:val="ro-RO"/>
        </w:rPr>
      </w:pPr>
      <w:r w:rsidRPr="008A7850">
        <w:rPr>
          <w:rFonts w:ascii="Arial" w:eastAsia="SimSun" w:hAnsi="Arial" w:cs="Arial"/>
          <w:sz w:val="20"/>
          <w:szCs w:val="20"/>
          <w:lang w:val="ro-RO"/>
        </w:rPr>
        <w:t>Schimbări hidromorfologice ale cursurilor de apă</w:t>
      </w:r>
      <w:r>
        <w:rPr>
          <w:rFonts w:ascii="Arial" w:eastAsia="SimSun" w:hAnsi="Arial" w:cs="Arial"/>
          <w:sz w:val="20"/>
          <w:szCs w:val="20"/>
          <w:lang w:val="ro-RO"/>
        </w:rPr>
        <w:t>............................................................</w:t>
      </w:r>
      <w:r w:rsidR="00D7335A">
        <w:rPr>
          <w:rFonts w:ascii="Arial" w:eastAsia="SimSun" w:hAnsi="Arial" w:cs="Arial"/>
          <w:sz w:val="20"/>
          <w:szCs w:val="20"/>
          <w:lang w:val="ro-RO"/>
        </w:rPr>
        <w:t>39</w:t>
      </w:r>
      <w:r w:rsidRPr="008A7850">
        <w:rPr>
          <w:rFonts w:ascii="Arial" w:eastAsia="SimSun" w:hAnsi="Arial" w:cs="Arial"/>
          <w:sz w:val="20"/>
          <w:szCs w:val="20"/>
          <w:lang w:val="ro-RO"/>
        </w:rPr>
        <w:t xml:space="preserve"> </w:t>
      </w:r>
    </w:p>
    <w:p w:rsidR="00F2046E" w:rsidRPr="008A7850" w:rsidRDefault="00F2046E" w:rsidP="00F2046E">
      <w:pPr>
        <w:numPr>
          <w:ilvl w:val="2"/>
          <w:numId w:val="2"/>
        </w:numPr>
        <w:tabs>
          <w:tab w:val="left" w:pos="1276"/>
        </w:tabs>
        <w:spacing w:after="0" w:line="240" w:lineRule="auto"/>
        <w:ind w:left="993"/>
        <w:rPr>
          <w:rFonts w:ascii="Arial" w:eastAsia="SimSun" w:hAnsi="Arial" w:cs="Arial"/>
          <w:i/>
          <w:sz w:val="20"/>
          <w:szCs w:val="20"/>
          <w:lang w:val="ro-RO"/>
        </w:rPr>
      </w:pPr>
      <w:r w:rsidRPr="008A7850">
        <w:rPr>
          <w:rFonts w:ascii="Arial" w:eastAsia="SimSun" w:hAnsi="Arial" w:cs="Arial"/>
          <w:i/>
          <w:sz w:val="20"/>
          <w:szCs w:val="20"/>
          <w:lang w:val="ro-RO"/>
        </w:rPr>
        <w:t xml:space="preserve"> Prognoze</w:t>
      </w:r>
      <w:r>
        <w:rPr>
          <w:rFonts w:ascii="Arial" w:eastAsia="SimSun" w:hAnsi="Arial" w:cs="Arial"/>
          <w:i/>
          <w:sz w:val="20"/>
          <w:szCs w:val="20"/>
          <w:lang w:val="ro-RO"/>
        </w:rPr>
        <w:t>.............................................................................................................................</w:t>
      </w:r>
      <w:r w:rsidR="00D7335A">
        <w:rPr>
          <w:rFonts w:ascii="Arial" w:eastAsia="SimSun" w:hAnsi="Arial" w:cs="Arial"/>
          <w:i/>
          <w:sz w:val="20"/>
          <w:szCs w:val="20"/>
          <w:lang w:val="ro-RO"/>
        </w:rPr>
        <w:t>39</w:t>
      </w:r>
      <w:r>
        <w:rPr>
          <w:rFonts w:ascii="Arial" w:eastAsia="SimSun" w:hAnsi="Arial" w:cs="Arial"/>
          <w:i/>
          <w:sz w:val="20"/>
          <w:szCs w:val="20"/>
          <w:lang w:val="ro-RO"/>
        </w:rPr>
        <w:t xml:space="preserve"> </w:t>
      </w:r>
    </w:p>
    <w:p w:rsidR="00F2046E" w:rsidRPr="008A7850" w:rsidRDefault="00F2046E" w:rsidP="00F2046E">
      <w:pPr>
        <w:numPr>
          <w:ilvl w:val="3"/>
          <w:numId w:val="2"/>
        </w:numPr>
        <w:spacing w:after="0" w:line="240" w:lineRule="auto"/>
        <w:ind w:left="1498" w:hanging="718"/>
        <w:rPr>
          <w:rFonts w:ascii="Arial" w:eastAsia="SimSun" w:hAnsi="Arial" w:cs="Arial"/>
          <w:sz w:val="20"/>
          <w:szCs w:val="20"/>
          <w:lang w:val="ro-RO"/>
        </w:rPr>
      </w:pPr>
      <w:r w:rsidRPr="008A7850">
        <w:rPr>
          <w:rFonts w:ascii="Arial" w:eastAsia="SimSun" w:hAnsi="Arial" w:cs="Arial"/>
          <w:sz w:val="20"/>
          <w:szCs w:val="20"/>
          <w:lang w:val="ro-RO"/>
        </w:rPr>
        <w:t>Disponibilitatea, cererea şi deficitul de apă</w:t>
      </w:r>
      <w:r>
        <w:rPr>
          <w:rFonts w:ascii="Arial" w:eastAsia="SimSun" w:hAnsi="Arial" w:cs="Arial"/>
          <w:sz w:val="20"/>
          <w:szCs w:val="20"/>
          <w:lang w:val="ro-RO"/>
        </w:rPr>
        <w:t>......................................................................</w:t>
      </w:r>
      <w:r w:rsidR="00D7335A">
        <w:rPr>
          <w:rFonts w:ascii="Arial" w:eastAsia="SimSun" w:hAnsi="Arial" w:cs="Arial"/>
          <w:sz w:val="20"/>
          <w:szCs w:val="20"/>
          <w:lang w:val="ro-RO"/>
        </w:rPr>
        <w:t>39</w:t>
      </w:r>
      <w:r>
        <w:rPr>
          <w:rFonts w:ascii="Arial" w:eastAsia="SimSun" w:hAnsi="Arial" w:cs="Arial"/>
          <w:sz w:val="20"/>
          <w:szCs w:val="20"/>
          <w:lang w:val="ro-RO"/>
        </w:rPr>
        <w:t xml:space="preserve"> </w:t>
      </w:r>
    </w:p>
    <w:p w:rsidR="00F2046E" w:rsidRPr="008A7850" w:rsidRDefault="00F2046E" w:rsidP="00F2046E">
      <w:pPr>
        <w:numPr>
          <w:ilvl w:val="3"/>
          <w:numId w:val="2"/>
        </w:numPr>
        <w:spacing w:after="0" w:line="240" w:lineRule="auto"/>
        <w:ind w:left="1498" w:hanging="718"/>
        <w:rPr>
          <w:rFonts w:ascii="Arial" w:eastAsia="SimSun" w:hAnsi="Arial" w:cs="Arial"/>
          <w:sz w:val="20"/>
          <w:szCs w:val="20"/>
          <w:lang w:val="ro-RO"/>
        </w:rPr>
      </w:pPr>
      <w:r w:rsidRPr="008A7850">
        <w:rPr>
          <w:rFonts w:ascii="Arial" w:eastAsia="SimSun" w:hAnsi="Arial" w:cs="Arial"/>
          <w:sz w:val="20"/>
          <w:szCs w:val="20"/>
          <w:lang w:val="ro-RO"/>
        </w:rPr>
        <w:t>Riscurile şi presiunile inundaţiilor</w:t>
      </w:r>
      <w:r>
        <w:rPr>
          <w:rFonts w:ascii="Arial" w:eastAsia="SimSun" w:hAnsi="Arial" w:cs="Arial"/>
          <w:sz w:val="20"/>
          <w:szCs w:val="20"/>
          <w:lang w:val="ro-RO"/>
        </w:rPr>
        <w:t>.....................................................................................4</w:t>
      </w:r>
      <w:r w:rsidR="00D7335A">
        <w:rPr>
          <w:rFonts w:ascii="Arial" w:eastAsia="SimSun" w:hAnsi="Arial" w:cs="Arial"/>
          <w:sz w:val="20"/>
          <w:szCs w:val="20"/>
          <w:lang w:val="ro-RO"/>
        </w:rPr>
        <w:t>0</w:t>
      </w:r>
      <w:r>
        <w:rPr>
          <w:rFonts w:ascii="Arial" w:eastAsia="SimSun" w:hAnsi="Arial" w:cs="Arial"/>
          <w:sz w:val="20"/>
          <w:szCs w:val="20"/>
          <w:lang w:val="ro-RO"/>
        </w:rPr>
        <w:t xml:space="preserve"> </w:t>
      </w:r>
    </w:p>
    <w:p w:rsidR="00F2046E" w:rsidRPr="008A7850" w:rsidRDefault="00F2046E" w:rsidP="00F2046E">
      <w:pPr>
        <w:numPr>
          <w:ilvl w:val="2"/>
          <w:numId w:val="2"/>
        </w:numPr>
        <w:tabs>
          <w:tab w:val="left" w:pos="1276"/>
        </w:tabs>
        <w:spacing w:after="0" w:line="240" w:lineRule="auto"/>
        <w:ind w:left="993"/>
        <w:rPr>
          <w:rFonts w:ascii="Arial" w:eastAsia="SimSun" w:hAnsi="Arial" w:cs="Arial"/>
          <w:i/>
          <w:sz w:val="20"/>
          <w:szCs w:val="20"/>
          <w:lang w:val="ro-RO"/>
        </w:rPr>
      </w:pPr>
      <w:r w:rsidRPr="008A7850">
        <w:rPr>
          <w:rFonts w:ascii="Arial" w:eastAsia="SimSun" w:hAnsi="Arial" w:cs="Arial"/>
          <w:i/>
          <w:sz w:val="20"/>
          <w:szCs w:val="20"/>
          <w:lang w:val="ro-RO"/>
        </w:rPr>
        <w:t>Utilizarea şi gestionarea eficientă a resurselor de apă</w:t>
      </w:r>
      <w:r>
        <w:rPr>
          <w:rFonts w:ascii="Arial" w:eastAsia="SimSun" w:hAnsi="Arial" w:cs="Arial"/>
          <w:i/>
          <w:sz w:val="20"/>
          <w:szCs w:val="20"/>
          <w:lang w:val="ro-RO"/>
        </w:rPr>
        <w:t>........................................................5</w:t>
      </w:r>
      <w:r w:rsidR="00CA2D13">
        <w:rPr>
          <w:rFonts w:ascii="Arial" w:eastAsia="SimSun" w:hAnsi="Arial" w:cs="Arial"/>
          <w:i/>
          <w:sz w:val="20"/>
          <w:szCs w:val="20"/>
          <w:lang w:val="ro-RO"/>
        </w:rPr>
        <w:t>0</w:t>
      </w:r>
    </w:p>
    <w:p w:rsidR="00F2046E" w:rsidRPr="008A7850" w:rsidRDefault="00F2046E" w:rsidP="00F2046E">
      <w:pPr>
        <w:numPr>
          <w:ilvl w:val="1"/>
          <w:numId w:val="2"/>
        </w:numPr>
        <w:spacing w:after="0" w:line="240" w:lineRule="auto"/>
        <w:ind w:left="851" w:hanging="482"/>
        <w:rPr>
          <w:rFonts w:ascii="Arial" w:eastAsia="SimSun" w:hAnsi="Arial" w:cs="Arial"/>
          <w:b/>
          <w:sz w:val="20"/>
          <w:szCs w:val="20"/>
          <w:lang w:val="ro-RO"/>
        </w:rPr>
      </w:pPr>
      <w:r w:rsidRPr="008A7850">
        <w:rPr>
          <w:rFonts w:ascii="Arial" w:eastAsia="SimSun" w:hAnsi="Arial" w:cs="Arial"/>
          <w:b/>
          <w:sz w:val="20"/>
          <w:szCs w:val="20"/>
          <w:lang w:val="ro-RO"/>
        </w:rPr>
        <w:t>Calitatea apei</w:t>
      </w:r>
      <w:r>
        <w:rPr>
          <w:rFonts w:ascii="Arial" w:eastAsia="SimSun" w:hAnsi="Arial" w:cs="Arial"/>
          <w:b/>
          <w:sz w:val="20"/>
          <w:szCs w:val="20"/>
          <w:lang w:val="ro-RO"/>
        </w:rPr>
        <w:t>............................................................................................................................</w:t>
      </w:r>
      <w:r w:rsidR="004163B5">
        <w:rPr>
          <w:rFonts w:ascii="Arial" w:eastAsia="SimSun" w:hAnsi="Arial" w:cs="Arial"/>
          <w:b/>
          <w:sz w:val="20"/>
          <w:szCs w:val="20"/>
          <w:lang w:val="ro-RO"/>
        </w:rPr>
        <w:t>.</w:t>
      </w:r>
      <w:r>
        <w:rPr>
          <w:rFonts w:ascii="Arial" w:eastAsia="SimSun" w:hAnsi="Arial" w:cs="Arial"/>
          <w:b/>
          <w:sz w:val="20"/>
          <w:szCs w:val="20"/>
          <w:lang w:val="ro-RO"/>
        </w:rPr>
        <w:t>..5</w:t>
      </w:r>
      <w:r w:rsidR="00CA2D13">
        <w:rPr>
          <w:rFonts w:ascii="Arial" w:eastAsia="SimSun" w:hAnsi="Arial" w:cs="Arial"/>
          <w:b/>
          <w:sz w:val="20"/>
          <w:szCs w:val="20"/>
          <w:lang w:val="ro-RO"/>
        </w:rPr>
        <w:t>1</w:t>
      </w:r>
      <w:r>
        <w:rPr>
          <w:rFonts w:ascii="Arial" w:eastAsia="SimSun" w:hAnsi="Arial" w:cs="Arial"/>
          <w:b/>
          <w:sz w:val="20"/>
          <w:szCs w:val="20"/>
          <w:lang w:val="ro-RO"/>
        </w:rPr>
        <w:t xml:space="preserve"> </w:t>
      </w:r>
    </w:p>
    <w:p w:rsidR="00F2046E" w:rsidRPr="008A7850" w:rsidRDefault="00F2046E" w:rsidP="00F2046E">
      <w:pPr>
        <w:numPr>
          <w:ilvl w:val="2"/>
          <w:numId w:val="2"/>
        </w:numPr>
        <w:tabs>
          <w:tab w:val="left" w:pos="1276"/>
        </w:tabs>
        <w:spacing w:after="0" w:line="240" w:lineRule="auto"/>
        <w:ind w:left="993"/>
        <w:rPr>
          <w:rFonts w:ascii="Arial" w:eastAsia="SimSun" w:hAnsi="Arial" w:cs="Arial"/>
          <w:i/>
          <w:sz w:val="20"/>
          <w:szCs w:val="20"/>
          <w:lang w:val="ro-RO"/>
        </w:rPr>
      </w:pPr>
      <w:r w:rsidRPr="008A7850">
        <w:rPr>
          <w:rFonts w:ascii="Arial" w:eastAsia="SimSun" w:hAnsi="Arial" w:cs="Arial"/>
          <w:i/>
          <w:sz w:val="20"/>
          <w:szCs w:val="20"/>
          <w:lang w:val="ro-RO"/>
        </w:rPr>
        <w:t>Calitatea apei: stare şi consecinţe</w:t>
      </w:r>
      <w:r>
        <w:rPr>
          <w:rFonts w:ascii="Arial" w:eastAsia="SimSun" w:hAnsi="Arial" w:cs="Arial"/>
          <w:i/>
          <w:sz w:val="20"/>
          <w:szCs w:val="20"/>
          <w:lang w:val="ro-RO"/>
        </w:rPr>
        <w:t>......................................................................................</w:t>
      </w:r>
      <w:r w:rsidR="004163B5">
        <w:rPr>
          <w:rFonts w:ascii="Arial" w:eastAsia="SimSun" w:hAnsi="Arial" w:cs="Arial"/>
          <w:i/>
          <w:sz w:val="20"/>
          <w:szCs w:val="20"/>
          <w:lang w:val="ro-RO"/>
        </w:rPr>
        <w:t>.</w:t>
      </w:r>
      <w:r>
        <w:rPr>
          <w:rFonts w:ascii="Arial" w:eastAsia="SimSun" w:hAnsi="Arial" w:cs="Arial"/>
          <w:i/>
          <w:sz w:val="20"/>
          <w:szCs w:val="20"/>
          <w:lang w:val="ro-RO"/>
        </w:rPr>
        <w:t>.5</w:t>
      </w:r>
      <w:r w:rsidR="00CA2D13">
        <w:rPr>
          <w:rFonts w:ascii="Arial" w:eastAsia="SimSun" w:hAnsi="Arial" w:cs="Arial"/>
          <w:i/>
          <w:sz w:val="20"/>
          <w:szCs w:val="20"/>
          <w:lang w:val="ro-RO"/>
        </w:rPr>
        <w:t>1</w:t>
      </w:r>
      <w:r>
        <w:rPr>
          <w:rFonts w:ascii="Arial" w:eastAsia="SimSun" w:hAnsi="Arial" w:cs="Arial"/>
          <w:i/>
          <w:sz w:val="20"/>
          <w:szCs w:val="20"/>
          <w:lang w:val="ro-RO"/>
        </w:rPr>
        <w:t xml:space="preserve"> </w:t>
      </w:r>
    </w:p>
    <w:p w:rsidR="00F2046E" w:rsidRPr="008A7850" w:rsidRDefault="00F2046E" w:rsidP="00F2046E">
      <w:pPr>
        <w:numPr>
          <w:ilvl w:val="3"/>
          <w:numId w:val="2"/>
        </w:numPr>
        <w:spacing w:after="0" w:line="240" w:lineRule="auto"/>
        <w:ind w:left="1498" w:hanging="718"/>
        <w:rPr>
          <w:rFonts w:ascii="Arial" w:eastAsia="SimSun" w:hAnsi="Arial" w:cs="Arial"/>
          <w:sz w:val="20"/>
          <w:szCs w:val="20"/>
          <w:lang w:val="ro-RO"/>
        </w:rPr>
      </w:pPr>
      <w:r w:rsidRPr="008A7850">
        <w:rPr>
          <w:rFonts w:ascii="Arial" w:eastAsia="SimSun" w:hAnsi="Arial" w:cs="Arial"/>
          <w:sz w:val="20"/>
          <w:szCs w:val="20"/>
          <w:lang w:val="ro-RO"/>
        </w:rPr>
        <w:t>Calitatea apei cursurilor de apă</w:t>
      </w:r>
      <w:r>
        <w:rPr>
          <w:rFonts w:ascii="Arial" w:eastAsia="SimSun" w:hAnsi="Arial" w:cs="Arial"/>
          <w:sz w:val="20"/>
          <w:szCs w:val="20"/>
          <w:lang w:val="ro-RO"/>
        </w:rPr>
        <w:t>.......................................................................................</w:t>
      </w:r>
      <w:r w:rsidR="004163B5">
        <w:rPr>
          <w:rFonts w:ascii="Arial" w:eastAsia="SimSun" w:hAnsi="Arial" w:cs="Arial"/>
          <w:sz w:val="20"/>
          <w:szCs w:val="20"/>
          <w:lang w:val="ro-RO"/>
        </w:rPr>
        <w:t>.</w:t>
      </w:r>
      <w:r>
        <w:rPr>
          <w:rFonts w:ascii="Arial" w:eastAsia="SimSun" w:hAnsi="Arial" w:cs="Arial"/>
          <w:sz w:val="20"/>
          <w:szCs w:val="20"/>
          <w:lang w:val="ro-RO"/>
        </w:rPr>
        <w:t>5</w:t>
      </w:r>
      <w:r w:rsidR="00CA2D13">
        <w:rPr>
          <w:rFonts w:ascii="Arial" w:eastAsia="SimSun" w:hAnsi="Arial" w:cs="Arial"/>
          <w:sz w:val="20"/>
          <w:szCs w:val="20"/>
          <w:lang w:val="ro-RO"/>
        </w:rPr>
        <w:t>2</w:t>
      </w:r>
      <w:r>
        <w:rPr>
          <w:rFonts w:ascii="Arial" w:eastAsia="SimSun" w:hAnsi="Arial" w:cs="Arial"/>
          <w:sz w:val="20"/>
          <w:szCs w:val="20"/>
          <w:lang w:val="ro-RO"/>
        </w:rPr>
        <w:t xml:space="preserve"> </w:t>
      </w:r>
    </w:p>
    <w:p w:rsidR="00F2046E" w:rsidRPr="008A7850" w:rsidRDefault="00F2046E" w:rsidP="00F2046E">
      <w:pPr>
        <w:numPr>
          <w:ilvl w:val="3"/>
          <w:numId w:val="2"/>
        </w:numPr>
        <w:spacing w:after="0" w:line="240" w:lineRule="auto"/>
        <w:ind w:left="1498" w:hanging="718"/>
        <w:rPr>
          <w:rFonts w:ascii="Arial" w:eastAsia="SimSun" w:hAnsi="Arial" w:cs="Arial"/>
          <w:sz w:val="20"/>
          <w:szCs w:val="20"/>
          <w:lang w:val="ro-RO"/>
        </w:rPr>
      </w:pPr>
      <w:r w:rsidRPr="008A7850">
        <w:rPr>
          <w:rFonts w:ascii="Arial" w:eastAsia="SimSun" w:hAnsi="Arial" w:cs="Arial"/>
          <w:sz w:val="20"/>
          <w:szCs w:val="20"/>
          <w:lang w:val="ro-RO"/>
        </w:rPr>
        <w:t>Calitatea apei lacurilor</w:t>
      </w:r>
      <w:r>
        <w:rPr>
          <w:rFonts w:ascii="Arial" w:eastAsia="SimSun" w:hAnsi="Arial" w:cs="Arial"/>
          <w:sz w:val="20"/>
          <w:szCs w:val="20"/>
          <w:lang w:val="ro-RO"/>
        </w:rPr>
        <w:t>.....................................................................................................</w:t>
      </w:r>
      <w:r w:rsidR="004163B5">
        <w:rPr>
          <w:rFonts w:ascii="Arial" w:eastAsia="SimSun" w:hAnsi="Arial" w:cs="Arial"/>
          <w:sz w:val="20"/>
          <w:szCs w:val="20"/>
          <w:lang w:val="ro-RO"/>
        </w:rPr>
        <w:t>.</w:t>
      </w:r>
      <w:r w:rsidR="00CA2D13">
        <w:rPr>
          <w:rFonts w:ascii="Arial" w:eastAsia="SimSun" w:hAnsi="Arial" w:cs="Arial"/>
          <w:sz w:val="20"/>
          <w:szCs w:val="20"/>
          <w:lang w:val="ro-RO"/>
        </w:rPr>
        <w:t>55</w:t>
      </w:r>
      <w:r>
        <w:rPr>
          <w:rFonts w:ascii="Arial" w:eastAsia="SimSun" w:hAnsi="Arial" w:cs="Arial"/>
          <w:sz w:val="20"/>
          <w:szCs w:val="20"/>
          <w:lang w:val="ro-RO"/>
        </w:rPr>
        <w:t xml:space="preserve"> </w:t>
      </w:r>
    </w:p>
    <w:p w:rsidR="00F2046E" w:rsidRPr="008A7850" w:rsidRDefault="00F2046E" w:rsidP="00F2046E">
      <w:pPr>
        <w:numPr>
          <w:ilvl w:val="3"/>
          <w:numId w:val="2"/>
        </w:numPr>
        <w:spacing w:after="0" w:line="240" w:lineRule="auto"/>
        <w:ind w:left="1498" w:hanging="718"/>
        <w:rPr>
          <w:rFonts w:ascii="Arial" w:eastAsia="SimSun" w:hAnsi="Arial" w:cs="Arial"/>
          <w:sz w:val="20"/>
          <w:szCs w:val="20"/>
          <w:lang w:val="ro-RO"/>
        </w:rPr>
      </w:pPr>
      <w:r w:rsidRPr="008A7850">
        <w:rPr>
          <w:rFonts w:ascii="Arial" w:eastAsia="SimSun" w:hAnsi="Arial" w:cs="Arial"/>
          <w:sz w:val="20"/>
          <w:szCs w:val="20"/>
          <w:lang w:val="ro-RO"/>
        </w:rPr>
        <w:t>Calitatea apelor subterane</w:t>
      </w:r>
      <w:r>
        <w:rPr>
          <w:rFonts w:ascii="Arial" w:eastAsia="SimSun" w:hAnsi="Arial" w:cs="Arial"/>
          <w:sz w:val="20"/>
          <w:szCs w:val="20"/>
          <w:lang w:val="ro-RO"/>
        </w:rPr>
        <w:t>...............................................................................................</w:t>
      </w:r>
      <w:r w:rsidR="00CA2D13">
        <w:rPr>
          <w:rFonts w:ascii="Arial" w:eastAsia="SimSun" w:hAnsi="Arial" w:cs="Arial"/>
          <w:sz w:val="20"/>
          <w:szCs w:val="20"/>
          <w:lang w:val="ro-RO"/>
        </w:rPr>
        <w:t>56</w:t>
      </w:r>
    </w:p>
    <w:p w:rsidR="00F2046E" w:rsidRPr="008A7850" w:rsidRDefault="00F2046E" w:rsidP="00F2046E">
      <w:pPr>
        <w:numPr>
          <w:ilvl w:val="3"/>
          <w:numId w:val="2"/>
        </w:numPr>
        <w:spacing w:after="0" w:line="240" w:lineRule="auto"/>
        <w:ind w:left="1498" w:hanging="718"/>
        <w:rPr>
          <w:rFonts w:ascii="Arial" w:eastAsia="SimSun" w:hAnsi="Arial" w:cs="Arial"/>
          <w:sz w:val="20"/>
          <w:szCs w:val="20"/>
          <w:lang w:val="ro-RO"/>
        </w:rPr>
      </w:pPr>
      <w:r w:rsidRPr="008A7850">
        <w:rPr>
          <w:rFonts w:ascii="Arial" w:eastAsia="SimSun" w:hAnsi="Arial" w:cs="Arial"/>
          <w:sz w:val="20"/>
          <w:szCs w:val="20"/>
          <w:lang w:val="ro-RO"/>
        </w:rPr>
        <w:t>Calitatea apelor de îmbăiere</w:t>
      </w:r>
      <w:r>
        <w:rPr>
          <w:rFonts w:ascii="Arial" w:eastAsia="SimSun" w:hAnsi="Arial" w:cs="Arial"/>
          <w:sz w:val="20"/>
          <w:szCs w:val="20"/>
          <w:lang w:val="ro-RO"/>
        </w:rPr>
        <w:t>............................................................................................</w:t>
      </w:r>
      <w:r w:rsidR="00CA2D13">
        <w:rPr>
          <w:rFonts w:ascii="Arial" w:eastAsia="SimSun" w:hAnsi="Arial" w:cs="Arial"/>
          <w:sz w:val="20"/>
          <w:szCs w:val="20"/>
          <w:lang w:val="ro-RO"/>
        </w:rPr>
        <w:t>58</w:t>
      </w:r>
      <w:r>
        <w:rPr>
          <w:rFonts w:ascii="Arial" w:eastAsia="SimSun" w:hAnsi="Arial" w:cs="Arial"/>
          <w:sz w:val="20"/>
          <w:szCs w:val="20"/>
          <w:lang w:val="ro-RO"/>
        </w:rPr>
        <w:t xml:space="preserve"> </w:t>
      </w:r>
    </w:p>
    <w:p w:rsidR="00F2046E" w:rsidRPr="008A7850" w:rsidRDefault="00F2046E" w:rsidP="00F2046E">
      <w:pPr>
        <w:numPr>
          <w:ilvl w:val="2"/>
          <w:numId w:val="2"/>
        </w:numPr>
        <w:tabs>
          <w:tab w:val="left" w:pos="1276"/>
        </w:tabs>
        <w:spacing w:after="0" w:line="240" w:lineRule="auto"/>
        <w:ind w:left="993"/>
        <w:rPr>
          <w:rFonts w:ascii="Arial" w:eastAsia="SimSun" w:hAnsi="Arial" w:cs="Arial"/>
          <w:i/>
          <w:sz w:val="20"/>
          <w:szCs w:val="20"/>
          <w:lang w:val="ro-RO"/>
        </w:rPr>
      </w:pPr>
      <w:r w:rsidRPr="008A7850">
        <w:rPr>
          <w:rFonts w:ascii="Arial" w:eastAsia="SimSun" w:hAnsi="Arial" w:cs="Arial"/>
          <w:i/>
          <w:sz w:val="20"/>
          <w:szCs w:val="20"/>
          <w:lang w:val="ro-RO"/>
        </w:rPr>
        <w:t>Factorii determinanţi şi presiunile care afectează starea de calitate a apelor</w:t>
      </w:r>
      <w:r>
        <w:rPr>
          <w:rFonts w:ascii="Arial" w:eastAsia="SimSun" w:hAnsi="Arial" w:cs="Arial"/>
          <w:i/>
          <w:sz w:val="20"/>
          <w:szCs w:val="20"/>
          <w:lang w:val="ro-RO"/>
        </w:rPr>
        <w:t>....................</w:t>
      </w:r>
      <w:r w:rsidR="004163B5">
        <w:rPr>
          <w:rFonts w:ascii="Arial" w:eastAsia="SimSun" w:hAnsi="Arial" w:cs="Arial"/>
          <w:i/>
          <w:sz w:val="20"/>
          <w:szCs w:val="20"/>
          <w:lang w:val="ro-RO"/>
        </w:rPr>
        <w:t>.</w:t>
      </w:r>
      <w:r>
        <w:rPr>
          <w:rFonts w:ascii="Arial" w:eastAsia="SimSun" w:hAnsi="Arial" w:cs="Arial"/>
          <w:i/>
          <w:sz w:val="20"/>
          <w:szCs w:val="20"/>
          <w:lang w:val="ro-RO"/>
        </w:rPr>
        <w:t>.</w:t>
      </w:r>
      <w:r w:rsidR="00CA2D13">
        <w:rPr>
          <w:rFonts w:ascii="Arial" w:eastAsia="SimSun" w:hAnsi="Arial" w:cs="Arial"/>
          <w:i/>
          <w:sz w:val="20"/>
          <w:szCs w:val="20"/>
          <w:lang w:val="ro-RO"/>
        </w:rPr>
        <w:t>59</w:t>
      </w:r>
    </w:p>
    <w:p w:rsidR="00F2046E" w:rsidRPr="008A7850" w:rsidRDefault="00F2046E" w:rsidP="00F2046E">
      <w:pPr>
        <w:numPr>
          <w:ilvl w:val="3"/>
          <w:numId w:val="2"/>
        </w:numPr>
        <w:spacing w:after="0" w:line="240" w:lineRule="auto"/>
        <w:ind w:left="1498" w:hanging="718"/>
        <w:rPr>
          <w:rFonts w:ascii="Arial" w:eastAsia="SimSun" w:hAnsi="Arial" w:cs="Arial"/>
          <w:sz w:val="20"/>
          <w:szCs w:val="20"/>
          <w:lang w:val="ro-RO"/>
        </w:rPr>
      </w:pPr>
      <w:r w:rsidRPr="008A7850">
        <w:rPr>
          <w:rFonts w:ascii="Arial" w:eastAsia="SimSun" w:hAnsi="Arial" w:cs="Arial"/>
          <w:sz w:val="20"/>
          <w:szCs w:val="20"/>
          <w:lang w:val="ro-RO"/>
        </w:rPr>
        <w:t>Presiuni semnificative asupra resurselor de apă din jude</w:t>
      </w:r>
      <w:r>
        <w:rPr>
          <w:rFonts w:ascii="Arial" w:eastAsia="SimSun" w:hAnsi="Arial" w:cs="Arial"/>
          <w:sz w:val="20"/>
          <w:szCs w:val="20"/>
          <w:lang w:val="ro-RO"/>
        </w:rPr>
        <w:t>ţ..............................................</w:t>
      </w:r>
      <w:r w:rsidR="004163B5">
        <w:rPr>
          <w:rFonts w:ascii="Arial" w:eastAsia="SimSun" w:hAnsi="Arial" w:cs="Arial"/>
          <w:sz w:val="20"/>
          <w:szCs w:val="20"/>
          <w:lang w:val="ro-RO"/>
        </w:rPr>
        <w:t>.</w:t>
      </w:r>
      <w:r w:rsidR="00CA2D13">
        <w:rPr>
          <w:rFonts w:ascii="Arial" w:eastAsia="SimSun" w:hAnsi="Arial" w:cs="Arial"/>
          <w:sz w:val="20"/>
          <w:szCs w:val="20"/>
          <w:lang w:val="ro-RO"/>
        </w:rPr>
        <w:t>59</w:t>
      </w:r>
      <w:r w:rsidRPr="008A7850">
        <w:rPr>
          <w:rFonts w:ascii="Arial" w:eastAsia="SimSun" w:hAnsi="Arial" w:cs="Arial"/>
          <w:sz w:val="20"/>
          <w:szCs w:val="20"/>
          <w:lang w:val="ro-RO"/>
        </w:rPr>
        <w:tab/>
        <w:t xml:space="preserve"> </w:t>
      </w:r>
    </w:p>
    <w:p w:rsidR="00F2046E" w:rsidRPr="008A7850" w:rsidRDefault="00F2046E" w:rsidP="00F2046E">
      <w:pPr>
        <w:numPr>
          <w:ilvl w:val="3"/>
          <w:numId w:val="2"/>
        </w:numPr>
        <w:spacing w:after="0" w:line="240" w:lineRule="auto"/>
        <w:ind w:left="1498" w:hanging="718"/>
        <w:rPr>
          <w:rFonts w:ascii="Arial" w:eastAsia="SimSun" w:hAnsi="Arial" w:cs="Arial"/>
          <w:sz w:val="20"/>
          <w:szCs w:val="20"/>
          <w:lang w:val="ro-RO"/>
        </w:rPr>
      </w:pPr>
      <w:r w:rsidRPr="008A7850">
        <w:rPr>
          <w:rFonts w:ascii="Arial" w:eastAsia="SimSun" w:hAnsi="Arial" w:cs="Arial"/>
          <w:sz w:val="20"/>
          <w:szCs w:val="20"/>
          <w:lang w:val="ro-RO"/>
        </w:rPr>
        <w:t>Apele uzate şi reţelele de canalizare</w:t>
      </w:r>
      <w:r>
        <w:rPr>
          <w:rFonts w:ascii="Arial" w:eastAsia="SimSun" w:hAnsi="Arial" w:cs="Arial"/>
          <w:sz w:val="20"/>
          <w:szCs w:val="20"/>
          <w:lang w:val="ro-RO"/>
        </w:rPr>
        <w:t>...............................................................................</w:t>
      </w:r>
      <w:r w:rsidR="004163B5">
        <w:rPr>
          <w:rFonts w:ascii="Arial" w:eastAsia="SimSun" w:hAnsi="Arial" w:cs="Arial"/>
          <w:sz w:val="20"/>
          <w:szCs w:val="20"/>
          <w:lang w:val="ro-RO"/>
        </w:rPr>
        <w:t>.</w:t>
      </w:r>
      <w:r w:rsidR="00CA2D13">
        <w:rPr>
          <w:rFonts w:ascii="Arial" w:eastAsia="SimSun" w:hAnsi="Arial" w:cs="Arial"/>
          <w:sz w:val="20"/>
          <w:szCs w:val="20"/>
          <w:lang w:val="ro-RO"/>
        </w:rPr>
        <w:t>60</w:t>
      </w:r>
      <w:r w:rsidRPr="008A7850">
        <w:rPr>
          <w:rFonts w:ascii="Arial" w:eastAsia="SimSun" w:hAnsi="Arial" w:cs="Arial"/>
          <w:sz w:val="20"/>
          <w:szCs w:val="20"/>
          <w:lang w:val="ro-RO"/>
        </w:rPr>
        <w:t xml:space="preserve">  </w:t>
      </w:r>
    </w:p>
    <w:p w:rsidR="00F2046E" w:rsidRPr="008A7850" w:rsidRDefault="00F2046E" w:rsidP="00F2046E">
      <w:pPr>
        <w:numPr>
          <w:ilvl w:val="2"/>
          <w:numId w:val="2"/>
        </w:numPr>
        <w:tabs>
          <w:tab w:val="left" w:pos="1276"/>
        </w:tabs>
        <w:spacing w:after="0" w:line="240" w:lineRule="auto"/>
        <w:ind w:left="993"/>
        <w:rPr>
          <w:rFonts w:ascii="Arial" w:eastAsia="SimSun" w:hAnsi="Arial" w:cs="Arial"/>
          <w:i/>
          <w:sz w:val="20"/>
          <w:szCs w:val="20"/>
          <w:lang w:val="ro-RO"/>
        </w:rPr>
      </w:pPr>
      <w:r w:rsidRPr="008A7850">
        <w:rPr>
          <w:rFonts w:ascii="Arial" w:eastAsia="SimSun" w:hAnsi="Arial" w:cs="Arial"/>
          <w:i/>
          <w:sz w:val="20"/>
          <w:szCs w:val="20"/>
          <w:lang w:val="ro-RO"/>
        </w:rPr>
        <w:t>Tendinţe şi prognoze privind calitatea apei</w:t>
      </w:r>
      <w:r>
        <w:rPr>
          <w:rFonts w:ascii="Arial" w:eastAsia="SimSun" w:hAnsi="Arial" w:cs="Arial"/>
          <w:i/>
          <w:sz w:val="20"/>
          <w:szCs w:val="20"/>
          <w:lang w:val="ro-RO"/>
        </w:rPr>
        <w:t>..........................................................................</w:t>
      </w:r>
      <w:r w:rsidR="00CA2D13">
        <w:rPr>
          <w:rFonts w:ascii="Arial" w:eastAsia="SimSun" w:hAnsi="Arial" w:cs="Arial"/>
          <w:i/>
          <w:sz w:val="20"/>
          <w:szCs w:val="20"/>
          <w:lang w:val="ro-RO"/>
        </w:rPr>
        <w:t>67</w:t>
      </w:r>
    </w:p>
    <w:p w:rsidR="00F2046E" w:rsidRPr="008A7850" w:rsidRDefault="00F2046E" w:rsidP="00F2046E">
      <w:pPr>
        <w:numPr>
          <w:ilvl w:val="2"/>
          <w:numId w:val="2"/>
        </w:numPr>
        <w:tabs>
          <w:tab w:val="left" w:pos="1276"/>
        </w:tabs>
        <w:spacing w:after="0" w:line="240" w:lineRule="auto"/>
        <w:ind w:left="993"/>
        <w:rPr>
          <w:rFonts w:ascii="Arial" w:eastAsia="SimSun" w:hAnsi="Arial" w:cs="Arial"/>
          <w:i/>
          <w:sz w:val="20"/>
          <w:szCs w:val="20"/>
          <w:lang w:val="ro-RO"/>
        </w:rPr>
      </w:pPr>
      <w:r w:rsidRPr="008A7850">
        <w:rPr>
          <w:rFonts w:ascii="Arial" w:eastAsia="SimSun" w:hAnsi="Arial" w:cs="Arial"/>
          <w:i/>
          <w:sz w:val="20"/>
          <w:szCs w:val="20"/>
          <w:lang w:val="ro-RO"/>
        </w:rPr>
        <w:t>Politici, acţiuni şi măsuri privind îmbunătăţirea stării de calitate a apelor</w:t>
      </w:r>
      <w:r>
        <w:rPr>
          <w:rFonts w:ascii="Arial" w:eastAsia="SimSun" w:hAnsi="Arial" w:cs="Arial"/>
          <w:i/>
          <w:sz w:val="20"/>
          <w:szCs w:val="20"/>
          <w:lang w:val="ro-RO"/>
        </w:rPr>
        <w:t>............................</w:t>
      </w:r>
      <w:r w:rsidR="00CA2D13">
        <w:rPr>
          <w:rFonts w:ascii="Arial" w:eastAsia="SimSun" w:hAnsi="Arial" w:cs="Arial"/>
          <w:i/>
          <w:sz w:val="20"/>
          <w:szCs w:val="20"/>
          <w:lang w:val="ro-RO"/>
        </w:rPr>
        <w:t>69</w:t>
      </w:r>
      <w:r w:rsidRPr="008A7850">
        <w:rPr>
          <w:rFonts w:ascii="Arial" w:eastAsia="SimSun" w:hAnsi="Arial" w:cs="Arial"/>
          <w:i/>
          <w:sz w:val="20"/>
          <w:szCs w:val="20"/>
          <w:lang w:val="ro-RO"/>
        </w:rPr>
        <w:t xml:space="preserve"> </w:t>
      </w:r>
      <w:r w:rsidRPr="008A7850">
        <w:rPr>
          <w:rFonts w:ascii="Arial" w:eastAsia="SimSun" w:hAnsi="Arial" w:cs="Arial"/>
          <w:i/>
          <w:sz w:val="20"/>
          <w:szCs w:val="20"/>
          <w:lang w:val="ro-RO"/>
        </w:rPr>
        <w:tab/>
        <w:t xml:space="preserve"> </w:t>
      </w:r>
    </w:p>
    <w:p w:rsidR="00F2046E" w:rsidRPr="008A7850" w:rsidRDefault="00F2046E" w:rsidP="00F2046E">
      <w:pPr>
        <w:numPr>
          <w:ilvl w:val="0"/>
          <w:numId w:val="2"/>
        </w:numPr>
        <w:spacing w:after="0" w:line="360" w:lineRule="auto"/>
        <w:ind w:left="784" w:hanging="784"/>
        <w:rPr>
          <w:rFonts w:ascii="Arial" w:eastAsia="SimSun" w:hAnsi="Arial" w:cs="Arial"/>
          <w:b/>
          <w:sz w:val="20"/>
          <w:szCs w:val="20"/>
          <w:lang w:val="ro-RO"/>
        </w:rPr>
      </w:pPr>
      <w:r w:rsidRPr="008A7850">
        <w:rPr>
          <w:rFonts w:ascii="Arial" w:eastAsia="SimSun" w:hAnsi="Arial" w:cs="Arial"/>
          <w:b/>
          <w:sz w:val="20"/>
          <w:szCs w:val="20"/>
          <w:lang w:val="ro-RO"/>
        </w:rPr>
        <w:t>SOLUL</w:t>
      </w:r>
      <w:r>
        <w:rPr>
          <w:rFonts w:ascii="Arial" w:eastAsia="SimSun" w:hAnsi="Arial" w:cs="Arial"/>
          <w:b/>
          <w:sz w:val="20"/>
          <w:szCs w:val="20"/>
          <w:lang w:val="ro-RO"/>
        </w:rPr>
        <w:t>.........................................................................................................................................</w:t>
      </w:r>
      <w:r w:rsidR="00CA2D13">
        <w:rPr>
          <w:rFonts w:ascii="Arial" w:eastAsia="SimSun" w:hAnsi="Arial" w:cs="Arial"/>
          <w:b/>
          <w:sz w:val="20"/>
          <w:szCs w:val="20"/>
          <w:lang w:val="ro-RO"/>
        </w:rPr>
        <w:t>70</w:t>
      </w:r>
      <w:r w:rsidRPr="008A7850">
        <w:rPr>
          <w:rFonts w:ascii="Arial" w:eastAsia="SimSun" w:hAnsi="Arial" w:cs="Arial"/>
          <w:b/>
          <w:sz w:val="20"/>
          <w:szCs w:val="20"/>
          <w:lang w:val="ro-RO"/>
        </w:rPr>
        <w:t xml:space="preserve"> </w:t>
      </w:r>
      <w:r w:rsidRPr="008A7850">
        <w:rPr>
          <w:rFonts w:ascii="Arial" w:eastAsia="SimSun" w:hAnsi="Arial" w:cs="Arial"/>
          <w:b/>
          <w:sz w:val="20"/>
          <w:szCs w:val="20"/>
          <w:lang w:val="ro-RO"/>
        </w:rPr>
        <w:tab/>
        <w:t xml:space="preserve"> </w:t>
      </w:r>
    </w:p>
    <w:p w:rsidR="00F2046E" w:rsidRPr="008A7850" w:rsidRDefault="00F2046E" w:rsidP="00F2046E">
      <w:pPr>
        <w:numPr>
          <w:ilvl w:val="1"/>
          <w:numId w:val="2"/>
        </w:numPr>
        <w:spacing w:after="0" w:line="240" w:lineRule="auto"/>
        <w:ind w:left="851" w:hanging="482"/>
        <w:rPr>
          <w:rFonts w:ascii="Arial" w:eastAsia="SimSun" w:hAnsi="Arial" w:cs="Arial"/>
          <w:b/>
          <w:sz w:val="20"/>
          <w:szCs w:val="20"/>
          <w:lang w:val="ro-RO"/>
        </w:rPr>
      </w:pPr>
      <w:r w:rsidRPr="008A7850">
        <w:rPr>
          <w:rFonts w:ascii="Arial" w:eastAsia="SimSun" w:hAnsi="Arial" w:cs="Arial"/>
          <w:b/>
          <w:sz w:val="20"/>
          <w:szCs w:val="20"/>
          <w:lang w:val="ro-RO"/>
        </w:rPr>
        <w:t>Calitatea solurilor: stare şi tendinţe</w:t>
      </w:r>
      <w:r>
        <w:rPr>
          <w:rFonts w:ascii="Arial" w:eastAsia="SimSun" w:hAnsi="Arial" w:cs="Arial"/>
          <w:b/>
          <w:sz w:val="20"/>
          <w:szCs w:val="20"/>
          <w:lang w:val="ro-RO"/>
        </w:rPr>
        <w:t>........................................................................................</w:t>
      </w:r>
      <w:r w:rsidR="00CA2D13">
        <w:rPr>
          <w:rFonts w:ascii="Arial" w:eastAsia="SimSun" w:hAnsi="Arial" w:cs="Arial"/>
          <w:b/>
          <w:sz w:val="20"/>
          <w:szCs w:val="20"/>
          <w:lang w:val="ro-RO"/>
        </w:rPr>
        <w:t>70</w:t>
      </w:r>
    </w:p>
    <w:p w:rsidR="00F2046E" w:rsidRPr="008A7850" w:rsidRDefault="00F2046E" w:rsidP="00F2046E">
      <w:pPr>
        <w:numPr>
          <w:ilvl w:val="2"/>
          <w:numId w:val="2"/>
        </w:numPr>
        <w:tabs>
          <w:tab w:val="left" w:pos="1276"/>
        </w:tabs>
        <w:spacing w:after="0" w:line="240" w:lineRule="auto"/>
        <w:ind w:left="993"/>
        <w:rPr>
          <w:rFonts w:ascii="Arial" w:eastAsia="SimSun" w:hAnsi="Arial" w:cs="Arial"/>
          <w:i/>
          <w:sz w:val="20"/>
          <w:szCs w:val="20"/>
          <w:lang w:val="ro-RO"/>
        </w:rPr>
      </w:pPr>
      <w:r w:rsidRPr="008A7850">
        <w:rPr>
          <w:rFonts w:ascii="Arial" w:eastAsia="SimSun" w:hAnsi="Arial" w:cs="Arial"/>
          <w:i/>
          <w:sz w:val="20"/>
          <w:szCs w:val="20"/>
          <w:lang w:val="ro-RO"/>
        </w:rPr>
        <w:t>Repartiţia terenurilor pe clase de calitate</w:t>
      </w:r>
      <w:r>
        <w:rPr>
          <w:rFonts w:ascii="Arial" w:eastAsia="SimSun" w:hAnsi="Arial" w:cs="Arial"/>
          <w:i/>
          <w:sz w:val="20"/>
          <w:szCs w:val="20"/>
          <w:lang w:val="ro-RO"/>
        </w:rPr>
        <w:t>............................................................................</w:t>
      </w:r>
      <w:r w:rsidR="00CA2D13">
        <w:rPr>
          <w:rFonts w:ascii="Arial" w:eastAsia="SimSun" w:hAnsi="Arial" w:cs="Arial"/>
          <w:i/>
          <w:sz w:val="20"/>
          <w:szCs w:val="20"/>
          <w:lang w:val="ro-RO"/>
        </w:rPr>
        <w:t>70</w:t>
      </w:r>
      <w:r w:rsidRPr="008A7850">
        <w:rPr>
          <w:rFonts w:ascii="Arial" w:eastAsia="SimSun" w:hAnsi="Arial" w:cs="Arial"/>
          <w:i/>
          <w:sz w:val="20"/>
          <w:szCs w:val="20"/>
          <w:lang w:val="ro-RO"/>
        </w:rPr>
        <w:t xml:space="preserve"> </w:t>
      </w:r>
      <w:r w:rsidRPr="008A7850">
        <w:rPr>
          <w:rFonts w:ascii="Arial" w:eastAsia="SimSun" w:hAnsi="Arial" w:cs="Arial"/>
          <w:i/>
          <w:sz w:val="20"/>
          <w:szCs w:val="20"/>
          <w:lang w:val="ro-RO"/>
        </w:rPr>
        <w:tab/>
      </w:r>
    </w:p>
    <w:p w:rsidR="00F2046E" w:rsidRPr="008A7850" w:rsidRDefault="00F2046E" w:rsidP="00F2046E">
      <w:pPr>
        <w:numPr>
          <w:ilvl w:val="2"/>
          <w:numId w:val="2"/>
        </w:numPr>
        <w:tabs>
          <w:tab w:val="left" w:pos="1276"/>
        </w:tabs>
        <w:spacing w:after="0" w:line="240" w:lineRule="auto"/>
        <w:ind w:left="993"/>
        <w:rPr>
          <w:rFonts w:ascii="Arial" w:eastAsia="SimSun" w:hAnsi="Arial" w:cs="Arial"/>
          <w:i/>
          <w:sz w:val="20"/>
          <w:szCs w:val="20"/>
          <w:lang w:val="ro-RO"/>
        </w:rPr>
      </w:pPr>
      <w:r w:rsidRPr="008A7850">
        <w:rPr>
          <w:rFonts w:ascii="Arial" w:eastAsia="SimSun" w:hAnsi="Arial" w:cs="Arial"/>
          <w:i/>
          <w:sz w:val="20"/>
          <w:szCs w:val="20"/>
          <w:lang w:val="ro-RO"/>
        </w:rPr>
        <w:t>Terenuri afectate de diverşi factori limitativi</w:t>
      </w:r>
      <w:r>
        <w:rPr>
          <w:rFonts w:ascii="Arial" w:eastAsia="SimSun" w:hAnsi="Arial" w:cs="Arial"/>
          <w:i/>
          <w:sz w:val="20"/>
          <w:szCs w:val="20"/>
          <w:lang w:val="ro-RO"/>
        </w:rPr>
        <w:t>........................................................................</w:t>
      </w:r>
      <w:r w:rsidR="00CA2D13">
        <w:rPr>
          <w:rFonts w:ascii="Arial" w:eastAsia="SimSun" w:hAnsi="Arial" w:cs="Arial"/>
          <w:i/>
          <w:sz w:val="20"/>
          <w:szCs w:val="20"/>
          <w:lang w:val="ro-RO"/>
        </w:rPr>
        <w:t>73</w:t>
      </w:r>
    </w:p>
    <w:p w:rsidR="00F2046E" w:rsidRPr="008A7850" w:rsidRDefault="00F2046E" w:rsidP="00F2046E">
      <w:pPr>
        <w:numPr>
          <w:ilvl w:val="1"/>
          <w:numId w:val="2"/>
        </w:numPr>
        <w:spacing w:after="0" w:line="240" w:lineRule="auto"/>
        <w:ind w:left="851" w:hanging="482"/>
        <w:rPr>
          <w:rFonts w:ascii="Arial" w:eastAsia="SimSun" w:hAnsi="Arial" w:cs="Arial"/>
          <w:b/>
          <w:sz w:val="20"/>
          <w:szCs w:val="20"/>
          <w:lang w:val="ro-RO"/>
        </w:rPr>
      </w:pPr>
      <w:r w:rsidRPr="008A7850">
        <w:rPr>
          <w:rFonts w:ascii="Arial" w:eastAsia="SimSun" w:hAnsi="Arial" w:cs="Arial"/>
          <w:b/>
          <w:sz w:val="20"/>
          <w:szCs w:val="20"/>
          <w:lang w:val="ro-RO"/>
        </w:rPr>
        <w:t>Zone cr</w:t>
      </w:r>
      <w:r>
        <w:rPr>
          <w:rFonts w:ascii="Arial" w:eastAsia="SimSun" w:hAnsi="Arial" w:cs="Arial"/>
          <w:b/>
          <w:sz w:val="20"/>
          <w:szCs w:val="20"/>
          <w:lang w:val="ro-RO"/>
        </w:rPr>
        <w:t xml:space="preserve">itice sub aspectul deteriorării </w:t>
      </w:r>
      <w:r w:rsidRPr="008A7850">
        <w:rPr>
          <w:rFonts w:ascii="Arial" w:eastAsia="SimSun" w:hAnsi="Arial" w:cs="Arial"/>
          <w:b/>
          <w:sz w:val="20"/>
          <w:szCs w:val="20"/>
          <w:lang w:val="ro-RO"/>
        </w:rPr>
        <w:t>solurilor</w:t>
      </w:r>
      <w:r>
        <w:rPr>
          <w:rFonts w:ascii="Arial" w:eastAsia="SimSun" w:hAnsi="Arial" w:cs="Arial"/>
          <w:b/>
          <w:sz w:val="20"/>
          <w:szCs w:val="20"/>
          <w:lang w:val="ro-RO"/>
        </w:rPr>
        <w:t>......................................................................</w:t>
      </w:r>
      <w:r w:rsidR="00CA2D13">
        <w:rPr>
          <w:rFonts w:ascii="Arial" w:eastAsia="SimSun" w:hAnsi="Arial" w:cs="Arial"/>
          <w:b/>
          <w:sz w:val="20"/>
          <w:szCs w:val="20"/>
          <w:lang w:val="ro-RO"/>
        </w:rPr>
        <w:t>73</w:t>
      </w:r>
      <w:r>
        <w:rPr>
          <w:rFonts w:ascii="Arial" w:eastAsia="SimSun" w:hAnsi="Arial" w:cs="Arial"/>
          <w:b/>
          <w:sz w:val="20"/>
          <w:szCs w:val="20"/>
          <w:lang w:val="ro-RO"/>
        </w:rPr>
        <w:t xml:space="preserve">  </w:t>
      </w:r>
    </w:p>
    <w:p w:rsidR="00F2046E" w:rsidRPr="008A7850" w:rsidRDefault="00F2046E" w:rsidP="00F2046E">
      <w:pPr>
        <w:numPr>
          <w:ilvl w:val="2"/>
          <w:numId w:val="2"/>
        </w:numPr>
        <w:tabs>
          <w:tab w:val="left" w:pos="1276"/>
        </w:tabs>
        <w:spacing w:after="0" w:line="240" w:lineRule="auto"/>
        <w:ind w:left="993"/>
        <w:rPr>
          <w:rFonts w:ascii="Arial" w:eastAsia="SimSun" w:hAnsi="Arial" w:cs="Arial"/>
          <w:i/>
          <w:sz w:val="20"/>
          <w:szCs w:val="20"/>
          <w:lang w:val="ro-RO"/>
        </w:rPr>
      </w:pPr>
      <w:r w:rsidRPr="008A7850">
        <w:rPr>
          <w:rFonts w:ascii="Arial" w:eastAsia="SimSun" w:hAnsi="Arial" w:cs="Arial"/>
          <w:i/>
          <w:sz w:val="20"/>
          <w:szCs w:val="20"/>
          <w:lang w:val="ro-RO"/>
        </w:rPr>
        <w:t>Zone afectate de procese naturale</w:t>
      </w:r>
      <w:r>
        <w:rPr>
          <w:rFonts w:ascii="Arial" w:eastAsia="SimSun" w:hAnsi="Arial" w:cs="Arial"/>
          <w:i/>
          <w:sz w:val="20"/>
          <w:szCs w:val="20"/>
          <w:lang w:val="ro-RO"/>
        </w:rPr>
        <w:t>......................................................................................</w:t>
      </w:r>
      <w:r w:rsidR="00CA2D13">
        <w:rPr>
          <w:rFonts w:ascii="Arial" w:eastAsia="SimSun" w:hAnsi="Arial" w:cs="Arial"/>
          <w:i/>
          <w:sz w:val="20"/>
          <w:szCs w:val="20"/>
          <w:lang w:val="ro-RO"/>
        </w:rPr>
        <w:t>73</w:t>
      </w:r>
      <w:r w:rsidRPr="008A7850">
        <w:rPr>
          <w:rFonts w:ascii="Arial" w:eastAsia="SimSun" w:hAnsi="Arial" w:cs="Arial"/>
          <w:i/>
          <w:sz w:val="20"/>
          <w:szCs w:val="20"/>
          <w:lang w:val="ro-RO"/>
        </w:rPr>
        <w:t xml:space="preserve"> </w:t>
      </w:r>
    </w:p>
    <w:p w:rsidR="00F2046E" w:rsidRPr="008A7850" w:rsidRDefault="00F2046E" w:rsidP="00F2046E">
      <w:pPr>
        <w:numPr>
          <w:ilvl w:val="1"/>
          <w:numId w:val="2"/>
        </w:numPr>
        <w:spacing w:after="0" w:line="240" w:lineRule="auto"/>
        <w:ind w:left="851" w:hanging="482"/>
        <w:rPr>
          <w:rFonts w:ascii="Arial" w:eastAsia="SimSun" w:hAnsi="Arial" w:cs="Arial"/>
          <w:b/>
          <w:sz w:val="20"/>
          <w:szCs w:val="20"/>
          <w:lang w:val="ro-RO"/>
        </w:rPr>
      </w:pPr>
      <w:r w:rsidRPr="008A7850">
        <w:rPr>
          <w:rFonts w:ascii="Arial" w:eastAsia="SimSun" w:hAnsi="Arial" w:cs="Arial"/>
          <w:b/>
          <w:sz w:val="20"/>
          <w:szCs w:val="20"/>
          <w:lang w:val="ro-RO"/>
        </w:rPr>
        <w:lastRenderedPageBreak/>
        <w:t>Presiuni asupra stării de ca</w:t>
      </w:r>
      <w:r>
        <w:rPr>
          <w:rFonts w:ascii="Arial" w:eastAsia="SimSun" w:hAnsi="Arial" w:cs="Arial"/>
          <w:b/>
          <w:sz w:val="20"/>
          <w:szCs w:val="20"/>
          <w:lang w:val="ro-RO"/>
        </w:rPr>
        <w:t xml:space="preserve">litate a </w:t>
      </w:r>
      <w:r w:rsidRPr="008A7850">
        <w:rPr>
          <w:rFonts w:ascii="Arial" w:eastAsia="SimSun" w:hAnsi="Arial" w:cs="Arial"/>
          <w:b/>
          <w:sz w:val="20"/>
          <w:szCs w:val="20"/>
          <w:lang w:val="ro-RO"/>
        </w:rPr>
        <w:t>solurilor</w:t>
      </w:r>
      <w:r>
        <w:rPr>
          <w:rFonts w:ascii="Arial" w:eastAsia="SimSun" w:hAnsi="Arial" w:cs="Arial"/>
          <w:b/>
          <w:sz w:val="20"/>
          <w:szCs w:val="20"/>
          <w:lang w:val="ro-RO"/>
        </w:rPr>
        <w:t>...........................................................................</w:t>
      </w:r>
      <w:r w:rsidR="00CA2D13">
        <w:rPr>
          <w:rFonts w:ascii="Arial" w:eastAsia="SimSun" w:hAnsi="Arial" w:cs="Arial"/>
          <w:b/>
          <w:sz w:val="20"/>
          <w:szCs w:val="20"/>
          <w:lang w:val="ro-RO"/>
        </w:rPr>
        <w:t>75</w:t>
      </w:r>
      <w:r>
        <w:rPr>
          <w:rFonts w:ascii="Arial" w:eastAsia="SimSun" w:hAnsi="Arial" w:cs="Arial"/>
          <w:b/>
          <w:sz w:val="20"/>
          <w:szCs w:val="20"/>
          <w:lang w:val="ro-RO"/>
        </w:rPr>
        <w:t xml:space="preserve">  </w:t>
      </w:r>
    </w:p>
    <w:p w:rsidR="00F2046E" w:rsidRPr="008A7850" w:rsidRDefault="00F2046E" w:rsidP="00F2046E">
      <w:pPr>
        <w:numPr>
          <w:ilvl w:val="2"/>
          <w:numId w:val="2"/>
        </w:numPr>
        <w:tabs>
          <w:tab w:val="left" w:pos="1276"/>
        </w:tabs>
        <w:spacing w:after="0" w:line="240" w:lineRule="auto"/>
        <w:ind w:left="993"/>
        <w:rPr>
          <w:rFonts w:ascii="Arial" w:eastAsia="SimSun" w:hAnsi="Arial" w:cs="Arial"/>
          <w:i/>
          <w:sz w:val="20"/>
          <w:szCs w:val="20"/>
          <w:lang w:val="ro-RO"/>
        </w:rPr>
      </w:pPr>
      <w:r w:rsidRPr="008A7850">
        <w:rPr>
          <w:rFonts w:ascii="Arial" w:eastAsia="SimSun" w:hAnsi="Arial" w:cs="Arial"/>
          <w:i/>
          <w:sz w:val="20"/>
          <w:szCs w:val="20"/>
          <w:lang w:val="ro-RO"/>
        </w:rPr>
        <w:t>Utilizare şi consumul de îngrăşăminte</w:t>
      </w:r>
      <w:r>
        <w:rPr>
          <w:rFonts w:ascii="Arial" w:eastAsia="SimSun" w:hAnsi="Arial" w:cs="Arial"/>
          <w:i/>
          <w:sz w:val="20"/>
          <w:szCs w:val="20"/>
          <w:lang w:val="ro-RO"/>
        </w:rPr>
        <w:t>.................................................................................</w:t>
      </w:r>
      <w:r w:rsidR="00CA2D13">
        <w:rPr>
          <w:rFonts w:ascii="Arial" w:eastAsia="SimSun" w:hAnsi="Arial" w:cs="Arial"/>
          <w:i/>
          <w:sz w:val="20"/>
          <w:szCs w:val="20"/>
          <w:lang w:val="ro-RO"/>
        </w:rPr>
        <w:t>75</w:t>
      </w:r>
    </w:p>
    <w:p w:rsidR="00F2046E" w:rsidRPr="008A7850" w:rsidRDefault="00F2046E" w:rsidP="00F2046E">
      <w:pPr>
        <w:numPr>
          <w:ilvl w:val="2"/>
          <w:numId w:val="2"/>
        </w:numPr>
        <w:tabs>
          <w:tab w:val="left" w:pos="1276"/>
        </w:tabs>
        <w:spacing w:after="0" w:line="240" w:lineRule="auto"/>
        <w:ind w:left="993"/>
        <w:rPr>
          <w:rFonts w:ascii="Arial" w:eastAsia="SimSun" w:hAnsi="Arial" w:cs="Arial"/>
          <w:i/>
          <w:sz w:val="20"/>
          <w:szCs w:val="20"/>
          <w:lang w:val="ro-RO"/>
        </w:rPr>
      </w:pPr>
      <w:r w:rsidRPr="008A7850">
        <w:rPr>
          <w:rFonts w:ascii="Arial" w:eastAsia="SimSun" w:hAnsi="Arial" w:cs="Arial"/>
          <w:i/>
          <w:sz w:val="20"/>
          <w:szCs w:val="20"/>
          <w:lang w:val="ro-RO"/>
        </w:rPr>
        <w:t>Consumul de produse de protecţia plantelor</w:t>
      </w:r>
      <w:r>
        <w:rPr>
          <w:rFonts w:ascii="Arial" w:eastAsia="SimSun" w:hAnsi="Arial" w:cs="Arial"/>
          <w:i/>
          <w:sz w:val="20"/>
          <w:szCs w:val="20"/>
          <w:lang w:val="ro-RO"/>
        </w:rPr>
        <w:t>.......................................................................</w:t>
      </w:r>
      <w:r w:rsidR="00CA2D13">
        <w:rPr>
          <w:rFonts w:ascii="Arial" w:eastAsia="SimSun" w:hAnsi="Arial" w:cs="Arial"/>
          <w:i/>
          <w:sz w:val="20"/>
          <w:szCs w:val="20"/>
          <w:lang w:val="ro-RO"/>
        </w:rPr>
        <w:t>77</w:t>
      </w:r>
      <w:r>
        <w:rPr>
          <w:rFonts w:ascii="Arial" w:eastAsia="SimSun" w:hAnsi="Arial" w:cs="Arial"/>
          <w:i/>
          <w:sz w:val="20"/>
          <w:szCs w:val="20"/>
          <w:lang w:val="ro-RO"/>
        </w:rPr>
        <w:t xml:space="preserve"> </w:t>
      </w:r>
    </w:p>
    <w:p w:rsidR="00F2046E" w:rsidRPr="008A7850" w:rsidRDefault="00F2046E" w:rsidP="00F2046E">
      <w:pPr>
        <w:numPr>
          <w:ilvl w:val="2"/>
          <w:numId w:val="2"/>
        </w:numPr>
        <w:tabs>
          <w:tab w:val="left" w:pos="1276"/>
        </w:tabs>
        <w:spacing w:after="0" w:line="240" w:lineRule="auto"/>
        <w:ind w:left="993"/>
        <w:rPr>
          <w:rFonts w:ascii="Arial" w:eastAsia="SimSun" w:hAnsi="Arial" w:cs="Arial"/>
          <w:i/>
          <w:sz w:val="20"/>
          <w:szCs w:val="20"/>
          <w:lang w:val="ro-RO"/>
        </w:rPr>
      </w:pPr>
      <w:r w:rsidRPr="008A7850">
        <w:rPr>
          <w:rFonts w:ascii="Arial" w:eastAsia="SimSun" w:hAnsi="Arial" w:cs="Arial"/>
          <w:i/>
          <w:sz w:val="20"/>
          <w:szCs w:val="20"/>
          <w:lang w:val="ro-RO"/>
        </w:rPr>
        <w:t>Evoluţia suprafeţelor de îmbunătățiri funciare</w:t>
      </w:r>
      <w:r>
        <w:rPr>
          <w:rFonts w:ascii="Arial" w:eastAsia="SimSun" w:hAnsi="Arial" w:cs="Arial"/>
          <w:i/>
          <w:sz w:val="20"/>
          <w:szCs w:val="20"/>
          <w:lang w:val="ro-RO"/>
        </w:rPr>
        <w:t>......................................................................</w:t>
      </w:r>
      <w:r w:rsidR="00CA2D13">
        <w:rPr>
          <w:rFonts w:ascii="Arial" w:eastAsia="SimSun" w:hAnsi="Arial" w:cs="Arial"/>
          <w:i/>
          <w:sz w:val="20"/>
          <w:szCs w:val="20"/>
          <w:lang w:val="ro-RO"/>
        </w:rPr>
        <w:t>78</w:t>
      </w:r>
    </w:p>
    <w:p w:rsidR="00F2046E" w:rsidRPr="008A7850" w:rsidRDefault="00F2046E" w:rsidP="00F2046E">
      <w:pPr>
        <w:numPr>
          <w:ilvl w:val="1"/>
          <w:numId w:val="2"/>
        </w:numPr>
        <w:spacing w:after="0" w:line="240" w:lineRule="auto"/>
        <w:ind w:left="851" w:hanging="482"/>
        <w:rPr>
          <w:rFonts w:ascii="Arial" w:eastAsia="SimSun" w:hAnsi="Arial" w:cs="Arial"/>
          <w:b/>
          <w:sz w:val="20"/>
          <w:szCs w:val="20"/>
          <w:lang w:val="ro-RO"/>
        </w:rPr>
      </w:pPr>
      <w:r w:rsidRPr="008A7850">
        <w:rPr>
          <w:rFonts w:ascii="Arial" w:eastAsia="SimSun" w:hAnsi="Arial" w:cs="Arial"/>
          <w:b/>
          <w:sz w:val="20"/>
          <w:szCs w:val="20"/>
          <w:lang w:val="ro-RO"/>
        </w:rPr>
        <w:t>Prognoze și acțiuni întreprinse pentru ameliorarea stării de calitate a solurilor</w:t>
      </w:r>
      <w:r>
        <w:rPr>
          <w:rFonts w:ascii="Arial" w:eastAsia="SimSun" w:hAnsi="Arial" w:cs="Arial"/>
          <w:b/>
          <w:sz w:val="20"/>
          <w:szCs w:val="20"/>
          <w:lang w:val="ro-RO"/>
        </w:rPr>
        <w:t>................</w:t>
      </w:r>
      <w:r w:rsidR="00CA2D13">
        <w:rPr>
          <w:rFonts w:ascii="Arial" w:eastAsia="SimSun" w:hAnsi="Arial" w:cs="Arial"/>
          <w:b/>
          <w:sz w:val="20"/>
          <w:szCs w:val="20"/>
          <w:lang w:val="ro-RO"/>
        </w:rPr>
        <w:t>79</w:t>
      </w:r>
    </w:p>
    <w:p w:rsidR="00F2046E" w:rsidRPr="008A7850" w:rsidRDefault="00F2046E" w:rsidP="00F2046E">
      <w:pPr>
        <w:spacing w:after="0" w:line="240" w:lineRule="auto"/>
        <w:ind w:left="784" w:hanging="784"/>
        <w:rPr>
          <w:rFonts w:ascii="Arial" w:eastAsia="SimSun" w:hAnsi="Arial" w:cs="Arial"/>
          <w:b/>
          <w:color w:val="FF0000"/>
          <w:sz w:val="20"/>
          <w:szCs w:val="20"/>
          <w:lang w:val="ro-RO"/>
        </w:rPr>
      </w:pPr>
    </w:p>
    <w:p w:rsidR="00F2046E" w:rsidRPr="008A7850" w:rsidRDefault="00F2046E" w:rsidP="00F2046E">
      <w:pPr>
        <w:numPr>
          <w:ilvl w:val="0"/>
          <w:numId w:val="2"/>
        </w:numPr>
        <w:spacing w:after="0" w:line="360" w:lineRule="auto"/>
        <w:ind w:left="784" w:hanging="784"/>
        <w:rPr>
          <w:rFonts w:ascii="Arial" w:eastAsia="SimSun" w:hAnsi="Arial" w:cs="Arial"/>
          <w:b/>
          <w:sz w:val="20"/>
          <w:szCs w:val="20"/>
          <w:lang w:val="ro-RO"/>
        </w:rPr>
      </w:pPr>
      <w:r w:rsidRPr="008A7850">
        <w:rPr>
          <w:rFonts w:ascii="Arial" w:eastAsia="SimSun" w:hAnsi="Arial" w:cs="Arial"/>
          <w:b/>
          <w:sz w:val="20"/>
          <w:szCs w:val="20"/>
          <w:lang w:val="ro-RO"/>
        </w:rPr>
        <w:t>UTILIZAREA TERENURILOR</w:t>
      </w:r>
      <w:r>
        <w:rPr>
          <w:rFonts w:ascii="Arial" w:eastAsia="SimSun" w:hAnsi="Arial" w:cs="Arial"/>
          <w:b/>
          <w:sz w:val="20"/>
          <w:szCs w:val="20"/>
          <w:lang w:val="ro-RO"/>
        </w:rPr>
        <w:t>.....................................................................................................</w:t>
      </w:r>
      <w:r w:rsidR="00CA2D13">
        <w:rPr>
          <w:rFonts w:ascii="Arial" w:eastAsia="SimSun" w:hAnsi="Arial" w:cs="Arial"/>
          <w:b/>
          <w:sz w:val="20"/>
          <w:szCs w:val="20"/>
          <w:lang w:val="ro-RO"/>
        </w:rPr>
        <w:t>80</w:t>
      </w:r>
      <w:r w:rsidRPr="008A7850">
        <w:rPr>
          <w:rFonts w:ascii="Arial" w:eastAsia="SimSun" w:hAnsi="Arial" w:cs="Arial"/>
          <w:b/>
          <w:sz w:val="20"/>
          <w:szCs w:val="20"/>
          <w:lang w:val="ro-RO"/>
        </w:rPr>
        <w:t xml:space="preserve">  </w:t>
      </w:r>
    </w:p>
    <w:p w:rsidR="00F2046E" w:rsidRPr="008A7850" w:rsidRDefault="00F2046E" w:rsidP="00F2046E">
      <w:pPr>
        <w:numPr>
          <w:ilvl w:val="1"/>
          <w:numId w:val="2"/>
        </w:numPr>
        <w:spacing w:after="0" w:line="240" w:lineRule="auto"/>
        <w:ind w:left="851" w:hanging="482"/>
        <w:rPr>
          <w:rFonts w:ascii="Arial" w:eastAsia="SimSun" w:hAnsi="Arial" w:cs="Arial"/>
          <w:b/>
          <w:sz w:val="20"/>
          <w:szCs w:val="20"/>
          <w:lang w:val="ro-RO"/>
        </w:rPr>
      </w:pPr>
      <w:r w:rsidRPr="008A7850">
        <w:rPr>
          <w:rFonts w:ascii="Arial" w:eastAsia="SimSun" w:hAnsi="Arial" w:cs="Arial"/>
          <w:b/>
          <w:sz w:val="20"/>
          <w:szCs w:val="20"/>
          <w:lang w:val="ro-RO"/>
        </w:rPr>
        <w:t>Stare şi tendinţe</w:t>
      </w:r>
      <w:r>
        <w:rPr>
          <w:rFonts w:ascii="Arial" w:eastAsia="SimSun" w:hAnsi="Arial" w:cs="Arial"/>
          <w:b/>
          <w:sz w:val="20"/>
          <w:szCs w:val="20"/>
          <w:lang w:val="ro-RO"/>
        </w:rPr>
        <w:t>.......................................................................................................................</w:t>
      </w:r>
      <w:r w:rsidR="00CA2D13">
        <w:rPr>
          <w:rFonts w:ascii="Arial" w:eastAsia="SimSun" w:hAnsi="Arial" w:cs="Arial"/>
          <w:b/>
          <w:sz w:val="20"/>
          <w:szCs w:val="20"/>
          <w:lang w:val="ro-RO"/>
        </w:rPr>
        <w:t>80</w:t>
      </w:r>
      <w:r w:rsidRPr="008A7850">
        <w:rPr>
          <w:rFonts w:ascii="Arial" w:eastAsia="SimSun" w:hAnsi="Arial" w:cs="Arial"/>
          <w:b/>
          <w:sz w:val="20"/>
          <w:szCs w:val="20"/>
          <w:lang w:val="ro-RO"/>
        </w:rPr>
        <w:tab/>
        <w:t xml:space="preserve"> </w:t>
      </w:r>
    </w:p>
    <w:p w:rsidR="00F2046E" w:rsidRPr="008A7850" w:rsidRDefault="00F2046E" w:rsidP="00F2046E">
      <w:pPr>
        <w:numPr>
          <w:ilvl w:val="2"/>
          <w:numId w:val="2"/>
        </w:numPr>
        <w:tabs>
          <w:tab w:val="left" w:pos="1276"/>
        </w:tabs>
        <w:spacing w:after="0" w:line="240" w:lineRule="auto"/>
        <w:ind w:left="993"/>
        <w:rPr>
          <w:rFonts w:ascii="Arial" w:eastAsia="SimSun" w:hAnsi="Arial" w:cs="Arial"/>
          <w:i/>
          <w:sz w:val="20"/>
          <w:szCs w:val="20"/>
          <w:lang w:val="ro-RO"/>
        </w:rPr>
      </w:pPr>
      <w:r w:rsidRPr="008A7850">
        <w:rPr>
          <w:rFonts w:ascii="Arial" w:eastAsia="SimSun" w:hAnsi="Arial" w:cs="Arial"/>
          <w:i/>
          <w:sz w:val="20"/>
          <w:szCs w:val="20"/>
          <w:lang w:val="ro-RO"/>
        </w:rPr>
        <w:t>Repartiţia terenurilor pe categorii de acoperire/utilizare</w:t>
      </w:r>
      <w:r>
        <w:rPr>
          <w:rFonts w:ascii="Arial" w:eastAsia="SimSun" w:hAnsi="Arial" w:cs="Arial"/>
          <w:i/>
          <w:sz w:val="20"/>
          <w:szCs w:val="20"/>
          <w:lang w:val="ro-RO"/>
        </w:rPr>
        <w:t>.....................................................</w:t>
      </w:r>
      <w:r w:rsidR="00CA2D13">
        <w:rPr>
          <w:rFonts w:ascii="Arial" w:eastAsia="SimSun" w:hAnsi="Arial" w:cs="Arial"/>
          <w:i/>
          <w:sz w:val="20"/>
          <w:szCs w:val="20"/>
          <w:lang w:val="ro-RO"/>
        </w:rPr>
        <w:t>80</w:t>
      </w:r>
      <w:r w:rsidRPr="008A7850">
        <w:rPr>
          <w:rFonts w:ascii="Arial" w:eastAsia="SimSun" w:hAnsi="Arial" w:cs="Arial"/>
          <w:i/>
          <w:sz w:val="20"/>
          <w:szCs w:val="20"/>
          <w:lang w:val="ro-RO"/>
        </w:rPr>
        <w:t xml:space="preserve"> </w:t>
      </w:r>
      <w:r w:rsidRPr="008A7850">
        <w:rPr>
          <w:rFonts w:ascii="Arial" w:eastAsia="SimSun" w:hAnsi="Arial" w:cs="Arial"/>
          <w:i/>
          <w:sz w:val="20"/>
          <w:szCs w:val="20"/>
          <w:lang w:val="ro-RO"/>
        </w:rPr>
        <w:tab/>
        <w:t xml:space="preserve"> </w:t>
      </w:r>
    </w:p>
    <w:p w:rsidR="00F2046E" w:rsidRPr="008A7850" w:rsidRDefault="00F2046E" w:rsidP="00F2046E">
      <w:pPr>
        <w:numPr>
          <w:ilvl w:val="2"/>
          <w:numId w:val="2"/>
        </w:numPr>
        <w:tabs>
          <w:tab w:val="left" w:pos="1276"/>
        </w:tabs>
        <w:spacing w:after="0" w:line="240" w:lineRule="auto"/>
        <w:ind w:left="993"/>
        <w:rPr>
          <w:rFonts w:ascii="Arial" w:eastAsia="SimSun" w:hAnsi="Arial" w:cs="Arial"/>
          <w:i/>
          <w:sz w:val="20"/>
          <w:szCs w:val="20"/>
          <w:lang w:val="ro-RO"/>
        </w:rPr>
      </w:pPr>
      <w:r w:rsidRPr="008A7850">
        <w:rPr>
          <w:rFonts w:ascii="Arial" w:eastAsia="SimSun" w:hAnsi="Arial" w:cs="Arial"/>
          <w:i/>
          <w:sz w:val="20"/>
          <w:szCs w:val="20"/>
          <w:lang w:val="ro-RO"/>
        </w:rPr>
        <w:t>Tendinţe privind schimbarea destinaţiei utilizării terenurilor</w:t>
      </w:r>
      <w:r>
        <w:rPr>
          <w:rFonts w:ascii="Arial" w:eastAsia="SimSun" w:hAnsi="Arial" w:cs="Arial"/>
          <w:i/>
          <w:sz w:val="20"/>
          <w:szCs w:val="20"/>
          <w:lang w:val="ro-RO"/>
        </w:rPr>
        <w:t>...............</w:t>
      </w:r>
      <w:r w:rsidR="00AB5797">
        <w:rPr>
          <w:rFonts w:ascii="Arial" w:eastAsia="SimSun" w:hAnsi="Arial" w:cs="Arial"/>
          <w:i/>
          <w:sz w:val="20"/>
          <w:szCs w:val="20"/>
          <w:lang w:val="ro-RO"/>
        </w:rPr>
        <w:t>...............................</w:t>
      </w:r>
      <w:r w:rsidR="00CA2D13">
        <w:rPr>
          <w:rFonts w:ascii="Arial" w:eastAsia="SimSun" w:hAnsi="Arial" w:cs="Arial"/>
          <w:i/>
          <w:sz w:val="20"/>
          <w:szCs w:val="20"/>
          <w:lang w:val="ro-RO"/>
        </w:rPr>
        <w:t>..81</w:t>
      </w:r>
      <w:r w:rsidRPr="008A7850">
        <w:rPr>
          <w:rFonts w:ascii="Arial" w:eastAsia="SimSun" w:hAnsi="Arial" w:cs="Arial"/>
          <w:i/>
          <w:sz w:val="20"/>
          <w:szCs w:val="20"/>
          <w:lang w:val="ro-RO"/>
        </w:rPr>
        <w:t xml:space="preserve"> </w:t>
      </w:r>
    </w:p>
    <w:p w:rsidR="00F2046E" w:rsidRPr="008A7850" w:rsidRDefault="00F2046E" w:rsidP="00F2046E">
      <w:pPr>
        <w:numPr>
          <w:ilvl w:val="1"/>
          <w:numId w:val="2"/>
        </w:numPr>
        <w:spacing w:after="0" w:line="240" w:lineRule="auto"/>
        <w:ind w:left="851" w:hanging="482"/>
        <w:rPr>
          <w:rFonts w:ascii="Arial" w:eastAsia="SimSun" w:hAnsi="Arial" w:cs="Arial"/>
          <w:b/>
          <w:sz w:val="20"/>
          <w:szCs w:val="20"/>
          <w:lang w:val="ro-RO"/>
        </w:rPr>
      </w:pPr>
      <w:r w:rsidRPr="008A7850">
        <w:rPr>
          <w:rFonts w:ascii="Arial" w:eastAsia="SimSun" w:hAnsi="Arial" w:cs="Arial"/>
          <w:b/>
          <w:sz w:val="20"/>
          <w:szCs w:val="20"/>
          <w:lang w:val="ro-RO"/>
        </w:rPr>
        <w:t>Impactul schimbării utilizări</w:t>
      </w:r>
      <w:r>
        <w:rPr>
          <w:rFonts w:ascii="Arial" w:eastAsia="SimSun" w:hAnsi="Arial" w:cs="Arial"/>
          <w:b/>
          <w:sz w:val="20"/>
          <w:szCs w:val="20"/>
          <w:lang w:val="ro-RO"/>
        </w:rPr>
        <w:t>i terenurilor asupra mediu</w:t>
      </w:r>
      <w:r w:rsidRPr="008A7850">
        <w:rPr>
          <w:rFonts w:ascii="Arial" w:eastAsia="SimSun" w:hAnsi="Arial" w:cs="Arial"/>
          <w:b/>
          <w:sz w:val="20"/>
          <w:szCs w:val="20"/>
          <w:lang w:val="ro-RO"/>
        </w:rPr>
        <w:t>lui</w:t>
      </w:r>
      <w:r>
        <w:rPr>
          <w:rFonts w:ascii="Arial" w:eastAsia="SimSun" w:hAnsi="Arial" w:cs="Arial"/>
          <w:b/>
          <w:sz w:val="20"/>
          <w:szCs w:val="20"/>
          <w:lang w:val="ro-RO"/>
        </w:rPr>
        <w:t>..................................................</w:t>
      </w:r>
      <w:r w:rsidR="00D116B9">
        <w:rPr>
          <w:rFonts w:ascii="Arial" w:eastAsia="SimSun" w:hAnsi="Arial" w:cs="Arial"/>
          <w:b/>
          <w:sz w:val="20"/>
          <w:szCs w:val="20"/>
          <w:lang w:val="ro-RO"/>
        </w:rPr>
        <w:t>.81</w:t>
      </w:r>
    </w:p>
    <w:p w:rsidR="00F2046E" w:rsidRPr="008A7850" w:rsidRDefault="00F2046E" w:rsidP="00F2046E">
      <w:pPr>
        <w:numPr>
          <w:ilvl w:val="2"/>
          <w:numId w:val="2"/>
        </w:numPr>
        <w:tabs>
          <w:tab w:val="left" w:pos="1276"/>
        </w:tabs>
        <w:spacing w:after="0" w:line="240" w:lineRule="auto"/>
        <w:ind w:left="993"/>
        <w:rPr>
          <w:rFonts w:ascii="Arial" w:eastAsia="SimSun" w:hAnsi="Arial" w:cs="Arial"/>
          <w:i/>
          <w:sz w:val="20"/>
          <w:szCs w:val="20"/>
          <w:lang w:val="ro-RO"/>
        </w:rPr>
      </w:pPr>
      <w:r w:rsidRPr="008A7850">
        <w:rPr>
          <w:rFonts w:ascii="Arial" w:eastAsia="SimSun" w:hAnsi="Arial" w:cs="Arial"/>
          <w:i/>
          <w:sz w:val="20"/>
          <w:szCs w:val="20"/>
          <w:lang w:val="ro-RO"/>
        </w:rPr>
        <w:t>Impactul schimbării utiliz</w:t>
      </w:r>
      <w:r>
        <w:rPr>
          <w:rFonts w:ascii="Arial" w:eastAsia="SimSun" w:hAnsi="Arial" w:cs="Arial"/>
          <w:i/>
          <w:sz w:val="20"/>
          <w:szCs w:val="20"/>
          <w:lang w:val="ro-RO"/>
        </w:rPr>
        <w:t xml:space="preserve">ării terenurilor </w:t>
      </w:r>
      <w:r w:rsidRPr="008A7850">
        <w:rPr>
          <w:rFonts w:ascii="Arial" w:eastAsia="SimSun" w:hAnsi="Arial" w:cs="Arial"/>
          <w:i/>
          <w:sz w:val="20"/>
          <w:szCs w:val="20"/>
          <w:lang w:val="ro-RO"/>
        </w:rPr>
        <w:t>asupra terenurilor agricole</w:t>
      </w:r>
      <w:r>
        <w:rPr>
          <w:rFonts w:ascii="Arial" w:eastAsia="SimSun" w:hAnsi="Arial" w:cs="Arial"/>
          <w:i/>
          <w:sz w:val="20"/>
          <w:szCs w:val="20"/>
          <w:lang w:val="ro-RO"/>
        </w:rPr>
        <w:t>....</w:t>
      </w:r>
      <w:r w:rsidR="00AB5797">
        <w:rPr>
          <w:rFonts w:ascii="Arial" w:eastAsia="SimSun" w:hAnsi="Arial" w:cs="Arial"/>
          <w:i/>
          <w:sz w:val="20"/>
          <w:szCs w:val="20"/>
          <w:lang w:val="ro-RO"/>
        </w:rPr>
        <w:t>...............................</w:t>
      </w:r>
      <w:r w:rsidR="00D116B9">
        <w:rPr>
          <w:rFonts w:ascii="Arial" w:eastAsia="SimSun" w:hAnsi="Arial" w:cs="Arial"/>
          <w:i/>
          <w:sz w:val="20"/>
          <w:szCs w:val="20"/>
          <w:lang w:val="ro-RO"/>
        </w:rPr>
        <w:t>.82</w:t>
      </w:r>
      <w:r w:rsidRPr="008A7850">
        <w:rPr>
          <w:rFonts w:ascii="Arial" w:eastAsia="SimSun" w:hAnsi="Arial" w:cs="Arial"/>
          <w:i/>
          <w:sz w:val="20"/>
          <w:szCs w:val="20"/>
          <w:lang w:val="ro-RO"/>
        </w:rPr>
        <w:t xml:space="preserve"> </w:t>
      </w:r>
    </w:p>
    <w:p w:rsidR="00F2046E" w:rsidRPr="008A7850" w:rsidRDefault="00F2046E" w:rsidP="00F2046E">
      <w:pPr>
        <w:numPr>
          <w:ilvl w:val="2"/>
          <w:numId w:val="2"/>
        </w:numPr>
        <w:tabs>
          <w:tab w:val="left" w:pos="1276"/>
        </w:tabs>
        <w:spacing w:after="0" w:line="240" w:lineRule="auto"/>
        <w:ind w:left="993"/>
        <w:rPr>
          <w:rFonts w:ascii="Arial" w:eastAsia="SimSun" w:hAnsi="Arial" w:cs="Arial"/>
          <w:i/>
          <w:sz w:val="20"/>
          <w:szCs w:val="20"/>
          <w:lang w:val="ro-RO"/>
        </w:rPr>
      </w:pPr>
      <w:r w:rsidRPr="008A7850">
        <w:rPr>
          <w:rFonts w:ascii="Arial" w:eastAsia="SimSun" w:hAnsi="Arial" w:cs="Arial"/>
          <w:i/>
          <w:sz w:val="20"/>
          <w:szCs w:val="20"/>
          <w:lang w:val="ro-RO"/>
        </w:rPr>
        <w:t>Impactul schimbării utilizării terenurilor asupra habitatelor</w:t>
      </w:r>
      <w:r>
        <w:rPr>
          <w:rFonts w:ascii="Arial" w:eastAsia="SimSun" w:hAnsi="Arial" w:cs="Arial"/>
          <w:i/>
          <w:sz w:val="20"/>
          <w:szCs w:val="20"/>
          <w:lang w:val="ro-RO"/>
        </w:rPr>
        <w:t>.................</w:t>
      </w:r>
      <w:r w:rsidR="00AB5797">
        <w:rPr>
          <w:rFonts w:ascii="Arial" w:eastAsia="SimSun" w:hAnsi="Arial" w:cs="Arial"/>
          <w:i/>
          <w:sz w:val="20"/>
          <w:szCs w:val="20"/>
          <w:lang w:val="ro-RO"/>
        </w:rPr>
        <w:t>...............................</w:t>
      </w:r>
      <w:r w:rsidR="00D116B9">
        <w:rPr>
          <w:rFonts w:ascii="Arial" w:eastAsia="SimSun" w:hAnsi="Arial" w:cs="Arial"/>
          <w:i/>
          <w:sz w:val="20"/>
          <w:szCs w:val="20"/>
          <w:lang w:val="ro-RO"/>
        </w:rPr>
        <w:t>82</w:t>
      </w:r>
      <w:r w:rsidRPr="008A7850">
        <w:rPr>
          <w:rFonts w:ascii="Arial" w:eastAsia="SimSun" w:hAnsi="Arial" w:cs="Arial"/>
          <w:i/>
          <w:sz w:val="20"/>
          <w:szCs w:val="20"/>
          <w:lang w:val="ro-RO"/>
        </w:rPr>
        <w:t xml:space="preserve"> </w:t>
      </w:r>
    </w:p>
    <w:p w:rsidR="00F2046E" w:rsidRPr="008A7850" w:rsidRDefault="00F2046E" w:rsidP="00F2046E">
      <w:pPr>
        <w:numPr>
          <w:ilvl w:val="1"/>
          <w:numId w:val="2"/>
        </w:numPr>
        <w:spacing w:after="0" w:line="240" w:lineRule="auto"/>
        <w:ind w:left="851" w:hanging="482"/>
        <w:rPr>
          <w:rFonts w:ascii="Arial" w:eastAsia="SimSun" w:hAnsi="Arial" w:cs="Arial"/>
          <w:b/>
          <w:sz w:val="20"/>
          <w:szCs w:val="20"/>
          <w:lang w:val="ro-RO"/>
        </w:rPr>
      </w:pPr>
      <w:r w:rsidRPr="008A7850">
        <w:rPr>
          <w:rFonts w:ascii="Arial" w:eastAsia="SimSun" w:hAnsi="Arial" w:cs="Arial"/>
          <w:b/>
          <w:sz w:val="20"/>
          <w:szCs w:val="20"/>
          <w:lang w:val="ro-RO"/>
        </w:rPr>
        <w:t>Factorii determinanţi ai schimbării utilizării terenurilor</w:t>
      </w:r>
      <w:r>
        <w:rPr>
          <w:rFonts w:ascii="Arial" w:eastAsia="SimSun" w:hAnsi="Arial" w:cs="Arial"/>
          <w:b/>
          <w:sz w:val="20"/>
          <w:szCs w:val="20"/>
          <w:lang w:val="ro-RO"/>
        </w:rPr>
        <w:t>.....................</w:t>
      </w:r>
      <w:r w:rsidR="00AB5797">
        <w:rPr>
          <w:rFonts w:ascii="Arial" w:eastAsia="SimSun" w:hAnsi="Arial" w:cs="Arial"/>
          <w:b/>
          <w:sz w:val="20"/>
          <w:szCs w:val="20"/>
          <w:lang w:val="ro-RO"/>
        </w:rPr>
        <w:t>................................</w:t>
      </w:r>
      <w:r>
        <w:rPr>
          <w:rFonts w:ascii="Arial" w:eastAsia="SimSun" w:hAnsi="Arial" w:cs="Arial"/>
          <w:b/>
          <w:sz w:val="20"/>
          <w:szCs w:val="20"/>
          <w:lang w:val="ro-RO"/>
        </w:rPr>
        <w:t>.</w:t>
      </w:r>
      <w:r w:rsidR="00D116B9">
        <w:rPr>
          <w:rFonts w:ascii="Arial" w:eastAsia="SimSun" w:hAnsi="Arial" w:cs="Arial"/>
          <w:b/>
          <w:sz w:val="20"/>
          <w:szCs w:val="20"/>
          <w:lang w:val="ro-RO"/>
        </w:rPr>
        <w:t>82</w:t>
      </w:r>
    </w:p>
    <w:p w:rsidR="00F2046E" w:rsidRPr="008A7850" w:rsidRDefault="00F2046E" w:rsidP="00F2046E">
      <w:pPr>
        <w:numPr>
          <w:ilvl w:val="2"/>
          <w:numId w:val="2"/>
        </w:numPr>
        <w:tabs>
          <w:tab w:val="left" w:pos="1276"/>
        </w:tabs>
        <w:spacing w:after="0" w:line="240" w:lineRule="auto"/>
        <w:ind w:left="993"/>
        <w:rPr>
          <w:rFonts w:ascii="Arial" w:eastAsia="SimSun" w:hAnsi="Arial" w:cs="Arial"/>
          <w:i/>
          <w:sz w:val="20"/>
          <w:szCs w:val="20"/>
          <w:lang w:val="ro-RO"/>
        </w:rPr>
      </w:pPr>
      <w:r w:rsidRPr="008A7850">
        <w:rPr>
          <w:rFonts w:ascii="Arial" w:eastAsia="SimSun" w:hAnsi="Arial" w:cs="Arial"/>
          <w:i/>
          <w:sz w:val="20"/>
          <w:szCs w:val="20"/>
          <w:lang w:val="ro-RO"/>
        </w:rPr>
        <w:t>Modificarea densităţii populaţiei</w:t>
      </w:r>
      <w:r>
        <w:rPr>
          <w:rFonts w:ascii="Arial" w:eastAsia="SimSun" w:hAnsi="Arial" w:cs="Arial"/>
          <w:i/>
          <w:sz w:val="20"/>
          <w:szCs w:val="20"/>
          <w:lang w:val="ro-RO"/>
        </w:rPr>
        <w:t>.........................................................</w:t>
      </w:r>
      <w:r w:rsidR="00AB5797">
        <w:rPr>
          <w:rFonts w:ascii="Arial" w:eastAsia="SimSun" w:hAnsi="Arial" w:cs="Arial"/>
          <w:i/>
          <w:sz w:val="20"/>
          <w:szCs w:val="20"/>
          <w:lang w:val="ro-RO"/>
        </w:rPr>
        <w:t>................................</w:t>
      </w:r>
      <w:r w:rsidR="00D116B9">
        <w:rPr>
          <w:rFonts w:ascii="Arial" w:eastAsia="SimSun" w:hAnsi="Arial" w:cs="Arial"/>
          <w:i/>
          <w:sz w:val="20"/>
          <w:szCs w:val="20"/>
          <w:lang w:val="ro-RO"/>
        </w:rPr>
        <w:t>82</w:t>
      </w:r>
      <w:r w:rsidRPr="008A7850">
        <w:rPr>
          <w:rFonts w:ascii="Arial" w:eastAsia="SimSun" w:hAnsi="Arial" w:cs="Arial"/>
          <w:i/>
          <w:sz w:val="20"/>
          <w:szCs w:val="20"/>
          <w:lang w:val="ro-RO"/>
        </w:rPr>
        <w:t xml:space="preserve"> </w:t>
      </w:r>
    </w:p>
    <w:p w:rsidR="00F2046E" w:rsidRPr="008A7850" w:rsidRDefault="00F2046E" w:rsidP="00F2046E">
      <w:pPr>
        <w:numPr>
          <w:ilvl w:val="2"/>
          <w:numId w:val="2"/>
        </w:numPr>
        <w:tabs>
          <w:tab w:val="left" w:pos="1276"/>
        </w:tabs>
        <w:spacing w:after="0" w:line="240" w:lineRule="auto"/>
        <w:ind w:left="993"/>
        <w:rPr>
          <w:rFonts w:ascii="Arial" w:eastAsia="SimSun" w:hAnsi="Arial" w:cs="Arial"/>
          <w:i/>
          <w:sz w:val="20"/>
          <w:szCs w:val="20"/>
          <w:lang w:val="ro-RO"/>
        </w:rPr>
      </w:pPr>
      <w:r w:rsidRPr="008A7850">
        <w:rPr>
          <w:rFonts w:ascii="Arial" w:eastAsia="SimSun" w:hAnsi="Arial" w:cs="Arial"/>
          <w:i/>
          <w:sz w:val="20"/>
          <w:szCs w:val="20"/>
          <w:lang w:val="ro-RO"/>
        </w:rPr>
        <w:t>Expansiunea urbană</w:t>
      </w:r>
      <w:r>
        <w:rPr>
          <w:rFonts w:ascii="Arial" w:eastAsia="SimSun" w:hAnsi="Arial" w:cs="Arial"/>
          <w:i/>
          <w:sz w:val="20"/>
          <w:szCs w:val="20"/>
          <w:lang w:val="ro-RO"/>
        </w:rPr>
        <w:t>...........................................................................</w:t>
      </w:r>
      <w:r w:rsidR="00AB5797">
        <w:rPr>
          <w:rFonts w:ascii="Arial" w:eastAsia="SimSun" w:hAnsi="Arial" w:cs="Arial"/>
          <w:i/>
          <w:sz w:val="20"/>
          <w:szCs w:val="20"/>
          <w:lang w:val="ro-RO"/>
        </w:rPr>
        <w:t>...............................</w:t>
      </w:r>
      <w:r w:rsidR="00D116B9">
        <w:rPr>
          <w:rFonts w:ascii="Arial" w:eastAsia="SimSun" w:hAnsi="Arial" w:cs="Arial"/>
          <w:i/>
          <w:sz w:val="20"/>
          <w:szCs w:val="20"/>
          <w:lang w:val="ro-RO"/>
        </w:rPr>
        <w:t>83</w:t>
      </w:r>
      <w:r w:rsidRPr="008A7850">
        <w:rPr>
          <w:rFonts w:ascii="Arial" w:eastAsia="SimSun" w:hAnsi="Arial" w:cs="Arial"/>
          <w:i/>
          <w:sz w:val="20"/>
          <w:szCs w:val="20"/>
          <w:lang w:val="ro-RO"/>
        </w:rPr>
        <w:t xml:space="preserve"> </w:t>
      </w:r>
    </w:p>
    <w:p w:rsidR="00F2046E" w:rsidRPr="008A7850" w:rsidRDefault="00F2046E" w:rsidP="00F2046E">
      <w:pPr>
        <w:numPr>
          <w:ilvl w:val="1"/>
          <w:numId w:val="2"/>
        </w:numPr>
        <w:spacing w:after="0" w:line="240" w:lineRule="auto"/>
        <w:ind w:left="851" w:hanging="482"/>
        <w:rPr>
          <w:rFonts w:ascii="Arial" w:eastAsia="SimSun" w:hAnsi="Arial" w:cs="Arial"/>
          <w:b/>
          <w:sz w:val="20"/>
          <w:szCs w:val="20"/>
          <w:lang w:val="ro-RO"/>
        </w:rPr>
      </w:pPr>
      <w:r w:rsidRPr="008A7850">
        <w:rPr>
          <w:rFonts w:ascii="Arial" w:eastAsia="SimSun" w:hAnsi="Arial" w:cs="Arial"/>
          <w:b/>
          <w:sz w:val="20"/>
          <w:szCs w:val="20"/>
          <w:lang w:val="ro-RO"/>
        </w:rPr>
        <w:t xml:space="preserve"> Prognoze și acțiuni întreprinse privind utilizarea terenurilor</w:t>
      </w:r>
      <w:r>
        <w:rPr>
          <w:rFonts w:ascii="Arial" w:eastAsia="SimSun" w:hAnsi="Arial" w:cs="Arial"/>
          <w:b/>
          <w:sz w:val="20"/>
          <w:szCs w:val="20"/>
          <w:lang w:val="ro-RO"/>
        </w:rPr>
        <w:t>...........................................</w:t>
      </w:r>
      <w:r w:rsidR="00D116B9">
        <w:rPr>
          <w:rFonts w:ascii="Arial" w:eastAsia="SimSun" w:hAnsi="Arial" w:cs="Arial"/>
          <w:b/>
          <w:sz w:val="20"/>
          <w:szCs w:val="20"/>
          <w:lang w:val="ro-RO"/>
        </w:rPr>
        <w:t>83</w:t>
      </w:r>
      <w:r w:rsidRPr="008A7850">
        <w:rPr>
          <w:rFonts w:ascii="Arial" w:eastAsia="SimSun" w:hAnsi="Arial" w:cs="Arial"/>
          <w:b/>
          <w:sz w:val="20"/>
          <w:szCs w:val="20"/>
          <w:lang w:val="ro-RO"/>
        </w:rPr>
        <w:t xml:space="preserve"> </w:t>
      </w:r>
    </w:p>
    <w:p w:rsidR="00F2046E" w:rsidRPr="008A7850" w:rsidRDefault="00F2046E" w:rsidP="00F2046E">
      <w:pPr>
        <w:spacing w:after="0" w:line="240" w:lineRule="auto"/>
        <w:rPr>
          <w:rFonts w:ascii="Arial" w:eastAsia="SimSun" w:hAnsi="Arial" w:cs="Arial"/>
          <w:b/>
          <w:color w:val="FF0000"/>
          <w:spacing w:val="-3"/>
          <w:sz w:val="20"/>
          <w:szCs w:val="20"/>
          <w:lang w:val="ro-RO"/>
        </w:rPr>
      </w:pPr>
      <w:r w:rsidRPr="008A7850">
        <w:rPr>
          <w:rFonts w:ascii="Arial" w:eastAsia="SimSun" w:hAnsi="Arial" w:cs="Arial"/>
          <w:b/>
          <w:color w:val="FF0000"/>
          <w:spacing w:val="-3"/>
          <w:sz w:val="20"/>
          <w:szCs w:val="20"/>
          <w:lang w:val="ro-RO"/>
        </w:rPr>
        <w:t xml:space="preserve"> </w:t>
      </w:r>
    </w:p>
    <w:p w:rsidR="00F2046E" w:rsidRPr="008A7850" w:rsidRDefault="00F2046E" w:rsidP="00F2046E">
      <w:pPr>
        <w:numPr>
          <w:ilvl w:val="0"/>
          <w:numId w:val="2"/>
        </w:numPr>
        <w:spacing w:after="0" w:line="360" w:lineRule="auto"/>
        <w:rPr>
          <w:rFonts w:ascii="Arial" w:eastAsia="SimSun" w:hAnsi="Arial" w:cs="Arial"/>
          <w:b/>
          <w:color w:val="FF0000"/>
          <w:sz w:val="20"/>
          <w:szCs w:val="20"/>
          <w:lang w:val="ro-RO"/>
        </w:rPr>
      </w:pPr>
      <w:r w:rsidRPr="008A7850">
        <w:rPr>
          <w:rFonts w:ascii="Arial" w:eastAsia="SimSun" w:hAnsi="Arial" w:cs="Arial"/>
          <w:b/>
          <w:sz w:val="20"/>
          <w:szCs w:val="20"/>
          <w:lang w:val="ro-RO"/>
        </w:rPr>
        <w:t>PROTECŢIA NATURII ŞI BIODIVERSITATEA</w:t>
      </w:r>
      <w:r>
        <w:rPr>
          <w:rFonts w:ascii="Arial" w:eastAsia="SimSun" w:hAnsi="Arial" w:cs="Arial"/>
          <w:b/>
          <w:sz w:val="20"/>
          <w:szCs w:val="20"/>
          <w:lang w:val="ro-RO"/>
        </w:rPr>
        <w:t>..........................................................................</w:t>
      </w:r>
      <w:r w:rsidR="00D116B9">
        <w:rPr>
          <w:rFonts w:ascii="Arial" w:eastAsia="SimSun" w:hAnsi="Arial" w:cs="Arial"/>
          <w:b/>
          <w:sz w:val="20"/>
          <w:szCs w:val="20"/>
          <w:lang w:val="ro-RO"/>
        </w:rPr>
        <w:t>85</w:t>
      </w:r>
      <w:r w:rsidRPr="008A7850">
        <w:rPr>
          <w:rFonts w:ascii="Arial" w:eastAsia="SimSun" w:hAnsi="Arial" w:cs="Arial"/>
          <w:b/>
          <w:color w:val="FF0000"/>
          <w:sz w:val="20"/>
          <w:szCs w:val="20"/>
          <w:lang w:val="ro-RO"/>
        </w:rPr>
        <w:t xml:space="preserve"> </w:t>
      </w:r>
    </w:p>
    <w:p w:rsidR="00F2046E" w:rsidRPr="008A7850" w:rsidRDefault="00F2046E" w:rsidP="00F2046E">
      <w:pPr>
        <w:numPr>
          <w:ilvl w:val="1"/>
          <w:numId w:val="2"/>
        </w:numPr>
        <w:spacing w:after="0" w:line="240" w:lineRule="auto"/>
        <w:ind w:left="851" w:hanging="482"/>
        <w:rPr>
          <w:rFonts w:ascii="Arial" w:eastAsia="SimSun" w:hAnsi="Arial" w:cs="Arial"/>
          <w:b/>
          <w:sz w:val="20"/>
          <w:szCs w:val="20"/>
          <w:lang w:val="ro-RO"/>
        </w:rPr>
      </w:pPr>
      <w:r w:rsidRPr="008A7850">
        <w:rPr>
          <w:rFonts w:ascii="Arial" w:eastAsia="SimSun" w:hAnsi="Arial" w:cs="Arial"/>
          <w:b/>
          <w:sz w:val="20"/>
          <w:szCs w:val="20"/>
          <w:lang w:val="ro-RO"/>
        </w:rPr>
        <w:t>Ameninţări pentru biodiversitate şi presiuni exercitate asupra biodiversităţii</w:t>
      </w:r>
      <w:r>
        <w:rPr>
          <w:rFonts w:ascii="Arial" w:eastAsia="SimSun" w:hAnsi="Arial" w:cs="Arial"/>
          <w:b/>
          <w:sz w:val="20"/>
          <w:szCs w:val="20"/>
          <w:lang w:val="ro-RO"/>
        </w:rPr>
        <w:t>.................</w:t>
      </w:r>
      <w:r w:rsidR="00D116B9">
        <w:rPr>
          <w:rFonts w:ascii="Arial" w:eastAsia="SimSun" w:hAnsi="Arial" w:cs="Arial"/>
          <w:b/>
          <w:sz w:val="20"/>
          <w:szCs w:val="20"/>
          <w:lang w:val="ro-RO"/>
        </w:rPr>
        <w:t>.87</w:t>
      </w:r>
      <w:r w:rsidRPr="008A7850">
        <w:rPr>
          <w:rFonts w:ascii="Arial" w:eastAsia="SimSun" w:hAnsi="Arial" w:cs="Arial"/>
          <w:b/>
          <w:sz w:val="20"/>
          <w:szCs w:val="20"/>
          <w:lang w:val="ro-RO"/>
        </w:rPr>
        <w:t xml:space="preserve"> </w:t>
      </w:r>
      <w:r w:rsidRPr="008A7850">
        <w:rPr>
          <w:rFonts w:ascii="Arial" w:eastAsia="SimSun" w:hAnsi="Arial" w:cs="Arial"/>
          <w:b/>
          <w:sz w:val="20"/>
          <w:szCs w:val="20"/>
          <w:lang w:val="ro-RO"/>
        </w:rPr>
        <w:tab/>
        <w:t xml:space="preserve"> </w:t>
      </w:r>
    </w:p>
    <w:p w:rsidR="00F2046E" w:rsidRPr="008A7850" w:rsidRDefault="00F2046E" w:rsidP="00F2046E">
      <w:pPr>
        <w:numPr>
          <w:ilvl w:val="2"/>
          <w:numId w:val="2"/>
        </w:numPr>
        <w:tabs>
          <w:tab w:val="left" w:pos="1276"/>
        </w:tabs>
        <w:spacing w:after="0" w:line="240" w:lineRule="auto"/>
        <w:ind w:left="993"/>
        <w:rPr>
          <w:rFonts w:ascii="Arial" w:eastAsia="SimSun" w:hAnsi="Arial" w:cs="Arial"/>
          <w:i/>
          <w:sz w:val="20"/>
          <w:szCs w:val="20"/>
          <w:lang w:val="ro-RO"/>
        </w:rPr>
      </w:pPr>
      <w:r w:rsidRPr="008A7850">
        <w:rPr>
          <w:rFonts w:ascii="Arial" w:eastAsia="SimSun" w:hAnsi="Arial" w:cs="Arial"/>
          <w:i/>
          <w:sz w:val="20"/>
          <w:szCs w:val="20"/>
          <w:lang w:val="ro-RO"/>
        </w:rPr>
        <w:t>Speciile invazive</w:t>
      </w:r>
      <w:r>
        <w:rPr>
          <w:rFonts w:ascii="Arial" w:eastAsia="SimSun" w:hAnsi="Arial" w:cs="Arial"/>
          <w:i/>
          <w:sz w:val="20"/>
          <w:szCs w:val="20"/>
          <w:lang w:val="ro-RO"/>
        </w:rPr>
        <w:t>............................................................................................................</w:t>
      </w:r>
      <w:r w:rsidR="00D116B9">
        <w:rPr>
          <w:rFonts w:ascii="Arial" w:eastAsia="SimSun" w:hAnsi="Arial" w:cs="Arial"/>
          <w:i/>
          <w:sz w:val="20"/>
          <w:szCs w:val="20"/>
          <w:lang w:val="ro-RO"/>
        </w:rPr>
        <w:t>.</w:t>
      </w:r>
      <w:r>
        <w:rPr>
          <w:rFonts w:ascii="Arial" w:eastAsia="SimSun" w:hAnsi="Arial" w:cs="Arial"/>
          <w:i/>
          <w:sz w:val="20"/>
          <w:szCs w:val="20"/>
          <w:lang w:val="ro-RO"/>
        </w:rPr>
        <w:t>..</w:t>
      </w:r>
      <w:r w:rsidR="00D116B9">
        <w:rPr>
          <w:rFonts w:ascii="Arial" w:eastAsia="SimSun" w:hAnsi="Arial" w:cs="Arial"/>
          <w:i/>
          <w:sz w:val="20"/>
          <w:szCs w:val="20"/>
          <w:lang w:val="ro-RO"/>
        </w:rPr>
        <w:t>.</w:t>
      </w:r>
      <w:r>
        <w:rPr>
          <w:rFonts w:ascii="Arial" w:eastAsia="SimSun" w:hAnsi="Arial" w:cs="Arial"/>
          <w:i/>
          <w:sz w:val="20"/>
          <w:szCs w:val="20"/>
          <w:lang w:val="ro-RO"/>
        </w:rPr>
        <w:t>.</w:t>
      </w:r>
      <w:r w:rsidR="00D116B9">
        <w:rPr>
          <w:rFonts w:ascii="Arial" w:eastAsia="SimSun" w:hAnsi="Arial" w:cs="Arial"/>
          <w:i/>
          <w:sz w:val="20"/>
          <w:szCs w:val="20"/>
          <w:lang w:val="ro-RO"/>
        </w:rPr>
        <w:t>87</w:t>
      </w:r>
      <w:r w:rsidRPr="008A7850">
        <w:rPr>
          <w:rFonts w:ascii="Arial" w:eastAsia="SimSun" w:hAnsi="Arial" w:cs="Arial"/>
          <w:i/>
          <w:sz w:val="20"/>
          <w:szCs w:val="20"/>
          <w:lang w:val="ro-RO"/>
        </w:rPr>
        <w:tab/>
        <w:t xml:space="preserve"> </w:t>
      </w:r>
    </w:p>
    <w:p w:rsidR="00F2046E" w:rsidRPr="008A7850" w:rsidRDefault="00F2046E" w:rsidP="00F2046E">
      <w:pPr>
        <w:numPr>
          <w:ilvl w:val="2"/>
          <w:numId w:val="2"/>
        </w:numPr>
        <w:tabs>
          <w:tab w:val="left" w:pos="1276"/>
        </w:tabs>
        <w:spacing w:after="0" w:line="240" w:lineRule="auto"/>
        <w:ind w:left="993"/>
        <w:rPr>
          <w:rFonts w:ascii="Arial" w:eastAsia="SimSun" w:hAnsi="Arial" w:cs="Arial"/>
          <w:i/>
          <w:sz w:val="20"/>
          <w:szCs w:val="20"/>
          <w:lang w:val="ro-RO"/>
        </w:rPr>
      </w:pPr>
      <w:r w:rsidRPr="008A7850">
        <w:rPr>
          <w:rFonts w:ascii="Arial" w:eastAsia="SimSun" w:hAnsi="Arial" w:cs="Arial"/>
          <w:i/>
          <w:sz w:val="20"/>
          <w:szCs w:val="20"/>
          <w:lang w:val="ro-RO"/>
        </w:rPr>
        <w:t>Poluarea şi încărcarea cu nutrienţi</w:t>
      </w:r>
      <w:r>
        <w:rPr>
          <w:rFonts w:ascii="Arial" w:eastAsia="SimSun" w:hAnsi="Arial" w:cs="Arial"/>
          <w:i/>
          <w:sz w:val="20"/>
          <w:szCs w:val="20"/>
          <w:lang w:val="ro-RO"/>
        </w:rPr>
        <w:t>.................................................................................</w:t>
      </w:r>
      <w:r w:rsidR="00D116B9">
        <w:rPr>
          <w:rFonts w:ascii="Arial" w:eastAsia="SimSun" w:hAnsi="Arial" w:cs="Arial"/>
          <w:i/>
          <w:sz w:val="20"/>
          <w:szCs w:val="20"/>
          <w:lang w:val="ro-RO"/>
        </w:rPr>
        <w:t>.</w:t>
      </w:r>
      <w:r>
        <w:rPr>
          <w:rFonts w:ascii="Arial" w:eastAsia="SimSun" w:hAnsi="Arial" w:cs="Arial"/>
          <w:i/>
          <w:sz w:val="20"/>
          <w:szCs w:val="20"/>
          <w:lang w:val="ro-RO"/>
        </w:rPr>
        <w:t>..</w:t>
      </w:r>
      <w:r w:rsidR="00D116B9">
        <w:rPr>
          <w:rFonts w:ascii="Arial" w:eastAsia="SimSun" w:hAnsi="Arial" w:cs="Arial"/>
          <w:i/>
          <w:sz w:val="20"/>
          <w:szCs w:val="20"/>
          <w:lang w:val="ro-RO"/>
        </w:rPr>
        <w:t>.87</w:t>
      </w:r>
      <w:r w:rsidRPr="008A7850">
        <w:rPr>
          <w:rFonts w:ascii="Arial" w:eastAsia="SimSun" w:hAnsi="Arial" w:cs="Arial"/>
          <w:i/>
          <w:sz w:val="20"/>
          <w:szCs w:val="20"/>
          <w:lang w:val="ro-RO"/>
        </w:rPr>
        <w:tab/>
        <w:t xml:space="preserve"> </w:t>
      </w:r>
    </w:p>
    <w:p w:rsidR="00F2046E" w:rsidRPr="008A7850" w:rsidRDefault="00F2046E" w:rsidP="00F2046E">
      <w:pPr>
        <w:numPr>
          <w:ilvl w:val="2"/>
          <w:numId w:val="2"/>
        </w:numPr>
        <w:tabs>
          <w:tab w:val="left" w:pos="1276"/>
        </w:tabs>
        <w:spacing w:after="0" w:line="240" w:lineRule="auto"/>
        <w:ind w:left="993"/>
        <w:rPr>
          <w:rFonts w:ascii="Arial" w:eastAsia="SimSun" w:hAnsi="Arial" w:cs="Arial"/>
          <w:i/>
          <w:sz w:val="20"/>
          <w:szCs w:val="20"/>
          <w:lang w:val="ro-RO"/>
        </w:rPr>
      </w:pPr>
      <w:r w:rsidRPr="008A7850">
        <w:rPr>
          <w:rFonts w:ascii="Arial" w:eastAsia="SimSun" w:hAnsi="Arial" w:cs="Arial"/>
          <w:i/>
          <w:sz w:val="20"/>
          <w:szCs w:val="20"/>
          <w:lang w:val="ro-RO"/>
        </w:rPr>
        <w:t>Schimbările climatice</w:t>
      </w:r>
      <w:r>
        <w:rPr>
          <w:rFonts w:ascii="Arial" w:eastAsia="SimSun" w:hAnsi="Arial" w:cs="Arial"/>
          <w:i/>
          <w:sz w:val="20"/>
          <w:szCs w:val="20"/>
          <w:lang w:val="ro-RO"/>
        </w:rPr>
        <w:t>........................................................................................................</w:t>
      </w:r>
      <w:r w:rsidR="00D116B9">
        <w:rPr>
          <w:rFonts w:ascii="Arial" w:eastAsia="SimSun" w:hAnsi="Arial" w:cs="Arial"/>
          <w:i/>
          <w:sz w:val="20"/>
          <w:szCs w:val="20"/>
          <w:lang w:val="ro-RO"/>
        </w:rPr>
        <w:t>.</w:t>
      </w:r>
      <w:r>
        <w:rPr>
          <w:rFonts w:ascii="Arial" w:eastAsia="SimSun" w:hAnsi="Arial" w:cs="Arial"/>
          <w:i/>
          <w:sz w:val="20"/>
          <w:szCs w:val="20"/>
          <w:lang w:val="ro-RO"/>
        </w:rPr>
        <w:t>.</w:t>
      </w:r>
      <w:r w:rsidR="00D116B9">
        <w:rPr>
          <w:rFonts w:ascii="Arial" w:eastAsia="SimSun" w:hAnsi="Arial" w:cs="Arial"/>
          <w:i/>
          <w:sz w:val="20"/>
          <w:szCs w:val="20"/>
          <w:lang w:val="ro-RO"/>
        </w:rPr>
        <w:t>89</w:t>
      </w:r>
      <w:r>
        <w:rPr>
          <w:rFonts w:ascii="Arial" w:eastAsia="SimSun" w:hAnsi="Arial" w:cs="Arial"/>
          <w:i/>
          <w:sz w:val="20"/>
          <w:szCs w:val="20"/>
          <w:lang w:val="ro-RO"/>
        </w:rPr>
        <w:t xml:space="preserve"> </w:t>
      </w:r>
    </w:p>
    <w:p w:rsidR="00F2046E" w:rsidRPr="008A7850" w:rsidRDefault="00F2046E" w:rsidP="00F2046E">
      <w:pPr>
        <w:numPr>
          <w:ilvl w:val="2"/>
          <w:numId w:val="2"/>
        </w:numPr>
        <w:tabs>
          <w:tab w:val="left" w:pos="1276"/>
        </w:tabs>
        <w:spacing w:after="0" w:line="240" w:lineRule="auto"/>
        <w:ind w:left="993"/>
        <w:rPr>
          <w:rFonts w:ascii="Arial" w:eastAsia="SimSun" w:hAnsi="Arial" w:cs="Arial"/>
          <w:i/>
          <w:sz w:val="20"/>
          <w:szCs w:val="20"/>
          <w:lang w:val="ro-RO"/>
        </w:rPr>
      </w:pPr>
      <w:r w:rsidRPr="008A7850">
        <w:rPr>
          <w:rFonts w:ascii="Arial" w:eastAsia="SimSun" w:hAnsi="Arial" w:cs="Arial"/>
          <w:i/>
          <w:sz w:val="20"/>
          <w:szCs w:val="20"/>
          <w:lang w:val="ro-RO"/>
        </w:rPr>
        <w:t>Modificarea habitatelor</w:t>
      </w:r>
      <w:r>
        <w:rPr>
          <w:rFonts w:ascii="Arial" w:eastAsia="SimSun" w:hAnsi="Arial" w:cs="Arial"/>
          <w:i/>
          <w:sz w:val="20"/>
          <w:szCs w:val="20"/>
          <w:lang w:val="ro-RO"/>
        </w:rPr>
        <w:t>......................................................................................................</w:t>
      </w:r>
      <w:r w:rsidR="00D116B9">
        <w:rPr>
          <w:rFonts w:ascii="Arial" w:eastAsia="SimSun" w:hAnsi="Arial" w:cs="Arial"/>
          <w:i/>
          <w:sz w:val="20"/>
          <w:szCs w:val="20"/>
          <w:lang w:val="ro-RO"/>
        </w:rPr>
        <w:t>.89</w:t>
      </w:r>
      <w:r w:rsidRPr="008A7850">
        <w:rPr>
          <w:rFonts w:ascii="Arial" w:eastAsia="SimSun" w:hAnsi="Arial" w:cs="Arial"/>
          <w:i/>
          <w:sz w:val="20"/>
          <w:szCs w:val="20"/>
          <w:lang w:val="ro-RO"/>
        </w:rPr>
        <w:t xml:space="preserve"> </w:t>
      </w:r>
    </w:p>
    <w:p w:rsidR="00F2046E" w:rsidRPr="008A7850" w:rsidRDefault="00F2046E" w:rsidP="00F2046E">
      <w:pPr>
        <w:numPr>
          <w:ilvl w:val="3"/>
          <w:numId w:val="2"/>
        </w:numPr>
        <w:spacing w:after="0" w:line="240" w:lineRule="auto"/>
        <w:ind w:left="1498" w:hanging="718"/>
        <w:rPr>
          <w:rFonts w:ascii="Arial" w:eastAsia="SimSun" w:hAnsi="Arial" w:cs="Arial"/>
          <w:sz w:val="20"/>
          <w:szCs w:val="20"/>
          <w:lang w:val="ro-RO"/>
        </w:rPr>
      </w:pPr>
      <w:r w:rsidRPr="008A7850">
        <w:rPr>
          <w:rFonts w:ascii="Arial" w:eastAsia="SimSun" w:hAnsi="Arial" w:cs="Arial"/>
          <w:sz w:val="20"/>
          <w:szCs w:val="20"/>
          <w:lang w:val="ro-RO"/>
        </w:rPr>
        <w:t>Fragmentarea ecosistemelor</w:t>
      </w:r>
      <w:r>
        <w:rPr>
          <w:rFonts w:ascii="Arial" w:eastAsia="SimSun" w:hAnsi="Arial" w:cs="Arial"/>
          <w:sz w:val="20"/>
          <w:szCs w:val="20"/>
          <w:lang w:val="ro-RO"/>
        </w:rPr>
        <w:t>.......................................................................................</w:t>
      </w:r>
      <w:r w:rsidRPr="008A7850">
        <w:rPr>
          <w:rFonts w:ascii="Arial" w:eastAsia="SimSun" w:hAnsi="Arial" w:cs="Arial"/>
          <w:sz w:val="20"/>
          <w:szCs w:val="20"/>
          <w:lang w:val="ro-RO"/>
        </w:rPr>
        <w:t xml:space="preserve"> </w:t>
      </w:r>
      <w:r w:rsidR="00D116B9">
        <w:rPr>
          <w:rFonts w:ascii="Arial" w:eastAsia="SimSun" w:hAnsi="Arial" w:cs="Arial"/>
          <w:sz w:val="20"/>
          <w:szCs w:val="20"/>
          <w:lang w:val="ro-RO"/>
        </w:rPr>
        <w:t>.</w:t>
      </w:r>
      <w:r>
        <w:rPr>
          <w:rFonts w:ascii="Arial" w:eastAsia="SimSun" w:hAnsi="Arial" w:cs="Arial"/>
          <w:sz w:val="20"/>
          <w:szCs w:val="20"/>
          <w:lang w:val="ro-RO"/>
        </w:rPr>
        <w:t>.</w:t>
      </w:r>
      <w:r w:rsidR="00D116B9">
        <w:rPr>
          <w:rFonts w:ascii="Arial" w:eastAsia="SimSun" w:hAnsi="Arial" w:cs="Arial"/>
          <w:sz w:val="20"/>
          <w:szCs w:val="20"/>
          <w:lang w:val="ro-RO"/>
        </w:rPr>
        <w:t>89</w:t>
      </w:r>
    </w:p>
    <w:p w:rsidR="00F2046E" w:rsidRPr="008A7850" w:rsidRDefault="00F2046E" w:rsidP="00F2046E">
      <w:pPr>
        <w:numPr>
          <w:ilvl w:val="3"/>
          <w:numId w:val="2"/>
        </w:numPr>
        <w:spacing w:after="0" w:line="240" w:lineRule="auto"/>
        <w:ind w:left="1498" w:hanging="718"/>
        <w:rPr>
          <w:rFonts w:ascii="Arial" w:eastAsia="SimSun" w:hAnsi="Arial" w:cs="Arial"/>
          <w:sz w:val="20"/>
          <w:szCs w:val="20"/>
          <w:lang w:val="ro-RO"/>
        </w:rPr>
      </w:pPr>
      <w:r w:rsidRPr="008A7850">
        <w:rPr>
          <w:rFonts w:ascii="Arial" w:eastAsia="SimSun" w:hAnsi="Arial" w:cs="Arial"/>
          <w:sz w:val="20"/>
          <w:szCs w:val="20"/>
          <w:lang w:val="ro-RO"/>
        </w:rPr>
        <w:t>Reducerea habitatelor naturale şi semi-naturale</w:t>
      </w:r>
      <w:r>
        <w:rPr>
          <w:rFonts w:ascii="Arial" w:eastAsia="SimSun" w:hAnsi="Arial" w:cs="Arial"/>
          <w:sz w:val="20"/>
          <w:szCs w:val="20"/>
          <w:lang w:val="ro-RO"/>
        </w:rPr>
        <w:t>.......................................................</w:t>
      </w:r>
      <w:r w:rsidR="00D116B9">
        <w:rPr>
          <w:rFonts w:ascii="Arial" w:eastAsia="SimSun" w:hAnsi="Arial" w:cs="Arial"/>
          <w:sz w:val="20"/>
          <w:szCs w:val="20"/>
          <w:lang w:val="ro-RO"/>
        </w:rPr>
        <w:t>.</w:t>
      </w:r>
      <w:r>
        <w:rPr>
          <w:rFonts w:ascii="Arial" w:eastAsia="SimSun" w:hAnsi="Arial" w:cs="Arial"/>
          <w:sz w:val="20"/>
          <w:szCs w:val="20"/>
          <w:lang w:val="ro-RO"/>
        </w:rPr>
        <w:t>....</w:t>
      </w:r>
      <w:r w:rsidR="00D116B9">
        <w:rPr>
          <w:rFonts w:ascii="Arial" w:eastAsia="SimSun" w:hAnsi="Arial" w:cs="Arial"/>
          <w:sz w:val="20"/>
          <w:szCs w:val="20"/>
          <w:lang w:val="ro-RO"/>
        </w:rPr>
        <w:t>90</w:t>
      </w:r>
    </w:p>
    <w:p w:rsidR="00F2046E" w:rsidRPr="008A7850" w:rsidRDefault="00F2046E" w:rsidP="00F2046E">
      <w:pPr>
        <w:numPr>
          <w:ilvl w:val="2"/>
          <w:numId w:val="2"/>
        </w:numPr>
        <w:tabs>
          <w:tab w:val="left" w:pos="1276"/>
        </w:tabs>
        <w:spacing w:after="0" w:line="240" w:lineRule="auto"/>
        <w:ind w:left="993"/>
        <w:rPr>
          <w:rFonts w:ascii="Arial" w:eastAsia="SimSun" w:hAnsi="Arial" w:cs="Arial"/>
          <w:i/>
          <w:sz w:val="20"/>
          <w:szCs w:val="20"/>
          <w:lang w:val="ro-RO"/>
        </w:rPr>
      </w:pPr>
      <w:r w:rsidRPr="008A7850">
        <w:rPr>
          <w:rFonts w:ascii="Arial" w:eastAsia="SimSun" w:hAnsi="Arial" w:cs="Arial"/>
          <w:i/>
          <w:sz w:val="20"/>
          <w:szCs w:val="20"/>
          <w:lang w:val="ro-RO"/>
        </w:rPr>
        <w:t>Exploatarea excesivă a resurselor naturale</w:t>
      </w:r>
      <w:r>
        <w:rPr>
          <w:rFonts w:ascii="Arial" w:eastAsia="SimSun" w:hAnsi="Arial" w:cs="Arial"/>
          <w:i/>
          <w:sz w:val="20"/>
          <w:szCs w:val="20"/>
          <w:lang w:val="ro-RO"/>
        </w:rPr>
        <w:t>.......................................................................</w:t>
      </w:r>
      <w:r w:rsidR="00D116B9">
        <w:rPr>
          <w:rFonts w:ascii="Arial" w:eastAsia="SimSun" w:hAnsi="Arial" w:cs="Arial"/>
          <w:i/>
          <w:sz w:val="20"/>
          <w:szCs w:val="20"/>
          <w:lang w:val="ro-RO"/>
        </w:rPr>
        <w:t>90</w:t>
      </w:r>
      <w:r>
        <w:rPr>
          <w:rFonts w:ascii="Arial" w:eastAsia="SimSun" w:hAnsi="Arial" w:cs="Arial"/>
          <w:i/>
          <w:sz w:val="20"/>
          <w:szCs w:val="20"/>
          <w:lang w:val="ro-RO"/>
        </w:rPr>
        <w:t xml:space="preserve"> </w:t>
      </w:r>
    </w:p>
    <w:p w:rsidR="00F2046E" w:rsidRPr="008A7850" w:rsidRDefault="00F2046E" w:rsidP="00F2046E">
      <w:pPr>
        <w:numPr>
          <w:ilvl w:val="3"/>
          <w:numId w:val="2"/>
        </w:numPr>
        <w:spacing w:after="0" w:line="240" w:lineRule="auto"/>
        <w:ind w:left="1498" w:hanging="718"/>
        <w:rPr>
          <w:rFonts w:ascii="Arial" w:eastAsia="SimSun" w:hAnsi="Arial" w:cs="Arial"/>
          <w:sz w:val="20"/>
          <w:szCs w:val="20"/>
          <w:lang w:val="ro-RO"/>
        </w:rPr>
      </w:pPr>
      <w:r w:rsidRPr="008A7850">
        <w:rPr>
          <w:rFonts w:ascii="Arial" w:eastAsia="SimSun" w:hAnsi="Arial" w:cs="Arial"/>
          <w:sz w:val="20"/>
          <w:szCs w:val="20"/>
          <w:lang w:val="ro-RO"/>
        </w:rPr>
        <w:t>Exploatarea forestieră</w:t>
      </w:r>
      <w:r>
        <w:rPr>
          <w:rFonts w:ascii="Arial" w:eastAsia="SimSun" w:hAnsi="Arial" w:cs="Arial"/>
          <w:sz w:val="20"/>
          <w:szCs w:val="20"/>
          <w:lang w:val="ro-RO"/>
        </w:rPr>
        <w:t>.......................................................................</w:t>
      </w:r>
      <w:r w:rsidR="00AB5797">
        <w:rPr>
          <w:rFonts w:ascii="Arial" w:eastAsia="SimSun" w:hAnsi="Arial" w:cs="Arial"/>
          <w:sz w:val="20"/>
          <w:szCs w:val="20"/>
          <w:lang w:val="ro-RO"/>
        </w:rPr>
        <w:t>.............................</w:t>
      </w:r>
      <w:r w:rsidR="00D116B9">
        <w:rPr>
          <w:rFonts w:ascii="Arial" w:eastAsia="SimSun" w:hAnsi="Arial" w:cs="Arial"/>
          <w:sz w:val="20"/>
          <w:szCs w:val="20"/>
          <w:lang w:val="ro-RO"/>
        </w:rPr>
        <w:t>90</w:t>
      </w:r>
      <w:r w:rsidRPr="008A7850">
        <w:rPr>
          <w:rFonts w:ascii="Arial" w:eastAsia="SimSun" w:hAnsi="Arial" w:cs="Arial"/>
          <w:sz w:val="20"/>
          <w:szCs w:val="20"/>
          <w:lang w:val="ro-RO"/>
        </w:rPr>
        <w:t xml:space="preserve"> </w:t>
      </w:r>
    </w:p>
    <w:p w:rsidR="00F2046E" w:rsidRPr="008A7850" w:rsidRDefault="00F2046E" w:rsidP="00F2046E">
      <w:pPr>
        <w:numPr>
          <w:ilvl w:val="1"/>
          <w:numId w:val="2"/>
        </w:numPr>
        <w:spacing w:after="0" w:line="240" w:lineRule="auto"/>
        <w:ind w:left="851" w:hanging="482"/>
        <w:rPr>
          <w:rFonts w:ascii="Arial" w:eastAsia="SimSun" w:hAnsi="Arial" w:cs="Arial"/>
          <w:b/>
          <w:sz w:val="20"/>
          <w:szCs w:val="20"/>
          <w:lang w:val="ro-RO"/>
        </w:rPr>
      </w:pPr>
      <w:r w:rsidRPr="008A7850">
        <w:rPr>
          <w:rFonts w:ascii="Arial" w:eastAsia="SimSun" w:hAnsi="Arial" w:cs="Arial"/>
          <w:b/>
          <w:sz w:val="20"/>
          <w:szCs w:val="20"/>
          <w:lang w:val="ro-RO"/>
        </w:rPr>
        <w:t>Protecţia naturii şi biodiversitatea: prognoze şi acţiuni întreprinse</w:t>
      </w:r>
      <w:r>
        <w:rPr>
          <w:rFonts w:ascii="Arial" w:eastAsia="SimSun" w:hAnsi="Arial" w:cs="Arial"/>
          <w:b/>
          <w:sz w:val="20"/>
          <w:szCs w:val="20"/>
          <w:lang w:val="ro-RO"/>
        </w:rPr>
        <w:t>......</w:t>
      </w:r>
      <w:r w:rsidR="00AB5797">
        <w:rPr>
          <w:rFonts w:ascii="Arial" w:eastAsia="SimSun" w:hAnsi="Arial" w:cs="Arial"/>
          <w:b/>
          <w:sz w:val="20"/>
          <w:szCs w:val="20"/>
          <w:lang w:val="ro-RO"/>
        </w:rPr>
        <w:t>.............................</w:t>
      </w:r>
      <w:r w:rsidR="00D116B9">
        <w:rPr>
          <w:rFonts w:ascii="Arial" w:eastAsia="SimSun" w:hAnsi="Arial" w:cs="Arial"/>
          <w:b/>
          <w:sz w:val="20"/>
          <w:szCs w:val="20"/>
          <w:lang w:val="ro-RO"/>
        </w:rPr>
        <w:t>91</w:t>
      </w:r>
      <w:r>
        <w:rPr>
          <w:rFonts w:ascii="Arial" w:eastAsia="SimSun" w:hAnsi="Arial" w:cs="Arial"/>
          <w:b/>
          <w:sz w:val="20"/>
          <w:szCs w:val="20"/>
          <w:lang w:val="ro-RO"/>
        </w:rPr>
        <w:t xml:space="preserve"> </w:t>
      </w:r>
    </w:p>
    <w:p w:rsidR="00F2046E" w:rsidRPr="008A7850" w:rsidRDefault="00F2046E" w:rsidP="00F2046E">
      <w:pPr>
        <w:numPr>
          <w:ilvl w:val="2"/>
          <w:numId w:val="2"/>
        </w:numPr>
        <w:tabs>
          <w:tab w:val="left" w:pos="1276"/>
        </w:tabs>
        <w:spacing w:after="0" w:line="240" w:lineRule="auto"/>
        <w:ind w:left="993"/>
        <w:rPr>
          <w:rFonts w:ascii="Arial" w:eastAsia="SimSun" w:hAnsi="Arial" w:cs="Arial"/>
          <w:i/>
          <w:sz w:val="20"/>
          <w:szCs w:val="20"/>
          <w:lang w:val="ro-RO"/>
        </w:rPr>
      </w:pPr>
      <w:r w:rsidRPr="008A7850">
        <w:rPr>
          <w:rFonts w:ascii="Arial" w:eastAsia="SimSun" w:hAnsi="Arial" w:cs="Arial"/>
          <w:i/>
          <w:sz w:val="20"/>
          <w:szCs w:val="20"/>
          <w:lang w:val="ro-RO"/>
        </w:rPr>
        <w:t>Reţeaua de arii protejate</w:t>
      </w:r>
      <w:r>
        <w:rPr>
          <w:rFonts w:ascii="Arial" w:eastAsia="SimSun" w:hAnsi="Arial" w:cs="Arial"/>
          <w:i/>
          <w:sz w:val="20"/>
          <w:szCs w:val="20"/>
          <w:lang w:val="ro-RO"/>
        </w:rPr>
        <w:t>.....................................................................</w:t>
      </w:r>
      <w:r w:rsidR="00AB5797">
        <w:rPr>
          <w:rFonts w:ascii="Arial" w:eastAsia="SimSun" w:hAnsi="Arial" w:cs="Arial"/>
          <w:i/>
          <w:sz w:val="20"/>
          <w:szCs w:val="20"/>
          <w:lang w:val="ro-RO"/>
        </w:rPr>
        <w:t>...............................</w:t>
      </w:r>
      <w:r w:rsidR="00D116B9">
        <w:rPr>
          <w:rFonts w:ascii="Arial" w:eastAsia="SimSun" w:hAnsi="Arial" w:cs="Arial"/>
          <w:i/>
          <w:sz w:val="20"/>
          <w:szCs w:val="20"/>
          <w:lang w:val="ro-RO"/>
        </w:rPr>
        <w:t>91</w:t>
      </w:r>
    </w:p>
    <w:p w:rsidR="00F2046E" w:rsidRDefault="00F2046E" w:rsidP="00F2046E">
      <w:pPr>
        <w:spacing w:after="0" w:line="240" w:lineRule="auto"/>
        <w:rPr>
          <w:rFonts w:ascii="Arial" w:eastAsia="SimSun" w:hAnsi="Arial" w:cs="Arial"/>
          <w:color w:val="FF0000"/>
          <w:sz w:val="20"/>
          <w:szCs w:val="20"/>
          <w:lang w:val="ro-RO"/>
        </w:rPr>
      </w:pPr>
    </w:p>
    <w:p w:rsidR="00F2046E" w:rsidRPr="008A7850" w:rsidRDefault="00F2046E" w:rsidP="00F2046E">
      <w:pPr>
        <w:numPr>
          <w:ilvl w:val="0"/>
          <w:numId w:val="2"/>
        </w:numPr>
        <w:spacing w:after="0" w:line="360" w:lineRule="auto"/>
        <w:rPr>
          <w:rFonts w:ascii="Arial" w:eastAsia="SimSun" w:hAnsi="Arial" w:cs="Arial"/>
          <w:b/>
          <w:sz w:val="20"/>
          <w:szCs w:val="20"/>
          <w:lang w:val="ro-RO"/>
        </w:rPr>
      </w:pPr>
      <w:r w:rsidRPr="008A7850">
        <w:rPr>
          <w:rFonts w:ascii="Arial" w:eastAsia="SimSun" w:hAnsi="Arial" w:cs="Arial"/>
          <w:b/>
          <w:sz w:val="20"/>
          <w:szCs w:val="20"/>
          <w:lang w:val="ro-RO"/>
        </w:rPr>
        <w:t>PĂDURILE</w:t>
      </w:r>
      <w:r>
        <w:rPr>
          <w:rFonts w:ascii="Arial" w:eastAsia="SimSun" w:hAnsi="Arial" w:cs="Arial"/>
          <w:b/>
          <w:sz w:val="20"/>
          <w:szCs w:val="20"/>
          <w:lang w:val="ro-RO"/>
        </w:rPr>
        <w:t>..................................................................................................................................</w:t>
      </w:r>
      <w:r w:rsidR="00D116B9">
        <w:rPr>
          <w:rFonts w:ascii="Arial" w:eastAsia="SimSun" w:hAnsi="Arial" w:cs="Arial"/>
          <w:b/>
          <w:sz w:val="20"/>
          <w:szCs w:val="20"/>
          <w:lang w:val="ro-RO"/>
        </w:rPr>
        <w:t>96</w:t>
      </w:r>
      <w:r>
        <w:rPr>
          <w:rFonts w:ascii="Arial" w:eastAsia="SimSun" w:hAnsi="Arial" w:cs="Arial"/>
          <w:b/>
          <w:sz w:val="20"/>
          <w:szCs w:val="20"/>
          <w:lang w:val="ro-RO"/>
        </w:rPr>
        <w:t xml:space="preserve"> </w:t>
      </w:r>
    </w:p>
    <w:p w:rsidR="00F2046E" w:rsidRPr="008A7850" w:rsidRDefault="00D20484" w:rsidP="00F2046E">
      <w:pPr>
        <w:numPr>
          <w:ilvl w:val="1"/>
          <w:numId w:val="2"/>
        </w:numPr>
        <w:spacing w:after="0" w:line="240" w:lineRule="auto"/>
        <w:ind w:left="851" w:hanging="482"/>
        <w:rPr>
          <w:rFonts w:ascii="Arial" w:eastAsia="SimSun" w:hAnsi="Arial" w:cs="Arial"/>
          <w:b/>
          <w:sz w:val="20"/>
          <w:szCs w:val="20"/>
          <w:lang w:val="ro-RO"/>
        </w:rPr>
      </w:pPr>
      <w:r>
        <w:rPr>
          <w:rFonts w:ascii="Arial" w:eastAsia="SimSun" w:hAnsi="Arial" w:cs="Arial"/>
          <w:b/>
          <w:sz w:val="20"/>
          <w:szCs w:val="20"/>
          <w:lang w:val="ro-RO"/>
        </w:rPr>
        <w:t>Fondul forestier judeţean</w:t>
      </w:r>
      <w:r w:rsidR="00F2046E" w:rsidRPr="008A7850">
        <w:rPr>
          <w:rFonts w:ascii="Arial" w:eastAsia="SimSun" w:hAnsi="Arial" w:cs="Arial"/>
          <w:b/>
          <w:sz w:val="20"/>
          <w:szCs w:val="20"/>
          <w:lang w:val="ro-RO"/>
        </w:rPr>
        <w:t>: stare şi consecinţe</w:t>
      </w:r>
      <w:r>
        <w:rPr>
          <w:rFonts w:ascii="Arial" w:eastAsia="SimSun" w:hAnsi="Arial" w:cs="Arial"/>
          <w:b/>
          <w:sz w:val="20"/>
          <w:szCs w:val="20"/>
          <w:lang w:val="ro-RO"/>
        </w:rPr>
        <w:t>......................</w:t>
      </w:r>
      <w:r w:rsidR="00F2046E">
        <w:rPr>
          <w:rFonts w:ascii="Arial" w:eastAsia="SimSun" w:hAnsi="Arial" w:cs="Arial"/>
          <w:b/>
          <w:sz w:val="20"/>
          <w:szCs w:val="20"/>
          <w:lang w:val="ro-RO"/>
        </w:rPr>
        <w:t>...........</w:t>
      </w:r>
      <w:r>
        <w:rPr>
          <w:rFonts w:ascii="Arial" w:eastAsia="SimSun" w:hAnsi="Arial" w:cs="Arial"/>
          <w:b/>
          <w:sz w:val="20"/>
          <w:szCs w:val="20"/>
          <w:lang w:val="ro-RO"/>
        </w:rPr>
        <w:t>................................</w:t>
      </w:r>
      <w:r w:rsidR="00F2046E">
        <w:rPr>
          <w:rFonts w:ascii="Arial" w:eastAsia="SimSun" w:hAnsi="Arial" w:cs="Arial"/>
          <w:b/>
          <w:sz w:val="20"/>
          <w:szCs w:val="20"/>
          <w:lang w:val="ro-RO"/>
        </w:rPr>
        <w:t>...</w:t>
      </w:r>
      <w:r w:rsidR="00D116B9">
        <w:rPr>
          <w:rFonts w:ascii="Arial" w:eastAsia="SimSun" w:hAnsi="Arial" w:cs="Arial"/>
          <w:b/>
          <w:sz w:val="20"/>
          <w:szCs w:val="20"/>
          <w:lang w:val="ro-RO"/>
        </w:rPr>
        <w:t>96</w:t>
      </w:r>
      <w:r w:rsidR="00F2046E">
        <w:rPr>
          <w:rFonts w:ascii="Arial" w:eastAsia="SimSun" w:hAnsi="Arial" w:cs="Arial"/>
          <w:b/>
          <w:sz w:val="20"/>
          <w:szCs w:val="20"/>
          <w:lang w:val="ro-RO"/>
        </w:rPr>
        <w:t xml:space="preserve">  </w:t>
      </w:r>
    </w:p>
    <w:p w:rsidR="00F2046E" w:rsidRPr="008A7850" w:rsidRDefault="00F2046E" w:rsidP="00F2046E">
      <w:pPr>
        <w:numPr>
          <w:ilvl w:val="2"/>
          <w:numId w:val="2"/>
        </w:numPr>
        <w:tabs>
          <w:tab w:val="left" w:pos="1276"/>
        </w:tabs>
        <w:spacing w:after="0" w:line="240" w:lineRule="auto"/>
        <w:ind w:left="993"/>
        <w:rPr>
          <w:rFonts w:ascii="Arial" w:eastAsia="SimSun" w:hAnsi="Arial" w:cs="Arial"/>
          <w:i/>
          <w:sz w:val="20"/>
          <w:szCs w:val="20"/>
          <w:lang w:val="ro-RO"/>
        </w:rPr>
      </w:pPr>
      <w:r w:rsidRPr="008A7850">
        <w:rPr>
          <w:rFonts w:ascii="Arial" w:eastAsia="SimSun" w:hAnsi="Arial" w:cs="Arial"/>
          <w:i/>
          <w:sz w:val="20"/>
          <w:szCs w:val="20"/>
          <w:lang w:val="ro-RO"/>
        </w:rPr>
        <w:t>Evoluţia suprafeţei fondului forestier</w:t>
      </w:r>
      <w:r>
        <w:rPr>
          <w:rFonts w:ascii="Arial" w:eastAsia="SimSun" w:hAnsi="Arial" w:cs="Arial"/>
          <w:i/>
          <w:sz w:val="20"/>
          <w:szCs w:val="20"/>
          <w:lang w:val="ro-RO"/>
        </w:rPr>
        <w:t>.................................................................................</w:t>
      </w:r>
      <w:r w:rsidR="00D116B9">
        <w:rPr>
          <w:rFonts w:ascii="Arial" w:eastAsia="SimSun" w:hAnsi="Arial" w:cs="Arial"/>
          <w:i/>
          <w:sz w:val="20"/>
          <w:szCs w:val="20"/>
          <w:lang w:val="ro-RO"/>
        </w:rPr>
        <w:t>96</w:t>
      </w:r>
      <w:r w:rsidRPr="008A7850">
        <w:rPr>
          <w:rFonts w:ascii="Arial" w:eastAsia="SimSun" w:hAnsi="Arial" w:cs="Arial"/>
          <w:i/>
          <w:sz w:val="20"/>
          <w:szCs w:val="20"/>
          <w:lang w:val="ro-RO"/>
        </w:rPr>
        <w:tab/>
      </w:r>
    </w:p>
    <w:p w:rsidR="00F2046E" w:rsidRPr="008A7850" w:rsidRDefault="00F2046E" w:rsidP="00F2046E">
      <w:pPr>
        <w:numPr>
          <w:ilvl w:val="2"/>
          <w:numId w:val="2"/>
        </w:numPr>
        <w:tabs>
          <w:tab w:val="left" w:pos="1276"/>
        </w:tabs>
        <w:spacing w:after="0" w:line="240" w:lineRule="auto"/>
        <w:ind w:left="993"/>
        <w:rPr>
          <w:rFonts w:ascii="Arial" w:eastAsia="SimSun" w:hAnsi="Arial" w:cs="Arial"/>
          <w:i/>
          <w:sz w:val="20"/>
          <w:szCs w:val="20"/>
          <w:lang w:val="ro-RO"/>
        </w:rPr>
      </w:pPr>
      <w:r w:rsidRPr="008A7850">
        <w:rPr>
          <w:rFonts w:ascii="Arial" w:eastAsia="SimSun" w:hAnsi="Arial" w:cs="Arial"/>
          <w:i/>
          <w:sz w:val="20"/>
          <w:szCs w:val="20"/>
          <w:lang w:val="ro-RO"/>
        </w:rPr>
        <w:t>Distribuţia pădurilor după principalele forme de relief</w:t>
      </w:r>
      <w:r>
        <w:rPr>
          <w:rFonts w:ascii="Arial" w:eastAsia="SimSun" w:hAnsi="Arial" w:cs="Arial"/>
          <w:i/>
          <w:sz w:val="20"/>
          <w:szCs w:val="20"/>
          <w:lang w:val="ro-RO"/>
        </w:rPr>
        <w:t>.......................................................</w:t>
      </w:r>
      <w:r w:rsidR="00D116B9">
        <w:rPr>
          <w:rFonts w:ascii="Arial" w:eastAsia="SimSun" w:hAnsi="Arial" w:cs="Arial"/>
          <w:i/>
          <w:sz w:val="20"/>
          <w:szCs w:val="20"/>
          <w:lang w:val="ro-RO"/>
        </w:rPr>
        <w:t>97</w:t>
      </w:r>
      <w:r>
        <w:rPr>
          <w:rFonts w:ascii="Arial" w:eastAsia="SimSun" w:hAnsi="Arial" w:cs="Arial"/>
          <w:i/>
          <w:sz w:val="20"/>
          <w:szCs w:val="20"/>
          <w:lang w:val="ro-RO"/>
        </w:rPr>
        <w:t xml:space="preserve"> </w:t>
      </w:r>
    </w:p>
    <w:p w:rsidR="00F2046E" w:rsidRPr="008A7850" w:rsidRDefault="00F2046E" w:rsidP="00F2046E">
      <w:pPr>
        <w:numPr>
          <w:ilvl w:val="2"/>
          <w:numId w:val="2"/>
        </w:numPr>
        <w:tabs>
          <w:tab w:val="left" w:pos="1276"/>
        </w:tabs>
        <w:spacing w:after="0" w:line="240" w:lineRule="auto"/>
        <w:ind w:left="993"/>
        <w:rPr>
          <w:rFonts w:ascii="Arial" w:eastAsia="SimSun" w:hAnsi="Arial" w:cs="Arial"/>
          <w:i/>
          <w:sz w:val="20"/>
          <w:szCs w:val="20"/>
          <w:lang w:val="ro-RO"/>
        </w:rPr>
      </w:pPr>
      <w:r w:rsidRPr="008A7850">
        <w:rPr>
          <w:rFonts w:ascii="Arial" w:eastAsia="SimSun" w:hAnsi="Arial" w:cs="Arial"/>
          <w:i/>
          <w:sz w:val="20"/>
          <w:szCs w:val="20"/>
          <w:lang w:val="ro-RO"/>
        </w:rPr>
        <w:t>Starea de sănătate a pădurilor</w:t>
      </w:r>
      <w:r>
        <w:rPr>
          <w:rFonts w:ascii="Arial" w:eastAsia="SimSun" w:hAnsi="Arial" w:cs="Arial"/>
          <w:i/>
          <w:sz w:val="20"/>
          <w:szCs w:val="20"/>
          <w:lang w:val="ro-RO"/>
        </w:rPr>
        <w:t>..........................................................................................</w:t>
      </w:r>
      <w:r w:rsidR="00D116B9">
        <w:rPr>
          <w:rFonts w:ascii="Arial" w:eastAsia="SimSun" w:hAnsi="Arial" w:cs="Arial"/>
          <w:i/>
          <w:sz w:val="20"/>
          <w:szCs w:val="20"/>
          <w:lang w:val="ro-RO"/>
        </w:rPr>
        <w:t>98</w:t>
      </w:r>
      <w:r w:rsidRPr="008A7850">
        <w:rPr>
          <w:rFonts w:ascii="Arial" w:eastAsia="SimSun" w:hAnsi="Arial" w:cs="Arial"/>
          <w:i/>
          <w:sz w:val="20"/>
          <w:szCs w:val="20"/>
          <w:lang w:val="ro-RO"/>
        </w:rPr>
        <w:t xml:space="preserve"> </w:t>
      </w:r>
      <w:r w:rsidRPr="008A7850">
        <w:rPr>
          <w:rFonts w:ascii="Arial" w:eastAsia="SimSun" w:hAnsi="Arial" w:cs="Arial"/>
          <w:i/>
          <w:sz w:val="20"/>
          <w:szCs w:val="20"/>
          <w:lang w:val="ro-RO"/>
        </w:rPr>
        <w:tab/>
      </w:r>
    </w:p>
    <w:p w:rsidR="00F2046E" w:rsidRPr="008A7850" w:rsidRDefault="00F2046E" w:rsidP="00F2046E">
      <w:pPr>
        <w:numPr>
          <w:ilvl w:val="2"/>
          <w:numId w:val="2"/>
        </w:numPr>
        <w:tabs>
          <w:tab w:val="left" w:pos="1276"/>
        </w:tabs>
        <w:spacing w:after="0" w:line="240" w:lineRule="auto"/>
        <w:ind w:left="993"/>
        <w:rPr>
          <w:rFonts w:ascii="Arial" w:eastAsia="SimSun" w:hAnsi="Arial" w:cs="Arial"/>
          <w:i/>
          <w:sz w:val="20"/>
          <w:szCs w:val="20"/>
          <w:lang w:val="ro-RO"/>
        </w:rPr>
      </w:pPr>
      <w:r w:rsidRPr="008A7850">
        <w:rPr>
          <w:rFonts w:ascii="Arial" w:eastAsia="SimSun" w:hAnsi="Arial" w:cs="Arial"/>
          <w:i/>
          <w:sz w:val="20"/>
          <w:szCs w:val="20"/>
          <w:lang w:val="ro-RO"/>
        </w:rPr>
        <w:t>Suprafeţe de păduri regenerate</w:t>
      </w:r>
      <w:r>
        <w:rPr>
          <w:rFonts w:ascii="Arial" w:eastAsia="SimSun" w:hAnsi="Arial" w:cs="Arial"/>
          <w:i/>
          <w:sz w:val="20"/>
          <w:szCs w:val="20"/>
          <w:lang w:val="ro-RO"/>
        </w:rPr>
        <w:t>........................................................................................</w:t>
      </w:r>
      <w:r w:rsidR="00D116B9">
        <w:rPr>
          <w:rFonts w:ascii="Arial" w:eastAsia="SimSun" w:hAnsi="Arial" w:cs="Arial"/>
          <w:i/>
          <w:sz w:val="20"/>
          <w:szCs w:val="20"/>
          <w:lang w:val="ro-RO"/>
        </w:rPr>
        <w:t>98</w:t>
      </w:r>
    </w:p>
    <w:p w:rsidR="00F2046E" w:rsidRPr="008A7850" w:rsidRDefault="00F2046E" w:rsidP="00F2046E">
      <w:pPr>
        <w:numPr>
          <w:ilvl w:val="2"/>
          <w:numId w:val="2"/>
        </w:numPr>
        <w:tabs>
          <w:tab w:val="left" w:pos="1276"/>
        </w:tabs>
        <w:spacing w:after="0" w:line="240" w:lineRule="auto"/>
        <w:ind w:left="993"/>
        <w:rPr>
          <w:rFonts w:ascii="Arial" w:eastAsia="SimSun" w:hAnsi="Arial" w:cs="Arial"/>
          <w:i/>
          <w:sz w:val="20"/>
          <w:szCs w:val="20"/>
          <w:lang w:val="ro-RO"/>
        </w:rPr>
      </w:pPr>
      <w:r w:rsidRPr="008A7850">
        <w:rPr>
          <w:rFonts w:ascii="Arial" w:eastAsia="SimSun" w:hAnsi="Arial" w:cs="Arial"/>
          <w:i/>
          <w:sz w:val="20"/>
          <w:szCs w:val="20"/>
          <w:lang w:val="ro-RO"/>
        </w:rPr>
        <w:t>Zone cu deficit de vegetaţie forestieră şi disponibilităţi de împădurire</w:t>
      </w:r>
      <w:r>
        <w:rPr>
          <w:rFonts w:ascii="Arial" w:eastAsia="SimSun" w:hAnsi="Arial" w:cs="Arial"/>
          <w:i/>
          <w:sz w:val="20"/>
          <w:szCs w:val="20"/>
          <w:lang w:val="ro-RO"/>
        </w:rPr>
        <w:t>.</w:t>
      </w:r>
      <w:r w:rsidR="00AB5797">
        <w:rPr>
          <w:rFonts w:ascii="Arial" w:eastAsia="SimSun" w:hAnsi="Arial" w:cs="Arial"/>
          <w:i/>
          <w:sz w:val="20"/>
          <w:szCs w:val="20"/>
          <w:lang w:val="ro-RO"/>
        </w:rPr>
        <w:t>.............................1</w:t>
      </w:r>
      <w:r w:rsidR="00D116B9">
        <w:rPr>
          <w:rFonts w:ascii="Arial" w:eastAsia="SimSun" w:hAnsi="Arial" w:cs="Arial"/>
          <w:i/>
          <w:sz w:val="20"/>
          <w:szCs w:val="20"/>
          <w:lang w:val="ro-RO"/>
        </w:rPr>
        <w:t>00</w:t>
      </w:r>
    </w:p>
    <w:p w:rsidR="00F2046E" w:rsidRPr="008A7850" w:rsidRDefault="00F2046E" w:rsidP="00F2046E">
      <w:pPr>
        <w:numPr>
          <w:ilvl w:val="1"/>
          <w:numId w:val="2"/>
        </w:numPr>
        <w:spacing w:after="0" w:line="240" w:lineRule="auto"/>
        <w:ind w:left="851" w:hanging="482"/>
        <w:rPr>
          <w:rFonts w:ascii="Arial" w:eastAsia="SimSun" w:hAnsi="Arial" w:cs="Arial"/>
          <w:b/>
          <w:sz w:val="20"/>
          <w:szCs w:val="20"/>
          <w:lang w:val="ro-RO"/>
        </w:rPr>
      </w:pPr>
      <w:r w:rsidRPr="008A7850">
        <w:rPr>
          <w:rFonts w:ascii="Arial" w:eastAsia="SimSun" w:hAnsi="Arial" w:cs="Arial"/>
          <w:b/>
          <w:sz w:val="20"/>
          <w:szCs w:val="20"/>
          <w:lang w:val="ro-RO"/>
        </w:rPr>
        <w:t>Ameninţări şi presiuni exercitate asupra pădurilor</w:t>
      </w:r>
      <w:r>
        <w:rPr>
          <w:rFonts w:ascii="Arial" w:eastAsia="SimSun" w:hAnsi="Arial" w:cs="Arial"/>
          <w:b/>
          <w:sz w:val="20"/>
          <w:szCs w:val="20"/>
          <w:lang w:val="ro-RO"/>
        </w:rPr>
        <w:t>................................</w:t>
      </w:r>
      <w:r w:rsidR="00AB5797">
        <w:rPr>
          <w:rFonts w:ascii="Arial" w:eastAsia="SimSun" w:hAnsi="Arial" w:cs="Arial"/>
          <w:b/>
          <w:sz w:val="20"/>
          <w:szCs w:val="20"/>
          <w:lang w:val="ro-RO"/>
        </w:rPr>
        <w:t>.............................1</w:t>
      </w:r>
      <w:r w:rsidR="00D116B9">
        <w:rPr>
          <w:rFonts w:ascii="Arial" w:eastAsia="SimSun" w:hAnsi="Arial" w:cs="Arial"/>
          <w:b/>
          <w:sz w:val="20"/>
          <w:szCs w:val="20"/>
          <w:lang w:val="ro-RO"/>
        </w:rPr>
        <w:t>00</w:t>
      </w:r>
    </w:p>
    <w:p w:rsidR="00F2046E" w:rsidRPr="008A7850" w:rsidRDefault="00F2046E" w:rsidP="00F2046E">
      <w:pPr>
        <w:numPr>
          <w:ilvl w:val="2"/>
          <w:numId w:val="2"/>
        </w:numPr>
        <w:tabs>
          <w:tab w:val="left" w:pos="1276"/>
        </w:tabs>
        <w:spacing w:after="0" w:line="240" w:lineRule="auto"/>
        <w:ind w:left="993"/>
        <w:rPr>
          <w:rFonts w:ascii="Arial" w:eastAsia="SimSun" w:hAnsi="Arial" w:cs="Arial"/>
          <w:i/>
          <w:sz w:val="20"/>
          <w:szCs w:val="20"/>
          <w:lang w:val="ro-RO"/>
        </w:rPr>
      </w:pPr>
      <w:r w:rsidRPr="008A7850">
        <w:rPr>
          <w:rFonts w:ascii="Arial" w:eastAsia="SimSun" w:hAnsi="Arial" w:cs="Arial"/>
          <w:i/>
          <w:sz w:val="20"/>
          <w:szCs w:val="20"/>
          <w:lang w:val="ro-RO"/>
        </w:rPr>
        <w:t>Suprafeţe de pădure parcurse cu tăieri</w:t>
      </w:r>
      <w:r>
        <w:rPr>
          <w:rFonts w:ascii="Arial" w:eastAsia="SimSun" w:hAnsi="Arial" w:cs="Arial"/>
          <w:i/>
          <w:sz w:val="20"/>
          <w:szCs w:val="20"/>
          <w:lang w:val="ro-RO"/>
        </w:rPr>
        <w:t>................................................</w:t>
      </w:r>
      <w:r w:rsidR="00AB5797">
        <w:rPr>
          <w:rFonts w:ascii="Arial" w:eastAsia="SimSun" w:hAnsi="Arial" w:cs="Arial"/>
          <w:i/>
          <w:sz w:val="20"/>
          <w:szCs w:val="20"/>
          <w:lang w:val="ro-RO"/>
        </w:rPr>
        <w:t>.............................1</w:t>
      </w:r>
      <w:r w:rsidR="00D116B9">
        <w:rPr>
          <w:rFonts w:ascii="Arial" w:eastAsia="SimSun" w:hAnsi="Arial" w:cs="Arial"/>
          <w:i/>
          <w:sz w:val="20"/>
          <w:szCs w:val="20"/>
          <w:lang w:val="ro-RO"/>
        </w:rPr>
        <w:t>01</w:t>
      </w:r>
      <w:r w:rsidRPr="008A7850">
        <w:rPr>
          <w:rFonts w:ascii="Arial" w:eastAsia="SimSun" w:hAnsi="Arial" w:cs="Arial"/>
          <w:i/>
          <w:sz w:val="20"/>
          <w:szCs w:val="20"/>
          <w:lang w:val="ro-RO"/>
        </w:rPr>
        <w:t xml:space="preserve"> </w:t>
      </w:r>
      <w:r w:rsidRPr="008A7850">
        <w:rPr>
          <w:rFonts w:ascii="Arial" w:eastAsia="SimSun" w:hAnsi="Arial" w:cs="Arial"/>
          <w:i/>
          <w:sz w:val="20"/>
          <w:szCs w:val="20"/>
          <w:lang w:val="ro-RO"/>
        </w:rPr>
        <w:tab/>
      </w:r>
    </w:p>
    <w:p w:rsidR="00F2046E" w:rsidRPr="008A7850" w:rsidRDefault="00F2046E" w:rsidP="00F2046E">
      <w:pPr>
        <w:numPr>
          <w:ilvl w:val="2"/>
          <w:numId w:val="2"/>
        </w:numPr>
        <w:tabs>
          <w:tab w:val="left" w:pos="1276"/>
        </w:tabs>
        <w:spacing w:after="0" w:line="240" w:lineRule="auto"/>
        <w:ind w:left="993"/>
        <w:rPr>
          <w:rFonts w:ascii="Arial" w:eastAsia="SimSun" w:hAnsi="Arial" w:cs="Arial"/>
          <w:i/>
          <w:sz w:val="20"/>
          <w:szCs w:val="20"/>
          <w:lang w:val="ro-RO"/>
        </w:rPr>
      </w:pPr>
      <w:r w:rsidRPr="008A7850">
        <w:rPr>
          <w:rFonts w:ascii="Arial" w:eastAsia="SimSun" w:hAnsi="Arial" w:cs="Arial"/>
          <w:i/>
          <w:sz w:val="20"/>
          <w:szCs w:val="20"/>
          <w:lang w:val="ro-RO"/>
        </w:rPr>
        <w:t>Schimbarea utilizării terenurilor</w:t>
      </w:r>
      <w:r>
        <w:rPr>
          <w:rFonts w:ascii="Arial" w:eastAsia="SimSun" w:hAnsi="Arial" w:cs="Arial"/>
          <w:i/>
          <w:sz w:val="20"/>
          <w:szCs w:val="20"/>
          <w:lang w:val="ro-RO"/>
        </w:rPr>
        <w:t>............................................................</w:t>
      </w:r>
      <w:r w:rsidR="00AB5797">
        <w:rPr>
          <w:rFonts w:ascii="Arial" w:eastAsia="SimSun" w:hAnsi="Arial" w:cs="Arial"/>
          <w:i/>
          <w:sz w:val="20"/>
          <w:szCs w:val="20"/>
          <w:lang w:val="ro-RO"/>
        </w:rPr>
        <w:t>.............................1</w:t>
      </w:r>
      <w:r w:rsidR="00D116B9">
        <w:rPr>
          <w:rFonts w:ascii="Arial" w:eastAsia="SimSun" w:hAnsi="Arial" w:cs="Arial"/>
          <w:i/>
          <w:sz w:val="20"/>
          <w:szCs w:val="20"/>
          <w:lang w:val="ro-RO"/>
        </w:rPr>
        <w:t>02</w:t>
      </w:r>
      <w:r w:rsidRPr="008A7850">
        <w:rPr>
          <w:rFonts w:ascii="Arial" w:eastAsia="SimSun" w:hAnsi="Arial" w:cs="Arial"/>
          <w:i/>
          <w:sz w:val="20"/>
          <w:szCs w:val="20"/>
          <w:lang w:val="ro-RO"/>
        </w:rPr>
        <w:t xml:space="preserve"> </w:t>
      </w:r>
      <w:r w:rsidRPr="008A7850">
        <w:rPr>
          <w:rFonts w:ascii="Arial" w:eastAsia="SimSun" w:hAnsi="Arial" w:cs="Arial"/>
          <w:i/>
          <w:sz w:val="20"/>
          <w:szCs w:val="20"/>
          <w:lang w:val="ro-RO"/>
        </w:rPr>
        <w:tab/>
      </w:r>
    </w:p>
    <w:p w:rsidR="00F2046E" w:rsidRPr="008A7850" w:rsidRDefault="00F2046E" w:rsidP="00F2046E">
      <w:pPr>
        <w:numPr>
          <w:ilvl w:val="3"/>
          <w:numId w:val="2"/>
        </w:numPr>
        <w:spacing w:after="0" w:line="240" w:lineRule="auto"/>
        <w:ind w:left="1560" w:hanging="780"/>
        <w:rPr>
          <w:rFonts w:ascii="Arial" w:eastAsia="SimSun" w:hAnsi="Arial" w:cs="Arial"/>
          <w:sz w:val="20"/>
          <w:szCs w:val="20"/>
          <w:lang w:val="ro-RO"/>
        </w:rPr>
      </w:pPr>
      <w:r w:rsidRPr="008A7850">
        <w:rPr>
          <w:rFonts w:ascii="Arial" w:eastAsia="SimSun" w:hAnsi="Arial" w:cs="Arial"/>
          <w:sz w:val="20"/>
          <w:szCs w:val="20"/>
          <w:lang w:val="ro-RO"/>
        </w:rPr>
        <w:t>Fragmentarea ecosistemelor</w:t>
      </w:r>
      <w:r>
        <w:rPr>
          <w:rFonts w:ascii="Arial" w:eastAsia="SimSun" w:hAnsi="Arial" w:cs="Arial"/>
          <w:sz w:val="20"/>
          <w:szCs w:val="20"/>
          <w:lang w:val="ro-RO"/>
        </w:rPr>
        <w:t>...........................................................</w:t>
      </w:r>
      <w:r w:rsidR="00AB5797">
        <w:rPr>
          <w:rFonts w:ascii="Arial" w:eastAsia="SimSun" w:hAnsi="Arial" w:cs="Arial"/>
          <w:sz w:val="20"/>
          <w:szCs w:val="20"/>
          <w:lang w:val="ro-RO"/>
        </w:rPr>
        <w:t>.............................1</w:t>
      </w:r>
      <w:r w:rsidR="00D116B9">
        <w:rPr>
          <w:rFonts w:ascii="Arial" w:eastAsia="SimSun" w:hAnsi="Arial" w:cs="Arial"/>
          <w:sz w:val="20"/>
          <w:szCs w:val="20"/>
          <w:lang w:val="ro-RO"/>
        </w:rPr>
        <w:t>02</w:t>
      </w:r>
    </w:p>
    <w:p w:rsidR="00F2046E" w:rsidRPr="008A7850" w:rsidRDefault="00F2046E" w:rsidP="00F2046E">
      <w:pPr>
        <w:numPr>
          <w:ilvl w:val="2"/>
          <w:numId w:val="2"/>
        </w:numPr>
        <w:tabs>
          <w:tab w:val="left" w:pos="1276"/>
        </w:tabs>
        <w:spacing w:after="0" w:line="240" w:lineRule="auto"/>
        <w:ind w:left="993"/>
        <w:rPr>
          <w:rFonts w:ascii="Arial" w:eastAsia="SimSun" w:hAnsi="Arial" w:cs="Arial"/>
          <w:i/>
          <w:sz w:val="20"/>
          <w:szCs w:val="20"/>
          <w:lang w:val="ro-RO"/>
        </w:rPr>
      </w:pPr>
      <w:r w:rsidRPr="008A7850">
        <w:rPr>
          <w:rFonts w:ascii="Arial" w:eastAsia="SimSun" w:hAnsi="Arial" w:cs="Arial"/>
          <w:i/>
          <w:sz w:val="20"/>
          <w:szCs w:val="20"/>
          <w:lang w:val="ro-RO"/>
        </w:rPr>
        <w:t>Schimbările climatice</w:t>
      </w:r>
      <w:r>
        <w:rPr>
          <w:rFonts w:ascii="Arial" w:eastAsia="SimSun" w:hAnsi="Arial" w:cs="Arial"/>
          <w:i/>
          <w:sz w:val="20"/>
          <w:szCs w:val="20"/>
          <w:lang w:val="ro-RO"/>
        </w:rPr>
        <w:t>............................................................................</w:t>
      </w:r>
      <w:r w:rsidR="00AB5797">
        <w:rPr>
          <w:rFonts w:ascii="Arial" w:eastAsia="SimSun" w:hAnsi="Arial" w:cs="Arial"/>
          <w:i/>
          <w:sz w:val="20"/>
          <w:szCs w:val="20"/>
          <w:lang w:val="ro-RO"/>
        </w:rPr>
        <w:t>.............................1</w:t>
      </w:r>
      <w:r w:rsidR="00D116B9">
        <w:rPr>
          <w:rFonts w:ascii="Arial" w:eastAsia="SimSun" w:hAnsi="Arial" w:cs="Arial"/>
          <w:i/>
          <w:sz w:val="20"/>
          <w:szCs w:val="20"/>
          <w:lang w:val="ro-RO"/>
        </w:rPr>
        <w:t>03</w:t>
      </w:r>
    </w:p>
    <w:p w:rsidR="00F2046E" w:rsidRPr="00215444" w:rsidRDefault="00F2046E" w:rsidP="00F2046E">
      <w:pPr>
        <w:numPr>
          <w:ilvl w:val="1"/>
          <w:numId w:val="2"/>
        </w:numPr>
        <w:spacing w:after="0" w:line="240" w:lineRule="auto"/>
        <w:ind w:left="851" w:hanging="482"/>
        <w:rPr>
          <w:rFonts w:ascii="Arial" w:eastAsia="SimSun" w:hAnsi="Arial" w:cs="Arial"/>
          <w:b/>
          <w:sz w:val="20"/>
          <w:szCs w:val="20"/>
          <w:lang w:val="ro-RO"/>
        </w:rPr>
      </w:pPr>
      <w:r w:rsidRPr="008A7850">
        <w:rPr>
          <w:rFonts w:ascii="Arial" w:eastAsia="SimSun" w:hAnsi="Arial" w:cs="Arial"/>
          <w:b/>
          <w:sz w:val="20"/>
          <w:szCs w:val="20"/>
          <w:lang w:val="ro-RO"/>
        </w:rPr>
        <w:t>Tendinţe, prognoze şi acţiuni privind gestionarea durabilă a pădurilor</w:t>
      </w:r>
      <w:r>
        <w:rPr>
          <w:rFonts w:ascii="Arial" w:eastAsia="SimSun" w:hAnsi="Arial" w:cs="Arial"/>
          <w:b/>
          <w:sz w:val="20"/>
          <w:szCs w:val="20"/>
          <w:lang w:val="ro-RO"/>
        </w:rPr>
        <w:t>.............</w:t>
      </w:r>
      <w:r w:rsidR="00AB5797">
        <w:rPr>
          <w:rFonts w:ascii="Arial" w:eastAsia="SimSun" w:hAnsi="Arial" w:cs="Arial"/>
          <w:b/>
          <w:sz w:val="20"/>
          <w:szCs w:val="20"/>
          <w:lang w:val="ro-RO"/>
        </w:rPr>
        <w:t>..............1</w:t>
      </w:r>
      <w:r w:rsidR="00D116B9">
        <w:rPr>
          <w:rFonts w:ascii="Arial" w:eastAsia="SimSun" w:hAnsi="Arial" w:cs="Arial"/>
          <w:b/>
          <w:sz w:val="20"/>
          <w:szCs w:val="20"/>
          <w:lang w:val="ro-RO"/>
        </w:rPr>
        <w:t>03</w:t>
      </w:r>
      <w:r w:rsidRPr="008A7850">
        <w:rPr>
          <w:rFonts w:ascii="Arial" w:eastAsia="SimSun" w:hAnsi="Arial" w:cs="Arial"/>
          <w:b/>
          <w:sz w:val="20"/>
          <w:szCs w:val="20"/>
          <w:lang w:val="ro-RO"/>
        </w:rPr>
        <w:t xml:space="preserve"> </w:t>
      </w:r>
      <w:r w:rsidRPr="008A7850">
        <w:rPr>
          <w:rFonts w:ascii="Arial" w:eastAsia="SimSun" w:hAnsi="Arial" w:cs="Arial"/>
          <w:b/>
          <w:sz w:val="20"/>
          <w:szCs w:val="20"/>
          <w:lang w:val="ro-RO"/>
        </w:rPr>
        <w:tab/>
      </w:r>
    </w:p>
    <w:p w:rsidR="00F2046E" w:rsidRPr="008A7850" w:rsidRDefault="00F2046E" w:rsidP="00F2046E">
      <w:pPr>
        <w:numPr>
          <w:ilvl w:val="0"/>
          <w:numId w:val="2"/>
        </w:numPr>
        <w:spacing w:after="0" w:line="360" w:lineRule="auto"/>
        <w:rPr>
          <w:rFonts w:ascii="Arial" w:eastAsia="SimSun" w:hAnsi="Arial" w:cs="Arial"/>
          <w:b/>
          <w:sz w:val="20"/>
          <w:szCs w:val="20"/>
          <w:lang w:val="ro-RO"/>
        </w:rPr>
      </w:pPr>
      <w:r w:rsidRPr="008A7850">
        <w:rPr>
          <w:rFonts w:ascii="Arial" w:eastAsia="SimSun" w:hAnsi="Arial" w:cs="Arial"/>
          <w:b/>
          <w:sz w:val="20"/>
          <w:szCs w:val="20"/>
          <w:lang w:val="ro-RO"/>
        </w:rPr>
        <w:t>RESURSELE MATERIALE ŞI DEŞEURILE</w:t>
      </w:r>
      <w:r>
        <w:rPr>
          <w:rFonts w:ascii="Arial" w:eastAsia="SimSun" w:hAnsi="Arial" w:cs="Arial"/>
          <w:b/>
          <w:sz w:val="20"/>
          <w:szCs w:val="20"/>
          <w:lang w:val="ro-RO"/>
        </w:rPr>
        <w:t>.................................................</w:t>
      </w:r>
      <w:r w:rsidR="00AB5797">
        <w:rPr>
          <w:rFonts w:ascii="Arial" w:eastAsia="SimSun" w:hAnsi="Arial" w:cs="Arial"/>
          <w:b/>
          <w:sz w:val="20"/>
          <w:szCs w:val="20"/>
          <w:lang w:val="ro-RO"/>
        </w:rPr>
        <w:t>..............................1</w:t>
      </w:r>
      <w:r w:rsidR="00D116B9">
        <w:rPr>
          <w:rFonts w:ascii="Arial" w:eastAsia="SimSun" w:hAnsi="Arial" w:cs="Arial"/>
          <w:b/>
          <w:sz w:val="20"/>
          <w:szCs w:val="20"/>
          <w:lang w:val="ro-RO"/>
        </w:rPr>
        <w:t>06</w:t>
      </w:r>
    </w:p>
    <w:p w:rsidR="00F2046E" w:rsidRPr="008A7850" w:rsidRDefault="00F2046E" w:rsidP="00F2046E">
      <w:pPr>
        <w:numPr>
          <w:ilvl w:val="1"/>
          <w:numId w:val="2"/>
        </w:numPr>
        <w:spacing w:after="0" w:line="240" w:lineRule="auto"/>
        <w:ind w:left="851" w:hanging="482"/>
        <w:rPr>
          <w:rFonts w:ascii="Arial" w:eastAsia="SimSun" w:hAnsi="Arial" w:cs="Arial"/>
          <w:b/>
          <w:sz w:val="20"/>
          <w:szCs w:val="20"/>
          <w:lang w:val="ro-RO"/>
        </w:rPr>
      </w:pPr>
      <w:r w:rsidRPr="008A7850">
        <w:rPr>
          <w:rFonts w:ascii="Arial" w:eastAsia="SimSun" w:hAnsi="Arial" w:cs="Arial"/>
          <w:b/>
          <w:sz w:val="20"/>
          <w:szCs w:val="20"/>
          <w:lang w:val="ro-RO"/>
        </w:rPr>
        <w:t>Generarea şi gestionarea deşeurilor: tendinţe, impacturi şi prognoze</w:t>
      </w:r>
      <w:r w:rsidR="00AB5797">
        <w:rPr>
          <w:rFonts w:ascii="Arial" w:eastAsia="SimSun" w:hAnsi="Arial" w:cs="Arial"/>
          <w:b/>
          <w:sz w:val="20"/>
          <w:szCs w:val="20"/>
          <w:lang w:val="ro-RO"/>
        </w:rPr>
        <w:t>............................1</w:t>
      </w:r>
      <w:r w:rsidR="00D116B9">
        <w:rPr>
          <w:rFonts w:ascii="Arial" w:eastAsia="SimSun" w:hAnsi="Arial" w:cs="Arial"/>
          <w:b/>
          <w:sz w:val="20"/>
          <w:szCs w:val="20"/>
          <w:lang w:val="ro-RO"/>
        </w:rPr>
        <w:t>07</w:t>
      </w:r>
    </w:p>
    <w:p w:rsidR="00F2046E" w:rsidRPr="008A7850" w:rsidRDefault="00F2046E" w:rsidP="00F2046E">
      <w:pPr>
        <w:numPr>
          <w:ilvl w:val="2"/>
          <w:numId w:val="2"/>
        </w:numPr>
        <w:tabs>
          <w:tab w:val="left" w:pos="1276"/>
        </w:tabs>
        <w:spacing w:after="0" w:line="240" w:lineRule="auto"/>
        <w:ind w:left="993"/>
        <w:rPr>
          <w:rFonts w:ascii="Arial" w:eastAsia="SimSun" w:hAnsi="Arial" w:cs="Arial"/>
          <w:i/>
          <w:sz w:val="20"/>
          <w:szCs w:val="20"/>
          <w:lang w:val="ro-RO"/>
        </w:rPr>
      </w:pPr>
      <w:r w:rsidRPr="008A7850">
        <w:rPr>
          <w:rFonts w:ascii="Arial" w:eastAsia="SimSun" w:hAnsi="Arial" w:cs="Arial"/>
          <w:i/>
          <w:sz w:val="20"/>
          <w:szCs w:val="20"/>
          <w:lang w:val="ro-RO"/>
        </w:rPr>
        <w:t>Generarea şi gestionarea deşeurilor municipale</w:t>
      </w:r>
      <w:r>
        <w:rPr>
          <w:rFonts w:ascii="Arial" w:eastAsia="SimSun" w:hAnsi="Arial" w:cs="Arial"/>
          <w:i/>
          <w:sz w:val="20"/>
          <w:szCs w:val="20"/>
          <w:lang w:val="ro-RO"/>
        </w:rPr>
        <w:t>..................................</w:t>
      </w:r>
      <w:r w:rsidR="00AB5797">
        <w:rPr>
          <w:rFonts w:ascii="Arial" w:eastAsia="SimSun" w:hAnsi="Arial" w:cs="Arial"/>
          <w:i/>
          <w:sz w:val="20"/>
          <w:szCs w:val="20"/>
          <w:lang w:val="ro-RO"/>
        </w:rPr>
        <w:t>.............................</w:t>
      </w:r>
      <w:r w:rsidR="00D116B9">
        <w:rPr>
          <w:rFonts w:ascii="Arial" w:eastAsia="SimSun" w:hAnsi="Arial" w:cs="Arial"/>
          <w:i/>
          <w:sz w:val="20"/>
          <w:szCs w:val="20"/>
          <w:lang w:val="ro-RO"/>
        </w:rPr>
        <w:t>108</w:t>
      </w:r>
      <w:r w:rsidRPr="008A7850">
        <w:rPr>
          <w:rFonts w:ascii="Arial" w:eastAsia="SimSun" w:hAnsi="Arial" w:cs="Arial"/>
          <w:i/>
          <w:sz w:val="20"/>
          <w:szCs w:val="20"/>
          <w:lang w:val="ro-RO"/>
        </w:rPr>
        <w:t xml:space="preserve"> </w:t>
      </w:r>
    </w:p>
    <w:p w:rsidR="00F2046E" w:rsidRPr="008A7850" w:rsidRDefault="00F2046E" w:rsidP="00F2046E">
      <w:pPr>
        <w:numPr>
          <w:ilvl w:val="2"/>
          <w:numId w:val="2"/>
        </w:numPr>
        <w:tabs>
          <w:tab w:val="left" w:pos="1276"/>
        </w:tabs>
        <w:spacing w:after="0" w:line="240" w:lineRule="auto"/>
        <w:ind w:left="993"/>
        <w:rPr>
          <w:rFonts w:ascii="Arial" w:eastAsia="SimSun" w:hAnsi="Arial" w:cs="Arial"/>
          <w:i/>
          <w:sz w:val="20"/>
          <w:szCs w:val="20"/>
          <w:lang w:val="ro-RO"/>
        </w:rPr>
      </w:pPr>
      <w:r w:rsidRPr="008A7850">
        <w:rPr>
          <w:rFonts w:ascii="Arial" w:eastAsia="SimSun" w:hAnsi="Arial" w:cs="Arial"/>
          <w:i/>
          <w:sz w:val="20"/>
          <w:szCs w:val="20"/>
          <w:lang w:val="ro-RO"/>
        </w:rPr>
        <w:t>Generarea şi gestionarea deşeurilor industriale</w:t>
      </w:r>
      <w:r>
        <w:rPr>
          <w:rFonts w:ascii="Arial" w:eastAsia="SimSun" w:hAnsi="Arial" w:cs="Arial"/>
          <w:i/>
          <w:sz w:val="20"/>
          <w:szCs w:val="20"/>
          <w:lang w:val="ro-RO"/>
        </w:rPr>
        <w:t>...................................</w:t>
      </w:r>
      <w:r w:rsidR="00AB5797">
        <w:rPr>
          <w:rFonts w:ascii="Arial" w:eastAsia="SimSun" w:hAnsi="Arial" w:cs="Arial"/>
          <w:i/>
          <w:sz w:val="20"/>
          <w:szCs w:val="20"/>
          <w:lang w:val="ro-RO"/>
        </w:rPr>
        <w:t>.............................1</w:t>
      </w:r>
      <w:r w:rsidR="00D116B9">
        <w:rPr>
          <w:rFonts w:ascii="Arial" w:eastAsia="SimSun" w:hAnsi="Arial" w:cs="Arial"/>
          <w:i/>
          <w:sz w:val="20"/>
          <w:szCs w:val="20"/>
          <w:lang w:val="ro-RO"/>
        </w:rPr>
        <w:t>20</w:t>
      </w:r>
      <w:r w:rsidRPr="008A7850">
        <w:rPr>
          <w:rFonts w:ascii="Arial" w:eastAsia="SimSun" w:hAnsi="Arial" w:cs="Arial"/>
          <w:i/>
          <w:sz w:val="20"/>
          <w:szCs w:val="20"/>
          <w:lang w:val="ro-RO"/>
        </w:rPr>
        <w:t xml:space="preserve"> </w:t>
      </w:r>
    </w:p>
    <w:p w:rsidR="00F2046E" w:rsidRPr="008A7850" w:rsidRDefault="00F2046E" w:rsidP="00F2046E">
      <w:pPr>
        <w:numPr>
          <w:ilvl w:val="2"/>
          <w:numId w:val="2"/>
        </w:numPr>
        <w:tabs>
          <w:tab w:val="left" w:pos="1276"/>
        </w:tabs>
        <w:spacing w:after="0" w:line="240" w:lineRule="auto"/>
        <w:ind w:left="993"/>
        <w:rPr>
          <w:rFonts w:ascii="Arial" w:eastAsia="SimSun" w:hAnsi="Arial" w:cs="Arial"/>
          <w:i/>
          <w:sz w:val="20"/>
          <w:szCs w:val="20"/>
          <w:lang w:val="ro-RO"/>
        </w:rPr>
      </w:pPr>
      <w:r w:rsidRPr="008A7850">
        <w:rPr>
          <w:rFonts w:ascii="Arial" w:eastAsia="SimSun" w:hAnsi="Arial" w:cs="Arial"/>
          <w:i/>
          <w:sz w:val="20"/>
          <w:szCs w:val="20"/>
          <w:lang w:val="ro-RO"/>
        </w:rPr>
        <w:t>Fluxuri speciale de deşeuri</w:t>
      </w:r>
      <w:r>
        <w:rPr>
          <w:rFonts w:ascii="Arial" w:eastAsia="SimSun" w:hAnsi="Arial" w:cs="Arial"/>
          <w:i/>
          <w:sz w:val="20"/>
          <w:szCs w:val="20"/>
          <w:lang w:val="ro-RO"/>
        </w:rPr>
        <w:t>...................................................................</w:t>
      </w:r>
      <w:r w:rsidR="00AB5797">
        <w:rPr>
          <w:rFonts w:ascii="Arial" w:eastAsia="SimSun" w:hAnsi="Arial" w:cs="Arial"/>
          <w:i/>
          <w:sz w:val="20"/>
          <w:szCs w:val="20"/>
          <w:lang w:val="ro-RO"/>
        </w:rPr>
        <w:t>.............................1</w:t>
      </w:r>
      <w:r w:rsidR="00D116B9">
        <w:rPr>
          <w:rFonts w:ascii="Arial" w:eastAsia="SimSun" w:hAnsi="Arial" w:cs="Arial"/>
          <w:i/>
          <w:sz w:val="20"/>
          <w:szCs w:val="20"/>
          <w:lang w:val="ro-RO"/>
        </w:rPr>
        <w:t>22</w:t>
      </w:r>
    </w:p>
    <w:p w:rsidR="00F2046E" w:rsidRPr="008A7850" w:rsidRDefault="00F2046E" w:rsidP="00F2046E">
      <w:pPr>
        <w:numPr>
          <w:ilvl w:val="3"/>
          <w:numId w:val="2"/>
        </w:numPr>
        <w:spacing w:after="0" w:line="240" w:lineRule="auto"/>
        <w:ind w:left="1624" w:hanging="844"/>
        <w:rPr>
          <w:rFonts w:ascii="Arial" w:eastAsia="SimSun" w:hAnsi="Arial" w:cs="Arial"/>
          <w:sz w:val="20"/>
          <w:szCs w:val="20"/>
          <w:lang w:val="ro-RO"/>
        </w:rPr>
      </w:pPr>
      <w:r w:rsidRPr="008A7850">
        <w:rPr>
          <w:rFonts w:ascii="Arial" w:eastAsia="SimSun" w:hAnsi="Arial" w:cs="Arial"/>
          <w:sz w:val="20"/>
          <w:szCs w:val="20"/>
          <w:lang w:val="ro-RO"/>
        </w:rPr>
        <w:t>Deşeuri de echipamente electrice şi electronice (DEEE</w:t>
      </w:r>
      <w:r>
        <w:rPr>
          <w:rFonts w:ascii="Arial" w:eastAsia="SimSun" w:hAnsi="Arial" w:cs="Arial"/>
          <w:sz w:val="20"/>
          <w:szCs w:val="20"/>
          <w:lang w:val="ro-RO"/>
        </w:rPr>
        <w:t>)...............</w:t>
      </w:r>
      <w:r w:rsidR="00AB5797">
        <w:rPr>
          <w:rFonts w:ascii="Arial" w:eastAsia="SimSun" w:hAnsi="Arial" w:cs="Arial"/>
          <w:sz w:val="20"/>
          <w:szCs w:val="20"/>
          <w:lang w:val="ro-RO"/>
        </w:rPr>
        <w:t>.............................1</w:t>
      </w:r>
      <w:r w:rsidR="00D116B9">
        <w:rPr>
          <w:rFonts w:ascii="Arial" w:eastAsia="SimSun" w:hAnsi="Arial" w:cs="Arial"/>
          <w:sz w:val="20"/>
          <w:szCs w:val="20"/>
          <w:lang w:val="ro-RO"/>
        </w:rPr>
        <w:t>22</w:t>
      </w:r>
    </w:p>
    <w:p w:rsidR="00F2046E" w:rsidRPr="008A7850" w:rsidRDefault="00F2046E" w:rsidP="00F2046E">
      <w:pPr>
        <w:numPr>
          <w:ilvl w:val="3"/>
          <w:numId w:val="2"/>
        </w:numPr>
        <w:spacing w:after="0" w:line="240" w:lineRule="auto"/>
        <w:ind w:left="1624" w:hanging="844"/>
        <w:rPr>
          <w:rFonts w:ascii="Arial" w:eastAsia="SimSun" w:hAnsi="Arial" w:cs="Arial"/>
          <w:sz w:val="20"/>
          <w:szCs w:val="20"/>
          <w:lang w:val="ro-RO"/>
        </w:rPr>
      </w:pPr>
      <w:r w:rsidRPr="008A7850">
        <w:rPr>
          <w:rFonts w:ascii="Arial" w:eastAsia="SimSun" w:hAnsi="Arial" w:cs="Arial"/>
          <w:sz w:val="20"/>
          <w:szCs w:val="20"/>
          <w:lang w:val="ro-RO"/>
        </w:rPr>
        <w:t>Deşeuri de ambalaje</w:t>
      </w:r>
      <w:r>
        <w:rPr>
          <w:rFonts w:ascii="Arial" w:eastAsia="SimSun" w:hAnsi="Arial" w:cs="Arial"/>
          <w:sz w:val="20"/>
          <w:szCs w:val="20"/>
          <w:lang w:val="ro-RO"/>
        </w:rPr>
        <w:t>.......................................................................</w:t>
      </w:r>
      <w:r w:rsidR="00AB5797">
        <w:rPr>
          <w:rFonts w:ascii="Arial" w:eastAsia="SimSun" w:hAnsi="Arial" w:cs="Arial"/>
          <w:sz w:val="20"/>
          <w:szCs w:val="20"/>
          <w:lang w:val="ro-RO"/>
        </w:rPr>
        <w:t>.............................1</w:t>
      </w:r>
      <w:r w:rsidR="00D116B9">
        <w:rPr>
          <w:rFonts w:ascii="Arial" w:eastAsia="SimSun" w:hAnsi="Arial" w:cs="Arial"/>
          <w:sz w:val="20"/>
          <w:szCs w:val="20"/>
          <w:lang w:val="ro-RO"/>
        </w:rPr>
        <w:t>26</w:t>
      </w:r>
      <w:r>
        <w:rPr>
          <w:rFonts w:ascii="Arial" w:eastAsia="SimSun" w:hAnsi="Arial" w:cs="Arial"/>
          <w:sz w:val="20"/>
          <w:szCs w:val="20"/>
          <w:lang w:val="ro-RO"/>
        </w:rPr>
        <w:t xml:space="preserve"> </w:t>
      </w:r>
    </w:p>
    <w:p w:rsidR="00F2046E" w:rsidRPr="008A7850" w:rsidRDefault="00F2046E" w:rsidP="00F2046E">
      <w:pPr>
        <w:numPr>
          <w:ilvl w:val="3"/>
          <w:numId w:val="2"/>
        </w:numPr>
        <w:spacing w:after="0" w:line="240" w:lineRule="auto"/>
        <w:ind w:left="1624" w:hanging="844"/>
        <w:rPr>
          <w:rFonts w:ascii="Arial" w:eastAsia="SimSun" w:hAnsi="Arial" w:cs="Arial"/>
          <w:sz w:val="20"/>
          <w:szCs w:val="20"/>
          <w:lang w:val="ro-RO"/>
        </w:rPr>
      </w:pPr>
      <w:r w:rsidRPr="008A7850">
        <w:rPr>
          <w:rFonts w:ascii="Arial" w:eastAsia="SimSun" w:hAnsi="Arial" w:cs="Arial"/>
          <w:sz w:val="20"/>
          <w:szCs w:val="20"/>
          <w:lang w:val="ro-RO"/>
        </w:rPr>
        <w:t>Vehicule scoase din uz (VSU)</w:t>
      </w:r>
      <w:r>
        <w:rPr>
          <w:rFonts w:ascii="Arial" w:eastAsia="SimSun" w:hAnsi="Arial" w:cs="Arial"/>
          <w:sz w:val="20"/>
          <w:szCs w:val="20"/>
          <w:lang w:val="ro-RO"/>
        </w:rPr>
        <w:t>........................................................</w:t>
      </w:r>
      <w:r w:rsidR="00AB5797">
        <w:rPr>
          <w:rFonts w:ascii="Arial" w:eastAsia="SimSun" w:hAnsi="Arial" w:cs="Arial"/>
          <w:sz w:val="20"/>
          <w:szCs w:val="20"/>
          <w:lang w:val="ro-RO"/>
        </w:rPr>
        <w:t>.............................1</w:t>
      </w:r>
      <w:r w:rsidR="00D116B9">
        <w:rPr>
          <w:rFonts w:ascii="Arial" w:eastAsia="SimSun" w:hAnsi="Arial" w:cs="Arial"/>
          <w:sz w:val="20"/>
          <w:szCs w:val="20"/>
          <w:lang w:val="ro-RO"/>
        </w:rPr>
        <w:t>27</w:t>
      </w:r>
      <w:r w:rsidRPr="008A7850">
        <w:rPr>
          <w:rFonts w:ascii="Arial" w:eastAsia="SimSun" w:hAnsi="Arial" w:cs="Arial"/>
          <w:sz w:val="20"/>
          <w:szCs w:val="20"/>
          <w:lang w:val="ro-RO"/>
        </w:rPr>
        <w:t xml:space="preserve"> </w:t>
      </w:r>
    </w:p>
    <w:p w:rsidR="00F2046E" w:rsidRPr="008A7850" w:rsidRDefault="00F2046E" w:rsidP="00F2046E">
      <w:pPr>
        <w:numPr>
          <w:ilvl w:val="2"/>
          <w:numId w:val="2"/>
        </w:numPr>
        <w:tabs>
          <w:tab w:val="left" w:pos="1276"/>
        </w:tabs>
        <w:spacing w:after="0" w:line="240" w:lineRule="auto"/>
        <w:ind w:left="993"/>
        <w:rPr>
          <w:rFonts w:ascii="Arial" w:eastAsia="SimSun" w:hAnsi="Arial" w:cs="Arial"/>
          <w:i/>
          <w:sz w:val="20"/>
          <w:szCs w:val="20"/>
          <w:lang w:val="ro-RO"/>
        </w:rPr>
      </w:pPr>
      <w:r w:rsidRPr="008A7850">
        <w:rPr>
          <w:rFonts w:ascii="Arial" w:eastAsia="SimSun" w:hAnsi="Arial" w:cs="Arial"/>
          <w:i/>
          <w:sz w:val="20"/>
          <w:szCs w:val="20"/>
          <w:lang w:val="ro-RO"/>
        </w:rPr>
        <w:t>Impacturi şi presiuni privind deşeurile</w:t>
      </w:r>
      <w:r>
        <w:rPr>
          <w:rFonts w:ascii="Arial" w:eastAsia="SimSun" w:hAnsi="Arial" w:cs="Arial"/>
          <w:i/>
          <w:sz w:val="20"/>
          <w:szCs w:val="20"/>
          <w:lang w:val="ro-RO"/>
        </w:rPr>
        <w:t>...................................................</w:t>
      </w:r>
      <w:r w:rsidR="00B13390">
        <w:rPr>
          <w:rFonts w:ascii="Arial" w:eastAsia="SimSun" w:hAnsi="Arial" w:cs="Arial"/>
          <w:i/>
          <w:sz w:val="20"/>
          <w:szCs w:val="20"/>
          <w:lang w:val="ro-RO"/>
        </w:rPr>
        <w:t>.............................1</w:t>
      </w:r>
      <w:r w:rsidR="00D116B9">
        <w:rPr>
          <w:rFonts w:ascii="Arial" w:eastAsia="SimSun" w:hAnsi="Arial" w:cs="Arial"/>
          <w:i/>
          <w:sz w:val="20"/>
          <w:szCs w:val="20"/>
          <w:lang w:val="ro-RO"/>
        </w:rPr>
        <w:t>32</w:t>
      </w:r>
      <w:r w:rsidRPr="008A7850">
        <w:rPr>
          <w:rFonts w:ascii="Arial" w:eastAsia="SimSun" w:hAnsi="Arial" w:cs="Arial"/>
          <w:i/>
          <w:sz w:val="20"/>
          <w:szCs w:val="20"/>
          <w:lang w:val="ro-RO"/>
        </w:rPr>
        <w:t xml:space="preserve"> </w:t>
      </w:r>
    </w:p>
    <w:p w:rsidR="00F2046E" w:rsidRPr="008A7850" w:rsidRDefault="00F2046E" w:rsidP="00F2046E">
      <w:pPr>
        <w:numPr>
          <w:ilvl w:val="2"/>
          <w:numId w:val="2"/>
        </w:numPr>
        <w:tabs>
          <w:tab w:val="left" w:pos="1276"/>
        </w:tabs>
        <w:spacing w:after="0" w:line="240" w:lineRule="auto"/>
        <w:ind w:left="993"/>
        <w:rPr>
          <w:rFonts w:ascii="Arial" w:eastAsia="SimSun" w:hAnsi="Arial" w:cs="Arial"/>
          <w:i/>
          <w:sz w:val="20"/>
          <w:szCs w:val="20"/>
          <w:lang w:val="ro-RO"/>
        </w:rPr>
      </w:pPr>
      <w:r w:rsidRPr="008A7850">
        <w:rPr>
          <w:rFonts w:ascii="Arial" w:eastAsia="SimSun" w:hAnsi="Arial" w:cs="Arial"/>
          <w:i/>
          <w:sz w:val="20"/>
          <w:szCs w:val="20"/>
          <w:lang w:val="ro-RO"/>
        </w:rPr>
        <w:lastRenderedPageBreak/>
        <w:t>Tendinţe şi prognoze privind generarea deşeurilor</w:t>
      </w:r>
      <w:r>
        <w:rPr>
          <w:rFonts w:ascii="Arial" w:eastAsia="SimSun" w:hAnsi="Arial" w:cs="Arial"/>
          <w:i/>
          <w:sz w:val="20"/>
          <w:szCs w:val="20"/>
          <w:lang w:val="ro-RO"/>
        </w:rPr>
        <w:t>...............................</w:t>
      </w:r>
      <w:r w:rsidR="00B13390">
        <w:rPr>
          <w:rFonts w:ascii="Arial" w:eastAsia="SimSun" w:hAnsi="Arial" w:cs="Arial"/>
          <w:i/>
          <w:sz w:val="20"/>
          <w:szCs w:val="20"/>
          <w:lang w:val="ro-RO"/>
        </w:rPr>
        <w:t>.............................1</w:t>
      </w:r>
      <w:r w:rsidR="00D116B9">
        <w:rPr>
          <w:rFonts w:ascii="Arial" w:eastAsia="SimSun" w:hAnsi="Arial" w:cs="Arial"/>
          <w:i/>
          <w:sz w:val="20"/>
          <w:szCs w:val="20"/>
          <w:lang w:val="ro-RO"/>
        </w:rPr>
        <w:t>3</w:t>
      </w:r>
      <w:r w:rsidR="00B13390">
        <w:rPr>
          <w:rFonts w:ascii="Arial" w:eastAsia="SimSun" w:hAnsi="Arial" w:cs="Arial"/>
          <w:i/>
          <w:sz w:val="20"/>
          <w:szCs w:val="20"/>
          <w:lang w:val="ro-RO"/>
        </w:rPr>
        <w:t>3</w:t>
      </w:r>
    </w:p>
    <w:p w:rsidR="00F2046E" w:rsidRPr="008A7850" w:rsidRDefault="00F2046E" w:rsidP="00F2046E">
      <w:pPr>
        <w:spacing w:after="0" w:line="240" w:lineRule="auto"/>
        <w:rPr>
          <w:rFonts w:ascii="Arial" w:eastAsia="SimSun" w:hAnsi="Arial" w:cs="Arial"/>
          <w:color w:val="FF0000"/>
          <w:sz w:val="20"/>
          <w:szCs w:val="20"/>
          <w:lang w:val="ro-RO"/>
        </w:rPr>
      </w:pPr>
    </w:p>
    <w:p w:rsidR="00F2046E" w:rsidRPr="008A7850" w:rsidRDefault="00F2046E" w:rsidP="00F2046E">
      <w:pPr>
        <w:pStyle w:val="ListParagraph"/>
        <w:numPr>
          <w:ilvl w:val="0"/>
          <w:numId w:val="3"/>
        </w:numPr>
        <w:spacing w:after="0" w:line="360" w:lineRule="auto"/>
        <w:rPr>
          <w:rFonts w:ascii="Arial" w:eastAsia="SimSun" w:hAnsi="Arial" w:cs="Arial"/>
          <w:b/>
          <w:sz w:val="20"/>
          <w:szCs w:val="20"/>
          <w:lang w:val="ro-RO"/>
        </w:rPr>
      </w:pPr>
      <w:r w:rsidRPr="008A7850">
        <w:rPr>
          <w:rFonts w:ascii="Arial" w:eastAsia="SimSun" w:hAnsi="Arial" w:cs="Arial"/>
          <w:b/>
          <w:sz w:val="20"/>
          <w:szCs w:val="20"/>
          <w:lang w:val="ro-RO"/>
        </w:rPr>
        <w:t>MEDIUL URBAN, SĂNĂTATEA ŞI CALITATEA VIEŢII</w:t>
      </w:r>
      <w:r>
        <w:rPr>
          <w:rFonts w:ascii="Arial" w:eastAsia="SimSun" w:hAnsi="Arial" w:cs="Arial"/>
          <w:b/>
          <w:sz w:val="20"/>
          <w:szCs w:val="20"/>
          <w:lang w:val="ro-RO"/>
        </w:rPr>
        <w:t>........................</w:t>
      </w:r>
      <w:r w:rsidR="00B13390">
        <w:rPr>
          <w:rFonts w:ascii="Arial" w:eastAsia="SimSun" w:hAnsi="Arial" w:cs="Arial"/>
          <w:b/>
          <w:sz w:val="20"/>
          <w:szCs w:val="20"/>
          <w:lang w:val="ro-RO"/>
        </w:rPr>
        <w:t>..............................1</w:t>
      </w:r>
      <w:r w:rsidR="00D116B9">
        <w:rPr>
          <w:rFonts w:ascii="Arial" w:eastAsia="SimSun" w:hAnsi="Arial" w:cs="Arial"/>
          <w:b/>
          <w:sz w:val="20"/>
          <w:szCs w:val="20"/>
          <w:lang w:val="ro-RO"/>
        </w:rPr>
        <w:t>39</w:t>
      </w:r>
    </w:p>
    <w:p w:rsidR="00F2046E" w:rsidRPr="008A7850" w:rsidRDefault="00F2046E" w:rsidP="00F2046E">
      <w:pPr>
        <w:spacing w:after="0" w:line="240" w:lineRule="auto"/>
        <w:ind w:left="113"/>
        <w:rPr>
          <w:rFonts w:ascii="Arial" w:eastAsia="SimSun" w:hAnsi="Arial" w:cs="Arial"/>
          <w:b/>
          <w:sz w:val="20"/>
          <w:szCs w:val="20"/>
          <w:lang w:val="ro-RO"/>
        </w:rPr>
      </w:pPr>
      <w:r>
        <w:rPr>
          <w:rFonts w:ascii="Arial" w:eastAsia="SimSun" w:hAnsi="Arial" w:cs="Arial"/>
          <w:b/>
          <w:sz w:val="20"/>
          <w:szCs w:val="20"/>
          <w:lang w:val="ro-RO"/>
        </w:rPr>
        <w:t xml:space="preserve">VIII.1. </w:t>
      </w:r>
      <w:r w:rsidRPr="008A7850">
        <w:rPr>
          <w:rFonts w:ascii="Arial" w:eastAsia="SimSun" w:hAnsi="Arial" w:cs="Arial"/>
          <w:b/>
          <w:sz w:val="20"/>
          <w:szCs w:val="20"/>
          <w:lang w:val="ro-RO"/>
        </w:rPr>
        <w:t>Mediul urban şi calitatea vieţii: stare şi consecinţe</w:t>
      </w:r>
      <w:r>
        <w:rPr>
          <w:rFonts w:ascii="Arial" w:eastAsia="SimSun" w:hAnsi="Arial" w:cs="Arial"/>
          <w:b/>
          <w:sz w:val="20"/>
          <w:szCs w:val="20"/>
          <w:lang w:val="ro-RO"/>
        </w:rPr>
        <w:t>...................................</w:t>
      </w:r>
      <w:r w:rsidR="00B13390">
        <w:rPr>
          <w:rFonts w:ascii="Arial" w:eastAsia="SimSun" w:hAnsi="Arial" w:cs="Arial"/>
          <w:b/>
          <w:sz w:val="20"/>
          <w:szCs w:val="20"/>
          <w:lang w:val="ro-RO"/>
        </w:rPr>
        <w:t>.............................1</w:t>
      </w:r>
      <w:r w:rsidR="00D116B9">
        <w:rPr>
          <w:rFonts w:ascii="Arial" w:eastAsia="SimSun" w:hAnsi="Arial" w:cs="Arial"/>
          <w:b/>
          <w:sz w:val="20"/>
          <w:szCs w:val="20"/>
          <w:lang w:val="ro-RO"/>
        </w:rPr>
        <w:t>39</w:t>
      </w:r>
      <w:r w:rsidRPr="008A7850">
        <w:rPr>
          <w:rFonts w:ascii="Arial" w:eastAsia="SimSun" w:hAnsi="Arial" w:cs="Arial"/>
          <w:b/>
          <w:sz w:val="20"/>
          <w:szCs w:val="20"/>
          <w:lang w:val="ro-RO"/>
        </w:rPr>
        <w:t xml:space="preserve">   </w:t>
      </w:r>
      <w:r w:rsidRPr="008A7850">
        <w:rPr>
          <w:rFonts w:ascii="Arial" w:eastAsia="SimSun" w:hAnsi="Arial" w:cs="Arial"/>
          <w:b/>
          <w:sz w:val="20"/>
          <w:szCs w:val="20"/>
          <w:lang w:val="ro-RO"/>
        </w:rPr>
        <w:tab/>
      </w:r>
    </w:p>
    <w:p w:rsidR="00F2046E" w:rsidRPr="008A7850" w:rsidRDefault="00396034" w:rsidP="00396034">
      <w:pPr>
        <w:tabs>
          <w:tab w:val="left" w:pos="1276"/>
        </w:tabs>
        <w:spacing w:after="0" w:line="240" w:lineRule="auto"/>
        <w:rPr>
          <w:rFonts w:ascii="Arial" w:eastAsia="SimSun" w:hAnsi="Arial" w:cs="Arial"/>
          <w:i/>
          <w:sz w:val="20"/>
          <w:szCs w:val="20"/>
          <w:lang w:val="ro-RO"/>
        </w:rPr>
      </w:pPr>
      <w:r>
        <w:rPr>
          <w:rFonts w:ascii="Arial" w:eastAsia="SimSun" w:hAnsi="Arial" w:cs="Arial"/>
          <w:i/>
          <w:sz w:val="20"/>
          <w:szCs w:val="20"/>
          <w:lang w:val="ro-RO"/>
        </w:rPr>
        <w:t xml:space="preserve">             </w:t>
      </w:r>
      <w:r w:rsidR="00F2046E" w:rsidRPr="00396034">
        <w:rPr>
          <w:rFonts w:ascii="Arial" w:eastAsia="SimSun" w:hAnsi="Arial" w:cs="Arial"/>
          <w:b/>
          <w:i/>
          <w:sz w:val="20"/>
          <w:szCs w:val="20"/>
          <w:lang w:val="ro-RO"/>
        </w:rPr>
        <w:t>VIII.1.1.</w:t>
      </w:r>
      <w:r w:rsidR="00F2046E">
        <w:rPr>
          <w:rFonts w:ascii="Arial" w:eastAsia="SimSun" w:hAnsi="Arial" w:cs="Arial"/>
          <w:i/>
          <w:sz w:val="20"/>
          <w:szCs w:val="20"/>
          <w:lang w:val="ro-RO"/>
        </w:rPr>
        <w:t xml:space="preserve"> </w:t>
      </w:r>
      <w:r w:rsidR="00F2046E" w:rsidRPr="008A7850">
        <w:rPr>
          <w:rFonts w:ascii="Arial" w:eastAsia="SimSun" w:hAnsi="Arial" w:cs="Arial"/>
          <w:i/>
          <w:sz w:val="20"/>
          <w:szCs w:val="20"/>
          <w:lang w:val="ro-RO"/>
        </w:rPr>
        <w:t>Calitatea aerului din aglomerările urbane şi efectele asupra sănătăţii</w:t>
      </w:r>
      <w:r w:rsidR="00B13390">
        <w:rPr>
          <w:rFonts w:ascii="Arial" w:eastAsia="SimSun" w:hAnsi="Arial" w:cs="Arial"/>
          <w:i/>
          <w:sz w:val="20"/>
          <w:szCs w:val="20"/>
          <w:lang w:val="ro-RO"/>
        </w:rPr>
        <w:t>...........................1</w:t>
      </w:r>
      <w:r w:rsidR="00D116B9">
        <w:rPr>
          <w:rFonts w:ascii="Arial" w:eastAsia="SimSun" w:hAnsi="Arial" w:cs="Arial"/>
          <w:i/>
          <w:sz w:val="20"/>
          <w:szCs w:val="20"/>
          <w:lang w:val="ro-RO"/>
        </w:rPr>
        <w:t>39</w:t>
      </w:r>
    </w:p>
    <w:p w:rsidR="00F2046E" w:rsidRPr="008A7850" w:rsidRDefault="00396034" w:rsidP="00396034">
      <w:pPr>
        <w:spacing w:after="0" w:line="240" w:lineRule="auto"/>
        <w:rPr>
          <w:rFonts w:ascii="Arial" w:eastAsia="SimSun" w:hAnsi="Arial" w:cs="Arial"/>
          <w:sz w:val="20"/>
          <w:szCs w:val="20"/>
          <w:lang w:val="ro-RO"/>
        </w:rPr>
      </w:pPr>
      <w:r>
        <w:rPr>
          <w:rFonts w:ascii="Arial" w:eastAsia="SimSun" w:hAnsi="Arial" w:cs="Arial"/>
          <w:sz w:val="20"/>
          <w:szCs w:val="20"/>
          <w:lang w:val="ro-RO"/>
        </w:rPr>
        <w:t xml:space="preserve">                   </w:t>
      </w:r>
      <w:r w:rsidR="00F2046E" w:rsidRPr="006E7B4E">
        <w:rPr>
          <w:rFonts w:ascii="Arial" w:eastAsia="SimSun" w:hAnsi="Arial" w:cs="Arial"/>
          <w:sz w:val="20"/>
          <w:szCs w:val="20"/>
          <w:lang w:val="ro-RO"/>
        </w:rPr>
        <w:t>VIII.1.1.1</w:t>
      </w:r>
      <w:r w:rsidR="00F2046E">
        <w:rPr>
          <w:rFonts w:ascii="Arial" w:eastAsia="SimSun" w:hAnsi="Arial" w:cs="Arial"/>
          <w:i/>
          <w:sz w:val="20"/>
          <w:szCs w:val="20"/>
          <w:lang w:val="ro-RO"/>
        </w:rPr>
        <w:t xml:space="preserve">. </w:t>
      </w:r>
      <w:r w:rsidR="00F2046E" w:rsidRPr="008A7850">
        <w:rPr>
          <w:rFonts w:ascii="Arial" w:eastAsia="SimSun" w:hAnsi="Arial" w:cs="Arial"/>
          <w:sz w:val="20"/>
          <w:szCs w:val="20"/>
          <w:lang w:val="ro-RO"/>
        </w:rPr>
        <w:t xml:space="preserve">Depăşiri ale concentraţiei medii </w:t>
      </w:r>
      <w:r w:rsidR="00F2046E">
        <w:rPr>
          <w:rFonts w:ascii="Arial" w:eastAsia="SimSun" w:hAnsi="Arial" w:cs="Arial"/>
          <w:sz w:val="20"/>
          <w:szCs w:val="20"/>
          <w:lang w:val="ro-RO"/>
        </w:rPr>
        <w:t>anuale de PM</w:t>
      </w:r>
      <w:r w:rsidR="00F2046E" w:rsidRPr="00D20484">
        <w:rPr>
          <w:rFonts w:ascii="Arial" w:eastAsia="SimSun" w:hAnsi="Arial" w:cs="Arial"/>
          <w:sz w:val="20"/>
          <w:szCs w:val="20"/>
          <w:vertAlign w:val="subscript"/>
          <w:lang w:val="ro-RO"/>
        </w:rPr>
        <w:t>10</w:t>
      </w:r>
      <w:r w:rsidR="00F2046E">
        <w:rPr>
          <w:rFonts w:ascii="Arial" w:eastAsia="SimSun" w:hAnsi="Arial" w:cs="Arial"/>
          <w:sz w:val="20"/>
          <w:szCs w:val="20"/>
          <w:lang w:val="ro-RO"/>
        </w:rPr>
        <w:t>, NO</w:t>
      </w:r>
      <w:r w:rsidR="00F2046E" w:rsidRPr="00D20484">
        <w:rPr>
          <w:rFonts w:ascii="Arial" w:eastAsia="SimSun" w:hAnsi="Arial" w:cs="Arial"/>
          <w:sz w:val="20"/>
          <w:szCs w:val="20"/>
          <w:vertAlign w:val="subscript"/>
          <w:lang w:val="ro-RO"/>
        </w:rPr>
        <w:t>2</w:t>
      </w:r>
      <w:r w:rsidR="00F2046E">
        <w:rPr>
          <w:rFonts w:ascii="Arial" w:eastAsia="SimSun" w:hAnsi="Arial" w:cs="Arial"/>
          <w:sz w:val="20"/>
          <w:szCs w:val="20"/>
          <w:lang w:val="ro-RO"/>
        </w:rPr>
        <w:t>, SO</w:t>
      </w:r>
      <w:r w:rsidR="00F2046E" w:rsidRPr="00D20484">
        <w:rPr>
          <w:rFonts w:ascii="Arial" w:eastAsia="SimSun" w:hAnsi="Arial" w:cs="Arial"/>
          <w:sz w:val="20"/>
          <w:szCs w:val="20"/>
          <w:vertAlign w:val="subscript"/>
          <w:lang w:val="ro-RO"/>
        </w:rPr>
        <w:t>2</w:t>
      </w:r>
      <w:r w:rsidR="00F2046E">
        <w:rPr>
          <w:rFonts w:ascii="Arial" w:eastAsia="SimSun" w:hAnsi="Arial" w:cs="Arial"/>
          <w:sz w:val="20"/>
          <w:szCs w:val="20"/>
          <w:lang w:val="ro-RO"/>
        </w:rPr>
        <w:t xml:space="preserve"> şi O</w:t>
      </w:r>
      <w:r w:rsidR="00F2046E" w:rsidRPr="00D20484">
        <w:rPr>
          <w:rFonts w:ascii="Arial" w:eastAsia="SimSun" w:hAnsi="Arial" w:cs="Arial"/>
          <w:sz w:val="20"/>
          <w:szCs w:val="20"/>
          <w:vertAlign w:val="subscript"/>
          <w:lang w:val="ro-RO"/>
        </w:rPr>
        <w:t>3</w:t>
      </w:r>
      <w:r w:rsidR="00F2046E">
        <w:rPr>
          <w:rFonts w:ascii="Arial" w:eastAsia="SimSun" w:hAnsi="Arial" w:cs="Arial"/>
          <w:sz w:val="20"/>
          <w:szCs w:val="20"/>
          <w:lang w:val="ro-RO"/>
        </w:rPr>
        <w:t xml:space="preserve"> </w:t>
      </w:r>
      <w:r>
        <w:rPr>
          <w:rFonts w:ascii="Arial" w:eastAsia="SimSun" w:hAnsi="Arial" w:cs="Arial"/>
          <w:sz w:val="20"/>
          <w:szCs w:val="20"/>
          <w:lang w:val="ro-RO"/>
        </w:rPr>
        <w:t xml:space="preserve">în anumite </w:t>
      </w:r>
      <w:r w:rsidR="00D20484">
        <w:rPr>
          <w:rFonts w:ascii="Arial" w:eastAsia="SimSun" w:hAnsi="Arial" w:cs="Arial"/>
          <w:sz w:val="20"/>
          <w:szCs w:val="20"/>
          <w:lang w:val="ro-RO"/>
        </w:rPr>
        <w:t xml:space="preserve">   </w:t>
      </w:r>
      <w:r>
        <w:rPr>
          <w:rFonts w:ascii="Arial" w:eastAsia="SimSun" w:hAnsi="Arial" w:cs="Arial"/>
          <w:sz w:val="20"/>
          <w:szCs w:val="20"/>
          <w:lang w:val="ro-RO"/>
        </w:rPr>
        <w:t xml:space="preserve">aglomerări </w:t>
      </w:r>
      <w:r w:rsidR="00F2046E" w:rsidRPr="008A7850">
        <w:rPr>
          <w:rFonts w:ascii="Arial" w:eastAsia="SimSun" w:hAnsi="Arial" w:cs="Arial"/>
          <w:sz w:val="20"/>
          <w:szCs w:val="20"/>
          <w:lang w:val="ro-RO"/>
        </w:rPr>
        <w:t>urbane</w:t>
      </w:r>
      <w:r>
        <w:rPr>
          <w:rFonts w:ascii="Arial" w:eastAsia="SimSun" w:hAnsi="Arial" w:cs="Arial"/>
          <w:sz w:val="20"/>
          <w:szCs w:val="20"/>
          <w:lang w:val="ro-RO"/>
        </w:rPr>
        <w:t>...........</w:t>
      </w:r>
      <w:r w:rsidR="00F2046E">
        <w:rPr>
          <w:rFonts w:ascii="Arial" w:eastAsia="SimSun" w:hAnsi="Arial" w:cs="Arial"/>
          <w:sz w:val="20"/>
          <w:szCs w:val="20"/>
          <w:lang w:val="ro-RO"/>
        </w:rPr>
        <w:t>...................................</w:t>
      </w:r>
      <w:r>
        <w:rPr>
          <w:rFonts w:ascii="Arial" w:eastAsia="SimSun" w:hAnsi="Arial" w:cs="Arial"/>
          <w:sz w:val="20"/>
          <w:szCs w:val="20"/>
          <w:lang w:val="ro-RO"/>
        </w:rPr>
        <w:t>................</w:t>
      </w:r>
      <w:r w:rsidR="00F2046E">
        <w:rPr>
          <w:rFonts w:ascii="Arial" w:eastAsia="SimSun" w:hAnsi="Arial" w:cs="Arial"/>
          <w:sz w:val="20"/>
          <w:szCs w:val="20"/>
          <w:lang w:val="ro-RO"/>
        </w:rPr>
        <w:t>................</w:t>
      </w:r>
      <w:r>
        <w:rPr>
          <w:rFonts w:ascii="Arial" w:eastAsia="SimSun" w:hAnsi="Arial" w:cs="Arial"/>
          <w:sz w:val="20"/>
          <w:szCs w:val="20"/>
          <w:lang w:val="ro-RO"/>
        </w:rPr>
        <w:t>......................................................</w:t>
      </w:r>
      <w:r w:rsidR="00B13390">
        <w:rPr>
          <w:rFonts w:ascii="Arial" w:eastAsia="SimSun" w:hAnsi="Arial" w:cs="Arial"/>
          <w:sz w:val="20"/>
          <w:szCs w:val="20"/>
          <w:lang w:val="ro-RO"/>
        </w:rPr>
        <w:t>.1</w:t>
      </w:r>
      <w:r w:rsidR="00D116B9">
        <w:rPr>
          <w:rFonts w:ascii="Arial" w:eastAsia="SimSun" w:hAnsi="Arial" w:cs="Arial"/>
          <w:sz w:val="20"/>
          <w:szCs w:val="20"/>
          <w:lang w:val="ro-RO"/>
        </w:rPr>
        <w:t>39</w:t>
      </w:r>
      <w:r w:rsidR="00F2046E">
        <w:rPr>
          <w:rFonts w:ascii="Arial" w:eastAsia="SimSun" w:hAnsi="Arial" w:cs="Arial"/>
          <w:sz w:val="20"/>
          <w:szCs w:val="20"/>
          <w:lang w:val="ro-RO"/>
        </w:rPr>
        <w:t xml:space="preserve"> </w:t>
      </w:r>
    </w:p>
    <w:p w:rsidR="00F2046E" w:rsidRPr="008A7850" w:rsidRDefault="00396034" w:rsidP="00396034">
      <w:pPr>
        <w:tabs>
          <w:tab w:val="left" w:pos="1276"/>
        </w:tabs>
        <w:spacing w:after="0" w:line="240" w:lineRule="auto"/>
        <w:rPr>
          <w:rFonts w:ascii="Arial" w:eastAsia="SimSun" w:hAnsi="Arial" w:cs="Arial"/>
          <w:i/>
          <w:sz w:val="20"/>
          <w:szCs w:val="20"/>
          <w:lang w:val="ro-RO"/>
        </w:rPr>
      </w:pPr>
      <w:r>
        <w:rPr>
          <w:rFonts w:ascii="Arial" w:eastAsia="SimSun" w:hAnsi="Arial" w:cs="Arial"/>
          <w:i/>
          <w:sz w:val="20"/>
          <w:szCs w:val="20"/>
          <w:lang w:val="ro-RO"/>
        </w:rPr>
        <w:t xml:space="preserve">             </w:t>
      </w:r>
      <w:r w:rsidR="00F2046E" w:rsidRPr="00396034">
        <w:rPr>
          <w:rFonts w:ascii="Arial" w:eastAsia="SimSun" w:hAnsi="Arial" w:cs="Arial"/>
          <w:b/>
          <w:i/>
          <w:sz w:val="20"/>
          <w:szCs w:val="20"/>
          <w:lang w:val="ro-RO"/>
        </w:rPr>
        <w:t xml:space="preserve">VIII.1.2. </w:t>
      </w:r>
      <w:r w:rsidR="00F2046E" w:rsidRPr="008A7850">
        <w:rPr>
          <w:rFonts w:ascii="Arial" w:eastAsia="SimSun" w:hAnsi="Arial" w:cs="Arial"/>
          <w:i/>
          <w:sz w:val="20"/>
          <w:szCs w:val="20"/>
          <w:lang w:val="ro-RO"/>
        </w:rPr>
        <w:t>Poluarea fonică şi efectele asupra sănătăţii şi calităţii vieţii</w:t>
      </w:r>
      <w:r>
        <w:rPr>
          <w:rFonts w:ascii="Arial" w:eastAsia="SimSun" w:hAnsi="Arial" w:cs="Arial"/>
          <w:i/>
          <w:sz w:val="20"/>
          <w:szCs w:val="20"/>
          <w:lang w:val="ro-RO"/>
        </w:rPr>
        <w:t>...........</w:t>
      </w:r>
      <w:r w:rsidR="00B13390">
        <w:rPr>
          <w:rFonts w:ascii="Arial" w:eastAsia="SimSun" w:hAnsi="Arial" w:cs="Arial"/>
          <w:i/>
          <w:sz w:val="20"/>
          <w:szCs w:val="20"/>
          <w:lang w:val="ro-RO"/>
        </w:rPr>
        <w:t>......................</w:t>
      </w:r>
      <w:r>
        <w:rPr>
          <w:rFonts w:ascii="Arial" w:eastAsia="SimSun" w:hAnsi="Arial" w:cs="Arial"/>
          <w:i/>
          <w:sz w:val="20"/>
          <w:szCs w:val="20"/>
          <w:lang w:val="ro-RO"/>
        </w:rPr>
        <w:t>.....</w:t>
      </w:r>
      <w:r w:rsidR="00B13390">
        <w:rPr>
          <w:rFonts w:ascii="Arial" w:eastAsia="SimSun" w:hAnsi="Arial" w:cs="Arial"/>
          <w:i/>
          <w:sz w:val="20"/>
          <w:szCs w:val="20"/>
          <w:lang w:val="ro-RO"/>
        </w:rPr>
        <w:t>.....1</w:t>
      </w:r>
      <w:r w:rsidR="00D116B9">
        <w:rPr>
          <w:rFonts w:ascii="Arial" w:eastAsia="SimSun" w:hAnsi="Arial" w:cs="Arial"/>
          <w:i/>
          <w:sz w:val="20"/>
          <w:szCs w:val="20"/>
          <w:lang w:val="ro-RO"/>
        </w:rPr>
        <w:t>39</w:t>
      </w:r>
    </w:p>
    <w:p w:rsidR="00F2046E" w:rsidRPr="008A7850" w:rsidRDefault="00396034" w:rsidP="00F2046E">
      <w:pPr>
        <w:spacing w:after="0" w:line="240" w:lineRule="auto"/>
        <w:ind w:left="851"/>
        <w:rPr>
          <w:rFonts w:ascii="Arial" w:eastAsia="SimSun" w:hAnsi="Arial" w:cs="Arial"/>
          <w:sz w:val="20"/>
          <w:szCs w:val="20"/>
          <w:lang w:val="ro-RO"/>
        </w:rPr>
      </w:pPr>
      <w:r>
        <w:rPr>
          <w:rFonts w:ascii="Arial" w:eastAsia="SimSun" w:hAnsi="Arial" w:cs="Arial"/>
          <w:sz w:val="20"/>
          <w:szCs w:val="20"/>
          <w:lang w:val="ro-RO"/>
        </w:rPr>
        <w:t xml:space="preserve">    </w:t>
      </w:r>
      <w:r w:rsidR="00F2046E">
        <w:rPr>
          <w:rFonts w:ascii="Arial" w:eastAsia="SimSun" w:hAnsi="Arial" w:cs="Arial"/>
          <w:sz w:val="20"/>
          <w:szCs w:val="20"/>
          <w:lang w:val="ro-RO"/>
        </w:rPr>
        <w:t xml:space="preserve">VIII.1.2.1. </w:t>
      </w:r>
      <w:r w:rsidR="00F2046E" w:rsidRPr="008A7850">
        <w:rPr>
          <w:rFonts w:ascii="Arial" w:eastAsia="SimSun" w:hAnsi="Arial" w:cs="Arial"/>
          <w:sz w:val="20"/>
          <w:szCs w:val="20"/>
          <w:lang w:val="ro-RO"/>
        </w:rPr>
        <w:t>Expunerea la poluarea sonoră a aglomerărilor urbane cu peste 250.000 locuitori</w:t>
      </w:r>
      <w:r>
        <w:rPr>
          <w:rFonts w:ascii="Arial" w:eastAsia="SimSun" w:hAnsi="Arial" w:cs="Arial"/>
          <w:sz w:val="20"/>
          <w:szCs w:val="20"/>
          <w:lang w:val="ro-RO"/>
        </w:rPr>
        <w:t>.......................</w:t>
      </w:r>
      <w:r w:rsidR="00F2046E">
        <w:rPr>
          <w:rFonts w:ascii="Arial" w:eastAsia="SimSun" w:hAnsi="Arial" w:cs="Arial"/>
          <w:sz w:val="20"/>
          <w:szCs w:val="20"/>
          <w:lang w:val="ro-RO"/>
        </w:rPr>
        <w:t>.................................</w:t>
      </w:r>
      <w:r>
        <w:rPr>
          <w:rFonts w:ascii="Arial" w:eastAsia="SimSun" w:hAnsi="Arial" w:cs="Arial"/>
          <w:sz w:val="20"/>
          <w:szCs w:val="20"/>
          <w:lang w:val="ro-RO"/>
        </w:rPr>
        <w:t>.</w:t>
      </w:r>
      <w:r w:rsidR="00F2046E">
        <w:rPr>
          <w:rFonts w:ascii="Arial" w:eastAsia="SimSun" w:hAnsi="Arial" w:cs="Arial"/>
          <w:sz w:val="20"/>
          <w:szCs w:val="20"/>
          <w:lang w:val="ro-RO"/>
        </w:rPr>
        <w:t>...............................................</w:t>
      </w:r>
      <w:r w:rsidR="00B13390">
        <w:rPr>
          <w:rFonts w:ascii="Arial" w:eastAsia="SimSun" w:hAnsi="Arial" w:cs="Arial"/>
          <w:sz w:val="20"/>
          <w:szCs w:val="20"/>
          <w:lang w:val="ro-RO"/>
        </w:rPr>
        <w:t>..............................1</w:t>
      </w:r>
      <w:r w:rsidR="00D116B9">
        <w:rPr>
          <w:rFonts w:ascii="Arial" w:eastAsia="SimSun" w:hAnsi="Arial" w:cs="Arial"/>
          <w:sz w:val="20"/>
          <w:szCs w:val="20"/>
          <w:lang w:val="ro-RO"/>
        </w:rPr>
        <w:t>43</w:t>
      </w:r>
      <w:r w:rsidR="00F2046E" w:rsidRPr="008A7850">
        <w:rPr>
          <w:rFonts w:ascii="Arial" w:eastAsia="SimSun" w:hAnsi="Arial" w:cs="Arial"/>
          <w:sz w:val="20"/>
          <w:szCs w:val="20"/>
          <w:lang w:val="ro-RO"/>
        </w:rPr>
        <w:t xml:space="preserve"> </w:t>
      </w:r>
    </w:p>
    <w:p w:rsidR="00F2046E" w:rsidRPr="008A7850" w:rsidRDefault="00F2046E" w:rsidP="00F2046E">
      <w:pPr>
        <w:tabs>
          <w:tab w:val="left" w:pos="1276"/>
        </w:tabs>
        <w:spacing w:after="0" w:line="240" w:lineRule="auto"/>
        <w:ind w:left="710"/>
        <w:rPr>
          <w:rFonts w:ascii="Arial" w:eastAsia="SimSun" w:hAnsi="Arial" w:cs="Arial"/>
          <w:i/>
          <w:sz w:val="20"/>
          <w:szCs w:val="20"/>
          <w:lang w:val="ro-RO"/>
        </w:rPr>
      </w:pPr>
      <w:r w:rsidRPr="00396034">
        <w:rPr>
          <w:rFonts w:ascii="Arial" w:eastAsia="SimSun" w:hAnsi="Arial" w:cs="Arial"/>
          <w:b/>
          <w:i/>
          <w:sz w:val="20"/>
          <w:szCs w:val="20"/>
          <w:lang w:val="ro-RO"/>
        </w:rPr>
        <w:t>VIII.1.3.</w:t>
      </w:r>
      <w:r>
        <w:rPr>
          <w:rFonts w:ascii="Arial" w:eastAsia="SimSun" w:hAnsi="Arial" w:cs="Arial"/>
          <w:i/>
          <w:sz w:val="20"/>
          <w:szCs w:val="20"/>
          <w:lang w:val="ro-RO"/>
        </w:rPr>
        <w:t xml:space="preserve"> </w:t>
      </w:r>
      <w:r w:rsidRPr="008A7850">
        <w:rPr>
          <w:rFonts w:ascii="Arial" w:eastAsia="SimSun" w:hAnsi="Arial" w:cs="Arial"/>
          <w:i/>
          <w:sz w:val="20"/>
          <w:szCs w:val="20"/>
          <w:lang w:val="ro-RO"/>
        </w:rPr>
        <w:t>Calitatea apei potabile şi efectele asupra sănătăţii</w:t>
      </w:r>
      <w:r w:rsidR="00396034">
        <w:rPr>
          <w:rFonts w:ascii="Arial" w:eastAsia="SimSun" w:hAnsi="Arial" w:cs="Arial"/>
          <w:i/>
          <w:sz w:val="20"/>
          <w:szCs w:val="20"/>
          <w:lang w:val="ro-RO"/>
        </w:rPr>
        <w:t>...............</w:t>
      </w:r>
      <w:r>
        <w:rPr>
          <w:rFonts w:ascii="Arial" w:eastAsia="SimSun" w:hAnsi="Arial" w:cs="Arial"/>
          <w:i/>
          <w:sz w:val="20"/>
          <w:szCs w:val="20"/>
          <w:lang w:val="ro-RO"/>
        </w:rPr>
        <w:t>............</w:t>
      </w:r>
      <w:r w:rsidR="00B13390">
        <w:rPr>
          <w:rFonts w:ascii="Arial" w:eastAsia="SimSun" w:hAnsi="Arial" w:cs="Arial"/>
          <w:i/>
          <w:sz w:val="20"/>
          <w:szCs w:val="20"/>
          <w:lang w:val="ro-RO"/>
        </w:rPr>
        <w:t>..............................1</w:t>
      </w:r>
      <w:r w:rsidR="00D116B9">
        <w:rPr>
          <w:rFonts w:ascii="Arial" w:eastAsia="SimSun" w:hAnsi="Arial" w:cs="Arial"/>
          <w:i/>
          <w:sz w:val="20"/>
          <w:szCs w:val="20"/>
          <w:lang w:val="ro-RO"/>
        </w:rPr>
        <w:t>45</w:t>
      </w:r>
      <w:r w:rsidRPr="008A7850">
        <w:rPr>
          <w:rFonts w:ascii="Arial" w:eastAsia="SimSun" w:hAnsi="Arial" w:cs="Arial"/>
          <w:i/>
          <w:sz w:val="20"/>
          <w:szCs w:val="20"/>
          <w:lang w:val="ro-RO"/>
        </w:rPr>
        <w:t xml:space="preserve"> </w:t>
      </w:r>
    </w:p>
    <w:p w:rsidR="00F2046E" w:rsidRPr="008A7850" w:rsidRDefault="00F2046E" w:rsidP="00F2046E">
      <w:pPr>
        <w:tabs>
          <w:tab w:val="left" w:pos="1276"/>
        </w:tabs>
        <w:spacing w:after="0" w:line="240" w:lineRule="auto"/>
        <w:ind w:left="710"/>
        <w:rPr>
          <w:rFonts w:ascii="Arial" w:eastAsia="SimSun" w:hAnsi="Arial" w:cs="Arial"/>
          <w:i/>
          <w:sz w:val="20"/>
          <w:szCs w:val="20"/>
          <w:lang w:val="ro-RO"/>
        </w:rPr>
      </w:pPr>
      <w:r w:rsidRPr="00396034">
        <w:rPr>
          <w:rFonts w:ascii="Arial" w:eastAsia="SimSun" w:hAnsi="Arial" w:cs="Arial"/>
          <w:b/>
          <w:i/>
          <w:sz w:val="20"/>
          <w:szCs w:val="20"/>
          <w:lang w:val="ro-RO"/>
        </w:rPr>
        <w:t>VIII.1.4.</w:t>
      </w:r>
      <w:r>
        <w:rPr>
          <w:rFonts w:ascii="Arial" w:eastAsia="SimSun" w:hAnsi="Arial" w:cs="Arial"/>
          <w:i/>
          <w:sz w:val="20"/>
          <w:szCs w:val="20"/>
          <w:lang w:val="ro-RO"/>
        </w:rPr>
        <w:t xml:space="preserve"> </w:t>
      </w:r>
      <w:r w:rsidRPr="008A7850">
        <w:rPr>
          <w:rFonts w:ascii="Arial" w:eastAsia="SimSun" w:hAnsi="Arial" w:cs="Arial"/>
          <w:i/>
          <w:sz w:val="20"/>
          <w:szCs w:val="20"/>
          <w:lang w:val="ro-RO"/>
        </w:rPr>
        <w:t>Spaţiile verzi şi efectele asupra sănătăţii şi calităţii vieţii</w:t>
      </w:r>
      <w:r>
        <w:rPr>
          <w:rFonts w:ascii="Arial" w:eastAsia="SimSun" w:hAnsi="Arial" w:cs="Arial"/>
          <w:i/>
          <w:sz w:val="20"/>
          <w:szCs w:val="20"/>
          <w:lang w:val="ro-RO"/>
        </w:rPr>
        <w:t>...................</w:t>
      </w:r>
      <w:r w:rsidR="00396034">
        <w:rPr>
          <w:rFonts w:ascii="Arial" w:eastAsia="SimSun" w:hAnsi="Arial" w:cs="Arial"/>
          <w:i/>
          <w:sz w:val="20"/>
          <w:szCs w:val="20"/>
          <w:lang w:val="ro-RO"/>
        </w:rPr>
        <w:t>........................</w:t>
      </w:r>
      <w:r w:rsidR="00B13390">
        <w:rPr>
          <w:rFonts w:ascii="Arial" w:eastAsia="SimSun" w:hAnsi="Arial" w:cs="Arial"/>
          <w:i/>
          <w:sz w:val="20"/>
          <w:szCs w:val="20"/>
          <w:lang w:val="ro-RO"/>
        </w:rPr>
        <w:t>..</w:t>
      </w:r>
      <w:r w:rsidR="00396034">
        <w:rPr>
          <w:rFonts w:ascii="Arial" w:eastAsia="SimSun" w:hAnsi="Arial" w:cs="Arial"/>
          <w:i/>
          <w:sz w:val="20"/>
          <w:szCs w:val="20"/>
          <w:lang w:val="ro-RO"/>
        </w:rPr>
        <w:t>.</w:t>
      </w:r>
      <w:r w:rsidR="00B13390">
        <w:rPr>
          <w:rFonts w:ascii="Arial" w:eastAsia="SimSun" w:hAnsi="Arial" w:cs="Arial"/>
          <w:i/>
          <w:sz w:val="20"/>
          <w:szCs w:val="20"/>
          <w:lang w:val="ro-RO"/>
        </w:rPr>
        <w:t>..1</w:t>
      </w:r>
      <w:r w:rsidR="00D116B9">
        <w:rPr>
          <w:rFonts w:ascii="Arial" w:eastAsia="SimSun" w:hAnsi="Arial" w:cs="Arial"/>
          <w:i/>
          <w:sz w:val="20"/>
          <w:szCs w:val="20"/>
          <w:lang w:val="ro-RO"/>
        </w:rPr>
        <w:t>48</w:t>
      </w:r>
    </w:p>
    <w:p w:rsidR="00F2046E" w:rsidRPr="008A7850" w:rsidRDefault="00396034" w:rsidP="00F2046E">
      <w:pPr>
        <w:spacing w:after="0" w:line="240" w:lineRule="auto"/>
        <w:ind w:left="851"/>
        <w:rPr>
          <w:rFonts w:ascii="Arial" w:eastAsia="SimSun" w:hAnsi="Arial" w:cs="Arial"/>
          <w:sz w:val="20"/>
          <w:szCs w:val="20"/>
          <w:lang w:val="ro-RO"/>
        </w:rPr>
      </w:pPr>
      <w:r>
        <w:rPr>
          <w:rFonts w:ascii="Arial" w:eastAsia="SimSun" w:hAnsi="Arial" w:cs="Arial"/>
          <w:sz w:val="20"/>
          <w:szCs w:val="20"/>
          <w:lang w:val="ro-RO"/>
        </w:rPr>
        <w:t xml:space="preserve">  </w:t>
      </w:r>
      <w:r w:rsidR="00F2046E">
        <w:rPr>
          <w:rFonts w:ascii="Arial" w:eastAsia="SimSun" w:hAnsi="Arial" w:cs="Arial"/>
          <w:sz w:val="20"/>
          <w:szCs w:val="20"/>
          <w:lang w:val="ro-RO"/>
        </w:rPr>
        <w:t xml:space="preserve">VIII.1.4.1. </w:t>
      </w:r>
      <w:r w:rsidR="00F2046E" w:rsidRPr="008A7850">
        <w:rPr>
          <w:rFonts w:ascii="Arial" w:eastAsia="SimSun" w:hAnsi="Arial" w:cs="Arial"/>
          <w:sz w:val="20"/>
          <w:szCs w:val="20"/>
          <w:lang w:val="ro-RO"/>
        </w:rPr>
        <w:t>Suprafaţa ocupată de spaţiile verzi în aglomerările urbane</w:t>
      </w:r>
      <w:r w:rsidR="00F2046E">
        <w:rPr>
          <w:rFonts w:ascii="Arial" w:eastAsia="SimSun" w:hAnsi="Arial" w:cs="Arial"/>
          <w:sz w:val="20"/>
          <w:szCs w:val="20"/>
          <w:lang w:val="ro-RO"/>
        </w:rPr>
        <w:t>.........</w:t>
      </w:r>
      <w:r>
        <w:rPr>
          <w:rFonts w:ascii="Arial" w:eastAsia="SimSun" w:hAnsi="Arial" w:cs="Arial"/>
          <w:sz w:val="20"/>
          <w:szCs w:val="20"/>
          <w:lang w:val="ro-RO"/>
        </w:rPr>
        <w:t>..........................</w:t>
      </w:r>
      <w:r w:rsidR="00B13390">
        <w:rPr>
          <w:rFonts w:ascii="Arial" w:eastAsia="SimSun" w:hAnsi="Arial" w:cs="Arial"/>
          <w:sz w:val="20"/>
          <w:szCs w:val="20"/>
          <w:lang w:val="ro-RO"/>
        </w:rPr>
        <w:t>.1</w:t>
      </w:r>
      <w:r w:rsidR="00D116B9">
        <w:rPr>
          <w:rFonts w:ascii="Arial" w:eastAsia="SimSun" w:hAnsi="Arial" w:cs="Arial"/>
          <w:sz w:val="20"/>
          <w:szCs w:val="20"/>
          <w:lang w:val="ro-RO"/>
        </w:rPr>
        <w:t>48</w:t>
      </w:r>
      <w:r w:rsidR="00F2046E">
        <w:rPr>
          <w:rFonts w:ascii="Arial" w:eastAsia="SimSun" w:hAnsi="Arial" w:cs="Arial"/>
          <w:sz w:val="20"/>
          <w:szCs w:val="20"/>
          <w:lang w:val="ro-RO"/>
        </w:rPr>
        <w:t xml:space="preserve"> </w:t>
      </w:r>
    </w:p>
    <w:p w:rsidR="00F2046E" w:rsidRPr="008A7850" w:rsidRDefault="00F2046E" w:rsidP="00D116B9">
      <w:pPr>
        <w:tabs>
          <w:tab w:val="left" w:pos="1276"/>
        </w:tabs>
        <w:spacing w:after="0" w:line="240" w:lineRule="auto"/>
        <w:ind w:left="710"/>
        <w:rPr>
          <w:rFonts w:ascii="Arial" w:eastAsia="SimSun" w:hAnsi="Arial" w:cs="Arial"/>
          <w:i/>
          <w:sz w:val="20"/>
          <w:szCs w:val="20"/>
          <w:lang w:val="ro-RO"/>
        </w:rPr>
      </w:pPr>
      <w:r w:rsidRPr="00396034">
        <w:rPr>
          <w:rFonts w:ascii="Arial" w:eastAsia="SimSun" w:hAnsi="Arial" w:cs="Arial"/>
          <w:b/>
          <w:i/>
          <w:sz w:val="20"/>
          <w:szCs w:val="20"/>
          <w:lang w:val="ro-RO"/>
        </w:rPr>
        <w:t>VIII.1.5.</w:t>
      </w:r>
      <w:r>
        <w:rPr>
          <w:rFonts w:ascii="Arial" w:eastAsia="SimSun" w:hAnsi="Arial" w:cs="Arial"/>
          <w:i/>
          <w:sz w:val="20"/>
          <w:szCs w:val="20"/>
          <w:lang w:val="ro-RO"/>
        </w:rPr>
        <w:t xml:space="preserve"> </w:t>
      </w:r>
      <w:r w:rsidRPr="008A7850">
        <w:rPr>
          <w:rFonts w:ascii="Arial" w:eastAsia="SimSun" w:hAnsi="Arial" w:cs="Arial"/>
          <w:i/>
          <w:sz w:val="20"/>
          <w:szCs w:val="20"/>
          <w:lang w:val="ro-RO"/>
        </w:rPr>
        <w:t xml:space="preserve">Schimbările climatice şi efectele asupra mediului </w:t>
      </w:r>
      <w:r w:rsidR="00D20484">
        <w:rPr>
          <w:rFonts w:ascii="Arial" w:eastAsia="SimSun" w:hAnsi="Arial" w:cs="Arial"/>
          <w:i/>
          <w:sz w:val="20"/>
          <w:szCs w:val="20"/>
          <w:lang w:val="ro-RO"/>
        </w:rPr>
        <w:t xml:space="preserve">urban, </w:t>
      </w:r>
      <w:r w:rsidRPr="008A7850">
        <w:rPr>
          <w:rFonts w:ascii="Arial" w:eastAsia="SimSun" w:hAnsi="Arial" w:cs="Arial"/>
          <w:i/>
          <w:sz w:val="20"/>
          <w:szCs w:val="20"/>
          <w:lang w:val="ro-RO"/>
        </w:rPr>
        <w:t>sănătăţii şi calităţii vieţii</w:t>
      </w:r>
      <w:r w:rsidR="00396034">
        <w:rPr>
          <w:rFonts w:ascii="Arial" w:eastAsia="SimSun" w:hAnsi="Arial" w:cs="Arial"/>
          <w:i/>
          <w:sz w:val="20"/>
          <w:szCs w:val="20"/>
          <w:lang w:val="ro-RO"/>
        </w:rPr>
        <w:t xml:space="preserve">........ </w:t>
      </w:r>
      <w:r w:rsidR="00B13390">
        <w:rPr>
          <w:rFonts w:ascii="Arial" w:eastAsia="SimSun" w:hAnsi="Arial" w:cs="Arial"/>
          <w:i/>
          <w:sz w:val="20"/>
          <w:szCs w:val="20"/>
          <w:lang w:val="ro-RO"/>
        </w:rPr>
        <w:t>1</w:t>
      </w:r>
      <w:r w:rsidR="00D116B9">
        <w:rPr>
          <w:rFonts w:ascii="Arial" w:eastAsia="SimSun" w:hAnsi="Arial" w:cs="Arial"/>
          <w:i/>
          <w:sz w:val="20"/>
          <w:szCs w:val="20"/>
          <w:lang w:val="ro-RO"/>
        </w:rPr>
        <w:t>49</w:t>
      </w:r>
      <w:r w:rsidRPr="008A7850">
        <w:rPr>
          <w:rFonts w:ascii="Arial" w:eastAsia="SimSun" w:hAnsi="Arial" w:cs="Arial"/>
          <w:i/>
          <w:sz w:val="20"/>
          <w:szCs w:val="20"/>
          <w:lang w:val="ro-RO"/>
        </w:rPr>
        <w:t xml:space="preserve"> </w:t>
      </w:r>
    </w:p>
    <w:p w:rsidR="00D116B9" w:rsidRDefault="00F2046E" w:rsidP="00D116B9">
      <w:pPr>
        <w:spacing w:after="0" w:line="240" w:lineRule="auto"/>
        <w:rPr>
          <w:rFonts w:ascii="Arial" w:eastAsia="Times New Roman" w:hAnsi="Arial" w:cs="Arial"/>
          <w:sz w:val="20"/>
          <w:szCs w:val="20"/>
        </w:rPr>
      </w:pPr>
      <w:r w:rsidRPr="008A7850">
        <w:rPr>
          <w:rFonts w:ascii="Arial" w:eastAsia="SimSun" w:hAnsi="Arial" w:cs="Arial"/>
          <w:sz w:val="20"/>
          <w:szCs w:val="20"/>
          <w:lang w:val="ro-RO"/>
        </w:rPr>
        <w:tab/>
        <w:t xml:space="preserve"> </w:t>
      </w:r>
      <w:r w:rsidR="00D116B9">
        <w:rPr>
          <w:rFonts w:ascii="Arial" w:eastAsia="SimSun" w:hAnsi="Arial" w:cs="Arial"/>
          <w:sz w:val="20"/>
          <w:szCs w:val="20"/>
          <w:lang w:val="ro-RO"/>
        </w:rPr>
        <w:t xml:space="preserve"> </w:t>
      </w:r>
      <w:r w:rsidR="00D116B9" w:rsidRPr="00D116B9">
        <w:rPr>
          <w:rFonts w:ascii="Arial" w:eastAsia="SimSun" w:hAnsi="Arial" w:cs="Arial"/>
          <w:color w:val="000000"/>
          <w:sz w:val="20"/>
          <w:szCs w:val="20"/>
          <w:lang w:val="ro-RO"/>
        </w:rPr>
        <w:t>VIII.1.5.1.</w:t>
      </w:r>
      <w:r w:rsidR="00D116B9" w:rsidRPr="00D116B9">
        <w:rPr>
          <w:rFonts w:ascii="Arial" w:eastAsia="SimSun" w:hAnsi="Arial" w:cs="Arial"/>
          <w:b/>
          <w:i/>
          <w:color w:val="000000"/>
          <w:sz w:val="20"/>
          <w:szCs w:val="20"/>
          <w:lang w:val="ro-RO"/>
        </w:rPr>
        <w:t xml:space="preserve"> </w:t>
      </w:r>
      <w:r w:rsidR="00D116B9" w:rsidRPr="00D116B9">
        <w:rPr>
          <w:rFonts w:ascii="Arial" w:eastAsia="Times New Roman" w:hAnsi="Arial" w:cs="Arial"/>
          <w:sz w:val="20"/>
          <w:szCs w:val="20"/>
        </w:rPr>
        <w:t>Rata de mortalitate în aglomerările urbane ca urmare a temperaturilor extreme în perioada de vară</w:t>
      </w:r>
      <w:r w:rsidR="00D116B9">
        <w:rPr>
          <w:rFonts w:ascii="Arial" w:eastAsia="Times New Roman" w:hAnsi="Arial" w:cs="Arial"/>
          <w:sz w:val="20"/>
          <w:szCs w:val="20"/>
        </w:rPr>
        <w:t>…………………………………………………………………………………………………….150</w:t>
      </w:r>
    </w:p>
    <w:p w:rsidR="00D116B9" w:rsidRPr="00D116B9" w:rsidRDefault="00D116B9" w:rsidP="00D116B9">
      <w:pPr>
        <w:spacing w:after="0" w:line="240" w:lineRule="auto"/>
        <w:rPr>
          <w:rFonts w:ascii="Arial" w:eastAsia="Times New Roman" w:hAnsi="Arial" w:cs="Arial"/>
          <w:sz w:val="20"/>
          <w:szCs w:val="20"/>
        </w:rPr>
      </w:pPr>
      <w:r>
        <w:rPr>
          <w:rFonts w:ascii="Arial" w:eastAsia="Times New Roman" w:hAnsi="Arial" w:cs="Arial"/>
          <w:sz w:val="20"/>
          <w:szCs w:val="20"/>
        </w:rPr>
        <w:tab/>
      </w:r>
      <w:r w:rsidRPr="00D116B9">
        <w:rPr>
          <w:rFonts w:ascii="Arial" w:eastAsia="SimSun" w:hAnsi="Arial" w:cs="Arial"/>
          <w:color w:val="000000"/>
          <w:sz w:val="20"/>
          <w:szCs w:val="20"/>
          <w:lang w:val="ro-RO"/>
        </w:rPr>
        <w:t>VIII.1.5.2.</w:t>
      </w:r>
      <w:r w:rsidRPr="00D116B9">
        <w:rPr>
          <w:rFonts w:ascii="Arial" w:eastAsia="SimSun" w:hAnsi="Arial" w:cs="Arial"/>
          <w:b/>
          <w:i/>
          <w:color w:val="000000"/>
          <w:sz w:val="20"/>
          <w:szCs w:val="20"/>
          <w:lang w:val="ro-RO"/>
        </w:rPr>
        <w:t xml:space="preserve"> </w:t>
      </w:r>
      <w:r w:rsidRPr="00D116B9">
        <w:rPr>
          <w:rFonts w:ascii="Arial" w:eastAsia="Times New Roman" w:hAnsi="Arial" w:cs="Arial"/>
          <w:sz w:val="20"/>
          <w:szCs w:val="20"/>
        </w:rPr>
        <w:t>Expunerea populației din aglomerările urbane la riscul de inundații</w:t>
      </w:r>
      <w:r>
        <w:rPr>
          <w:rFonts w:ascii="Arial" w:eastAsia="Times New Roman" w:hAnsi="Arial" w:cs="Arial"/>
          <w:sz w:val="20"/>
          <w:szCs w:val="20"/>
        </w:rPr>
        <w:t>……………………..152</w:t>
      </w:r>
    </w:p>
    <w:p w:rsidR="00D116B9" w:rsidRPr="00D116B9" w:rsidRDefault="00D116B9" w:rsidP="00D116B9">
      <w:pPr>
        <w:tabs>
          <w:tab w:val="left" w:pos="1230"/>
        </w:tabs>
        <w:spacing w:after="0" w:line="240" w:lineRule="auto"/>
        <w:rPr>
          <w:rFonts w:ascii="Arial" w:eastAsia="Times New Roman" w:hAnsi="Arial" w:cs="Arial"/>
          <w:sz w:val="20"/>
          <w:szCs w:val="20"/>
        </w:rPr>
      </w:pPr>
    </w:p>
    <w:p w:rsidR="00F2046E" w:rsidRPr="008A7850" w:rsidRDefault="00F2046E" w:rsidP="00F2046E">
      <w:pPr>
        <w:spacing w:after="0" w:line="240" w:lineRule="auto"/>
        <w:rPr>
          <w:rFonts w:ascii="Arial" w:eastAsia="SimSun" w:hAnsi="Arial" w:cs="Arial"/>
          <w:color w:val="FF0000"/>
          <w:sz w:val="20"/>
          <w:szCs w:val="20"/>
          <w:lang w:val="ro-RO"/>
        </w:rPr>
      </w:pPr>
    </w:p>
    <w:p w:rsidR="00F2046E" w:rsidRPr="008A7850" w:rsidRDefault="00F2046E" w:rsidP="00F2046E">
      <w:pPr>
        <w:pStyle w:val="ListParagraph"/>
        <w:numPr>
          <w:ilvl w:val="0"/>
          <w:numId w:val="3"/>
        </w:numPr>
        <w:spacing w:after="0" w:line="360" w:lineRule="auto"/>
        <w:rPr>
          <w:rFonts w:ascii="Arial" w:eastAsia="SimSun" w:hAnsi="Arial" w:cs="Arial"/>
          <w:b/>
          <w:color w:val="000000"/>
          <w:sz w:val="20"/>
          <w:szCs w:val="20"/>
          <w:lang w:val="ro-RO"/>
        </w:rPr>
      </w:pPr>
      <w:r w:rsidRPr="008A7850">
        <w:rPr>
          <w:rFonts w:ascii="Arial" w:eastAsia="SimSun" w:hAnsi="Arial" w:cs="Arial"/>
          <w:b/>
          <w:color w:val="000000"/>
          <w:sz w:val="20"/>
          <w:szCs w:val="20"/>
          <w:lang w:val="ro-RO"/>
        </w:rPr>
        <w:t>RADIOACTIVITATEA MEDIULUI</w:t>
      </w:r>
      <w:r>
        <w:rPr>
          <w:rFonts w:ascii="Arial" w:eastAsia="SimSun" w:hAnsi="Arial" w:cs="Arial"/>
          <w:b/>
          <w:color w:val="000000"/>
          <w:sz w:val="20"/>
          <w:szCs w:val="20"/>
          <w:lang w:val="ro-RO"/>
        </w:rPr>
        <w:t>...........................................................</w:t>
      </w:r>
      <w:r w:rsidR="00B13390">
        <w:rPr>
          <w:rFonts w:ascii="Arial" w:eastAsia="SimSun" w:hAnsi="Arial" w:cs="Arial"/>
          <w:b/>
          <w:color w:val="000000"/>
          <w:sz w:val="20"/>
          <w:szCs w:val="20"/>
          <w:lang w:val="ro-RO"/>
        </w:rPr>
        <w:t>.............................1</w:t>
      </w:r>
      <w:r w:rsidR="00D116B9">
        <w:rPr>
          <w:rFonts w:ascii="Arial" w:eastAsia="SimSun" w:hAnsi="Arial" w:cs="Arial"/>
          <w:b/>
          <w:color w:val="000000"/>
          <w:sz w:val="20"/>
          <w:szCs w:val="20"/>
          <w:lang w:val="ro-RO"/>
        </w:rPr>
        <w:t>55</w:t>
      </w:r>
      <w:r w:rsidRPr="008A7850">
        <w:rPr>
          <w:rFonts w:ascii="Arial" w:eastAsia="SimSun" w:hAnsi="Arial" w:cs="Arial"/>
          <w:b/>
          <w:color w:val="000000"/>
          <w:sz w:val="20"/>
          <w:szCs w:val="20"/>
          <w:lang w:val="ro-RO"/>
        </w:rPr>
        <w:tab/>
        <w:t xml:space="preserve"> </w:t>
      </w:r>
    </w:p>
    <w:p w:rsidR="00F2046E" w:rsidRPr="008A7850" w:rsidRDefault="00F2046E" w:rsidP="00F2046E">
      <w:pPr>
        <w:spacing w:after="0" w:line="240" w:lineRule="auto"/>
        <w:ind w:left="360"/>
        <w:rPr>
          <w:rFonts w:ascii="Arial" w:eastAsia="SimSun" w:hAnsi="Arial" w:cs="Arial"/>
          <w:b/>
          <w:color w:val="000000"/>
          <w:sz w:val="20"/>
          <w:szCs w:val="20"/>
          <w:lang w:val="ro-RO"/>
        </w:rPr>
      </w:pPr>
      <w:r>
        <w:rPr>
          <w:rFonts w:ascii="Arial" w:eastAsia="SimSun" w:hAnsi="Arial" w:cs="Arial"/>
          <w:b/>
          <w:color w:val="000000"/>
          <w:sz w:val="20"/>
          <w:szCs w:val="20"/>
          <w:lang w:val="ro-RO"/>
        </w:rPr>
        <w:t xml:space="preserve">IX.1. </w:t>
      </w:r>
      <w:r w:rsidRPr="008A7850">
        <w:rPr>
          <w:rFonts w:ascii="Arial" w:eastAsia="SimSun" w:hAnsi="Arial" w:cs="Arial"/>
          <w:b/>
          <w:color w:val="000000"/>
          <w:sz w:val="20"/>
          <w:szCs w:val="20"/>
          <w:lang w:val="ro-RO"/>
        </w:rPr>
        <w:t>Monitorizarea radioactivităţii factorilor de mediu</w:t>
      </w:r>
      <w:r>
        <w:rPr>
          <w:rFonts w:ascii="Arial" w:eastAsia="SimSun" w:hAnsi="Arial" w:cs="Arial"/>
          <w:b/>
          <w:color w:val="000000"/>
          <w:sz w:val="20"/>
          <w:szCs w:val="20"/>
          <w:lang w:val="ro-RO"/>
        </w:rPr>
        <w:t>..........................................................</w:t>
      </w:r>
      <w:r w:rsidR="00B13390">
        <w:rPr>
          <w:rFonts w:ascii="Arial" w:eastAsia="SimSun" w:hAnsi="Arial" w:cs="Arial"/>
          <w:b/>
          <w:color w:val="000000"/>
          <w:sz w:val="20"/>
          <w:szCs w:val="20"/>
          <w:lang w:val="ro-RO"/>
        </w:rPr>
        <w:t>......1</w:t>
      </w:r>
      <w:r w:rsidR="00D116B9">
        <w:rPr>
          <w:rFonts w:ascii="Arial" w:eastAsia="SimSun" w:hAnsi="Arial" w:cs="Arial"/>
          <w:b/>
          <w:color w:val="000000"/>
          <w:sz w:val="20"/>
          <w:szCs w:val="20"/>
          <w:lang w:val="ro-RO"/>
        </w:rPr>
        <w:t>55</w:t>
      </w:r>
      <w:r w:rsidRPr="008A7850">
        <w:rPr>
          <w:rFonts w:ascii="Arial" w:eastAsia="SimSun" w:hAnsi="Arial" w:cs="Arial"/>
          <w:b/>
          <w:color w:val="000000"/>
          <w:sz w:val="20"/>
          <w:szCs w:val="20"/>
          <w:lang w:val="ro-RO"/>
        </w:rPr>
        <w:tab/>
        <w:t xml:space="preserve"> </w:t>
      </w:r>
    </w:p>
    <w:p w:rsidR="00F2046E" w:rsidRPr="008A7850" w:rsidRDefault="00F2046E" w:rsidP="00F2046E">
      <w:pPr>
        <w:tabs>
          <w:tab w:val="left" w:pos="1276"/>
        </w:tabs>
        <w:spacing w:after="0" w:line="240" w:lineRule="auto"/>
        <w:rPr>
          <w:rFonts w:ascii="Arial" w:eastAsia="SimSun" w:hAnsi="Arial" w:cs="Arial"/>
          <w:i/>
          <w:color w:val="000000"/>
          <w:sz w:val="20"/>
          <w:szCs w:val="20"/>
          <w:lang w:val="ro-RO"/>
        </w:rPr>
      </w:pPr>
      <w:r>
        <w:rPr>
          <w:rFonts w:ascii="Arial" w:eastAsia="SimSun" w:hAnsi="Arial" w:cs="Arial"/>
          <w:i/>
          <w:color w:val="000000"/>
          <w:sz w:val="20"/>
          <w:szCs w:val="20"/>
          <w:lang w:val="ro-RO"/>
        </w:rPr>
        <w:t xml:space="preserve">                 </w:t>
      </w:r>
      <w:r w:rsidRPr="00396034">
        <w:rPr>
          <w:rFonts w:ascii="Arial" w:eastAsia="SimSun" w:hAnsi="Arial" w:cs="Arial"/>
          <w:b/>
          <w:i/>
          <w:color w:val="000000"/>
          <w:sz w:val="20"/>
          <w:szCs w:val="20"/>
          <w:lang w:val="ro-RO"/>
        </w:rPr>
        <w:t>IX.1.1.</w:t>
      </w:r>
      <w:r>
        <w:rPr>
          <w:rFonts w:ascii="Arial" w:eastAsia="SimSun" w:hAnsi="Arial" w:cs="Arial"/>
          <w:i/>
          <w:color w:val="000000"/>
          <w:sz w:val="20"/>
          <w:szCs w:val="20"/>
          <w:lang w:val="ro-RO"/>
        </w:rPr>
        <w:t xml:space="preserve"> </w:t>
      </w:r>
      <w:r w:rsidRPr="008A7850">
        <w:rPr>
          <w:rFonts w:ascii="Arial" w:eastAsia="SimSun" w:hAnsi="Arial" w:cs="Arial"/>
          <w:i/>
          <w:color w:val="000000"/>
          <w:sz w:val="20"/>
          <w:szCs w:val="20"/>
          <w:lang w:val="ro-RO"/>
        </w:rPr>
        <w:t>Radioactivitatea aerului</w:t>
      </w:r>
      <w:r>
        <w:rPr>
          <w:rFonts w:ascii="Arial" w:eastAsia="SimSun" w:hAnsi="Arial" w:cs="Arial"/>
          <w:i/>
          <w:color w:val="000000"/>
          <w:sz w:val="20"/>
          <w:szCs w:val="20"/>
          <w:lang w:val="ro-RO"/>
        </w:rPr>
        <w:t>..................................................................</w:t>
      </w:r>
      <w:r w:rsidR="00B13390">
        <w:rPr>
          <w:rFonts w:ascii="Arial" w:eastAsia="SimSun" w:hAnsi="Arial" w:cs="Arial"/>
          <w:i/>
          <w:color w:val="000000"/>
          <w:sz w:val="20"/>
          <w:szCs w:val="20"/>
          <w:lang w:val="ro-RO"/>
        </w:rPr>
        <w:t>.............................1</w:t>
      </w:r>
      <w:r w:rsidR="00D116B9">
        <w:rPr>
          <w:rFonts w:ascii="Arial" w:eastAsia="SimSun" w:hAnsi="Arial" w:cs="Arial"/>
          <w:i/>
          <w:color w:val="000000"/>
          <w:sz w:val="20"/>
          <w:szCs w:val="20"/>
          <w:lang w:val="ro-RO"/>
        </w:rPr>
        <w:t>56</w:t>
      </w:r>
      <w:r>
        <w:rPr>
          <w:rFonts w:ascii="Arial" w:eastAsia="SimSun" w:hAnsi="Arial" w:cs="Arial"/>
          <w:i/>
          <w:color w:val="000000"/>
          <w:sz w:val="20"/>
          <w:szCs w:val="20"/>
          <w:lang w:val="ro-RO"/>
        </w:rPr>
        <w:t xml:space="preserve"> </w:t>
      </w:r>
    </w:p>
    <w:p w:rsidR="00F2046E" w:rsidRPr="008A7850" w:rsidRDefault="00F2046E" w:rsidP="00F2046E">
      <w:pPr>
        <w:tabs>
          <w:tab w:val="left" w:pos="1276"/>
        </w:tabs>
        <w:spacing w:after="0" w:line="240" w:lineRule="auto"/>
        <w:rPr>
          <w:rFonts w:ascii="Arial" w:eastAsia="SimSun" w:hAnsi="Arial" w:cs="Arial"/>
          <w:i/>
          <w:color w:val="000000"/>
          <w:sz w:val="20"/>
          <w:szCs w:val="20"/>
          <w:lang w:val="ro-RO"/>
        </w:rPr>
      </w:pPr>
      <w:r>
        <w:rPr>
          <w:rFonts w:ascii="Arial" w:eastAsia="SimSun" w:hAnsi="Arial" w:cs="Arial"/>
          <w:i/>
          <w:color w:val="000000"/>
          <w:sz w:val="20"/>
          <w:szCs w:val="20"/>
          <w:lang w:val="ro-RO"/>
        </w:rPr>
        <w:t xml:space="preserve">                 </w:t>
      </w:r>
      <w:r w:rsidRPr="00396034">
        <w:rPr>
          <w:rFonts w:ascii="Arial" w:eastAsia="SimSun" w:hAnsi="Arial" w:cs="Arial"/>
          <w:b/>
          <w:i/>
          <w:color w:val="000000"/>
          <w:sz w:val="20"/>
          <w:szCs w:val="20"/>
          <w:lang w:val="ro-RO"/>
        </w:rPr>
        <w:t>IX.1.2.</w:t>
      </w:r>
      <w:r>
        <w:rPr>
          <w:rFonts w:ascii="Arial" w:eastAsia="SimSun" w:hAnsi="Arial" w:cs="Arial"/>
          <w:i/>
          <w:color w:val="000000"/>
          <w:sz w:val="20"/>
          <w:szCs w:val="20"/>
          <w:lang w:val="ro-RO"/>
        </w:rPr>
        <w:t xml:space="preserve"> </w:t>
      </w:r>
      <w:r w:rsidRPr="008A7850">
        <w:rPr>
          <w:rFonts w:ascii="Arial" w:eastAsia="SimSun" w:hAnsi="Arial" w:cs="Arial"/>
          <w:i/>
          <w:color w:val="000000"/>
          <w:sz w:val="20"/>
          <w:szCs w:val="20"/>
          <w:lang w:val="ro-RO"/>
        </w:rPr>
        <w:t>Radioactivitatea apelor</w:t>
      </w:r>
      <w:r>
        <w:rPr>
          <w:rFonts w:ascii="Arial" w:eastAsia="SimSun" w:hAnsi="Arial" w:cs="Arial"/>
          <w:i/>
          <w:color w:val="000000"/>
          <w:sz w:val="20"/>
          <w:szCs w:val="20"/>
          <w:lang w:val="ro-RO"/>
        </w:rPr>
        <w:t>...................................................................</w:t>
      </w:r>
      <w:r w:rsidR="00B13390">
        <w:rPr>
          <w:rFonts w:ascii="Arial" w:eastAsia="SimSun" w:hAnsi="Arial" w:cs="Arial"/>
          <w:i/>
          <w:color w:val="000000"/>
          <w:sz w:val="20"/>
          <w:szCs w:val="20"/>
          <w:lang w:val="ro-RO"/>
        </w:rPr>
        <w:t>.............................1</w:t>
      </w:r>
      <w:r w:rsidR="00D116B9">
        <w:rPr>
          <w:rFonts w:ascii="Arial" w:eastAsia="SimSun" w:hAnsi="Arial" w:cs="Arial"/>
          <w:i/>
          <w:color w:val="000000"/>
          <w:sz w:val="20"/>
          <w:szCs w:val="20"/>
          <w:lang w:val="ro-RO"/>
        </w:rPr>
        <w:t>58</w:t>
      </w:r>
    </w:p>
    <w:p w:rsidR="00F2046E" w:rsidRPr="008A7850" w:rsidRDefault="00F2046E" w:rsidP="00F2046E">
      <w:pPr>
        <w:tabs>
          <w:tab w:val="left" w:pos="1276"/>
        </w:tabs>
        <w:spacing w:after="0" w:line="240" w:lineRule="auto"/>
        <w:rPr>
          <w:rFonts w:ascii="Arial" w:eastAsia="SimSun" w:hAnsi="Arial" w:cs="Arial"/>
          <w:i/>
          <w:color w:val="000000"/>
          <w:sz w:val="20"/>
          <w:szCs w:val="20"/>
          <w:lang w:val="ro-RO"/>
        </w:rPr>
      </w:pPr>
      <w:r>
        <w:rPr>
          <w:rFonts w:ascii="Arial" w:eastAsia="SimSun" w:hAnsi="Arial" w:cs="Arial"/>
          <w:i/>
          <w:color w:val="000000"/>
          <w:sz w:val="20"/>
          <w:szCs w:val="20"/>
          <w:lang w:val="ro-RO"/>
        </w:rPr>
        <w:t xml:space="preserve">                 </w:t>
      </w:r>
      <w:r w:rsidRPr="00396034">
        <w:rPr>
          <w:rFonts w:ascii="Arial" w:eastAsia="SimSun" w:hAnsi="Arial" w:cs="Arial"/>
          <w:b/>
          <w:i/>
          <w:color w:val="000000"/>
          <w:sz w:val="20"/>
          <w:szCs w:val="20"/>
          <w:lang w:val="ro-RO"/>
        </w:rPr>
        <w:t>IX.1.3.</w:t>
      </w:r>
      <w:r>
        <w:rPr>
          <w:rFonts w:ascii="Arial" w:eastAsia="SimSun" w:hAnsi="Arial" w:cs="Arial"/>
          <w:i/>
          <w:color w:val="000000"/>
          <w:sz w:val="20"/>
          <w:szCs w:val="20"/>
          <w:lang w:val="ro-RO"/>
        </w:rPr>
        <w:t xml:space="preserve"> </w:t>
      </w:r>
      <w:r w:rsidRPr="008A7850">
        <w:rPr>
          <w:rFonts w:ascii="Arial" w:eastAsia="SimSun" w:hAnsi="Arial" w:cs="Arial"/>
          <w:i/>
          <w:color w:val="000000"/>
          <w:sz w:val="20"/>
          <w:szCs w:val="20"/>
          <w:lang w:val="ro-RO"/>
        </w:rPr>
        <w:t>Radioactivitatea solului</w:t>
      </w:r>
      <w:r>
        <w:rPr>
          <w:rFonts w:ascii="Arial" w:eastAsia="SimSun" w:hAnsi="Arial" w:cs="Arial"/>
          <w:i/>
          <w:color w:val="000000"/>
          <w:sz w:val="20"/>
          <w:szCs w:val="20"/>
          <w:lang w:val="ro-RO"/>
        </w:rPr>
        <w:t>...................................................................</w:t>
      </w:r>
      <w:r w:rsidR="00B13390">
        <w:rPr>
          <w:rFonts w:ascii="Arial" w:eastAsia="SimSun" w:hAnsi="Arial" w:cs="Arial"/>
          <w:i/>
          <w:color w:val="000000"/>
          <w:sz w:val="20"/>
          <w:szCs w:val="20"/>
          <w:lang w:val="ro-RO"/>
        </w:rPr>
        <w:t>.............................1</w:t>
      </w:r>
      <w:r w:rsidR="00D116B9">
        <w:rPr>
          <w:rFonts w:ascii="Arial" w:eastAsia="SimSun" w:hAnsi="Arial" w:cs="Arial"/>
          <w:i/>
          <w:color w:val="000000"/>
          <w:sz w:val="20"/>
          <w:szCs w:val="20"/>
          <w:lang w:val="ro-RO"/>
        </w:rPr>
        <w:t>59</w:t>
      </w:r>
    </w:p>
    <w:p w:rsidR="00F2046E" w:rsidRPr="008A7850" w:rsidRDefault="00F2046E" w:rsidP="00F2046E">
      <w:pPr>
        <w:tabs>
          <w:tab w:val="left" w:pos="1276"/>
        </w:tabs>
        <w:spacing w:after="0" w:line="240" w:lineRule="auto"/>
        <w:rPr>
          <w:rFonts w:ascii="Arial" w:eastAsia="SimSun" w:hAnsi="Arial" w:cs="Arial"/>
          <w:i/>
          <w:color w:val="000000"/>
          <w:sz w:val="20"/>
          <w:szCs w:val="20"/>
          <w:lang w:val="ro-RO"/>
        </w:rPr>
      </w:pPr>
      <w:r>
        <w:rPr>
          <w:rFonts w:ascii="Arial" w:eastAsia="SimSun" w:hAnsi="Arial" w:cs="Arial"/>
          <w:i/>
          <w:color w:val="000000"/>
          <w:sz w:val="20"/>
          <w:szCs w:val="20"/>
          <w:lang w:val="ro-RO"/>
        </w:rPr>
        <w:t xml:space="preserve">                 </w:t>
      </w:r>
      <w:r w:rsidRPr="00396034">
        <w:rPr>
          <w:rFonts w:ascii="Arial" w:eastAsia="SimSun" w:hAnsi="Arial" w:cs="Arial"/>
          <w:b/>
          <w:i/>
          <w:color w:val="000000"/>
          <w:sz w:val="20"/>
          <w:szCs w:val="20"/>
          <w:lang w:val="ro-RO"/>
        </w:rPr>
        <w:t>IX.1.4.</w:t>
      </w:r>
      <w:r>
        <w:rPr>
          <w:rFonts w:ascii="Arial" w:eastAsia="SimSun" w:hAnsi="Arial" w:cs="Arial"/>
          <w:i/>
          <w:color w:val="000000"/>
          <w:sz w:val="20"/>
          <w:szCs w:val="20"/>
          <w:lang w:val="ro-RO"/>
        </w:rPr>
        <w:t xml:space="preserve"> </w:t>
      </w:r>
      <w:r w:rsidRPr="008A7850">
        <w:rPr>
          <w:rFonts w:ascii="Arial" w:eastAsia="SimSun" w:hAnsi="Arial" w:cs="Arial"/>
          <w:i/>
          <w:color w:val="000000"/>
          <w:sz w:val="20"/>
          <w:szCs w:val="20"/>
          <w:lang w:val="ro-RO"/>
        </w:rPr>
        <w:t>Radioactivitatea vegetaţiei</w:t>
      </w:r>
      <w:r>
        <w:rPr>
          <w:rFonts w:ascii="Arial" w:eastAsia="SimSun" w:hAnsi="Arial" w:cs="Arial"/>
          <w:i/>
          <w:color w:val="000000"/>
          <w:sz w:val="20"/>
          <w:szCs w:val="20"/>
          <w:lang w:val="ro-RO"/>
        </w:rPr>
        <w:t>..............................................................</w:t>
      </w:r>
      <w:r w:rsidR="00B13390">
        <w:rPr>
          <w:rFonts w:ascii="Arial" w:eastAsia="SimSun" w:hAnsi="Arial" w:cs="Arial"/>
          <w:i/>
          <w:color w:val="000000"/>
          <w:sz w:val="20"/>
          <w:szCs w:val="20"/>
          <w:lang w:val="ro-RO"/>
        </w:rPr>
        <w:t>.............................1</w:t>
      </w:r>
      <w:r w:rsidR="00D116B9">
        <w:rPr>
          <w:rFonts w:ascii="Arial" w:eastAsia="SimSun" w:hAnsi="Arial" w:cs="Arial"/>
          <w:i/>
          <w:color w:val="000000"/>
          <w:sz w:val="20"/>
          <w:szCs w:val="20"/>
          <w:lang w:val="ro-RO"/>
        </w:rPr>
        <w:t>60</w:t>
      </w:r>
      <w:r w:rsidRPr="008A7850">
        <w:rPr>
          <w:rFonts w:ascii="Arial" w:eastAsia="SimSun" w:hAnsi="Arial" w:cs="Arial"/>
          <w:i/>
          <w:color w:val="000000"/>
          <w:sz w:val="20"/>
          <w:szCs w:val="20"/>
          <w:lang w:val="ro-RO"/>
        </w:rPr>
        <w:tab/>
        <w:t xml:space="preserve"> </w:t>
      </w:r>
    </w:p>
    <w:p w:rsidR="00F2046E" w:rsidRDefault="00F2046E" w:rsidP="00F2046E">
      <w:pPr>
        <w:spacing w:after="0" w:line="240" w:lineRule="auto"/>
        <w:rPr>
          <w:rFonts w:ascii="Arial" w:eastAsia="SimSun" w:hAnsi="Arial" w:cs="Arial"/>
          <w:color w:val="000000"/>
          <w:sz w:val="20"/>
          <w:szCs w:val="20"/>
          <w:lang w:val="ro-RO"/>
        </w:rPr>
      </w:pPr>
    </w:p>
    <w:p w:rsidR="00F2046E" w:rsidRPr="008A7850" w:rsidRDefault="00F2046E" w:rsidP="00F2046E">
      <w:pPr>
        <w:spacing w:after="0" w:line="240" w:lineRule="auto"/>
        <w:rPr>
          <w:rFonts w:ascii="Arial" w:eastAsia="SimSun" w:hAnsi="Arial" w:cs="Arial"/>
          <w:color w:val="000000"/>
          <w:sz w:val="20"/>
          <w:szCs w:val="20"/>
          <w:lang w:val="ro-RO"/>
        </w:rPr>
      </w:pPr>
    </w:p>
    <w:p w:rsidR="00F2046E" w:rsidRPr="008A7850" w:rsidRDefault="00F2046E" w:rsidP="00F2046E">
      <w:pPr>
        <w:numPr>
          <w:ilvl w:val="0"/>
          <w:numId w:val="3"/>
        </w:numPr>
        <w:spacing w:after="0" w:line="360" w:lineRule="auto"/>
        <w:rPr>
          <w:rFonts w:ascii="Arial" w:eastAsia="SimSun" w:hAnsi="Arial" w:cs="Arial"/>
          <w:b/>
          <w:sz w:val="20"/>
          <w:szCs w:val="20"/>
          <w:lang w:val="ro-RO"/>
        </w:rPr>
      </w:pPr>
      <w:r w:rsidRPr="008A7850">
        <w:rPr>
          <w:rFonts w:ascii="Arial" w:eastAsia="SimSun" w:hAnsi="Arial" w:cs="Arial"/>
          <w:b/>
          <w:sz w:val="20"/>
          <w:szCs w:val="20"/>
          <w:lang w:val="ro-RO"/>
        </w:rPr>
        <w:t>CONSUMUL ŞI MEDIUL ÎNCONJURĂTOR</w:t>
      </w:r>
      <w:r>
        <w:rPr>
          <w:rFonts w:ascii="Arial" w:eastAsia="SimSun" w:hAnsi="Arial" w:cs="Arial"/>
          <w:b/>
          <w:sz w:val="20"/>
          <w:szCs w:val="20"/>
          <w:lang w:val="ro-RO"/>
        </w:rPr>
        <w:t>............................................</w:t>
      </w:r>
      <w:r w:rsidR="00B13390">
        <w:rPr>
          <w:rFonts w:ascii="Arial" w:eastAsia="SimSun" w:hAnsi="Arial" w:cs="Arial"/>
          <w:b/>
          <w:sz w:val="20"/>
          <w:szCs w:val="20"/>
          <w:lang w:val="ro-RO"/>
        </w:rPr>
        <w:t>.............................1</w:t>
      </w:r>
      <w:r w:rsidR="00D116B9">
        <w:rPr>
          <w:rFonts w:ascii="Arial" w:eastAsia="SimSun" w:hAnsi="Arial" w:cs="Arial"/>
          <w:b/>
          <w:sz w:val="20"/>
          <w:szCs w:val="20"/>
          <w:lang w:val="ro-RO"/>
        </w:rPr>
        <w:t>61</w:t>
      </w:r>
    </w:p>
    <w:p w:rsidR="00F2046E" w:rsidRPr="008A7850" w:rsidRDefault="00F2046E" w:rsidP="00F2046E">
      <w:pPr>
        <w:spacing w:after="0" w:line="240" w:lineRule="auto"/>
        <w:ind w:left="1080"/>
        <w:rPr>
          <w:rFonts w:ascii="Arial" w:eastAsia="SimSun" w:hAnsi="Arial" w:cs="Arial"/>
          <w:b/>
          <w:sz w:val="20"/>
          <w:szCs w:val="20"/>
          <w:lang w:val="ro-RO"/>
        </w:rPr>
      </w:pPr>
      <w:r>
        <w:rPr>
          <w:rFonts w:ascii="Arial" w:eastAsia="SimSun" w:hAnsi="Arial" w:cs="Arial"/>
          <w:b/>
          <w:sz w:val="20"/>
          <w:szCs w:val="20"/>
          <w:lang w:val="ro-RO"/>
        </w:rPr>
        <w:t xml:space="preserve">X.1. </w:t>
      </w:r>
      <w:r w:rsidRPr="008A7850">
        <w:rPr>
          <w:rFonts w:ascii="Arial" w:eastAsia="SimSun" w:hAnsi="Arial" w:cs="Arial"/>
          <w:b/>
          <w:sz w:val="20"/>
          <w:szCs w:val="20"/>
          <w:lang w:val="ro-RO"/>
        </w:rPr>
        <w:t>Tendinţe în consum</w:t>
      </w:r>
      <w:r>
        <w:rPr>
          <w:rFonts w:ascii="Arial" w:eastAsia="SimSun" w:hAnsi="Arial" w:cs="Arial"/>
          <w:b/>
          <w:sz w:val="20"/>
          <w:szCs w:val="20"/>
          <w:lang w:val="ro-RO"/>
        </w:rPr>
        <w:t>........................................................................</w:t>
      </w:r>
      <w:r w:rsidR="00B13390">
        <w:rPr>
          <w:rFonts w:ascii="Arial" w:eastAsia="SimSun" w:hAnsi="Arial" w:cs="Arial"/>
          <w:b/>
          <w:sz w:val="20"/>
          <w:szCs w:val="20"/>
          <w:lang w:val="ro-RO"/>
        </w:rPr>
        <w:t>.............................1</w:t>
      </w:r>
      <w:r w:rsidR="00D116B9">
        <w:rPr>
          <w:rFonts w:ascii="Arial" w:eastAsia="SimSun" w:hAnsi="Arial" w:cs="Arial"/>
          <w:b/>
          <w:sz w:val="20"/>
          <w:szCs w:val="20"/>
          <w:lang w:val="ro-RO"/>
        </w:rPr>
        <w:t>61</w:t>
      </w:r>
      <w:r>
        <w:rPr>
          <w:rFonts w:ascii="Arial" w:eastAsia="SimSun" w:hAnsi="Arial" w:cs="Arial"/>
          <w:b/>
          <w:sz w:val="20"/>
          <w:szCs w:val="20"/>
          <w:lang w:val="ro-RO"/>
        </w:rPr>
        <w:t xml:space="preserve"> </w:t>
      </w:r>
    </w:p>
    <w:p w:rsidR="00F2046E" w:rsidRPr="008A7850" w:rsidRDefault="00F2046E" w:rsidP="00F2046E">
      <w:pPr>
        <w:tabs>
          <w:tab w:val="left" w:pos="1276"/>
        </w:tabs>
        <w:spacing w:after="0" w:line="240" w:lineRule="auto"/>
        <w:ind w:left="1980"/>
        <w:rPr>
          <w:rFonts w:ascii="Arial" w:eastAsia="SimSun" w:hAnsi="Arial" w:cs="Arial"/>
          <w:i/>
          <w:sz w:val="20"/>
          <w:szCs w:val="20"/>
          <w:lang w:val="ro-RO"/>
        </w:rPr>
      </w:pPr>
      <w:r w:rsidRPr="00396034">
        <w:rPr>
          <w:rFonts w:ascii="Arial" w:eastAsia="SimSun" w:hAnsi="Arial" w:cs="Arial"/>
          <w:b/>
          <w:i/>
          <w:sz w:val="20"/>
          <w:szCs w:val="20"/>
          <w:lang w:val="ro-RO"/>
        </w:rPr>
        <w:t>X.1.1.</w:t>
      </w:r>
      <w:r>
        <w:rPr>
          <w:rFonts w:ascii="Arial" w:eastAsia="SimSun" w:hAnsi="Arial" w:cs="Arial"/>
          <w:i/>
          <w:sz w:val="20"/>
          <w:szCs w:val="20"/>
          <w:lang w:val="ro-RO"/>
        </w:rPr>
        <w:t xml:space="preserve"> </w:t>
      </w:r>
      <w:r w:rsidRPr="008A7850">
        <w:rPr>
          <w:rFonts w:ascii="Arial" w:eastAsia="SimSun" w:hAnsi="Arial" w:cs="Arial"/>
          <w:i/>
          <w:sz w:val="20"/>
          <w:szCs w:val="20"/>
          <w:lang w:val="ro-RO"/>
        </w:rPr>
        <w:t>Alimente şi băuturi</w:t>
      </w:r>
      <w:r>
        <w:rPr>
          <w:rFonts w:ascii="Arial" w:eastAsia="SimSun" w:hAnsi="Arial" w:cs="Arial"/>
          <w:i/>
          <w:sz w:val="20"/>
          <w:szCs w:val="20"/>
          <w:lang w:val="ro-RO"/>
        </w:rPr>
        <w:t>.........................................................</w:t>
      </w:r>
      <w:r w:rsidR="00B13390">
        <w:rPr>
          <w:rFonts w:ascii="Arial" w:eastAsia="SimSun" w:hAnsi="Arial" w:cs="Arial"/>
          <w:i/>
          <w:sz w:val="20"/>
          <w:szCs w:val="20"/>
          <w:lang w:val="ro-RO"/>
        </w:rPr>
        <w:t>.............................1</w:t>
      </w:r>
      <w:r w:rsidR="00D116B9">
        <w:rPr>
          <w:rFonts w:ascii="Arial" w:eastAsia="SimSun" w:hAnsi="Arial" w:cs="Arial"/>
          <w:i/>
          <w:sz w:val="20"/>
          <w:szCs w:val="20"/>
          <w:lang w:val="ro-RO"/>
        </w:rPr>
        <w:t>61</w:t>
      </w:r>
      <w:r>
        <w:rPr>
          <w:rFonts w:ascii="Arial" w:eastAsia="SimSun" w:hAnsi="Arial" w:cs="Arial"/>
          <w:i/>
          <w:sz w:val="20"/>
          <w:szCs w:val="20"/>
          <w:lang w:val="ro-RO"/>
        </w:rPr>
        <w:t xml:space="preserve"> </w:t>
      </w:r>
    </w:p>
    <w:p w:rsidR="00F2046E" w:rsidRPr="008A7850" w:rsidRDefault="00F2046E" w:rsidP="00F2046E">
      <w:pPr>
        <w:tabs>
          <w:tab w:val="left" w:pos="1276"/>
        </w:tabs>
        <w:spacing w:after="0" w:line="240" w:lineRule="auto"/>
        <w:ind w:left="1980"/>
        <w:rPr>
          <w:rFonts w:ascii="Arial" w:eastAsia="SimSun" w:hAnsi="Arial" w:cs="Arial"/>
          <w:i/>
          <w:sz w:val="20"/>
          <w:szCs w:val="20"/>
          <w:lang w:val="ro-RO"/>
        </w:rPr>
      </w:pPr>
      <w:r w:rsidRPr="00396034">
        <w:rPr>
          <w:rFonts w:ascii="Arial" w:eastAsia="SimSun" w:hAnsi="Arial" w:cs="Arial"/>
          <w:b/>
          <w:i/>
          <w:sz w:val="20"/>
          <w:szCs w:val="20"/>
          <w:lang w:val="ro-RO"/>
        </w:rPr>
        <w:t>X.1.2.</w:t>
      </w:r>
      <w:r>
        <w:rPr>
          <w:rFonts w:ascii="Arial" w:eastAsia="SimSun" w:hAnsi="Arial" w:cs="Arial"/>
          <w:i/>
          <w:sz w:val="20"/>
          <w:szCs w:val="20"/>
          <w:lang w:val="ro-RO"/>
        </w:rPr>
        <w:t xml:space="preserve"> </w:t>
      </w:r>
      <w:r w:rsidRPr="008A7850">
        <w:rPr>
          <w:rFonts w:ascii="Arial" w:eastAsia="SimSun" w:hAnsi="Arial" w:cs="Arial"/>
          <w:i/>
          <w:sz w:val="20"/>
          <w:szCs w:val="20"/>
          <w:lang w:val="ro-RO"/>
        </w:rPr>
        <w:t>Locuinţe</w:t>
      </w:r>
      <w:r>
        <w:rPr>
          <w:rFonts w:ascii="Arial" w:eastAsia="SimSun" w:hAnsi="Arial" w:cs="Arial"/>
          <w:i/>
          <w:sz w:val="20"/>
          <w:szCs w:val="20"/>
          <w:lang w:val="ro-RO"/>
        </w:rPr>
        <w:t>.........................................................................</w:t>
      </w:r>
      <w:r w:rsidR="00B13390">
        <w:rPr>
          <w:rFonts w:ascii="Arial" w:eastAsia="SimSun" w:hAnsi="Arial" w:cs="Arial"/>
          <w:i/>
          <w:sz w:val="20"/>
          <w:szCs w:val="20"/>
          <w:lang w:val="ro-RO"/>
        </w:rPr>
        <w:t>.............................1</w:t>
      </w:r>
      <w:r w:rsidR="00D116B9">
        <w:rPr>
          <w:rFonts w:ascii="Arial" w:eastAsia="SimSun" w:hAnsi="Arial" w:cs="Arial"/>
          <w:i/>
          <w:sz w:val="20"/>
          <w:szCs w:val="20"/>
          <w:lang w:val="ro-RO"/>
        </w:rPr>
        <w:t>62</w:t>
      </w:r>
      <w:r w:rsidRPr="008A7850">
        <w:rPr>
          <w:rFonts w:ascii="Arial" w:eastAsia="SimSun" w:hAnsi="Arial" w:cs="Arial"/>
          <w:i/>
          <w:sz w:val="20"/>
          <w:szCs w:val="20"/>
          <w:lang w:val="ro-RO"/>
        </w:rPr>
        <w:t xml:space="preserve"> </w:t>
      </w:r>
    </w:p>
    <w:p w:rsidR="00F2046E" w:rsidRPr="008A7850" w:rsidRDefault="00F2046E" w:rsidP="00F2046E">
      <w:pPr>
        <w:tabs>
          <w:tab w:val="left" w:pos="1276"/>
        </w:tabs>
        <w:spacing w:after="0" w:line="240" w:lineRule="auto"/>
        <w:ind w:left="1980"/>
        <w:rPr>
          <w:rFonts w:ascii="Arial" w:eastAsia="SimSun" w:hAnsi="Arial" w:cs="Arial"/>
          <w:i/>
          <w:sz w:val="20"/>
          <w:szCs w:val="20"/>
          <w:lang w:val="ro-RO"/>
        </w:rPr>
      </w:pPr>
      <w:r w:rsidRPr="00396034">
        <w:rPr>
          <w:rFonts w:ascii="Arial" w:eastAsia="SimSun" w:hAnsi="Arial" w:cs="Arial"/>
          <w:b/>
          <w:i/>
          <w:sz w:val="20"/>
          <w:szCs w:val="20"/>
          <w:lang w:val="ro-RO"/>
        </w:rPr>
        <w:t>X.1.3.</w:t>
      </w:r>
      <w:r>
        <w:rPr>
          <w:rFonts w:ascii="Arial" w:eastAsia="SimSun" w:hAnsi="Arial" w:cs="Arial"/>
          <w:i/>
          <w:sz w:val="20"/>
          <w:szCs w:val="20"/>
          <w:lang w:val="ro-RO"/>
        </w:rPr>
        <w:t xml:space="preserve"> </w:t>
      </w:r>
      <w:r w:rsidRPr="008A7850">
        <w:rPr>
          <w:rFonts w:ascii="Arial" w:eastAsia="SimSun" w:hAnsi="Arial" w:cs="Arial"/>
          <w:i/>
          <w:sz w:val="20"/>
          <w:szCs w:val="20"/>
          <w:lang w:val="ro-RO"/>
        </w:rPr>
        <w:t>Mobilitate</w:t>
      </w:r>
      <w:r>
        <w:rPr>
          <w:rFonts w:ascii="Arial" w:eastAsia="SimSun" w:hAnsi="Arial" w:cs="Arial"/>
          <w:i/>
          <w:sz w:val="20"/>
          <w:szCs w:val="20"/>
          <w:lang w:val="ro-RO"/>
        </w:rPr>
        <w:t>.......................................................................</w:t>
      </w:r>
      <w:r w:rsidR="00B13390">
        <w:rPr>
          <w:rFonts w:ascii="Arial" w:eastAsia="SimSun" w:hAnsi="Arial" w:cs="Arial"/>
          <w:i/>
          <w:sz w:val="20"/>
          <w:szCs w:val="20"/>
          <w:lang w:val="ro-RO"/>
        </w:rPr>
        <w:t>.............................1</w:t>
      </w:r>
      <w:r w:rsidR="00D116B9">
        <w:rPr>
          <w:rFonts w:ascii="Arial" w:eastAsia="SimSun" w:hAnsi="Arial" w:cs="Arial"/>
          <w:i/>
          <w:sz w:val="20"/>
          <w:szCs w:val="20"/>
          <w:lang w:val="ro-RO"/>
        </w:rPr>
        <w:t>63</w:t>
      </w:r>
    </w:p>
    <w:p w:rsidR="00F2046E" w:rsidRPr="008A7850" w:rsidRDefault="00F2046E" w:rsidP="00F2046E">
      <w:pPr>
        <w:spacing w:after="0" w:line="240" w:lineRule="auto"/>
        <w:ind w:left="2520"/>
        <w:rPr>
          <w:rFonts w:ascii="Arial" w:eastAsia="SimSun" w:hAnsi="Arial" w:cs="Arial"/>
          <w:sz w:val="20"/>
          <w:szCs w:val="20"/>
          <w:lang w:val="ro-RO"/>
        </w:rPr>
      </w:pPr>
      <w:r>
        <w:rPr>
          <w:rFonts w:ascii="Arial" w:eastAsia="SimSun" w:hAnsi="Arial" w:cs="Arial"/>
          <w:sz w:val="20"/>
          <w:szCs w:val="20"/>
          <w:lang w:val="ro-RO"/>
        </w:rPr>
        <w:t xml:space="preserve">X.1.3.1. </w:t>
      </w:r>
      <w:r w:rsidRPr="008A7850">
        <w:rPr>
          <w:rFonts w:ascii="Arial" w:eastAsia="SimSun" w:hAnsi="Arial" w:cs="Arial"/>
          <w:sz w:val="20"/>
          <w:szCs w:val="20"/>
          <w:lang w:val="ro-RO"/>
        </w:rPr>
        <w:t>Transportul de pasageri</w:t>
      </w:r>
      <w:r>
        <w:rPr>
          <w:rFonts w:ascii="Arial" w:eastAsia="SimSun" w:hAnsi="Arial" w:cs="Arial"/>
          <w:sz w:val="20"/>
          <w:szCs w:val="20"/>
          <w:lang w:val="ro-RO"/>
        </w:rPr>
        <w:t>....................................</w:t>
      </w:r>
      <w:r w:rsidR="00B13390">
        <w:rPr>
          <w:rFonts w:ascii="Arial" w:eastAsia="SimSun" w:hAnsi="Arial" w:cs="Arial"/>
          <w:sz w:val="20"/>
          <w:szCs w:val="20"/>
          <w:lang w:val="ro-RO"/>
        </w:rPr>
        <w:t>.............................1</w:t>
      </w:r>
      <w:r w:rsidR="00D116B9">
        <w:rPr>
          <w:rFonts w:ascii="Arial" w:eastAsia="SimSun" w:hAnsi="Arial" w:cs="Arial"/>
          <w:sz w:val="20"/>
          <w:szCs w:val="20"/>
          <w:lang w:val="ro-RO"/>
        </w:rPr>
        <w:t>64</w:t>
      </w:r>
      <w:r>
        <w:rPr>
          <w:rFonts w:ascii="Arial" w:eastAsia="SimSun" w:hAnsi="Arial" w:cs="Arial"/>
          <w:sz w:val="20"/>
          <w:szCs w:val="20"/>
          <w:lang w:val="ro-RO"/>
        </w:rPr>
        <w:t xml:space="preserve"> </w:t>
      </w:r>
    </w:p>
    <w:p w:rsidR="00F2046E" w:rsidRPr="008A7850" w:rsidRDefault="00F2046E" w:rsidP="00F2046E">
      <w:pPr>
        <w:spacing w:after="0" w:line="240" w:lineRule="auto"/>
        <w:ind w:left="2520"/>
        <w:rPr>
          <w:rFonts w:ascii="Arial" w:eastAsia="SimSun" w:hAnsi="Arial" w:cs="Arial"/>
          <w:sz w:val="20"/>
          <w:szCs w:val="20"/>
          <w:lang w:val="ro-RO"/>
        </w:rPr>
      </w:pPr>
      <w:r>
        <w:rPr>
          <w:rFonts w:ascii="Arial" w:eastAsia="SimSun" w:hAnsi="Arial" w:cs="Arial"/>
          <w:sz w:val="20"/>
          <w:szCs w:val="20"/>
          <w:lang w:val="ro-RO"/>
        </w:rPr>
        <w:t xml:space="preserve">X.1.3.2. </w:t>
      </w:r>
      <w:r w:rsidRPr="008A7850">
        <w:rPr>
          <w:rFonts w:ascii="Arial" w:eastAsia="SimSun" w:hAnsi="Arial" w:cs="Arial"/>
          <w:sz w:val="20"/>
          <w:szCs w:val="20"/>
          <w:lang w:val="ro-RO"/>
        </w:rPr>
        <w:t>Transportul de mărfuri</w:t>
      </w:r>
      <w:r>
        <w:rPr>
          <w:rFonts w:ascii="Arial" w:eastAsia="SimSun" w:hAnsi="Arial" w:cs="Arial"/>
          <w:sz w:val="20"/>
          <w:szCs w:val="20"/>
          <w:lang w:val="ro-RO"/>
        </w:rPr>
        <w:t>......................................</w:t>
      </w:r>
      <w:r w:rsidR="00B13390">
        <w:rPr>
          <w:rFonts w:ascii="Arial" w:eastAsia="SimSun" w:hAnsi="Arial" w:cs="Arial"/>
          <w:sz w:val="20"/>
          <w:szCs w:val="20"/>
          <w:lang w:val="ro-RO"/>
        </w:rPr>
        <w:t>..............................1</w:t>
      </w:r>
      <w:r w:rsidR="00D116B9">
        <w:rPr>
          <w:rFonts w:ascii="Arial" w:eastAsia="SimSun" w:hAnsi="Arial" w:cs="Arial"/>
          <w:sz w:val="20"/>
          <w:szCs w:val="20"/>
          <w:lang w:val="ro-RO"/>
        </w:rPr>
        <w:t>65</w:t>
      </w:r>
    </w:p>
    <w:p w:rsidR="00F2046E" w:rsidRPr="008A7850" w:rsidRDefault="00F2046E" w:rsidP="00F2046E">
      <w:pPr>
        <w:spacing w:after="0" w:line="240" w:lineRule="auto"/>
        <w:ind w:left="1080"/>
        <w:rPr>
          <w:rFonts w:ascii="Arial" w:eastAsia="SimSun" w:hAnsi="Arial" w:cs="Arial"/>
          <w:b/>
          <w:sz w:val="20"/>
          <w:szCs w:val="20"/>
          <w:lang w:val="ro-RO"/>
        </w:rPr>
      </w:pPr>
      <w:r>
        <w:rPr>
          <w:rFonts w:ascii="Arial" w:eastAsia="SimSun" w:hAnsi="Arial" w:cs="Arial"/>
          <w:b/>
          <w:sz w:val="20"/>
          <w:szCs w:val="20"/>
          <w:lang w:val="ro-RO"/>
        </w:rPr>
        <w:t xml:space="preserve">X.2. </w:t>
      </w:r>
      <w:r w:rsidRPr="008A7850">
        <w:rPr>
          <w:rFonts w:ascii="Arial" w:eastAsia="SimSun" w:hAnsi="Arial" w:cs="Arial"/>
          <w:b/>
          <w:sz w:val="20"/>
          <w:szCs w:val="20"/>
          <w:lang w:val="ro-RO"/>
        </w:rPr>
        <w:t>Factori care influenţează consumul</w:t>
      </w:r>
      <w:r>
        <w:rPr>
          <w:rFonts w:ascii="Arial" w:eastAsia="SimSun" w:hAnsi="Arial" w:cs="Arial"/>
          <w:b/>
          <w:sz w:val="20"/>
          <w:szCs w:val="20"/>
          <w:lang w:val="ro-RO"/>
        </w:rPr>
        <w:t>..............................................</w:t>
      </w:r>
      <w:r w:rsidR="00B13390">
        <w:rPr>
          <w:rFonts w:ascii="Arial" w:eastAsia="SimSun" w:hAnsi="Arial" w:cs="Arial"/>
          <w:b/>
          <w:sz w:val="20"/>
          <w:szCs w:val="20"/>
          <w:lang w:val="ro-RO"/>
        </w:rPr>
        <w:t>.............................1</w:t>
      </w:r>
      <w:r w:rsidR="00D116B9">
        <w:rPr>
          <w:rFonts w:ascii="Arial" w:eastAsia="SimSun" w:hAnsi="Arial" w:cs="Arial"/>
          <w:b/>
          <w:sz w:val="20"/>
          <w:szCs w:val="20"/>
          <w:lang w:val="ro-RO"/>
        </w:rPr>
        <w:t>65</w:t>
      </w:r>
      <w:r>
        <w:rPr>
          <w:rFonts w:ascii="Arial" w:eastAsia="SimSun" w:hAnsi="Arial" w:cs="Arial"/>
          <w:b/>
          <w:sz w:val="20"/>
          <w:szCs w:val="20"/>
          <w:lang w:val="ro-RO"/>
        </w:rPr>
        <w:t xml:space="preserve"> </w:t>
      </w:r>
    </w:p>
    <w:p w:rsidR="00F2046E" w:rsidRPr="008A7850" w:rsidRDefault="00F2046E" w:rsidP="00F2046E">
      <w:pPr>
        <w:spacing w:after="0" w:line="240" w:lineRule="auto"/>
        <w:ind w:left="1080"/>
        <w:rPr>
          <w:rFonts w:ascii="Arial" w:eastAsia="SimSun" w:hAnsi="Arial" w:cs="Arial"/>
          <w:b/>
          <w:sz w:val="20"/>
          <w:szCs w:val="20"/>
          <w:lang w:val="ro-RO"/>
        </w:rPr>
      </w:pPr>
      <w:r>
        <w:rPr>
          <w:rFonts w:ascii="Arial" w:eastAsia="SimSun" w:hAnsi="Arial" w:cs="Arial"/>
          <w:b/>
          <w:sz w:val="20"/>
          <w:szCs w:val="20"/>
          <w:lang w:val="ro-RO"/>
        </w:rPr>
        <w:t xml:space="preserve">X.3. </w:t>
      </w:r>
      <w:r w:rsidRPr="008A7850">
        <w:rPr>
          <w:rFonts w:ascii="Arial" w:eastAsia="SimSun" w:hAnsi="Arial" w:cs="Arial"/>
          <w:b/>
          <w:sz w:val="20"/>
          <w:szCs w:val="20"/>
          <w:lang w:val="ro-RO"/>
        </w:rPr>
        <w:t>Presiunile asupra mediului cauzate de consum</w:t>
      </w:r>
      <w:r>
        <w:rPr>
          <w:rFonts w:ascii="Arial" w:eastAsia="SimSun" w:hAnsi="Arial" w:cs="Arial"/>
          <w:b/>
          <w:sz w:val="20"/>
          <w:szCs w:val="20"/>
          <w:lang w:val="ro-RO"/>
        </w:rPr>
        <w:t>..........................</w:t>
      </w:r>
      <w:r w:rsidR="00B13390">
        <w:rPr>
          <w:rFonts w:ascii="Arial" w:eastAsia="SimSun" w:hAnsi="Arial" w:cs="Arial"/>
          <w:b/>
          <w:sz w:val="20"/>
          <w:szCs w:val="20"/>
          <w:lang w:val="ro-RO"/>
        </w:rPr>
        <w:t>.............................1</w:t>
      </w:r>
      <w:r w:rsidR="00D116B9">
        <w:rPr>
          <w:rFonts w:ascii="Arial" w:eastAsia="SimSun" w:hAnsi="Arial" w:cs="Arial"/>
          <w:b/>
          <w:sz w:val="20"/>
          <w:szCs w:val="20"/>
          <w:lang w:val="ro-RO"/>
        </w:rPr>
        <w:t>66</w:t>
      </w:r>
      <w:r>
        <w:rPr>
          <w:rFonts w:ascii="Arial" w:eastAsia="SimSun" w:hAnsi="Arial" w:cs="Arial"/>
          <w:b/>
          <w:sz w:val="20"/>
          <w:szCs w:val="20"/>
          <w:lang w:val="ro-RO"/>
        </w:rPr>
        <w:t xml:space="preserve"> </w:t>
      </w:r>
    </w:p>
    <w:p w:rsidR="00F2046E" w:rsidRPr="008A7850" w:rsidRDefault="00F2046E" w:rsidP="00F2046E">
      <w:pPr>
        <w:tabs>
          <w:tab w:val="left" w:pos="1276"/>
        </w:tabs>
        <w:spacing w:after="0" w:line="240" w:lineRule="auto"/>
        <w:ind w:left="1980"/>
        <w:rPr>
          <w:rFonts w:ascii="Arial" w:eastAsia="SimSun" w:hAnsi="Arial" w:cs="Arial"/>
          <w:i/>
          <w:sz w:val="20"/>
          <w:szCs w:val="20"/>
          <w:lang w:val="ro-RO"/>
        </w:rPr>
      </w:pPr>
      <w:r w:rsidRPr="00396034">
        <w:rPr>
          <w:rFonts w:ascii="Arial" w:eastAsia="SimSun" w:hAnsi="Arial" w:cs="Arial"/>
          <w:b/>
          <w:i/>
          <w:sz w:val="20"/>
          <w:szCs w:val="20"/>
          <w:lang w:val="ro-RO"/>
        </w:rPr>
        <w:t>X.3.1.</w:t>
      </w:r>
      <w:r>
        <w:rPr>
          <w:rFonts w:ascii="Arial" w:eastAsia="SimSun" w:hAnsi="Arial" w:cs="Arial"/>
          <w:i/>
          <w:sz w:val="20"/>
          <w:szCs w:val="20"/>
          <w:lang w:val="ro-RO"/>
        </w:rPr>
        <w:t xml:space="preserve"> </w:t>
      </w:r>
      <w:r w:rsidRPr="008A7850">
        <w:rPr>
          <w:rFonts w:ascii="Arial" w:eastAsia="SimSun" w:hAnsi="Arial" w:cs="Arial"/>
          <w:i/>
          <w:sz w:val="20"/>
          <w:szCs w:val="20"/>
          <w:lang w:val="ro-RO"/>
        </w:rPr>
        <w:t>Emisii de gaze cu efect de seră din sectorul rezidenţial</w:t>
      </w:r>
      <w:r>
        <w:rPr>
          <w:rFonts w:ascii="Arial" w:eastAsia="SimSun" w:hAnsi="Arial" w:cs="Arial"/>
          <w:i/>
          <w:sz w:val="20"/>
          <w:szCs w:val="20"/>
          <w:lang w:val="ro-RO"/>
        </w:rPr>
        <w:t>.</w:t>
      </w:r>
      <w:r w:rsidR="00B13390">
        <w:rPr>
          <w:rFonts w:ascii="Arial" w:eastAsia="SimSun" w:hAnsi="Arial" w:cs="Arial"/>
          <w:i/>
          <w:sz w:val="20"/>
          <w:szCs w:val="20"/>
          <w:lang w:val="ro-RO"/>
        </w:rPr>
        <w:t>............................1</w:t>
      </w:r>
      <w:r w:rsidR="00D116B9">
        <w:rPr>
          <w:rFonts w:ascii="Arial" w:eastAsia="SimSun" w:hAnsi="Arial" w:cs="Arial"/>
          <w:i/>
          <w:sz w:val="20"/>
          <w:szCs w:val="20"/>
          <w:lang w:val="ro-RO"/>
        </w:rPr>
        <w:t>67</w:t>
      </w:r>
    </w:p>
    <w:p w:rsidR="00F2046E" w:rsidRPr="008A7850" w:rsidRDefault="00F2046E" w:rsidP="00F2046E">
      <w:pPr>
        <w:tabs>
          <w:tab w:val="left" w:pos="1276"/>
        </w:tabs>
        <w:spacing w:after="0" w:line="240" w:lineRule="auto"/>
        <w:ind w:left="1980"/>
        <w:rPr>
          <w:rFonts w:ascii="Arial" w:eastAsia="SimSun" w:hAnsi="Arial" w:cs="Arial"/>
          <w:i/>
          <w:sz w:val="20"/>
          <w:szCs w:val="20"/>
          <w:lang w:val="ro-RO"/>
        </w:rPr>
      </w:pPr>
      <w:r w:rsidRPr="00396034">
        <w:rPr>
          <w:rFonts w:ascii="Arial" w:eastAsia="SimSun" w:hAnsi="Arial" w:cs="Arial"/>
          <w:b/>
          <w:i/>
          <w:sz w:val="20"/>
          <w:szCs w:val="20"/>
          <w:lang w:val="ro-RO"/>
        </w:rPr>
        <w:t>X.3.2.</w:t>
      </w:r>
      <w:r>
        <w:rPr>
          <w:rFonts w:ascii="Arial" w:eastAsia="SimSun" w:hAnsi="Arial" w:cs="Arial"/>
          <w:i/>
          <w:sz w:val="20"/>
          <w:szCs w:val="20"/>
          <w:lang w:val="ro-RO"/>
        </w:rPr>
        <w:t xml:space="preserve"> </w:t>
      </w:r>
      <w:r w:rsidRPr="008A7850">
        <w:rPr>
          <w:rFonts w:ascii="Arial" w:eastAsia="SimSun" w:hAnsi="Arial" w:cs="Arial"/>
          <w:i/>
          <w:sz w:val="20"/>
          <w:szCs w:val="20"/>
          <w:lang w:val="ro-RO"/>
        </w:rPr>
        <w:t>Consumul de energie pe locuitor</w:t>
      </w:r>
      <w:r>
        <w:rPr>
          <w:rFonts w:ascii="Arial" w:eastAsia="SimSun" w:hAnsi="Arial" w:cs="Arial"/>
          <w:i/>
          <w:sz w:val="20"/>
          <w:szCs w:val="20"/>
          <w:lang w:val="ro-RO"/>
        </w:rPr>
        <w:t>......................................................</w:t>
      </w:r>
      <w:r w:rsidR="00B13390">
        <w:rPr>
          <w:rFonts w:ascii="Arial" w:eastAsia="SimSun" w:hAnsi="Arial" w:cs="Arial"/>
          <w:i/>
          <w:sz w:val="20"/>
          <w:szCs w:val="20"/>
          <w:lang w:val="ro-RO"/>
        </w:rPr>
        <w:t>..........1</w:t>
      </w:r>
      <w:r w:rsidR="00185C81">
        <w:rPr>
          <w:rFonts w:ascii="Arial" w:eastAsia="SimSun" w:hAnsi="Arial" w:cs="Arial"/>
          <w:i/>
          <w:sz w:val="20"/>
          <w:szCs w:val="20"/>
          <w:lang w:val="ro-RO"/>
        </w:rPr>
        <w:t>67</w:t>
      </w:r>
      <w:r w:rsidRPr="008A7850">
        <w:rPr>
          <w:rFonts w:ascii="Arial" w:eastAsia="SimSun" w:hAnsi="Arial" w:cs="Arial"/>
          <w:i/>
          <w:sz w:val="20"/>
          <w:szCs w:val="20"/>
          <w:lang w:val="ro-RO"/>
        </w:rPr>
        <w:t xml:space="preserve"> </w:t>
      </w:r>
    </w:p>
    <w:p w:rsidR="00F2046E" w:rsidRPr="008A7850" w:rsidRDefault="00F2046E" w:rsidP="00F2046E">
      <w:pPr>
        <w:tabs>
          <w:tab w:val="left" w:pos="1276"/>
        </w:tabs>
        <w:spacing w:after="0" w:line="240" w:lineRule="auto"/>
        <w:ind w:left="1980"/>
        <w:rPr>
          <w:rFonts w:ascii="Arial" w:eastAsia="SimSun" w:hAnsi="Arial" w:cs="Arial"/>
          <w:i/>
          <w:sz w:val="20"/>
          <w:szCs w:val="20"/>
          <w:lang w:val="ro-RO"/>
        </w:rPr>
      </w:pPr>
      <w:r w:rsidRPr="00396034">
        <w:rPr>
          <w:rFonts w:ascii="Arial" w:eastAsia="SimSun" w:hAnsi="Arial" w:cs="Arial"/>
          <w:b/>
          <w:i/>
          <w:sz w:val="20"/>
          <w:szCs w:val="20"/>
          <w:lang w:val="ro-RO"/>
        </w:rPr>
        <w:t>X.3.3.</w:t>
      </w:r>
      <w:r>
        <w:rPr>
          <w:rFonts w:ascii="Arial" w:eastAsia="SimSun" w:hAnsi="Arial" w:cs="Arial"/>
          <w:i/>
          <w:sz w:val="20"/>
          <w:szCs w:val="20"/>
          <w:lang w:val="ro-RO"/>
        </w:rPr>
        <w:t xml:space="preserve"> </w:t>
      </w:r>
      <w:r w:rsidRPr="008A7850">
        <w:rPr>
          <w:rFonts w:ascii="Arial" w:eastAsia="SimSun" w:hAnsi="Arial" w:cs="Arial"/>
          <w:i/>
          <w:sz w:val="20"/>
          <w:szCs w:val="20"/>
          <w:lang w:val="ro-RO"/>
        </w:rPr>
        <w:t>Utilizarea materialelor</w:t>
      </w:r>
      <w:r>
        <w:rPr>
          <w:rFonts w:ascii="Arial" w:eastAsia="SimSun" w:hAnsi="Arial" w:cs="Arial"/>
          <w:i/>
          <w:sz w:val="20"/>
          <w:szCs w:val="20"/>
          <w:lang w:val="ro-RO"/>
        </w:rPr>
        <w:t>....................................................</w:t>
      </w:r>
      <w:r w:rsidR="00B13390">
        <w:rPr>
          <w:rFonts w:ascii="Arial" w:eastAsia="SimSun" w:hAnsi="Arial" w:cs="Arial"/>
          <w:i/>
          <w:sz w:val="20"/>
          <w:szCs w:val="20"/>
          <w:lang w:val="ro-RO"/>
        </w:rPr>
        <w:t>.............................1</w:t>
      </w:r>
      <w:r w:rsidR="00185C81">
        <w:rPr>
          <w:rFonts w:ascii="Arial" w:eastAsia="SimSun" w:hAnsi="Arial" w:cs="Arial"/>
          <w:i/>
          <w:sz w:val="20"/>
          <w:szCs w:val="20"/>
          <w:lang w:val="ro-RO"/>
        </w:rPr>
        <w:t>68</w:t>
      </w:r>
    </w:p>
    <w:p w:rsidR="00F2046E" w:rsidRPr="008A7850" w:rsidRDefault="00F2046E" w:rsidP="00F2046E">
      <w:pPr>
        <w:spacing w:after="0" w:line="240" w:lineRule="auto"/>
        <w:ind w:left="1080"/>
        <w:rPr>
          <w:rFonts w:ascii="Arial" w:eastAsia="SimSun" w:hAnsi="Arial" w:cs="Arial"/>
          <w:b/>
          <w:sz w:val="20"/>
          <w:szCs w:val="20"/>
          <w:lang w:val="ro-RO"/>
        </w:rPr>
      </w:pPr>
      <w:r>
        <w:rPr>
          <w:rFonts w:ascii="Arial" w:eastAsia="SimSun" w:hAnsi="Arial" w:cs="Arial"/>
          <w:b/>
          <w:sz w:val="20"/>
          <w:szCs w:val="20"/>
          <w:lang w:val="ro-RO"/>
        </w:rPr>
        <w:t xml:space="preserve">X.4. </w:t>
      </w:r>
      <w:r w:rsidRPr="008A7850">
        <w:rPr>
          <w:rFonts w:ascii="Arial" w:eastAsia="SimSun" w:hAnsi="Arial" w:cs="Arial"/>
          <w:b/>
          <w:sz w:val="20"/>
          <w:szCs w:val="20"/>
          <w:lang w:val="ro-RO"/>
        </w:rPr>
        <w:t>Prognoze, politici şi măsuri privind consumul şi mediul</w:t>
      </w:r>
      <w:r>
        <w:rPr>
          <w:rFonts w:ascii="Arial" w:eastAsia="SimSun" w:hAnsi="Arial" w:cs="Arial"/>
          <w:b/>
          <w:sz w:val="20"/>
          <w:szCs w:val="20"/>
          <w:lang w:val="ro-RO"/>
        </w:rPr>
        <w:t>...........</w:t>
      </w:r>
      <w:r w:rsidR="00B13390">
        <w:rPr>
          <w:rFonts w:ascii="Arial" w:eastAsia="SimSun" w:hAnsi="Arial" w:cs="Arial"/>
          <w:b/>
          <w:sz w:val="20"/>
          <w:szCs w:val="20"/>
          <w:lang w:val="ro-RO"/>
        </w:rPr>
        <w:t>..............................1</w:t>
      </w:r>
      <w:r w:rsidR="00185C81">
        <w:rPr>
          <w:rFonts w:ascii="Arial" w:eastAsia="SimSun" w:hAnsi="Arial" w:cs="Arial"/>
          <w:b/>
          <w:sz w:val="20"/>
          <w:szCs w:val="20"/>
          <w:lang w:val="ro-RO"/>
        </w:rPr>
        <w:t>68</w:t>
      </w:r>
    </w:p>
    <w:p w:rsidR="00F2046E" w:rsidRDefault="00F2046E" w:rsidP="00F2046E">
      <w:pPr>
        <w:spacing w:after="0" w:line="240" w:lineRule="auto"/>
        <w:ind w:left="720"/>
        <w:rPr>
          <w:rFonts w:ascii="Arial" w:eastAsia="SimSun" w:hAnsi="Arial" w:cs="Arial"/>
          <w:b/>
          <w:color w:val="FF0000"/>
          <w:sz w:val="20"/>
          <w:szCs w:val="20"/>
          <w:lang w:val="ro-RO"/>
        </w:rPr>
      </w:pPr>
    </w:p>
    <w:p w:rsidR="00F2046E" w:rsidRPr="008A7850" w:rsidRDefault="00F2046E" w:rsidP="00F2046E">
      <w:pPr>
        <w:spacing w:after="0" w:line="240" w:lineRule="auto"/>
        <w:ind w:left="720"/>
        <w:rPr>
          <w:rFonts w:ascii="Arial" w:eastAsia="SimSun" w:hAnsi="Arial" w:cs="Arial"/>
          <w:b/>
          <w:color w:val="FF0000"/>
          <w:sz w:val="20"/>
          <w:szCs w:val="20"/>
          <w:lang w:val="ro-RO"/>
        </w:rPr>
      </w:pPr>
    </w:p>
    <w:p w:rsidR="00F2046E" w:rsidRPr="008A7850" w:rsidRDefault="00D20484" w:rsidP="00F2046E">
      <w:pPr>
        <w:spacing w:after="0" w:line="240" w:lineRule="auto"/>
        <w:ind w:firstLine="426"/>
        <w:rPr>
          <w:rFonts w:ascii="Arial" w:eastAsia="SimSun" w:hAnsi="Arial" w:cs="Arial"/>
          <w:b/>
          <w:color w:val="000000"/>
          <w:sz w:val="20"/>
          <w:szCs w:val="20"/>
          <w:lang w:val="ro-RO"/>
        </w:rPr>
      </w:pPr>
      <w:r>
        <w:rPr>
          <w:rFonts w:ascii="Arial" w:eastAsia="SimSun" w:hAnsi="Arial" w:cs="Arial"/>
          <w:b/>
          <w:color w:val="000000"/>
          <w:sz w:val="20"/>
          <w:szCs w:val="20"/>
          <w:lang w:val="ro-RO"/>
        </w:rPr>
        <w:tab/>
        <w:t>ANEXĂ – FIŞE – INDICATORI SPECIFICI</w:t>
      </w:r>
    </w:p>
    <w:p w:rsidR="00110973" w:rsidRDefault="00110973">
      <w:pPr>
        <w:rPr>
          <w:rFonts w:ascii="Arial" w:hAnsi="Arial" w:cs="Arial"/>
          <w:sz w:val="24"/>
          <w:szCs w:val="24"/>
        </w:rPr>
      </w:pPr>
    </w:p>
    <w:p w:rsidR="00F2046E" w:rsidRDefault="00F2046E">
      <w:pPr>
        <w:rPr>
          <w:rFonts w:ascii="Arial" w:hAnsi="Arial" w:cs="Arial"/>
          <w:sz w:val="24"/>
          <w:szCs w:val="24"/>
        </w:rPr>
      </w:pPr>
    </w:p>
    <w:p w:rsidR="00F2046E" w:rsidRDefault="00F2046E" w:rsidP="00F2046E">
      <w:pPr>
        <w:spacing w:after="0" w:line="240" w:lineRule="auto"/>
        <w:jc w:val="center"/>
        <w:rPr>
          <w:rFonts w:ascii="Arial" w:eastAsia="Times New Roman" w:hAnsi="Arial" w:cs="Arial"/>
          <w:b/>
          <w:sz w:val="24"/>
          <w:szCs w:val="26"/>
          <w:lang w:val="ro-RO"/>
        </w:rPr>
      </w:pPr>
    </w:p>
    <w:p w:rsidR="00F2181A" w:rsidRDefault="00F2181A" w:rsidP="00F2046E">
      <w:pPr>
        <w:spacing w:after="0" w:line="240" w:lineRule="auto"/>
        <w:jc w:val="center"/>
        <w:rPr>
          <w:rFonts w:ascii="Arial" w:eastAsia="Times New Roman" w:hAnsi="Arial" w:cs="Arial"/>
          <w:b/>
          <w:sz w:val="24"/>
          <w:szCs w:val="26"/>
          <w:lang w:val="ro-RO"/>
        </w:rPr>
      </w:pPr>
    </w:p>
    <w:p w:rsidR="00587B71" w:rsidRDefault="00587B71" w:rsidP="00F2046E">
      <w:pPr>
        <w:spacing w:after="0" w:line="240" w:lineRule="auto"/>
        <w:jc w:val="center"/>
        <w:rPr>
          <w:rFonts w:ascii="Arial" w:eastAsia="Times New Roman" w:hAnsi="Arial" w:cs="Arial"/>
          <w:b/>
          <w:sz w:val="24"/>
          <w:szCs w:val="26"/>
          <w:lang w:val="ro-RO"/>
        </w:rPr>
      </w:pPr>
    </w:p>
    <w:p w:rsidR="004B269B" w:rsidRDefault="004B269B" w:rsidP="00F2046E">
      <w:pPr>
        <w:spacing w:after="0" w:line="240" w:lineRule="auto"/>
        <w:jc w:val="center"/>
        <w:rPr>
          <w:rFonts w:ascii="Arial" w:eastAsia="Times New Roman" w:hAnsi="Arial" w:cs="Arial"/>
          <w:b/>
          <w:sz w:val="24"/>
          <w:szCs w:val="26"/>
          <w:lang w:val="ro-RO"/>
        </w:rPr>
      </w:pPr>
    </w:p>
    <w:p w:rsidR="004B269B" w:rsidRDefault="004B269B" w:rsidP="00F2046E">
      <w:pPr>
        <w:spacing w:after="0" w:line="240" w:lineRule="auto"/>
        <w:jc w:val="center"/>
        <w:rPr>
          <w:rFonts w:ascii="Arial" w:eastAsia="Times New Roman" w:hAnsi="Arial" w:cs="Arial"/>
          <w:b/>
          <w:sz w:val="24"/>
          <w:szCs w:val="26"/>
          <w:lang w:val="ro-RO"/>
        </w:rPr>
      </w:pPr>
    </w:p>
    <w:p w:rsidR="004B269B" w:rsidRDefault="004B269B" w:rsidP="00F2046E">
      <w:pPr>
        <w:spacing w:after="0" w:line="240" w:lineRule="auto"/>
        <w:jc w:val="center"/>
        <w:rPr>
          <w:rFonts w:ascii="Arial" w:eastAsia="Times New Roman" w:hAnsi="Arial" w:cs="Arial"/>
          <w:b/>
          <w:sz w:val="24"/>
          <w:szCs w:val="26"/>
          <w:lang w:val="ro-RO"/>
        </w:rPr>
      </w:pPr>
    </w:p>
    <w:p w:rsidR="004B269B" w:rsidRDefault="004B269B" w:rsidP="00F2046E">
      <w:pPr>
        <w:spacing w:after="0" w:line="240" w:lineRule="auto"/>
        <w:jc w:val="center"/>
        <w:rPr>
          <w:rFonts w:ascii="Arial" w:eastAsia="Times New Roman" w:hAnsi="Arial" w:cs="Arial"/>
          <w:b/>
          <w:sz w:val="24"/>
          <w:szCs w:val="26"/>
          <w:lang w:val="ro-RO"/>
        </w:rPr>
      </w:pPr>
    </w:p>
    <w:p w:rsidR="00587B71" w:rsidRDefault="00587B71" w:rsidP="00F2046E">
      <w:pPr>
        <w:spacing w:after="0" w:line="240" w:lineRule="auto"/>
        <w:jc w:val="center"/>
        <w:rPr>
          <w:rFonts w:ascii="Arial" w:eastAsia="Times New Roman" w:hAnsi="Arial" w:cs="Arial"/>
          <w:b/>
          <w:sz w:val="24"/>
          <w:szCs w:val="26"/>
          <w:lang w:val="ro-RO"/>
        </w:rPr>
      </w:pPr>
    </w:p>
    <w:p w:rsidR="00587B71" w:rsidRPr="00587B71" w:rsidRDefault="00587B71" w:rsidP="00587B71">
      <w:pPr>
        <w:spacing w:after="0" w:line="240" w:lineRule="auto"/>
        <w:jc w:val="center"/>
        <w:rPr>
          <w:rFonts w:ascii="Arial" w:eastAsia="Times New Roman" w:hAnsi="Arial" w:cs="Arial"/>
          <w:b/>
          <w:sz w:val="24"/>
          <w:szCs w:val="24"/>
          <w:lang w:val="ro-RO"/>
        </w:rPr>
      </w:pPr>
      <w:r w:rsidRPr="00587B71">
        <w:rPr>
          <w:rFonts w:ascii="Arial" w:eastAsia="Times New Roman" w:hAnsi="Arial" w:cs="Arial"/>
          <w:b/>
          <w:sz w:val="24"/>
          <w:szCs w:val="24"/>
          <w:lang w:val="ro-RO"/>
        </w:rPr>
        <w:t>CAPITOLUL I. CALITATEA ŞI POLUAREA AERULUI ÎNCONJURĂTOR</w:t>
      </w:r>
    </w:p>
    <w:p w:rsidR="00587B71" w:rsidRPr="00587B71" w:rsidRDefault="00587B71" w:rsidP="00587B71">
      <w:pPr>
        <w:spacing w:after="0" w:line="240" w:lineRule="auto"/>
        <w:rPr>
          <w:rFonts w:ascii="Arial" w:eastAsia="Times New Roman" w:hAnsi="Arial" w:cs="Arial"/>
          <w:b/>
          <w:sz w:val="24"/>
          <w:szCs w:val="26"/>
          <w:lang w:val="ro-RO"/>
        </w:rPr>
      </w:pPr>
    </w:p>
    <w:p w:rsidR="00587B71" w:rsidRPr="00587B71" w:rsidRDefault="00587B71" w:rsidP="00587B71">
      <w:pPr>
        <w:spacing w:after="0" w:line="240" w:lineRule="auto"/>
        <w:rPr>
          <w:rFonts w:ascii="Arial" w:eastAsia="Times New Roman" w:hAnsi="Arial" w:cs="Arial"/>
          <w:b/>
          <w:sz w:val="24"/>
          <w:szCs w:val="26"/>
          <w:lang w:val="ro-RO"/>
        </w:rPr>
      </w:pPr>
    </w:p>
    <w:p w:rsidR="00587B71" w:rsidRPr="00587B71" w:rsidRDefault="00587B71" w:rsidP="00587B71">
      <w:pPr>
        <w:spacing w:after="0" w:line="240" w:lineRule="auto"/>
        <w:rPr>
          <w:rFonts w:ascii="Arial" w:eastAsia="Times New Roman" w:hAnsi="Arial" w:cs="Arial"/>
          <w:b/>
          <w:sz w:val="24"/>
          <w:szCs w:val="26"/>
          <w:lang w:val="ro-RO"/>
        </w:rPr>
      </w:pPr>
      <w:r w:rsidRPr="00587B71">
        <w:rPr>
          <w:rFonts w:ascii="Arial" w:eastAsia="Times New Roman" w:hAnsi="Arial" w:cs="Arial"/>
          <w:b/>
          <w:sz w:val="24"/>
          <w:szCs w:val="26"/>
          <w:lang w:val="ro-RO"/>
        </w:rPr>
        <w:t>I.1. Calitatea aerului înconjurător: stare şi consecinţe</w:t>
      </w:r>
    </w:p>
    <w:p w:rsidR="00587B71" w:rsidRPr="00587B71" w:rsidRDefault="00587B71" w:rsidP="00587B71">
      <w:pPr>
        <w:spacing w:after="0" w:line="240" w:lineRule="auto"/>
        <w:jc w:val="center"/>
        <w:rPr>
          <w:rFonts w:ascii="Arial" w:eastAsia="Times New Roman" w:hAnsi="Arial" w:cs="Arial"/>
          <w:b/>
          <w:sz w:val="24"/>
          <w:szCs w:val="26"/>
          <w:lang w:val="ro-RO"/>
        </w:rPr>
      </w:pPr>
    </w:p>
    <w:p w:rsidR="00587B71" w:rsidRPr="00587B71" w:rsidRDefault="00587B71" w:rsidP="00587B71">
      <w:pPr>
        <w:autoSpaceDE w:val="0"/>
        <w:autoSpaceDN w:val="0"/>
        <w:adjustRightInd w:val="0"/>
        <w:spacing w:after="0" w:line="240" w:lineRule="auto"/>
        <w:ind w:firstLine="720"/>
        <w:jc w:val="both"/>
        <w:rPr>
          <w:rFonts w:ascii="Arial" w:eastAsia="Times New Roman" w:hAnsi="Arial" w:cs="Arial"/>
          <w:sz w:val="24"/>
          <w:szCs w:val="24"/>
        </w:rPr>
      </w:pPr>
      <w:r w:rsidRPr="00587B71">
        <w:rPr>
          <w:rFonts w:ascii="Arial" w:eastAsia="Times New Roman" w:hAnsi="Arial" w:cs="Arial"/>
          <w:sz w:val="24"/>
          <w:szCs w:val="24"/>
        </w:rPr>
        <w:t xml:space="preserve">Mai mult de 80% dintre persoanele care trăiesc în zonele urbane, zone în care se monitorizează calitatea aerului, sunt expuse la niveluri de poluare care depășesc limitele admise, conform Organizației Mondiale a Sănătății (OMS). În timp ce în toate regiunile lumii sunt înregistrate depăşiri ale limitelor admise, populațiile din orașele cu venituri mici sunt cele mai afectate. Conform celei mai recente evaluări privind calitatea aerului urban, 98% din orașele din țările cu venituri mici și mijlocii- cu mai mult de 100 000 de locuitori, nu respectă liniile directoare ale OMS privind calitatea aerului. Comparativ, în țările cu venituri mari, procentul scade la 56%. </w:t>
      </w:r>
    </w:p>
    <w:p w:rsidR="00587B71" w:rsidRPr="00587B71" w:rsidRDefault="00587B71" w:rsidP="00587B71">
      <w:pPr>
        <w:autoSpaceDE w:val="0"/>
        <w:autoSpaceDN w:val="0"/>
        <w:adjustRightInd w:val="0"/>
        <w:spacing w:after="0" w:line="240" w:lineRule="auto"/>
        <w:ind w:firstLine="720"/>
        <w:jc w:val="both"/>
        <w:rPr>
          <w:rFonts w:ascii="Arial" w:eastAsia="Times New Roman" w:hAnsi="Arial" w:cs="Arial"/>
          <w:sz w:val="24"/>
          <w:szCs w:val="24"/>
        </w:rPr>
      </w:pPr>
      <w:r w:rsidRPr="00587B71">
        <w:rPr>
          <w:rFonts w:ascii="Arial" w:eastAsia="Times New Roman" w:hAnsi="Arial" w:cs="Arial"/>
          <w:sz w:val="24"/>
          <w:szCs w:val="24"/>
        </w:rPr>
        <w:t>Pe măsură ce scade calitatea aerului din mediul urban, riscul de accident vascular cerebral, boli de inima, cancer pulmonar, precum si cronice si bolilor respiratorii acute, incluzând astmul, creşte pentru cei care locuiesc în aceste zone.</w:t>
      </w:r>
    </w:p>
    <w:p w:rsidR="00587B71" w:rsidRPr="00587B71" w:rsidRDefault="00587B71" w:rsidP="00587B71">
      <w:pPr>
        <w:autoSpaceDE w:val="0"/>
        <w:autoSpaceDN w:val="0"/>
        <w:adjustRightInd w:val="0"/>
        <w:spacing w:after="0" w:line="240" w:lineRule="auto"/>
        <w:ind w:firstLine="720"/>
        <w:jc w:val="both"/>
        <w:rPr>
          <w:rFonts w:ascii="Arial" w:eastAsia="Times New Roman" w:hAnsi="Arial" w:cs="Arial"/>
          <w:sz w:val="24"/>
          <w:szCs w:val="24"/>
        </w:rPr>
      </w:pPr>
    </w:p>
    <w:p w:rsidR="00587B71" w:rsidRPr="00587B71" w:rsidRDefault="00587B71" w:rsidP="00587B71">
      <w:pPr>
        <w:spacing w:after="0" w:line="240" w:lineRule="auto"/>
        <w:ind w:firstLine="720"/>
        <w:jc w:val="both"/>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 xml:space="preserve">În România, evaluarea calităţii aerului înconjurător este reglementată prin Legea 104/2011 privind calitatea aerului înconjurător ce transpune Directiva 2008/50/CE a Parlamentului European şi a Consiliului privind calitatea aerului înconjurător și un aer mai curat pentru Europa şi Directiva 2004/107/CE a Parlamentului European şi a Consiliului privind arsenul, cadmiul, mercurul, nichelul, hidrocarburile aromatice policiclice în aerul înconjurător. </w:t>
      </w:r>
    </w:p>
    <w:p w:rsidR="00587B71" w:rsidRPr="00587B71" w:rsidRDefault="00587B71" w:rsidP="00587B71">
      <w:pPr>
        <w:spacing w:after="0" w:line="240" w:lineRule="auto"/>
        <w:ind w:firstLine="720"/>
        <w:jc w:val="both"/>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 xml:space="preserve">Pentru anul </w:t>
      </w:r>
      <w:r w:rsidRPr="00587B71">
        <w:rPr>
          <w:rFonts w:ascii="Arial" w:eastAsia="Times New Roman" w:hAnsi="Arial" w:cs="Arial"/>
          <w:iCs/>
          <w:sz w:val="24"/>
          <w:szCs w:val="24"/>
          <w:lang w:val="ro-RO"/>
        </w:rPr>
        <w:t>2015, evaluarea</w:t>
      </w:r>
      <w:r w:rsidRPr="00587B71">
        <w:rPr>
          <w:rFonts w:ascii="Arial" w:eastAsia="Times New Roman" w:hAnsi="Arial" w:cs="Arial"/>
          <w:iCs/>
          <w:color w:val="000000"/>
          <w:sz w:val="24"/>
          <w:szCs w:val="24"/>
          <w:lang w:val="ro-RO"/>
        </w:rPr>
        <w:t xml:space="preserve"> calităţii aerului înconjurător în judeţul Vaslui s-a realizat permanent prin intermediul a două staţii automate de fond urban ce fac parte din Reţeaua Naţională de Monitorizare a Calităţii Aerului (RNMCA).  Staţiile de fond urban sunt amplasate astfel încât nivelul de poluare să fie influenţat de contribuţiile integrate ale tuturor surselor. C</w:t>
      </w:r>
      <w:r w:rsidRPr="00587B71">
        <w:rPr>
          <w:rFonts w:ascii="Arial" w:eastAsia="Times New Roman" w:hAnsi="Arial" w:cs="Arial"/>
          <w:sz w:val="24"/>
          <w:szCs w:val="24"/>
          <w:lang w:val="ro-RO"/>
        </w:rPr>
        <w:t>ele două staţii automate</w:t>
      </w:r>
      <w:r w:rsidRPr="00587B71">
        <w:rPr>
          <w:rFonts w:ascii="Arial" w:eastAsia="Times New Roman" w:hAnsi="Arial" w:cs="Arial"/>
          <w:color w:val="000000"/>
          <w:sz w:val="24"/>
          <w:szCs w:val="24"/>
          <w:lang w:val="ro-RO"/>
        </w:rPr>
        <w:t xml:space="preserve"> de monitorizare</w:t>
      </w:r>
      <w:r w:rsidRPr="00587B71">
        <w:rPr>
          <w:rFonts w:ascii="Arial" w:eastAsia="Times New Roman" w:hAnsi="Arial" w:cs="Arial"/>
          <w:sz w:val="24"/>
          <w:szCs w:val="24"/>
          <w:lang w:val="ro-RO"/>
        </w:rPr>
        <w:t>: staţia VS 1 – staţie de fond urban (str. Ştefan cel Mare, nr.56)</w:t>
      </w:r>
      <w:r w:rsidRPr="00587B71">
        <w:rPr>
          <w:rFonts w:ascii="Arial" w:eastAsia="Times New Roman" w:hAnsi="Arial" w:cs="Arial"/>
          <w:bCs/>
          <w:sz w:val="24"/>
          <w:szCs w:val="24"/>
          <w:lang w:val="ro-RO"/>
        </w:rPr>
        <w:t xml:space="preserve"> şi </w:t>
      </w:r>
      <w:r w:rsidRPr="00587B71">
        <w:rPr>
          <w:rFonts w:ascii="Arial" w:eastAsia="Times New Roman" w:hAnsi="Arial" w:cs="Arial"/>
          <w:sz w:val="24"/>
          <w:szCs w:val="24"/>
          <w:lang w:val="ro-RO"/>
        </w:rPr>
        <w:t>staţia VS- 2- staţie de fond urban</w:t>
      </w:r>
      <w:r w:rsidRPr="00587B71">
        <w:rPr>
          <w:rFonts w:ascii="Arial" w:eastAsia="Times New Roman" w:hAnsi="Arial" w:cs="Arial"/>
          <w:b/>
          <w:sz w:val="24"/>
          <w:szCs w:val="24"/>
          <w:lang w:val="ro-RO"/>
        </w:rPr>
        <w:t xml:space="preserve"> </w:t>
      </w:r>
      <w:r w:rsidRPr="00587B71">
        <w:rPr>
          <w:rFonts w:ascii="Arial" w:eastAsia="Times New Roman" w:hAnsi="Arial" w:cs="Arial"/>
          <w:sz w:val="24"/>
          <w:szCs w:val="24"/>
          <w:lang w:val="ro-RO"/>
        </w:rPr>
        <w:t>(care funcţionează pe raza municipiul Huşi, str. Recea, nr.1),</w:t>
      </w:r>
      <w:r w:rsidRPr="00587B71">
        <w:rPr>
          <w:rFonts w:ascii="Arial" w:eastAsia="Times New Roman" w:hAnsi="Arial" w:cs="Arial"/>
          <w:bCs/>
          <w:sz w:val="24"/>
          <w:szCs w:val="24"/>
          <w:lang w:val="ro-RO"/>
        </w:rPr>
        <w:t xml:space="preserve"> au fost amplasate în zonă rezidenţială, departe de sursele de emisii locale, pentru a evidenţia gradul de expunere a populaţiei la nivelul de poluare urbană</w:t>
      </w:r>
      <w:r w:rsidRPr="00587B71">
        <w:rPr>
          <w:rFonts w:ascii="Arial" w:eastAsia="Times New Roman" w:hAnsi="Arial" w:cs="Arial"/>
          <w:sz w:val="24"/>
          <w:szCs w:val="24"/>
          <w:lang w:val="ro-RO"/>
        </w:rPr>
        <w:t xml:space="preserve">. </w:t>
      </w:r>
      <w:r w:rsidRPr="00587B71">
        <w:rPr>
          <w:rFonts w:ascii="Arial" w:eastAsia="Times New Roman" w:hAnsi="Arial" w:cs="Arial"/>
          <w:smallCaps/>
          <w:sz w:val="24"/>
          <w:szCs w:val="24"/>
          <w:lang w:val="ro-RO"/>
        </w:rPr>
        <w:t>î</w:t>
      </w:r>
      <w:r w:rsidRPr="00587B71">
        <w:rPr>
          <w:rFonts w:ascii="Arial" w:eastAsia="Times New Roman" w:hAnsi="Arial" w:cs="Arial"/>
          <w:sz w:val="24"/>
          <w:szCs w:val="24"/>
          <w:lang w:val="ro-RO"/>
        </w:rPr>
        <w:t>n ambele staţii se monitorizează următorii poluaţi: dioxid de sulf (SO</w:t>
      </w:r>
      <w:r w:rsidRPr="00587B71">
        <w:rPr>
          <w:rFonts w:ascii="Arial" w:eastAsia="Times New Roman" w:hAnsi="Arial" w:cs="Arial"/>
          <w:sz w:val="24"/>
          <w:szCs w:val="24"/>
          <w:vertAlign w:val="subscript"/>
          <w:lang w:val="ro-RO"/>
        </w:rPr>
        <w:t>2</w:t>
      </w:r>
      <w:r w:rsidRPr="00587B71">
        <w:rPr>
          <w:rFonts w:ascii="Arial" w:eastAsia="Times New Roman" w:hAnsi="Arial" w:cs="Arial"/>
          <w:sz w:val="24"/>
          <w:szCs w:val="24"/>
          <w:lang w:val="ro-RO"/>
        </w:rPr>
        <w:t>), oxizi de azot (NO</w:t>
      </w:r>
      <w:r w:rsidRPr="00587B71">
        <w:rPr>
          <w:rFonts w:ascii="Arial" w:eastAsia="Times New Roman" w:hAnsi="Arial" w:cs="Arial"/>
          <w:sz w:val="24"/>
          <w:szCs w:val="24"/>
          <w:vertAlign w:val="subscript"/>
          <w:lang w:val="ro-RO"/>
        </w:rPr>
        <w:t>x</w:t>
      </w:r>
      <w:r w:rsidRPr="00587B71">
        <w:rPr>
          <w:rFonts w:ascii="Arial" w:eastAsia="Times New Roman" w:hAnsi="Arial" w:cs="Arial"/>
          <w:sz w:val="24"/>
          <w:szCs w:val="24"/>
          <w:lang w:val="ro-RO"/>
        </w:rPr>
        <w:t>, NO, NO</w:t>
      </w:r>
      <w:r w:rsidRPr="00587B71">
        <w:rPr>
          <w:rFonts w:ascii="Arial" w:eastAsia="Times New Roman" w:hAnsi="Arial" w:cs="Arial"/>
          <w:sz w:val="24"/>
          <w:szCs w:val="24"/>
          <w:vertAlign w:val="subscript"/>
          <w:lang w:val="ro-RO"/>
        </w:rPr>
        <w:t>2</w:t>
      </w:r>
      <w:r w:rsidRPr="00587B71">
        <w:rPr>
          <w:rFonts w:ascii="Arial" w:eastAsia="Times New Roman" w:hAnsi="Arial" w:cs="Arial"/>
          <w:sz w:val="24"/>
          <w:szCs w:val="24"/>
          <w:lang w:val="ro-RO"/>
        </w:rPr>
        <w:t>), monoxid de carbon (CO), ozon (O</w:t>
      </w:r>
      <w:r w:rsidRPr="00587B71">
        <w:rPr>
          <w:rFonts w:ascii="Arial" w:eastAsia="Times New Roman" w:hAnsi="Arial" w:cs="Arial"/>
          <w:sz w:val="24"/>
          <w:szCs w:val="24"/>
          <w:vertAlign w:val="subscript"/>
          <w:lang w:val="ro-RO"/>
        </w:rPr>
        <w:t>3</w:t>
      </w:r>
      <w:r w:rsidRPr="00587B71">
        <w:rPr>
          <w:rFonts w:ascii="Arial" w:eastAsia="Times New Roman" w:hAnsi="Arial" w:cs="Arial"/>
          <w:sz w:val="24"/>
          <w:szCs w:val="24"/>
          <w:lang w:val="ro-RO"/>
        </w:rPr>
        <w:t>), benzen, toluen, etil-benzen, o,m,p-xileni, pulberi în suspensie (PM</w:t>
      </w:r>
      <w:r w:rsidRPr="00587B71">
        <w:rPr>
          <w:rFonts w:ascii="Arial" w:eastAsia="Times New Roman" w:hAnsi="Arial" w:cs="Arial"/>
          <w:sz w:val="24"/>
          <w:szCs w:val="24"/>
          <w:vertAlign w:val="subscript"/>
          <w:lang w:val="ro-RO"/>
        </w:rPr>
        <w:t>10</w:t>
      </w:r>
      <w:r w:rsidRPr="00587B71">
        <w:rPr>
          <w:rFonts w:ascii="Arial" w:eastAsia="Times New Roman" w:hAnsi="Arial" w:cs="Arial"/>
          <w:sz w:val="24"/>
          <w:szCs w:val="24"/>
          <w:lang w:val="ro-RO"/>
        </w:rPr>
        <w:t xml:space="preserve"> nefelometric şi PM</w:t>
      </w:r>
      <w:r w:rsidRPr="00587B71">
        <w:rPr>
          <w:rFonts w:ascii="Arial" w:eastAsia="Times New Roman" w:hAnsi="Arial" w:cs="Arial"/>
          <w:sz w:val="24"/>
          <w:szCs w:val="24"/>
          <w:vertAlign w:val="subscript"/>
          <w:lang w:val="ro-RO"/>
        </w:rPr>
        <w:t>10</w:t>
      </w:r>
      <w:r w:rsidRPr="00587B71">
        <w:rPr>
          <w:rFonts w:ascii="Arial" w:eastAsia="Times New Roman" w:hAnsi="Arial" w:cs="Arial"/>
          <w:sz w:val="24"/>
          <w:szCs w:val="24"/>
          <w:lang w:val="ro-RO"/>
        </w:rPr>
        <w:t xml:space="preserve"> gravimetric) şi parametrii meteo (direcţia şi viteza vântului, presiune, temperatură, radiaţia solară, umiditate relativă, precipitaţii).</w:t>
      </w:r>
    </w:p>
    <w:p w:rsidR="00587B71" w:rsidRPr="00587B71" w:rsidRDefault="00587B71" w:rsidP="00587B71">
      <w:pPr>
        <w:spacing w:after="0" w:line="240" w:lineRule="auto"/>
        <w:rPr>
          <w:rFonts w:ascii="Arial" w:eastAsia="Times New Roman" w:hAnsi="Arial" w:cs="Arial"/>
          <w:b/>
          <w:i/>
          <w:sz w:val="24"/>
          <w:szCs w:val="24"/>
          <w:lang w:val="ro-RO"/>
        </w:rPr>
      </w:pPr>
    </w:p>
    <w:p w:rsidR="00587B71" w:rsidRPr="00587B71" w:rsidRDefault="00587B71" w:rsidP="00587B71">
      <w:pPr>
        <w:spacing w:after="0" w:line="240" w:lineRule="auto"/>
        <w:rPr>
          <w:rFonts w:ascii="Arial" w:eastAsia="Times New Roman" w:hAnsi="Arial" w:cs="Arial"/>
          <w:b/>
          <w:i/>
          <w:sz w:val="24"/>
          <w:szCs w:val="24"/>
          <w:lang w:val="ro-RO"/>
        </w:rPr>
      </w:pPr>
      <w:r w:rsidRPr="00587B71">
        <w:rPr>
          <w:rFonts w:ascii="Arial" w:eastAsia="Times New Roman" w:hAnsi="Arial" w:cs="Arial"/>
          <w:b/>
          <w:i/>
          <w:sz w:val="24"/>
          <w:szCs w:val="24"/>
          <w:lang w:val="ro-RO"/>
        </w:rPr>
        <w:t>I.1.1. Starea de calitate a aerului înconjurător</w:t>
      </w:r>
    </w:p>
    <w:p w:rsidR="00587B71" w:rsidRPr="00587B71" w:rsidRDefault="00587B71" w:rsidP="00587B71">
      <w:pPr>
        <w:spacing w:after="0" w:line="240" w:lineRule="auto"/>
        <w:rPr>
          <w:rFonts w:ascii="Arial" w:eastAsia="Times New Roman" w:hAnsi="Arial" w:cs="Arial"/>
          <w:sz w:val="24"/>
          <w:szCs w:val="24"/>
          <w:lang w:val="ro-RO"/>
        </w:rPr>
      </w:pPr>
    </w:p>
    <w:p w:rsidR="00587B71" w:rsidRPr="00587B71" w:rsidRDefault="00587B71" w:rsidP="00587B71">
      <w:pPr>
        <w:spacing w:after="0" w:line="240" w:lineRule="auto"/>
        <w:rPr>
          <w:rFonts w:ascii="Arial" w:eastAsia="Times New Roman" w:hAnsi="Arial" w:cs="Arial"/>
          <w:sz w:val="24"/>
          <w:szCs w:val="24"/>
          <w:lang w:val="ro-RO"/>
        </w:rPr>
      </w:pPr>
      <w:r w:rsidRPr="00587B71">
        <w:rPr>
          <w:rFonts w:ascii="Arial" w:eastAsia="Times New Roman" w:hAnsi="Arial" w:cs="Arial"/>
          <w:sz w:val="24"/>
          <w:szCs w:val="24"/>
          <w:lang w:val="ro-RO"/>
        </w:rPr>
        <w:t>I.1.1.1.Nivelul concentraţiilor medii anuale ale poluanţilor atmosferici în aerul înconjurător</w:t>
      </w:r>
    </w:p>
    <w:p w:rsidR="00341504" w:rsidRDefault="00341504" w:rsidP="00587B71">
      <w:pPr>
        <w:autoSpaceDE w:val="0"/>
        <w:autoSpaceDN w:val="0"/>
        <w:adjustRightInd w:val="0"/>
        <w:spacing w:after="0" w:line="240" w:lineRule="auto"/>
        <w:ind w:firstLine="720"/>
        <w:jc w:val="both"/>
        <w:rPr>
          <w:rFonts w:ascii="Arial" w:eastAsia="Times New Roman" w:hAnsi="Arial" w:cs="Arial"/>
          <w:sz w:val="24"/>
          <w:szCs w:val="24"/>
        </w:rPr>
      </w:pPr>
    </w:p>
    <w:p w:rsidR="00587B71" w:rsidRPr="00587B71" w:rsidRDefault="00341504" w:rsidP="00587B71">
      <w:pPr>
        <w:autoSpaceDE w:val="0"/>
        <w:autoSpaceDN w:val="0"/>
        <w:adjustRightInd w:val="0"/>
        <w:spacing w:after="0" w:line="240" w:lineRule="auto"/>
        <w:ind w:firstLine="720"/>
        <w:jc w:val="both"/>
        <w:rPr>
          <w:rFonts w:ascii="Arial" w:eastAsia="Times New Roman" w:hAnsi="Arial" w:cs="Arial"/>
          <w:sz w:val="24"/>
          <w:szCs w:val="24"/>
        </w:rPr>
      </w:pPr>
      <w:r>
        <w:rPr>
          <w:rFonts w:ascii="Arial" w:eastAsia="Times New Roman" w:hAnsi="Arial" w:cs="Arial"/>
          <w:sz w:val="24"/>
          <w:szCs w:val="24"/>
        </w:rPr>
        <w:t>P</w:t>
      </w:r>
      <w:r w:rsidR="00587B71" w:rsidRPr="00587B71">
        <w:rPr>
          <w:rFonts w:ascii="Arial" w:eastAsia="Times New Roman" w:hAnsi="Arial" w:cs="Arial"/>
          <w:sz w:val="24"/>
          <w:szCs w:val="24"/>
        </w:rPr>
        <w:t xml:space="preserve">oluarea aerului nu este aceeași peste tot. Diferiţii poluanţi sunt eliberaţi în atmosferă dintr-o varietate de surse: industria, transporturile, agricultura, gestionarea deșeurilor și gospodăriile, etc. Anumiţi poluanţi atmosferici sunt eliberaţi și de surse naturale. Contribuţia activităţilor umane la crearea poluanţilor atmosferici este în general </w:t>
      </w:r>
      <w:r w:rsidR="00587B71" w:rsidRPr="00587B71">
        <w:rPr>
          <w:rFonts w:ascii="Arial" w:eastAsia="Times New Roman" w:hAnsi="Arial" w:cs="Arial"/>
          <w:sz w:val="24"/>
          <w:szCs w:val="24"/>
        </w:rPr>
        <w:lastRenderedPageBreak/>
        <w:t xml:space="preserve">mai ușor de măsurat și de monitorizat comparativ cu sursele naturale, însă această contribuţie a omului variază foarte mult în funcţie de poluantul în cauză. </w:t>
      </w:r>
    </w:p>
    <w:p w:rsidR="00587B71" w:rsidRPr="00587B71" w:rsidRDefault="00587B71" w:rsidP="00587B71">
      <w:pPr>
        <w:autoSpaceDE w:val="0"/>
        <w:autoSpaceDN w:val="0"/>
        <w:adjustRightInd w:val="0"/>
        <w:spacing w:after="0" w:line="240" w:lineRule="auto"/>
        <w:ind w:firstLine="720"/>
        <w:jc w:val="both"/>
        <w:rPr>
          <w:rFonts w:ascii="Arial" w:eastAsia="Times New Roman" w:hAnsi="Arial" w:cs="Arial"/>
          <w:sz w:val="20"/>
          <w:szCs w:val="20"/>
        </w:rPr>
      </w:pPr>
      <w:r w:rsidRPr="00587B71">
        <w:rPr>
          <w:rFonts w:ascii="Arial" w:eastAsia="Times New Roman" w:hAnsi="Arial" w:cs="Arial"/>
          <w:sz w:val="24"/>
          <w:szCs w:val="24"/>
        </w:rPr>
        <w:t>Rezultatele monitorizării calităţii aerului înconjurător în judeţul Vaslui, pentru anul 2015, sunt prezentate în tabelul de mai jos:</w:t>
      </w:r>
    </w:p>
    <w:p w:rsidR="00587B71" w:rsidRPr="00587B71" w:rsidRDefault="00587B71" w:rsidP="00587B71">
      <w:pPr>
        <w:spacing w:after="0" w:line="240" w:lineRule="auto"/>
        <w:rPr>
          <w:rFonts w:ascii="Arial" w:eastAsia="Times New Roman" w:hAnsi="Arial" w:cs="Arial"/>
          <w:i/>
          <w:iCs/>
          <w:color w:val="FF0000"/>
          <w:sz w:val="24"/>
          <w:szCs w:val="24"/>
          <w:lang w:val="ro-RO"/>
        </w:rPr>
      </w:pPr>
    </w:p>
    <w:p w:rsidR="00587B71" w:rsidRPr="00587B71" w:rsidRDefault="00587B71" w:rsidP="00587B71">
      <w:pPr>
        <w:tabs>
          <w:tab w:val="center" w:pos="4680"/>
          <w:tab w:val="right" w:pos="9360"/>
        </w:tabs>
        <w:spacing w:after="0" w:line="264" w:lineRule="auto"/>
        <w:ind w:right="-362"/>
        <w:rPr>
          <w:rFonts w:ascii="Arial" w:eastAsia="Times New Roman" w:hAnsi="Arial" w:cs="Arial"/>
          <w:b/>
          <w:bCs/>
          <w:color w:val="000000"/>
          <w:sz w:val="24"/>
          <w:szCs w:val="24"/>
          <w:lang w:val="ro-RO"/>
        </w:rPr>
      </w:pPr>
      <w:r w:rsidRPr="00587B71">
        <w:rPr>
          <w:rFonts w:ascii="Arial" w:eastAsia="Times New Roman" w:hAnsi="Arial" w:cs="Arial"/>
          <w:iCs/>
          <w:color w:val="000000"/>
          <w:sz w:val="24"/>
          <w:szCs w:val="24"/>
          <w:lang w:val="ro-RO"/>
        </w:rPr>
        <w:t xml:space="preserve">Tabelul I.1. -  </w:t>
      </w:r>
      <w:r w:rsidRPr="00587B71">
        <w:rPr>
          <w:rFonts w:ascii="Arial" w:eastAsia="Times New Roman" w:hAnsi="Arial" w:cs="Arial"/>
          <w:bCs/>
          <w:color w:val="000000"/>
          <w:sz w:val="24"/>
          <w:szCs w:val="24"/>
          <w:lang w:val="ro-RO"/>
        </w:rPr>
        <w:t>Calitatea aerului ambiental în anul 2015</w:t>
      </w:r>
    </w:p>
    <w:tbl>
      <w:tblPr>
        <w:tblW w:w="0" w:type="auto"/>
        <w:jc w:val="center"/>
        <w:tblCellMar>
          <w:left w:w="0" w:type="dxa"/>
          <w:right w:w="0" w:type="dxa"/>
        </w:tblCellMar>
        <w:tblLook w:val="04A0" w:firstRow="1" w:lastRow="0" w:firstColumn="1" w:lastColumn="0" w:noHBand="0" w:noVBand="1"/>
      </w:tblPr>
      <w:tblGrid>
        <w:gridCol w:w="720"/>
        <w:gridCol w:w="820"/>
        <w:gridCol w:w="1212"/>
        <w:gridCol w:w="948"/>
        <w:gridCol w:w="782"/>
        <w:gridCol w:w="902"/>
        <w:gridCol w:w="888"/>
        <w:gridCol w:w="735"/>
        <w:gridCol w:w="1198"/>
        <w:gridCol w:w="1606"/>
      </w:tblGrid>
      <w:tr w:rsidR="00587B71" w:rsidRPr="00587B71" w:rsidTr="00587B71">
        <w:trPr>
          <w:trHeight w:val="384"/>
          <w:jc w:val="center"/>
        </w:trPr>
        <w:tc>
          <w:tcPr>
            <w:tcW w:w="738" w:type="dxa"/>
            <w:vMerge w:val="restart"/>
            <w:tcBorders>
              <w:top w:val="single" w:sz="12" w:space="0" w:color="auto"/>
              <w:left w:val="single" w:sz="12" w:space="0" w:color="auto"/>
              <w:bottom w:val="single" w:sz="12" w:space="0" w:color="auto"/>
              <w:right w:val="single" w:sz="12" w:space="0" w:color="auto"/>
            </w:tcBorders>
            <w:vAlign w:val="center"/>
            <w:hideMark/>
          </w:tcPr>
          <w:p w:rsidR="00587B71" w:rsidRPr="00587B71" w:rsidRDefault="00587B71" w:rsidP="00587B71">
            <w:pPr>
              <w:spacing w:after="0" w:line="240" w:lineRule="auto"/>
              <w:jc w:val="center"/>
              <w:rPr>
                <w:rFonts w:ascii="Arial" w:eastAsia="Calibri" w:hAnsi="Arial" w:cs="Arial"/>
                <w:b/>
                <w:bCs/>
                <w:sz w:val="20"/>
                <w:szCs w:val="20"/>
              </w:rPr>
            </w:pPr>
            <w:r w:rsidRPr="00587B71">
              <w:rPr>
                <w:rFonts w:ascii="Arial" w:eastAsia="Times New Roman" w:hAnsi="Arial" w:cs="Arial"/>
                <w:b/>
                <w:bCs/>
                <w:sz w:val="20"/>
                <w:szCs w:val="20"/>
              </w:rPr>
              <w:t>Judet</w:t>
            </w:r>
          </w:p>
        </w:tc>
        <w:tc>
          <w:tcPr>
            <w:tcW w:w="867" w:type="dxa"/>
            <w:vMerge w:val="restart"/>
            <w:tcBorders>
              <w:top w:val="single" w:sz="12" w:space="0" w:color="auto"/>
              <w:left w:val="nil"/>
              <w:bottom w:val="single" w:sz="12" w:space="0" w:color="auto"/>
              <w:right w:val="single" w:sz="12" w:space="0" w:color="auto"/>
            </w:tcBorders>
            <w:vAlign w:val="center"/>
            <w:hideMark/>
          </w:tcPr>
          <w:p w:rsidR="00587B71" w:rsidRPr="00587B71" w:rsidRDefault="00587B71" w:rsidP="00587B71">
            <w:pPr>
              <w:spacing w:after="0" w:line="240" w:lineRule="auto"/>
              <w:ind w:right="-108"/>
              <w:jc w:val="center"/>
              <w:rPr>
                <w:rFonts w:ascii="Arial" w:eastAsia="Calibri" w:hAnsi="Arial" w:cs="Arial"/>
                <w:b/>
                <w:bCs/>
                <w:sz w:val="20"/>
                <w:szCs w:val="20"/>
                <w:lang w:val="ro-RO"/>
              </w:rPr>
            </w:pPr>
            <w:r w:rsidRPr="00587B71">
              <w:rPr>
                <w:rFonts w:ascii="Arial" w:eastAsia="Times New Roman" w:hAnsi="Arial" w:cs="Arial"/>
                <w:b/>
                <w:bCs/>
                <w:sz w:val="20"/>
                <w:szCs w:val="20"/>
                <w:lang w:val="ro-RO"/>
              </w:rPr>
              <w:t>Statia</w:t>
            </w:r>
          </w:p>
        </w:tc>
        <w:tc>
          <w:tcPr>
            <w:tcW w:w="1246" w:type="dxa"/>
            <w:vMerge w:val="restart"/>
            <w:tcBorders>
              <w:top w:val="single" w:sz="12" w:space="0" w:color="auto"/>
              <w:left w:val="nil"/>
              <w:bottom w:val="single" w:sz="12" w:space="0" w:color="auto"/>
              <w:right w:val="single" w:sz="12" w:space="0" w:color="auto"/>
            </w:tcBorders>
            <w:tcMar>
              <w:top w:w="0" w:type="dxa"/>
              <w:left w:w="11" w:type="dxa"/>
              <w:bottom w:w="0" w:type="dxa"/>
              <w:right w:w="11" w:type="dxa"/>
            </w:tcMar>
            <w:vAlign w:val="center"/>
            <w:hideMark/>
          </w:tcPr>
          <w:p w:rsidR="00587B71" w:rsidRPr="00587B71" w:rsidRDefault="00587B71" w:rsidP="00587B71">
            <w:pPr>
              <w:spacing w:after="0" w:line="240" w:lineRule="auto"/>
              <w:jc w:val="center"/>
              <w:rPr>
                <w:rFonts w:ascii="Arial" w:eastAsia="Calibri" w:hAnsi="Arial" w:cs="Arial"/>
                <w:b/>
                <w:bCs/>
                <w:sz w:val="20"/>
                <w:szCs w:val="20"/>
                <w:lang w:val="ro-RO"/>
              </w:rPr>
            </w:pPr>
            <w:r w:rsidRPr="00587B71">
              <w:rPr>
                <w:rFonts w:ascii="Arial" w:eastAsia="Times New Roman" w:hAnsi="Arial" w:cs="Arial"/>
                <w:b/>
                <w:bCs/>
                <w:sz w:val="20"/>
                <w:szCs w:val="20"/>
                <w:lang w:val="ro-RO"/>
              </w:rPr>
              <w:t>Tip poluant</w:t>
            </w:r>
          </w:p>
        </w:tc>
        <w:tc>
          <w:tcPr>
            <w:tcW w:w="1829" w:type="dxa"/>
            <w:gridSpan w:val="2"/>
            <w:tcBorders>
              <w:top w:val="single" w:sz="12" w:space="0" w:color="auto"/>
              <w:left w:val="nil"/>
              <w:bottom w:val="single" w:sz="8" w:space="0" w:color="auto"/>
              <w:right w:val="single" w:sz="12" w:space="0" w:color="auto"/>
            </w:tcBorders>
            <w:tcMar>
              <w:top w:w="0" w:type="dxa"/>
              <w:left w:w="108" w:type="dxa"/>
              <w:bottom w:w="0" w:type="dxa"/>
              <w:right w:w="108" w:type="dxa"/>
            </w:tcMar>
            <w:vAlign w:val="center"/>
            <w:hideMark/>
          </w:tcPr>
          <w:p w:rsidR="00587B71" w:rsidRPr="00587B71" w:rsidRDefault="00587B71" w:rsidP="00587B71">
            <w:pPr>
              <w:spacing w:after="0" w:line="240" w:lineRule="auto"/>
              <w:ind w:right="-106"/>
              <w:jc w:val="center"/>
              <w:rPr>
                <w:rFonts w:ascii="Arial" w:eastAsia="Calibri" w:hAnsi="Arial" w:cs="Arial"/>
                <w:b/>
                <w:bCs/>
                <w:sz w:val="20"/>
                <w:szCs w:val="20"/>
                <w:lang w:val="ro-RO"/>
              </w:rPr>
            </w:pPr>
            <w:r w:rsidRPr="00587B71">
              <w:rPr>
                <w:rFonts w:ascii="Arial" w:eastAsia="Times New Roman" w:hAnsi="Arial" w:cs="Arial"/>
                <w:b/>
                <w:bCs/>
                <w:sz w:val="20"/>
                <w:szCs w:val="20"/>
                <w:lang w:val="ro-RO"/>
              </w:rPr>
              <w:t>Număr măsurări</w:t>
            </w:r>
          </w:p>
        </w:tc>
        <w:tc>
          <w:tcPr>
            <w:tcW w:w="2598" w:type="dxa"/>
            <w:gridSpan w:val="3"/>
            <w:tcBorders>
              <w:top w:val="single" w:sz="12" w:space="0" w:color="auto"/>
              <w:left w:val="nil"/>
              <w:bottom w:val="single" w:sz="8" w:space="0" w:color="auto"/>
              <w:right w:val="single" w:sz="12" w:space="0" w:color="auto"/>
            </w:tcBorders>
            <w:tcMar>
              <w:top w:w="0" w:type="dxa"/>
              <w:left w:w="11" w:type="dxa"/>
              <w:bottom w:w="0" w:type="dxa"/>
              <w:right w:w="11" w:type="dxa"/>
            </w:tcMar>
            <w:vAlign w:val="center"/>
            <w:hideMark/>
          </w:tcPr>
          <w:p w:rsidR="00587B71" w:rsidRPr="00587B71" w:rsidRDefault="00587B71" w:rsidP="00587B71">
            <w:pPr>
              <w:spacing w:after="0" w:line="240" w:lineRule="auto"/>
              <w:jc w:val="center"/>
              <w:rPr>
                <w:rFonts w:ascii="Arial" w:eastAsia="Calibri" w:hAnsi="Arial" w:cs="Arial"/>
                <w:b/>
                <w:bCs/>
                <w:sz w:val="20"/>
                <w:szCs w:val="20"/>
                <w:lang w:val="ro-RO"/>
              </w:rPr>
            </w:pPr>
            <w:r w:rsidRPr="00587B71">
              <w:rPr>
                <w:rFonts w:ascii="Arial" w:eastAsia="Times New Roman" w:hAnsi="Arial" w:cs="Arial"/>
                <w:b/>
                <w:bCs/>
                <w:sz w:val="20"/>
                <w:szCs w:val="20"/>
                <w:lang w:val="ro-RO"/>
              </w:rPr>
              <w:t>Concentraţia</w:t>
            </w:r>
          </w:p>
        </w:tc>
        <w:tc>
          <w:tcPr>
            <w:tcW w:w="1205" w:type="dxa"/>
            <w:vMerge w:val="restart"/>
            <w:tcBorders>
              <w:top w:val="single" w:sz="12" w:space="0" w:color="auto"/>
              <w:left w:val="nil"/>
              <w:bottom w:val="single" w:sz="12" w:space="0" w:color="auto"/>
              <w:right w:val="single" w:sz="12" w:space="0" w:color="auto"/>
            </w:tcBorders>
            <w:tcMar>
              <w:top w:w="0" w:type="dxa"/>
              <w:left w:w="108" w:type="dxa"/>
              <w:bottom w:w="0" w:type="dxa"/>
              <w:right w:w="108" w:type="dxa"/>
            </w:tcMar>
            <w:vAlign w:val="center"/>
            <w:hideMark/>
          </w:tcPr>
          <w:p w:rsidR="00587B71" w:rsidRPr="00587B71" w:rsidRDefault="00587B71" w:rsidP="00587B71">
            <w:pPr>
              <w:spacing w:after="0" w:line="240" w:lineRule="auto"/>
              <w:jc w:val="center"/>
              <w:rPr>
                <w:rFonts w:ascii="Arial" w:eastAsia="Calibri" w:hAnsi="Arial" w:cs="Arial"/>
                <w:b/>
                <w:bCs/>
                <w:sz w:val="20"/>
                <w:szCs w:val="20"/>
                <w:lang w:val="ro-RO"/>
              </w:rPr>
            </w:pPr>
            <w:r w:rsidRPr="00587B71">
              <w:rPr>
                <w:rFonts w:ascii="Arial" w:eastAsia="Times New Roman" w:hAnsi="Arial" w:cs="Arial"/>
                <w:b/>
                <w:bCs/>
                <w:sz w:val="20"/>
                <w:szCs w:val="20"/>
                <w:lang w:val="ro-RO"/>
              </w:rPr>
              <w:t>Frecvenţa depăşirii VL sau CMA (%)</w:t>
            </w:r>
          </w:p>
        </w:tc>
        <w:tc>
          <w:tcPr>
            <w:tcW w:w="1719" w:type="dxa"/>
            <w:vMerge w:val="restart"/>
            <w:tcBorders>
              <w:top w:val="single" w:sz="12" w:space="0" w:color="auto"/>
              <w:left w:val="nil"/>
              <w:bottom w:val="single" w:sz="12" w:space="0" w:color="auto"/>
              <w:right w:val="single" w:sz="12" w:space="0" w:color="auto"/>
            </w:tcBorders>
            <w:tcMar>
              <w:top w:w="0" w:type="dxa"/>
              <w:left w:w="108" w:type="dxa"/>
              <w:bottom w:w="0" w:type="dxa"/>
              <w:right w:w="108" w:type="dxa"/>
            </w:tcMar>
            <w:vAlign w:val="center"/>
            <w:hideMark/>
          </w:tcPr>
          <w:p w:rsidR="00587B71" w:rsidRPr="00587B71" w:rsidRDefault="00587B71" w:rsidP="00587B71">
            <w:pPr>
              <w:spacing w:after="0" w:line="240" w:lineRule="auto"/>
              <w:jc w:val="center"/>
              <w:rPr>
                <w:rFonts w:ascii="Arial" w:eastAsia="Calibri" w:hAnsi="Arial" w:cs="Arial"/>
                <w:b/>
                <w:bCs/>
                <w:sz w:val="20"/>
                <w:szCs w:val="20"/>
                <w:lang w:val="ro-RO"/>
              </w:rPr>
            </w:pPr>
            <w:r w:rsidRPr="00587B71">
              <w:rPr>
                <w:rFonts w:ascii="Arial" w:eastAsia="Times New Roman" w:hAnsi="Arial" w:cs="Arial"/>
                <w:b/>
                <w:bCs/>
                <w:sz w:val="20"/>
                <w:szCs w:val="20"/>
                <w:lang w:val="ro-RO"/>
              </w:rPr>
              <w:t>Captura de date (%)</w:t>
            </w:r>
          </w:p>
        </w:tc>
      </w:tr>
      <w:tr w:rsidR="00587B71" w:rsidRPr="00587B71" w:rsidTr="00587B71">
        <w:trPr>
          <w:trHeight w:val="570"/>
          <w:jc w:val="center"/>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587B71" w:rsidRPr="00587B71" w:rsidRDefault="00587B71" w:rsidP="00587B71">
            <w:pPr>
              <w:spacing w:after="0" w:line="240" w:lineRule="auto"/>
              <w:rPr>
                <w:rFonts w:ascii="Arial" w:eastAsia="Calibri" w:hAnsi="Arial" w:cs="Arial"/>
                <w:b/>
                <w:bCs/>
                <w:sz w:val="20"/>
                <w:szCs w:val="20"/>
              </w:rPr>
            </w:pPr>
          </w:p>
        </w:tc>
        <w:tc>
          <w:tcPr>
            <w:tcW w:w="0" w:type="auto"/>
            <w:vMerge/>
            <w:tcBorders>
              <w:top w:val="single" w:sz="12" w:space="0" w:color="auto"/>
              <w:left w:val="nil"/>
              <w:bottom w:val="single" w:sz="12" w:space="0" w:color="auto"/>
              <w:right w:val="single" w:sz="12" w:space="0" w:color="auto"/>
            </w:tcBorders>
            <w:vAlign w:val="center"/>
            <w:hideMark/>
          </w:tcPr>
          <w:p w:rsidR="00587B71" w:rsidRPr="00587B71" w:rsidRDefault="00587B71" w:rsidP="00587B71">
            <w:pPr>
              <w:spacing w:after="0" w:line="240" w:lineRule="auto"/>
              <w:rPr>
                <w:rFonts w:ascii="Arial" w:eastAsia="Calibri" w:hAnsi="Arial" w:cs="Arial"/>
                <w:b/>
                <w:bCs/>
                <w:sz w:val="20"/>
                <w:szCs w:val="20"/>
                <w:lang w:val="ro-RO"/>
              </w:rPr>
            </w:pPr>
          </w:p>
        </w:tc>
        <w:tc>
          <w:tcPr>
            <w:tcW w:w="0" w:type="auto"/>
            <w:vMerge/>
            <w:tcBorders>
              <w:top w:val="single" w:sz="12" w:space="0" w:color="auto"/>
              <w:left w:val="nil"/>
              <w:bottom w:val="single" w:sz="12" w:space="0" w:color="auto"/>
              <w:right w:val="single" w:sz="12" w:space="0" w:color="auto"/>
            </w:tcBorders>
            <w:vAlign w:val="center"/>
            <w:hideMark/>
          </w:tcPr>
          <w:p w:rsidR="00587B71" w:rsidRPr="00587B71" w:rsidRDefault="00587B71" w:rsidP="00587B71">
            <w:pPr>
              <w:spacing w:after="0" w:line="240" w:lineRule="auto"/>
              <w:rPr>
                <w:rFonts w:ascii="Arial" w:eastAsia="Calibri" w:hAnsi="Arial" w:cs="Arial"/>
                <w:b/>
                <w:bCs/>
                <w:sz w:val="20"/>
                <w:szCs w:val="20"/>
                <w:lang w:val="ro-RO"/>
              </w:rPr>
            </w:pPr>
          </w:p>
        </w:tc>
        <w:tc>
          <w:tcPr>
            <w:tcW w:w="1025" w:type="dxa"/>
            <w:tcBorders>
              <w:top w:val="nil"/>
              <w:left w:val="nil"/>
              <w:bottom w:val="single" w:sz="12" w:space="0" w:color="auto"/>
              <w:right w:val="single" w:sz="12" w:space="0" w:color="auto"/>
            </w:tcBorders>
            <w:hideMark/>
          </w:tcPr>
          <w:p w:rsidR="00587B71" w:rsidRPr="00587B71" w:rsidRDefault="00587B71" w:rsidP="00587B71">
            <w:pPr>
              <w:spacing w:after="0" w:line="240" w:lineRule="auto"/>
              <w:ind w:right="-128"/>
              <w:jc w:val="center"/>
              <w:rPr>
                <w:rFonts w:ascii="Arial" w:eastAsia="Calibri" w:hAnsi="Arial" w:cs="Arial"/>
                <w:b/>
                <w:bCs/>
                <w:sz w:val="20"/>
                <w:szCs w:val="20"/>
                <w:lang w:val="ro-RO"/>
              </w:rPr>
            </w:pPr>
            <w:r w:rsidRPr="00587B71">
              <w:rPr>
                <w:rFonts w:ascii="Arial" w:eastAsia="Times New Roman" w:hAnsi="Arial" w:cs="Arial"/>
                <w:b/>
                <w:bCs/>
                <w:sz w:val="20"/>
                <w:szCs w:val="20"/>
                <w:lang w:val="ro-RO"/>
              </w:rPr>
              <w:t>zilnice</w:t>
            </w:r>
          </w:p>
        </w:tc>
        <w:tc>
          <w:tcPr>
            <w:tcW w:w="804" w:type="dxa"/>
            <w:tcBorders>
              <w:top w:val="nil"/>
              <w:left w:val="nil"/>
              <w:bottom w:val="single" w:sz="12" w:space="0" w:color="auto"/>
              <w:right w:val="single" w:sz="12" w:space="0" w:color="auto"/>
            </w:tcBorders>
            <w:hideMark/>
          </w:tcPr>
          <w:p w:rsidR="00587B71" w:rsidRPr="00587B71" w:rsidRDefault="00587B71" w:rsidP="00587B71">
            <w:pPr>
              <w:spacing w:after="0" w:line="240" w:lineRule="auto"/>
              <w:jc w:val="center"/>
              <w:rPr>
                <w:rFonts w:ascii="Arial" w:eastAsia="Calibri" w:hAnsi="Arial" w:cs="Arial"/>
                <w:b/>
                <w:bCs/>
                <w:sz w:val="20"/>
                <w:szCs w:val="20"/>
                <w:lang w:val="ro-RO"/>
              </w:rPr>
            </w:pPr>
            <w:r w:rsidRPr="00587B71">
              <w:rPr>
                <w:rFonts w:ascii="Arial" w:eastAsia="Times New Roman" w:hAnsi="Arial" w:cs="Arial"/>
                <w:b/>
                <w:bCs/>
                <w:sz w:val="20"/>
                <w:szCs w:val="20"/>
                <w:lang w:val="ro-RO"/>
              </w:rPr>
              <w:t>orare</w:t>
            </w:r>
          </w:p>
        </w:tc>
        <w:tc>
          <w:tcPr>
            <w:tcW w:w="948" w:type="dxa"/>
            <w:tcBorders>
              <w:top w:val="nil"/>
              <w:left w:val="nil"/>
              <w:bottom w:val="single" w:sz="12" w:space="0" w:color="auto"/>
              <w:right w:val="single" w:sz="12"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b/>
                <w:bCs/>
                <w:sz w:val="20"/>
                <w:szCs w:val="20"/>
                <w:lang w:val="ro-RO"/>
              </w:rPr>
            </w:pPr>
            <w:r w:rsidRPr="00587B71">
              <w:rPr>
                <w:rFonts w:ascii="Arial" w:eastAsia="Times New Roman" w:hAnsi="Arial" w:cs="Arial"/>
                <w:b/>
                <w:bCs/>
                <w:sz w:val="20"/>
                <w:szCs w:val="20"/>
                <w:lang w:val="ro-RO"/>
              </w:rPr>
              <w:t>Max. zilnică</w:t>
            </w:r>
          </w:p>
        </w:tc>
        <w:tc>
          <w:tcPr>
            <w:tcW w:w="895"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587B71" w:rsidRPr="00587B71" w:rsidRDefault="00587B71" w:rsidP="00587B71">
            <w:pPr>
              <w:spacing w:after="0" w:line="240" w:lineRule="auto"/>
              <w:jc w:val="center"/>
              <w:rPr>
                <w:rFonts w:ascii="Arial" w:eastAsia="Calibri" w:hAnsi="Arial" w:cs="Arial"/>
                <w:b/>
                <w:bCs/>
                <w:sz w:val="20"/>
                <w:szCs w:val="20"/>
                <w:lang w:val="ro-RO"/>
              </w:rPr>
            </w:pPr>
            <w:r w:rsidRPr="00587B71">
              <w:rPr>
                <w:rFonts w:ascii="Arial" w:eastAsia="Times New Roman" w:hAnsi="Arial" w:cs="Arial"/>
                <w:b/>
                <w:bCs/>
                <w:sz w:val="20"/>
                <w:szCs w:val="20"/>
                <w:lang w:val="ro-RO"/>
              </w:rPr>
              <w:t>Medie anuală</w:t>
            </w:r>
          </w:p>
        </w:tc>
        <w:tc>
          <w:tcPr>
            <w:tcW w:w="755" w:type="dxa"/>
            <w:tcBorders>
              <w:top w:val="nil"/>
              <w:left w:val="nil"/>
              <w:bottom w:val="single" w:sz="12" w:space="0" w:color="auto"/>
              <w:right w:val="single" w:sz="12" w:space="0" w:color="auto"/>
            </w:tcBorders>
            <w:tcMar>
              <w:top w:w="0" w:type="dxa"/>
              <w:left w:w="108" w:type="dxa"/>
              <w:bottom w:w="0" w:type="dxa"/>
              <w:right w:w="108" w:type="dxa"/>
            </w:tcMar>
            <w:hideMark/>
          </w:tcPr>
          <w:p w:rsidR="00587B71" w:rsidRPr="00587B71" w:rsidRDefault="00587B71" w:rsidP="00587B71">
            <w:pPr>
              <w:spacing w:after="0" w:line="240" w:lineRule="auto"/>
              <w:jc w:val="center"/>
              <w:rPr>
                <w:rFonts w:ascii="Arial" w:eastAsia="Calibri" w:hAnsi="Arial" w:cs="Arial"/>
                <w:b/>
                <w:bCs/>
                <w:sz w:val="20"/>
                <w:szCs w:val="20"/>
                <w:lang w:val="ro-RO"/>
              </w:rPr>
            </w:pPr>
            <w:r w:rsidRPr="00587B71">
              <w:rPr>
                <w:rFonts w:ascii="Arial" w:eastAsia="Times New Roman" w:hAnsi="Arial" w:cs="Arial"/>
                <w:b/>
                <w:bCs/>
                <w:sz w:val="20"/>
                <w:szCs w:val="20"/>
                <w:lang w:val="ro-RO"/>
              </w:rPr>
              <w:t>UM</w:t>
            </w:r>
          </w:p>
        </w:tc>
        <w:tc>
          <w:tcPr>
            <w:tcW w:w="0" w:type="auto"/>
            <w:vMerge/>
            <w:tcBorders>
              <w:top w:val="single" w:sz="12" w:space="0" w:color="auto"/>
              <w:left w:val="nil"/>
              <w:bottom w:val="single" w:sz="12" w:space="0" w:color="auto"/>
              <w:right w:val="single" w:sz="12" w:space="0" w:color="auto"/>
            </w:tcBorders>
            <w:vAlign w:val="center"/>
            <w:hideMark/>
          </w:tcPr>
          <w:p w:rsidR="00587B71" w:rsidRPr="00587B71" w:rsidRDefault="00587B71" w:rsidP="00587B71">
            <w:pPr>
              <w:spacing w:after="0" w:line="240" w:lineRule="auto"/>
              <w:rPr>
                <w:rFonts w:ascii="Arial" w:eastAsia="Calibri" w:hAnsi="Arial" w:cs="Arial"/>
                <w:b/>
                <w:bCs/>
                <w:sz w:val="20"/>
                <w:szCs w:val="20"/>
                <w:lang w:val="ro-RO"/>
              </w:rPr>
            </w:pPr>
          </w:p>
        </w:tc>
        <w:tc>
          <w:tcPr>
            <w:tcW w:w="0" w:type="auto"/>
            <w:vMerge/>
            <w:tcBorders>
              <w:top w:val="single" w:sz="12" w:space="0" w:color="auto"/>
              <w:left w:val="nil"/>
              <w:bottom w:val="single" w:sz="12" w:space="0" w:color="auto"/>
              <w:right w:val="single" w:sz="12" w:space="0" w:color="auto"/>
            </w:tcBorders>
            <w:vAlign w:val="center"/>
            <w:hideMark/>
          </w:tcPr>
          <w:p w:rsidR="00587B71" w:rsidRPr="00587B71" w:rsidRDefault="00587B71" w:rsidP="00587B71">
            <w:pPr>
              <w:spacing w:after="0" w:line="240" w:lineRule="auto"/>
              <w:rPr>
                <w:rFonts w:ascii="Arial" w:eastAsia="Calibri" w:hAnsi="Arial" w:cs="Arial"/>
                <w:b/>
                <w:bCs/>
                <w:sz w:val="20"/>
                <w:szCs w:val="20"/>
                <w:lang w:val="ro-RO"/>
              </w:rPr>
            </w:pPr>
          </w:p>
        </w:tc>
      </w:tr>
      <w:tr w:rsidR="00587B71" w:rsidRPr="00587B71" w:rsidTr="00587B71">
        <w:trPr>
          <w:trHeight w:val="242"/>
          <w:jc w:val="center"/>
        </w:trPr>
        <w:tc>
          <w:tcPr>
            <w:tcW w:w="738" w:type="dxa"/>
            <w:vMerge w:val="restart"/>
            <w:tcBorders>
              <w:top w:val="nil"/>
              <w:left w:val="single" w:sz="12" w:space="0" w:color="auto"/>
              <w:bottom w:val="single" w:sz="8" w:space="0" w:color="auto"/>
              <w:right w:val="single" w:sz="8" w:space="0" w:color="auto"/>
            </w:tcBorders>
          </w:tcPr>
          <w:p w:rsidR="00587B71" w:rsidRPr="00587B71" w:rsidRDefault="00587B71" w:rsidP="00587B71">
            <w:pPr>
              <w:spacing w:after="0" w:line="240" w:lineRule="auto"/>
              <w:rPr>
                <w:rFonts w:ascii="Arial" w:eastAsia="Calibri" w:hAnsi="Arial" w:cs="Arial"/>
                <w:b/>
                <w:bCs/>
                <w:sz w:val="20"/>
                <w:szCs w:val="20"/>
                <w:lang w:val="ro-RO"/>
              </w:rPr>
            </w:pPr>
          </w:p>
          <w:p w:rsidR="00587B71" w:rsidRPr="00587B71" w:rsidRDefault="00587B71" w:rsidP="00587B71">
            <w:pPr>
              <w:spacing w:after="0" w:line="240" w:lineRule="auto"/>
              <w:rPr>
                <w:rFonts w:ascii="Arial" w:eastAsia="Times New Roman" w:hAnsi="Arial" w:cs="Arial"/>
                <w:b/>
                <w:bCs/>
                <w:sz w:val="20"/>
                <w:szCs w:val="20"/>
                <w:lang w:val="ro-RO"/>
              </w:rPr>
            </w:pPr>
          </w:p>
          <w:p w:rsidR="00587B71" w:rsidRPr="00587B71" w:rsidRDefault="00587B71" w:rsidP="00587B71">
            <w:pPr>
              <w:spacing w:after="0" w:line="240" w:lineRule="auto"/>
              <w:rPr>
                <w:rFonts w:ascii="Arial" w:eastAsia="Times New Roman" w:hAnsi="Arial" w:cs="Arial"/>
                <w:b/>
                <w:bCs/>
                <w:sz w:val="20"/>
                <w:szCs w:val="20"/>
                <w:lang w:val="ro-RO"/>
              </w:rPr>
            </w:pPr>
          </w:p>
          <w:p w:rsidR="00587B71" w:rsidRPr="00587B71" w:rsidRDefault="00587B71" w:rsidP="00587B71">
            <w:pPr>
              <w:spacing w:after="0" w:line="240" w:lineRule="auto"/>
              <w:rPr>
                <w:rFonts w:ascii="Arial" w:eastAsia="Times New Roman" w:hAnsi="Arial" w:cs="Arial"/>
                <w:b/>
                <w:bCs/>
                <w:sz w:val="20"/>
                <w:szCs w:val="20"/>
                <w:lang w:val="ro-RO"/>
              </w:rPr>
            </w:pPr>
          </w:p>
          <w:p w:rsidR="00587B71" w:rsidRPr="00587B71" w:rsidRDefault="00587B71" w:rsidP="00587B71">
            <w:pPr>
              <w:spacing w:after="0" w:line="240" w:lineRule="auto"/>
              <w:rPr>
                <w:rFonts w:ascii="Arial" w:eastAsia="Times New Roman" w:hAnsi="Arial" w:cs="Arial"/>
                <w:b/>
                <w:bCs/>
                <w:sz w:val="20"/>
                <w:szCs w:val="20"/>
                <w:lang w:val="ro-RO"/>
              </w:rPr>
            </w:pPr>
          </w:p>
          <w:p w:rsidR="00587B71" w:rsidRPr="00587B71" w:rsidRDefault="00587B71" w:rsidP="00587B71">
            <w:pPr>
              <w:spacing w:after="0" w:line="240" w:lineRule="auto"/>
              <w:rPr>
                <w:rFonts w:ascii="Arial" w:eastAsia="Times New Roman" w:hAnsi="Arial" w:cs="Arial"/>
                <w:b/>
                <w:bCs/>
                <w:sz w:val="20"/>
                <w:szCs w:val="20"/>
                <w:lang w:val="ro-RO"/>
              </w:rPr>
            </w:pPr>
          </w:p>
          <w:p w:rsidR="00587B71" w:rsidRPr="00587B71" w:rsidRDefault="00587B71" w:rsidP="00587B71">
            <w:pPr>
              <w:spacing w:after="0" w:line="240" w:lineRule="auto"/>
              <w:rPr>
                <w:rFonts w:ascii="Arial" w:eastAsia="Times New Roman" w:hAnsi="Arial" w:cs="Arial"/>
                <w:b/>
                <w:bCs/>
                <w:sz w:val="20"/>
                <w:szCs w:val="20"/>
                <w:lang w:val="ro-RO"/>
              </w:rPr>
            </w:pPr>
          </w:p>
          <w:p w:rsidR="00587B71" w:rsidRPr="00587B71" w:rsidRDefault="00587B71" w:rsidP="00587B71">
            <w:pPr>
              <w:spacing w:after="0" w:line="240" w:lineRule="auto"/>
              <w:rPr>
                <w:rFonts w:ascii="Arial" w:eastAsia="Times New Roman" w:hAnsi="Arial" w:cs="Arial"/>
                <w:b/>
                <w:bCs/>
                <w:sz w:val="20"/>
                <w:szCs w:val="20"/>
                <w:lang w:val="ro-RO"/>
              </w:rPr>
            </w:pPr>
          </w:p>
          <w:p w:rsidR="00587B71" w:rsidRPr="00587B71" w:rsidRDefault="00587B71" w:rsidP="00587B71">
            <w:pPr>
              <w:spacing w:after="0" w:line="240" w:lineRule="auto"/>
              <w:rPr>
                <w:rFonts w:ascii="Arial" w:eastAsia="Times New Roman" w:hAnsi="Arial" w:cs="Arial"/>
                <w:b/>
                <w:bCs/>
                <w:sz w:val="20"/>
                <w:szCs w:val="20"/>
              </w:rPr>
            </w:pPr>
            <w:r w:rsidRPr="00587B71">
              <w:rPr>
                <w:rFonts w:ascii="Arial" w:eastAsia="Times New Roman" w:hAnsi="Arial" w:cs="Arial"/>
                <w:b/>
                <w:bCs/>
                <w:sz w:val="20"/>
                <w:szCs w:val="20"/>
                <w:lang w:val="ro-RO"/>
              </w:rPr>
              <w:t>Vaslui</w:t>
            </w:r>
          </w:p>
        </w:tc>
        <w:tc>
          <w:tcPr>
            <w:tcW w:w="867" w:type="dxa"/>
            <w:vMerge w:val="restart"/>
            <w:tcBorders>
              <w:top w:val="nil"/>
              <w:left w:val="nil"/>
              <w:bottom w:val="single" w:sz="8" w:space="0" w:color="auto"/>
              <w:right w:val="single" w:sz="8" w:space="0" w:color="auto"/>
            </w:tcBorders>
            <w:tcMar>
              <w:top w:w="0" w:type="dxa"/>
              <w:left w:w="108" w:type="dxa"/>
              <w:bottom w:w="0" w:type="dxa"/>
              <w:right w:w="108" w:type="dxa"/>
            </w:tcMar>
          </w:tcPr>
          <w:p w:rsidR="00587B71" w:rsidRPr="00587B71" w:rsidRDefault="00587B71" w:rsidP="00587B71">
            <w:pPr>
              <w:spacing w:after="0" w:line="240" w:lineRule="auto"/>
              <w:rPr>
                <w:rFonts w:ascii="Arial" w:eastAsia="Calibri" w:hAnsi="Arial" w:cs="Arial"/>
                <w:b/>
                <w:bCs/>
                <w:sz w:val="20"/>
                <w:szCs w:val="20"/>
              </w:rPr>
            </w:pPr>
          </w:p>
          <w:p w:rsidR="00587B71" w:rsidRPr="00587B71" w:rsidRDefault="00587B71" w:rsidP="00587B71">
            <w:pPr>
              <w:spacing w:after="0" w:line="240" w:lineRule="auto"/>
              <w:rPr>
                <w:rFonts w:ascii="Arial" w:eastAsia="Times New Roman" w:hAnsi="Arial" w:cs="Arial"/>
                <w:b/>
                <w:bCs/>
                <w:sz w:val="20"/>
                <w:szCs w:val="20"/>
              </w:rPr>
            </w:pPr>
          </w:p>
          <w:p w:rsidR="00587B71" w:rsidRPr="00587B71" w:rsidRDefault="00587B71" w:rsidP="00587B71">
            <w:pPr>
              <w:spacing w:after="0" w:line="240" w:lineRule="auto"/>
              <w:rPr>
                <w:rFonts w:ascii="Arial" w:eastAsia="Times New Roman" w:hAnsi="Arial" w:cs="Arial"/>
                <w:b/>
                <w:bCs/>
                <w:sz w:val="20"/>
                <w:szCs w:val="20"/>
              </w:rPr>
            </w:pPr>
          </w:p>
          <w:p w:rsidR="00587B71" w:rsidRPr="00587B71" w:rsidRDefault="00587B71" w:rsidP="00587B71">
            <w:pPr>
              <w:spacing w:after="0" w:line="240" w:lineRule="auto"/>
              <w:rPr>
                <w:rFonts w:ascii="Arial" w:eastAsia="Times New Roman" w:hAnsi="Arial" w:cs="Arial"/>
                <w:b/>
                <w:bCs/>
                <w:sz w:val="20"/>
                <w:szCs w:val="20"/>
              </w:rPr>
            </w:pPr>
          </w:p>
          <w:p w:rsidR="00587B71" w:rsidRPr="00587B71" w:rsidRDefault="00587B71" w:rsidP="00587B71">
            <w:pPr>
              <w:spacing w:after="0" w:line="240" w:lineRule="auto"/>
              <w:rPr>
                <w:rFonts w:ascii="Arial" w:eastAsia="Times New Roman" w:hAnsi="Arial" w:cs="Arial"/>
                <w:b/>
                <w:bCs/>
                <w:sz w:val="20"/>
                <w:szCs w:val="20"/>
              </w:rPr>
            </w:pPr>
          </w:p>
          <w:p w:rsidR="00587B71" w:rsidRPr="00587B71" w:rsidRDefault="00587B71" w:rsidP="00587B71">
            <w:pPr>
              <w:spacing w:after="0" w:line="240" w:lineRule="auto"/>
              <w:rPr>
                <w:rFonts w:ascii="Arial" w:eastAsia="Times New Roman" w:hAnsi="Arial" w:cs="Arial"/>
                <w:b/>
                <w:bCs/>
                <w:sz w:val="20"/>
                <w:szCs w:val="20"/>
              </w:rPr>
            </w:pPr>
          </w:p>
          <w:p w:rsidR="00587B71" w:rsidRPr="00587B71" w:rsidRDefault="00587B71" w:rsidP="00587B71">
            <w:pPr>
              <w:spacing w:after="0" w:line="240" w:lineRule="auto"/>
              <w:rPr>
                <w:rFonts w:ascii="Arial" w:eastAsia="Times New Roman" w:hAnsi="Arial" w:cs="Arial"/>
                <w:b/>
                <w:bCs/>
                <w:sz w:val="20"/>
                <w:szCs w:val="20"/>
              </w:rPr>
            </w:pPr>
          </w:p>
          <w:p w:rsidR="00587B71" w:rsidRPr="00587B71" w:rsidRDefault="00587B71" w:rsidP="00587B71">
            <w:pPr>
              <w:spacing w:after="0" w:line="240" w:lineRule="auto"/>
              <w:rPr>
                <w:rFonts w:ascii="Arial" w:eastAsia="Times New Roman" w:hAnsi="Arial" w:cs="Arial"/>
                <w:b/>
                <w:bCs/>
                <w:sz w:val="20"/>
                <w:szCs w:val="20"/>
              </w:rPr>
            </w:pPr>
          </w:p>
          <w:p w:rsidR="00587B71" w:rsidRPr="00587B71" w:rsidRDefault="00587B71" w:rsidP="00587B71">
            <w:pPr>
              <w:spacing w:after="0" w:line="240" w:lineRule="auto"/>
              <w:rPr>
                <w:rFonts w:ascii="Arial" w:eastAsia="Times New Roman" w:hAnsi="Arial" w:cs="Arial"/>
                <w:b/>
                <w:bCs/>
                <w:sz w:val="20"/>
                <w:szCs w:val="20"/>
              </w:rPr>
            </w:pPr>
            <w:r w:rsidRPr="00587B71">
              <w:rPr>
                <w:rFonts w:ascii="Arial" w:eastAsia="Times New Roman" w:hAnsi="Arial" w:cs="Arial"/>
                <w:b/>
                <w:bCs/>
                <w:sz w:val="20"/>
                <w:szCs w:val="20"/>
              </w:rPr>
              <w:t>VS-1 - FU</w:t>
            </w:r>
          </w:p>
        </w:tc>
        <w:tc>
          <w:tcPr>
            <w:tcW w:w="1246"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both"/>
              <w:rPr>
                <w:rFonts w:ascii="Arial" w:eastAsia="Times New Roman" w:hAnsi="Arial" w:cs="Arial"/>
                <w:sz w:val="20"/>
                <w:szCs w:val="20"/>
                <w:lang w:val="ro-RO"/>
              </w:rPr>
            </w:pPr>
            <w:r w:rsidRPr="00587B71">
              <w:rPr>
                <w:rFonts w:ascii="Arial" w:eastAsia="Times New Roman" w:hAnsi="Arial" w:cs="Arial"/>
                <w:b/>
                <w:bCs/>
                <w:sz w:val="20"/>
                <w:szCs w:val="20"/>
                <w:lang w:val="it-IT"/>
              </w:rPr>
              <w:t>NO2</w:t>
            </w:r>
          </w:p>
        </w:tc>
        <w:tc>
          <w:tcPr>
            <w:tcW w:w="1025" w:type="dxa"/>
            <w:tcBorders>
              <w:top w:val="nil"/>
              <w:left w:val="nil"/>
              <w:bottom w:val="single" w:sz="8" w:space="0" w:color="auto"/>
              <w:right w:val="single" w:sz="8" w:space="0" w:color="auto"/>
            </w:tcBorders>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Calibri" w:hAnsi="Arial" w:cs="Arial"/>
                <w:sz w:val="20"/>
                <w:szCs w:val="20"/>
                <w:lang w:val="ro-RO"/>
              </w:rPr>
              <w:t>-</w:t>
            </w:r>
          </w:p>
        </w:tc>
        <w:tc>
          <w:tcPr>
            <w:tcW w:w="804" w:type="dxa"/>
            <w:tcBorders>
              <w:top w:val="nil"/>
              <w:left w:val="nil"/>
              <w:bottom w:val="single" w:sz="8" w:space="0" w:color="auto"/>
              <w:right w:val="single" w:sz="8" w:space="0" w:color="auto"/>
            </w:tcBorders>
            <w:tcMar>
              <w:top w:w="0" w:type="dxa"/>
              <w:left w:w="108" w:type="dxa"/>
              <w:bottom w:w="0" w:type="dxa"/>
              <w:right w:w="108" w:type="dxa"/>
            </w:tcMar>
            <w:hideMark/>
          </w:tcPr>
          <w:p w:rsidR="00587B71" w:rsidRPr="00587B71" w:rsidRDefault="00587B71" w:rsidP="00587B71">
            <w:pPr>
              <w:spacing w:after="0" w:line="240" w:lineRule="auto"/>
              <w:jc w:val="center"/>
              <w:rPr>
                <w:rFonts w:ascii="Arial" w:eastAsia="Calibri" w:hAnsi="Arial" w:cs="Arial"/>
                <w:color w:val="000000"/>
                <w:sz w:val="20"/>
                <w:szCs w:val="20"/>
                <w:lang w:val="ro-RO"/>
              </w:rPr>
            </w:pPr>
            <w:r w:rsidRPr="00587B71">
              <w:rPr>
                <w:rFonts w:ascii="Arial" w:eastAsia="Times New Roman" w:hAnsi="Arial" w:cs="Arial"/>
                <w:color w:val="000000"/>
                <w:sz w:val="20"/>
                <w:szCs w:val="20"/>
                <w:lang w:val="ro-RO"/>
              </w:rPr>
              <w:t>6998</w:t>
            </w:r>
          </w:p>
        </w:tc>
        <w:tc>
          <w:tcPr>
            <w:tcW w:w="948" w:type="dxa"/>
            <w:tcBorders>
              <w:top w:val="nil"/>
              <w:left w:val="nil"/>
              <w:bottom w:val="single" w:sz="8" w:space="0" w:color="auto"/>
              <w:right w:val="single" w:sz="8" w:space="0" w:color="auto"/>
            </w:tcBorders>
            <w:tcMar>
              <w:top w:w="0" w:type="dxa"/>
              <w:left w:w="11" w:type="dxa"/>
              <w:bottom w:w="0" w:type="dxa"/>
              <w:right w:w="11" w:type="dxa"/>
            </w:tcMar>
            <w:vAlign w:val="center"/>
            <w:hideMark/>
          </w:tcPr>
          <w:p w:rsidR="00587B71" w:rsidRPr="00587B71" w:rsidRDefault="00587B71" w:rsidP="00587B71">
            <w:pPr>
              <w:spacing w:after="0" w:line="240" w:lineRule="auto"/>
              <w:jc w:val="center"/>
              <w:rPr>
                <w:rFonts w:ascii="Arial" w:eastAsia="Calibri" w:hAnsi="Arial" w:cs="Arial"/>
                <w:color w:val="000000"/>
                <w:sz w:val="20"/>
                <w:szCs w:val="20"/>
                <w:lang w:val="ro-RO"/>
              </w:rPr>
            </w:pPr>
            <w:r w:rsidRPr="00587B71">
              <w:rPr>
                <w:rFonts w:ascii="Arial" w:eastAsia="Times New Roman" w:hAnsi="Arial" w:cs="Arial"/>
                <w:color w:val="000000"/>
                <w:sz w:val="20"/>
                <w:szCs w:val="20"/>
                <w:lang w:val="ro-RO"/>
              </w:rPr>
              <w:t>39,94</w:t>
            </w:r>
          </w:p>
        </w:tc>
        <w:tc>
          <w:tcPr>
            <w:tcW w:w="895" w:type="dxa"/>
            <w:tcBorders>
              <w:top w:val="nil"/>
              <w:left w:val="nil"/>
              <w:bottom w:val="single" w:sz="8" w:space="0" w:color="auto"/>
              <w:right w:val="single" w:sz="8" w:space="0" w:color="auto"/>
            </w:tcBorders>
            <w:tcMar>
              <w:top w:w="0" w:type="dxa"/>
              <w:left w:w="11" w:type="dxa"/>
              <w:bottom w:w="0" w:type="dxa"/>
              <w:right w:w="11" w:type="dxa"/>
            </w:tcMar>
            <w:vAlign w:val="center"/>
            <w:hideMark/>
          </w:tcPr>
          <w:p w:rsidR="00587B71" w:rsidRPr="00587B71" w:rsidRDefault="00587B71" w:rsidP="00587B71">
            <w:pPr>
              <w:spacing w:after="0" w:line="240" w:lineRule="auto"/>
              <w:jc w:val="center"/>
              <w:rPr>
                <w:rFonts w:ascii="Arial" w:eastAsia="Calibri" w:hAnsi="Arial" w:cs="Arial"/>
                <w:color w:val="000000"/>
                <w:sz w:val="20"/>
                <w:szCs w:val="20"/>
                <w:lang w:val="ro-RO"/>
              </w:rPr>
            </w:pPr>
            <w:r w:rsidRPr="00587B71">
              <w:rPr>
                <w:rFonts w:ascii="Arial" w:eastAsia="Times New Roman" w:hAnsi="Arial" w:cs="Arial"/>
                <w:color w:val="000000"/>
                <w:sz w:val="20"/>
                <w:szCs w:val="20"/>
                <w:lang w:val="ro-RO"/>
              </w:rPr>
              <w:t>14,43</w:t>
            </w:r>
          </w:p>
        </w:tc>
        <w:tc>
          <w:tcPr>
            <w:tcW w:w="75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μg/mc</w:t>
            </w:r>
          </w:p>
        </w:tc>
        <w:tc>
          <w:tcPr>
            <w:tcW w:w="120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0</w:t>
            </w:r>
          </w:p>
        </w:tc>
        <w:tc>
          <w:tcPr>
            <w:tcW w:w="1719" w:type="dxa"/>
            <w:tcBorders>
              <w:top w:val="nil"/>
              <w:left w:val="nil"/>
              <w:bottom w:val="single" w:sz="8" w:space="0" w:color="auto"/>
              <w:right w:val="single" w:sz="12"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79,8</w:t>
            </w:r>
          </w:p>
        </w:tc>
      </w:tr>
      <w:tr w:rsidR="00587B71" w:rsidRPr="00587B71" w:rsidTr="00587B71">
        <w:trPr>
          <w:trHeight w:val="242"/>
          <w:jc w:val="center"/>
        </w:trPr>
        <w:tc>
          <w:tcPr>
            <w:tcW w:w="0" w:type="auto"/>
            <w:vMerge/>
            <w:tcBorders>
              <w:top w:val="nil"/>
              <w:left w:val="single" w:sz="12" w:space="0" w:color="auto"/>
              <w:bottom w:val="single" w:sz="8" w:space="0" w:color="auto"/>
              <w:right w:val="single" w:sz="8" w:space="0" w:color="auto"/>
            </w:tcBorders>
            <w:vAlign w:val="center"/>
            <w:hideMark/>
          </w:tcPr>
          <w:p w:rsidR="00587B71" w:rsidRPr="00587B71" w:rsidRDefault="00587B71" w:rsidP="00587B71">
            <w:pPr>
              <w:spacing w:after="0" w:line="240" w:lineRule="auto"/>
              <w:rPr>
                <w:rFonts w:ascii="Arial" w:eastAsia="Calibri" w:hAnsi="Arial" w:cs="Arial"/>
                <w:b/>
                <w:bCs/>
                <w:sz w:val="20"/>
                <w:szCs w:val="20"/>
              </w:rPr>
            </w:pPr>
          </w:p>
        </w:tc>
        <w:tc>
          <w:tcPr>
            <w:tcW w:w="0" w:type="auto"/>
            <w:vMerge/>
            <w:tcBorders>
              <w:top w:val="nil"/>
              <w:left w:val="nil"/>
              <w:bottom w:val="single" w:sz="8" w:space="0" w:color="auto"/>
              <w:right w:val="single" w:sz="8" w:space="0" w:color="auto"/>
            </w:tcBorders>
            <w:vAlign w:val="center"/>
            <w:hideMark/>
          </w:tcPr>
          <w:p w:rsidR="00587B71" w:rsidRPr="00587B71" w:rsidRDefault="00587B71" w:rsidP="00587B71">
            <w:pPr>
              <w:spacing w:after="0" w:line="240" w:lineRule="auto"/>
              <w:rPr>
                <w:rFonts w:ascii="Arial" w:eastAsia="Calibri" w:hAnsi="Arial" w:cs="Arial"/>
                <w:b/>
                <w:bCs/>
                <w:sz w:val="20"/>
                <w:szCs w:val="20"/>
              </w:rPr>
            </w:pPr>
          </w:p>
        </w:tc>
        <w:tc>
          <w:tcPr>
            <w:tcW w:w="1246" w:type="dxa"/>
            <w:tcBorders>
              <w:top w:val="nil"/>
              <w:left w:val="nil"/>
              <w:bottom w:val="single" w:sz="8" w:space="0" w:color="auto"/>
              <w:right w:val="single" w:sz="8" w:space="0" w:color="auto"/>
            </w:tcBorders>
            <w:hideMark/>
          </w:tcPr>
          <w:p w:rsidR="00587B71" w:rsidRPr="00587B71" w:rsidRDefault="00587B71" w:rsidP="00587B71">
            <w:pPr>
              <w:spacing w:after="0" w:line="240" w:lineRule="auto"/>
              <w:jc w:val="both"/>
              <w:rPr>
                <w:rFonts w:ascii="Arial" w:eastAsia="Times New Roman" w:hAnsi="Arial" w:cs="Arial"/>
                <w:sz w:val="20"/>
                <w:szCs w:val="20"/>
                <w:lang w:val="ro-RO"/>
              </w:rPr>
            </w:pPr>
            <w:r w:rsidRPr="00587B71">
              <w:rPr>
                <w:rFonts w:ascii="Arial" w:eastAsia="Times New Roman" w:hAnsi="Arial" w:cs="Arial"/>
                <w:b/>
                <w:bCs/>
                <w:sz w:val="20"/>
                <w:szCs w:val="20"/>
                <w:lang w:val="it-IT"/>
              </w:rPr>
              <w:t>SO2</w:t>
            </w:r>
          </w:p>
        </w:tc>
        <w:tc>
          <w:tcPr>
            <w:tcW w:w="1025" w:type="dxa"/>
            <w:tcBorders>
              <w:top w:val="nil"/>
              <w:left w:val="nil"/>
              <w:bottom w:val="single" w:sz="8" w:space="0" w:color="auto"/>
              <w:right w:val="single" w:sz="8" w:space="0" w:color="auto"/>
            </w:tcBorders>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Calibri" w:hAnsi="Arial" w:cs="Arial"/>
                <w:sz w:val="20"/>
                <w:szCs w:val="20"/>
                <w:lang w:val="ro-RO"/>
              </w:rPr>
              <w:t>-</w:t>
            </w:r>
          </w:p>
        </w:tc>
        <w:tc>
          <w:tcPr>
            <w:tcW w:w="804" w:type="dxa"/>
            <w:tcBorders>
              <w:top w:val="nil"/>
              <w:left w:val="nil"/>
              <w:bottom w:val="single" w:sz="8" w:space="0" w:color="auto"/>
              <w:right w:val="single" w:sz="8" w:space="0" w:color="auto"/>
            </w:tcBorders>
            <w:tcMar>
              <w:top w:w="0" w:type="dxa"/>
              <w:left w:w="108" w:type="dxa"/>
              <w:bottom w:w="0" w:type="dxa"/>
              <w:right w:w="108" w:type="dxa"/>
            </w:tcMar>
            <w:hideMark/>
          </w:tcPr>
          <w:p w:rsidR="00587B71" w:rsidRPr="00587B71" w:rsidRDefault="00587B71" w:rsidP="00587B71">
            <w:pPr>
              <w:spacing w:after="0" w:line="240" w:lineRule="auto"/>
              <w:jc w:val="center"/>
              <w:rPr>
                <w:rFonts w:ascii="Arial" w:eastAsia="Calibri" w:hAnsi="Arial" w:cs="Arial"/>
                <w:color w:val="000000"/>
                <w:sz w:val="20"/>
                <w:szCs w:val="20"/>
                <w:lang w:val="ro-RO"/>
              </w:rPr>
            </w:pPr>
            <w:r w:rsidRPr="00587B71">
              <w:rPr>
                <w:rFonts w:ascii="Arial" w:eastAsia="Times New Roman" w:hAnsi="Arial" w:cs="Arial"/>
                <w:color w:val="000000"/>
                <w:sz w:val="20"/>
                <w:szCs w:val="20"/>
                <w:lang w:val="ro-RO"/>
              </w:rPr>
              <w:t>-</w:t>
            </w:r>
          </w:p>
        </w:tc>
        <w:tc>
          <w:tcPr>
            <w:tcW w:w="948" w:type="dxa"/>
            <w:tcBorders>
              <w:top w:val="nil"/>
              <w:left w:val="nil"/>
              <w:bottom w:val="single" w:sz="8" w:space="0" w:color="auto"/>
              <w:right w:val="single" w:sz="8" w:space="0" w:color="auto"/>
            </w:tcBorders>
            <w:tcMar>
              <w:top w:w="0" w:type="dxa"/>
              <w:left w:w="11" w:type="dxa"/>
              <w:bottom w:w="0" w:type="dxa"/>
              <w:right w:w="11" w:type="dxa"/>
            </w:tcMar>
            <w:vAlign w:val="center"/>
            <w:hideMark/>
          </w:tcPr>
          <w:p w:rsidR="00587B71" w:rsidRPr="00587B71" w:rsidRDefault="00587B71" w:rsidP="00587B71">
            <w:pPr>
              <w:spacing w:after="0" w:line="240" w:lineRule="auto"/>
              <w:jc w:val="center"/>
              <w:rPr>
                <w:rFonts w:ascii="Arial" w:eastAsia="Calibri" w:hAnsi="Arial" w:cs="Arial"/>
                <w:color w:val="000000"/>
                <w:sz w:val="20"/>
                <w:szCs w:val="20"/>
                <w:lang w:val="ro-RO"/>
              </w:rPr>
            </w:pPr>
            <w:r w:rsidRPr="00587B71">
              <w:rPr>
                <w:rFonts w:ascii="Arial" w:eastAsia="Times New Roman" w:hAnsi="Arial" w:cs="Arial"/>
                <w:color w:val="000000"/>
                <w:sz w:val="20"/>
                <w:szCs w:val="20"/>
                <w:lang w:val="ro-RO"/>
              </w:rPr>
              <w:t>-</w:t>
            </w:r>
          </w:p>
        </w:tc>
        <w:tc>
          <w:tcPr>
            <w:tcW w:w="895" w:type="dxa"/>
            <w:tcBorders>
              <w:top w:val="nil"/>
              <w:left w:val="nil"/>
              <w:bottom w:val="single" w:sz="8" w:space="0" w:color="auto"/>
              <w:right w:val="single" w:sz="8" w:space="0" w:color="auto"/>
            </w:tcBorders>
            <w:tcMar>
              <w:top w:w="0" w:type="dxa"/>
              <w:left w:w="11" w:type="dxa"/>
              <w:bottom w:w="0" w:type="dxa"/>
              <w:right w:w="11" w:type="dxa"/>
            </w:tcMar>
            <w:vAlign w:val="center"/>
            <w:hideMark/>
          </w:tcPr>
          <w:p w:rsidR="00587B71" w:rsidRPr="00587B71" w:rsidRDefault="00587B71" w:rsidP="00587B71">
            <w:pPr>
              <w:spacing w:after="0" w:line="240" w:lineRule="auto"/>
              <w:jc w:val="center"/>
              <w:rPr>
                <w:rFonts w:ascii="Arial" w:eastAsia="Calibri" w:hAnsi="Arial" w:cs="Arial"/>
                <w:color w:val="000000"/>
                <w:sz w:val="20"/>
                <w:szCs w:val="20"/>
                <w:lang w:val="ro-RO"/>
              </w:rPr>
            </w:pPr>
            <w:r w:rsidRPr="00587B71">
              <w:rPr>
                <w:rFonts w:ascii="Arial" w:eastAsia="Times New Roman" w:hAnsi="Arial" w:cs="Arial"/>
                <w:color w:val="000000"/>
                <w:sz w:val="20"/>
                <w:szCs w:val="20"/>
                <w:lang w:val="ro-RO"/>
              </w:rPr>
              <w:t>-</w:t>
            </w:r>
          </w:p>
        </w:tc>
        <w:tc>
          <w:tcPr>
            <w:tcW w:w="75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μg/mc</w:t>
            </w:r>
          </w:p>
        </w:tc>
        <w:tc>
          <w:tcPr>
            <w:tcW w:w="120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0</w:t>
            </w:r>
          </w:p>
        </w:tc>
        <w:tc>
          <w:tcPr>
            <w:tcW w:w="1719" w:type="dxa"/>
            <w:tcBorders>
              <w:top w:val="nil"/>
              <w:left w:val="nil"/>
              <w:bottom w:val="single" w:sz="8" w:space="0" w:color="auto"/>
              <w:right w:val="single" w:sz="12"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0</w:t>
            </w:r>
          </w:p>
        </w:tc>
      </w:tr>
      <w:tr w:rsidR="00587B71" w:rsidRPr="00587B71" w:rsidTr="00587B71">
        <w:trPr>
          <w:trHeight w:val="242"/>
          <w:jc w:val="center"/>
        </w:trPr>
        <w:tc>
          <w:tcPr>
            <w:tcW w:w="0" w:type="auto"/>
            <w:vMerge/>
            <w:tcBorders>
              <w:top w:val="nil"/>
              <w:left w:val="single" w:sz="12" w:space="0" w:color="auto"/>
              <w:bottom w:val="single" w:sz="8" w:space="0" w:color="auto"/>
              <w:right w:val="single" w:sz="8" w:space="0" w:color="auto"/>
            </w:tcBorders>
            <w:vAlign w:val="center"/>
            <w:hideMark/>
          </w:tcPr>
          <w:p w:rsidR="00587B71" w:rsidRPr="00587B71" w:rsidRDefault="00587B71" w:rsidP="00587B71">
            <w:pPr>
              <w:spacing w:after="0" w:line="240" w:lineRule="auto"/>
              <w:rPr>
                <w:rFonts w:ascii="Arial" w:eastAsia="Calibri" w:hAnsi="Arial" w:cs="Arial"/>
                <w:b/>
                <w:bCs/>
                <w:sz w:val="20"/>
                <w:szCs w:val="20"/>
              </w:rPr>
            </w:pPr>
          </w:p>
        </w:tc>
        <w:tc>
          <w:tcPr>
            <w:tcW w:w="0" w:type="auto"/>
            <w:vMerge/>
            <w:tcBorders>
              <w:top w:val="nil"/>
              <w:left w:val="nil"/>
              <w:bottom w:val="single" w:sz="8" w:space="0" w:color="auto"/>
              <w:right w:val="single" w:sz="8" w:space="0" w:color="auto"/>
            </w:tcBorders>
            <w:vAlign w:val="center"/>
            <w:hideMark/>
          </w:tcPr>
          <w:p w:rsidR="00587B71" w:rsidRPr="00587B71" w:rsidRDefault="00587B71" w:rsidP="00587B71">
            <w:pPr>
              <w:spacing w:after="0" w:line="240" w:lineRule="auto"/>
              <w:rPr>
                <w:rFonts w:ascii="Arial" w:eastAsia="Calibri" w:hAnsi="Arial" w:cs="Arial"/>
                <w:b/>
                <w:bCs/>
                <w:sz w:val="20"/>
                <w:szCs w:val="20"/>
              </w:rPr>
            </w:pPr>
          </w:p>
        </w:tc>
        <w:tc>
          <w:tcPr>
            <w:tcW w:w="1246" w:type="dxa"/>
            <w:tcBorders>
              <w:top w:val="nil"/>
              <w:left w:val="nil"/>
              <w:bottom w:val="single" w:sz="8" w:space="0" w:color="auto"/>
              <w:right w:val="single" w:sz="8" w:space="0" w:color="auto"/>
            </w:tcBorders>
            <w:hideMark/>
          </w:tcPr>
          <w:p w:rsidR="00587B71" w:rsidRPr="00587B71" w:rsidRDefault="00587B71" w:rsidP="00587B71">
            <w:pPr>
              <w:spacing w:after="0" w:line="240" w:lineRule="auto"/>
              <w:jc w:val="both"/>
              <w:rPr>
                <w:rFonts w:ascii="Arial" w:eastAsia="Times New Roman" w:hAnsi="Arial" w:cs="Arial"/>
                <w:b/>
                <w:bCs/>
                <w:sz w:val="20"/>
                <w:szCs w:val="20"/>
                <w:lang w:val="it-IT"/>
              </w:rPr>
            </w:pPr>
            <w:r w:rsidRPr="00587B71">
              <w:rPr>
                <w:rFonts w:ascii="Arial" w:eastAsia="Times New Roman" w:hAnsi="Arial" w:cs="Arial"/>
                <w:b/>
                <w:bCs/>
                <w:sz w:val="20"/>
                <w:szCs w:val="20"/>
                <w:lang w:val="it-IT"/>
              </w:rPr>
              <w:t>NO</w:t>
            </w:r>
          </w:p>
        </w:tc>
        <w:tc>
          <w:tcPr>
            <w:tcW w:w="1025" w:type="dxa"/>
            <w:tcBorders>
              <w:top w:val="nil"/>
              <w:left w:val="nil"/>
              <w:bottom w:val="single" w:sz="8" w:space="0" w:color="auto"/>
              <w:right w:val="single" w:sz="8" w:space="0" w:color="auto"/>
            </w:tcBorders>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Calibri" w:hAnsi="Arial" w:cs="Arial"/>
                <w:sz w:val="20"/>
                <w:szCs w:val="20"/>
                <w:lang w:val="ro-RO"/>
              </w:rPr>
              <w:t>-</w:t>
            </w:r>
          </w:p>
        </w:tc>
        <w:tc>
          <w:tcPr>
            <w:tcW w:w="804" w:type="dxa"/>
            <w:tcBorders>
              <w:top w:val="nil"/>
              <w:left w:val="nil"/>
              <w:bottom w:val="single" w:sz="8" w:space="0" w:color="auto"/>
              <w:right w:val="single" w:sz="8" w:space="0" w:color="auto"/>
            </w:tcBorders>
            <w:tcMar>
              <w:top w:w="0" w:type="dxa"/>
              <w:left w:w="108" w:type="dxa"/>
              <w:bottom w:w="0" w:type="dxa"/>
              <w:right w:w="108" w:type="dxa"/>
            </w:tcMar>
            <w:hideMark/>
          </w:tcPr>
          <w:p w:rsidR="00587B71" w:rsidRPr="00587B71" w:rsidRDefault="00587B71" w:rsidP="00587B71">
            <w:pPr>
              <w:spacing w:after="0" w:line="240" w:lineRule="auto"/>
              <w:jc w:val="center"/>
              <w:rPr>
                <w:rFonts w:ascii="Arial" w:eastAsia="Calibri" w:hAnsi="Arial" w:cs="Arial"/>
                <w:color w:val="000000"/>
                <w:sz w:val="20"/>
                <w:szCs w:val="20"/>
                <w:lang w:val="ro-RO"/>
              </w:rPr>
            </w:pPr>
            <w:r w:rsidRPr="00587B71">
              <w:rPr>
                <w:rFonts w:ascii="Arial" w:eastAsia="Times New Roman" w:hAnsi="Arial" w:cs="Arial"/>
                <w:color w:val="000000"/>
                <w:sz w:val="20"/>
                <w:szCs w:val="20"/>
                <w:lang w:val="ro-RO"/>
              </w:rPr>
              <w:t>6998</w:t>
            </w:r>
          </w:p>
        </w:tc>
        <w:tc>
          <w:tcPr>
            <w:tcW w:w="948" w:type="dxa"/>
            <w:tcBorders>
              <w:top w:val="nil"/>
              <w:left w:val="nil"/>
              <w:bottom w:val="single" w:sz="8" w:space="0" w:color="auto"/>
              <w:right w:val="single" w:sz="8" w:space="0" w:color="auto"/>
            </w:tcBorders>
            <w:tcMar>
              <w:top w:w="0" w:type="dxa"/>
              <w:left w:w="11" w:type="dxa"/>
              <w:bottom w:w="0" w:type="dxa"/>
              <w:right w:w="11" w:type="dxa"/>
            </w:tcMar>
            <w:vAlign w:val="center"/>
            <w:hideMark/>
          </w:tcPr>
          <w:p w:rsidR="00587B71" w:rsidRPr="00587B71" w:rsidRDefault="00587B71" w:rsidP="00587B71">
            <w:pPr>
              <w:spacing w:after="0" w:line="240" w:lineRule="auto"/>
              <w:jc w:val="center"/>
              <w:rPr>
                <w:rFonts w:ascii="Arial" w:eastAsia="Calibri" w:hAnsi="Arial" w:cs="Arial"/>
                <w:color w:val="000000"/>
                <w:sz w:val="20"/>
                <w:szCs w:val="20"/>
                <w:lang w:val="ro-RO"/>
              </w:rPr>
            </w:pPr>
            <w:r w:rsidRPr="00587B71">
              <w:rPr>
                <w:rFonts w:ascii="Arial" w:eastAsia="Times New Roman" w:hAnsi="Arial" w:cs="Arial"/>
                <w:color w:val="000000"/>
                <w:sz w:val="20"/>
                <w:szCs w:val="20"/>
                <w:lang w:val="ro-RO"/>
              </w:rPr>
              <w:t>38,21</w:t>
            </w:r>
          </w:p>
        </w:tc>
        <w:tc>
          <w:tcPr>
            <w:tcW w:w="895" w:type="dxa"/>
            <w:tcBorders>
              <w:top w:val="nil"/>
              <w:left w:val="nil"/>
              <w:bottom w:val="single" w:sz="8" w:space="0" w:color="auto"/>
              <w:right w:val="single" w:sz="8" w:space="0" w:color="auto"/>
            </w:tcBorders>
            <w:tcMar>
              <w:top w:w="0" w:type="dxa"/>
              <w:left w:w="11" w:type="dxa"/>
              <w:bottom w:w="0" w:type="dxa"/>
              <w:right w:w="11" w:type="dxa"/>
            </w:tcMar>
            <w:vAlign w:val="center"/>
            <w:hideMark/>
          </w:tcPr>
          <w:p w:rsidR="00587B71" w:rsidRPr="00587B71" w:rsidRDefault="00587B71" w:rsidP="00587B71">
            <w:pPr>
              <w:spacing w:after="0" w:line="240" w:lineRule="auto"/>
              <w:jc w:val="center"/>
              <w:rPr>
                <w:rFonts w:ascii="Arial" w:eastAsia="Calibri" w:hAnsi="Arial" w:cs="Arial"/>
                <w:color w:val="000000"/>
                <w:sz w:val="20"/>
                <w:szCs w:val="20"/>
                <w:lang w:val="ro-RO"/>
              </w:rPr>
            </w:pPr>
            <w:r w:rsidRPr="00587B71">
              <w:rPr>
                <w:rFonts w:ascii="Arial" w:eastAsia="Times New Roman" w:hAnsi="Arial" w:cs="Arial"/>
                <w:color w:val="000000"/>
                <w:sz w:val="20"/>
                <w:szCs w:val="20"/>
                <w:lang w:val="ro-RO"/>
              </w:rPr>
              <w:t>8,73</w:t>
            </w:r>
          </w:p>
        </w:tc>
        <w:tc>
          <w:tcPr>
            <w:tcW w:w="75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μg/mc</w:t>
            </w:r>
          </w:p>
        </w:tc>
        <w:tc>
          <w:tcPr>
            <w:tcW w:w="120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0</w:t>
            </w:r>
          </w:p>
        </w:tc>
        <w:tc>
          <w:tcPr>
            <w:tcW w:w="1719" w:type="dxa"/>
            <w:tcBorders>
              <w:top w:val="nil"/>
              <w:left w:val="nil"/>
              <w:bottom w:val="single" w:sz="8" w:space="0" w:color="auto"/>
              <w:right w:val="single" w:sz="12"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79,8</w:t>
            </w:r>
          </w:p>
        </w:tc>
      </w:tr>
      <w:tr w:rsidR="00587B71" w:rsidRPr="00587B71" w:rsidTr="00587B71">
        <w:trPr>
          <w:trHeight w:val="242"/>
          <w:jc w:val="center"/>
        </w:trPr>
        <w:tc>
          <w:tcPr>
            <w:tcW w:w="0" w:type="auto"/>
            <w:vMerge/>
            <w:tcBorders>
              <w:top w:val="nil"/>
              <w:left w:val="single" w:sz="12" w:space="0" w:color="auto"/>
              <w:bottom w:val="single" w:sz="8" w:space="0" w:color="auto"/>
              <w:right w:val="single" w:sz="8" w:space="0" w:color="auto"/>
            </w:tcBorders>
            <w:vAlign w:val="center"/>
            <w:hideMark/>
          </w:tcPr>
          <w:p w:rsidR="00587B71" w:rsidRPr="00587B71" w:rsidRDefault="00587B71" w:rsidP="00587B71">
            <w:pPr>
              <w:spacing w:after="0" w:line="240" w:lineRule="auto"/>
              <w:rPr>
                <w:rFonts w:ascii="Arial" w:eastAsia="Calibri" w:hAnsi="Arial" w:cs="Arial"/>
                <w:b/>
                <w:bCs/>
                <w:sz w:val="20"/>
                <w:szCs w:val="20"/>
              </w:rPr>
            </w:pPr>
          </w:p>
        </w:tc>
        <w:tc>
          <w:tcPr>
            <w:tcW w:w="0" w:type="auto"/>
            <w:vMerge/>
            <w:tcBorders>
              <w:top w:val="nil"/>
              <w:left w:val="nil"/>
              <w:bottom w:val="single" w:sz="8" w:space="0" w:color="auto"/>
              <w:right w:val="single" w:sz="8" w:space="0" w:color="auto"/>
            </w:tcBorders>
            <w:vAlign w:val="center"/>
            <w:hideMark/>
          </w:tcPr>
          <w:p w:rsidR="00587B71" w:rsidRPr="00587B71" w:rsidRDefault="00587B71" w:rsidP="00587B71">
            <w:pPr>
              <w:spacing w:after="0" w:line="240" w:lineRule="auto"/>
              <w:rPr>
                <w:rFonts w:ascii="Arial" w:eastAsia="Calibri" w:hAnsi="Arial" w:cs="Arial"/>
                <w:b/>
                <w:bCs/>
                <w:sz w:val="20"/>
                <w:szCs w:val="20"/>
              </w:rPr>
            </w:pPr>
          </w:p>
        </w:tc>
        <w:tc>
          <w:tcPr>
            <w:tcW w:w="1246" w:type="dxa"/>
            <w:tcBorders>
              <w:top w:val="nil"/>
              <w:left w:val="nil"/>
              <w:bottom w:val="single" w:sz="8" w:space="0" w:color="auto"/>
              <w:right w:val="single" w:sz="8" w:space="0" w:color="auto"/>
            </w:tcBorders>
            <w:hideMark/>
          </w:tcPr>
          <w:p w:rsidR="00587B71" w:rsidRPr="00587B71" w:rsidRDefault="00587B71" w:rsidP="00587B71">
            <w:pPr>
              <w:spacing w:after="0" w:line="240" w:lineRule="auto"/>
              <w:jc w:val="both"/>
              <w:rPr>
                <w:rFonts w:ascii="Arial" w:eastAsia="Times New Roman" w:hAnsi="Arial" w:cs="Arial"/>
                <w:b/>
                <w:bCs/>
                <w:sz w:val="20"/>
                <w:szCs w:val="20"/>
                <w:lang w:val="it-IT"/>
              </w:rPr>
            </w:pPr>
            <w:r w:rsidRPr="00587B71">
              <w:rPr>
                <w:rFonts w:ascii="Arial" w:eastAsia="Times New Roman" w:hAnsi="Arial" w:cs="Arial"/>
                <w:b/>
                <w:bCs/>
                <w:sz w:val="20"/>
                <w:szCs w:val="20"/>
                <w:lang w:val="it-IT"/>
              </w:rPr>
              <w:t>NOx</w:t>
            </w:r>
          </w:p>
        </w:tc>
        <w:tc>
          <w:tcPr>
            <w:tcW w:w="1025" w:type="dxa"/>
            <w:tcBorders>
              <w:top w:val="nil"/>
              <w:left w:val="nil"/>
              <w:bottom w:val="single" w:sz="8" w:space="0" w:color="auto"/>
              <w:right w:val="single" w:sz="8" w:space="0" w:color="auto"/>
            </w:tcBorders>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Calibri" w:hAnsi="Arial" w:cs="Arial"/>
                <w:sz w:val="20"/>
                <w:szCs w:val="20"/>
                <w:lang w:val="ro-RO"/>
              </w:rPr>
              <w:t>-</w:t>
            </w:r>
          </w:p>
        </w:tc>
        <w:tc>
          <w:tcPr>
            <w:tcW w:w="804" w:type="dxa"/>
            <w:tcBorders>
              <w:top w:val="nil"/>
              <w:left w:val="nil"/>
              <w:bottom w:val="single" w:sz="8" w:space="0" w:color="auto"/>
              <w:right w:val="single" w:sz="8" w:space="0" w:color="auto"/>
            </w:tcBorders>
            <w:tcMar>
              <w:top w:w="0" w:type="dxa"/>
              <w:left w:w="108" w:type="dxa"/>
              <w:bottom w:w="0" w:type="dxa"/>
              <w:right w:w="108" w:type="dxa"/>
            </w:tcMar>
            <w:hideMark/>
          </w:tcPr>
          <w:p w:rsidR="00587B71" w:rsidRPr="00587B71" w:rsidRDefault="00587B71" w:rsidP="00587B71">
            <w:pPr>
              <w:spacing w:after="0" w:line="240" w:lineRule="auto"/>
              <w:jc w:val="center"/>
              <w:rPr>
                <w:rFonts w:ascii="Arial" w:eastAsia="Calibri" w:hAnsi="Arial" w:cs="Arial"/>
                <w:color w:val="000000"/>
                <w:sz w:val="20"/>
                <w:szCs w:val="20"/>
                <w:lang w:val="ro-RO"/>
              </w:rPr>
            </w:pPr>
            <w:r w:rsidRPr="00587B71">
              <w:rPr>
                <w:rFonts w:ascii="Arial" w:eastAsia="Times New Roman" w:hAnsi="Arial" w:cs="Arial"/>
                <w:color w:val="000000"/>
                <w:sz w:val="20"/>
                <w:szCs w:val="20"/>
                <w:lang w:val="ro-RO"/>
              </w:rPr>
              <w:t>6998</w:t>
            </w:r>
          </w:p>
        </w:tc>
        <w:tc>
          <w:tcPr>
            <w:tcW w:w="948" w:type="dxa"/>
            <w:tcBorders>
              <w:top w:val="nil"/>
              <w:left w:val="nil"/>
              <w:bottom w:val="single" w:sz="8" w:space="0" w:color="auto"/>
              <w:right w:val="single" w:sz="8" w:space="0" w:color="auto"/>
            </w:tcBorders>
            <w:tcMar>
              <w:top w:w="0" w:type="dxa"/>
              <w:left w:w="11" w:type="dxa"/>
              <w:bottom w:w="0" w:type="dxa"/>
              <w:right w:w="11" w:type="dxa"/>
            </w:tcMar>
            <w:vAlign w:val="center"/>
            <w:hideMark/>
          </w:tcPr>
          <w:p w:rsidR="00587B71" w:rsidRPr="00587B71" w:rsidRDefault="00587B71" w:rsidP="00587B71">
            <w:pPr>
              <w:spacing w:after="0" w:line="240" w:lineRule="auto"/>
              <w:jc w:val="center"/>
              <w:rPr>
                <w:rFonts w:ascii="Arial" w:eastAsia="Calibri" w:hAnsi="Arial" w:cs="Arial"/>
                <w:color w:val="000000"/>
                <w:sz w:val="20"/>
                <w:szCs w:val="20"/>
                <w:lang w:val="ro-RO"/>
              </w:rPr>
            </w:pPr>
            <w:r w:rsidRPr="00587B71">
              <w:rPr>
                <w:rFonts w:ascii="Arial" w:eastAsia="Times New Roman" w:hAnsi="Arial" w:cs="Arial"/>
                <w:color w:val="000000"/>
                <w:sz w:val="20"/>
                <w:szCs w:val="20"/>
                <w:lang w:val="ro-RO"/>
              </w:rPr>
              <w:t>92,31</w:t>
            </w:r>
          </w:p>
        </w:tc>
        <w:tc>
          <w:tcPr>
            <w:tcW w:w="895" w:type="dxa"/>
            <w:tcBorders>
              <w:top w:val="nil"/>
              <w:left w:val="nil"/>
              <w:bottom w:val="single" w:sz="8" w:space="0" w:color="auto"/>
              <w:right w:val="single" w:sz="8" w:space="0" w:color="auto"/>
            </w:tcBorders>
            <w:tcMar>
              <w:top w:w="0" w:type="dxa"/>
              <w:left w:w="11" w:type="dxa"/>
              <w:bottom w:w="0" w:type="dxa"/>
              <w:right w:w="11" w:type="dxa"/>
            </w:tcMar>
            <w:vAlign w:val="center"/>
            <w:hideMark/>
          </w:tcPr>
          <w:p w:rsidR="00587B71" w:rsidRPr="00587B71" w:rsidRDefault="00587B71" w:rsidP="00587B71">
            <w:pPr>
              <w:spacing w:after="0" w:line="240" w:lineRule="auto"/>
              <w:jc w:val="center"/>
              <w:rPr>
                <w:rFonts w:ascii="Arial" w:eastAsia="Calibri" w:hAnsi="Arial" w:cs="Arial"/>
                <w:color w:val="000000"/>
                <w:sz w:val="20"/>
                <w:szCs w:val="20"/>
                <w:lang w:val="ro-RO"/>
              </w:rPr>
            </w:pPr>
            <w:r w:rsidRPr="00587B71">
              <w:rPr>
                <w:rFonts w:ascii="Arial" w:eastAsia="Times New Roman" w:hAnsi="Arial" w:cs="Arial"/>
                <w:color w:val="000000"/>
                <w:sz w:val="20"/>
                <w:szCs w:val="20"/>
                <w:lang w:val="ro-RO"/>
              </w:rPr>
              <w:t>28,32</w:t>
            </w:r>
          </w:p>
        </w:tc>
        <w:tc>
          <w:tcPr>
            <w:tcW w:w="75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μg/mc</w:t>
            </w:r>
          </w:p>
        </w:tc>
        <w:tc>
          <w:tcPr>
            <w:tcW w:w="120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0</w:t>
            </w:r>
          </w:p>
        </w:tc>
        <w:tc>
          <w:tcPr>
            <w:tcW w:w="1719" w:type="dxa"/>
            <w:tcBorders>
              <w:top w:val="nil"/>
              <w:left w:val="nil"/>
              <w:bottom w:val="single" w:sz="8" w:space="0" w:color="auto"/>
              <w:right w:val="single" w:sz="12"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79,8</w:t>
            </w:r>
          </w:p>
        </w:tc>
      </w:tr>
      <w:tr w:rsidR="00587B71" w:rsidRPr="00587B71" w:rsidTr="00587B71">
        <w:trPr>
          <w:trHeight w:val="219"/>
          <w:jc w:val="center"/>
        </w:trPr>
        <w:tc>
          <w:tcPr>
            <w:tcW w:w="0" w:type="auto"/>
            <w:vMerge/>
            <w:tcBorders>
              <w:top w:val="nil"/>
              <w:left w:val="single" w:sz="12" w:space="0" w:color="auto"/>
              <w:bottom w:val="single" w:sz="8" w:space="0" w:color="auto"/>
              <w:right w:val="single" w:sz="8" w:space="0" w:color="auto"/>
            </w:tcBorders>
            <w:vAlign w:val="center"/>
            <w:hideMark/>
          </w:tcPr>
          <w:p w:rsidR="00587B71" w:rsidRPr="00587B71" w:rsidRDefault="00587B71" w:rsidP="00587B71">
            <w:pPr>
              <w:spacing w:after="0" w:line="240" w:lineRule="auto"/>
              <w:rPr>
                <w:rFonts w:ascii="Arial" w:eastAsia="Calibri" w:hAnsi="Arial" w:cs="Arial"/>
                <w:b/>
                <w:bCs/>
                <w:sz w:val="20"/>
                <w:szCs w:val="20"/>
              </w:rPr>
            </w:pPr>
          </w:p>
        </w:tc>
        <w:tc>
          <w:tcPr>
            <w:tcW w:w="0" w:type="auto"/>
            <w:vMerge/>
            <w:tcBorders>
              <w:top w:val="nil"/>
              <w:left w:val="nil"/>
              <w:bottom w:val="single" w:sz="8" w:space="0" w:color="auto"/>
              <w:right w:val="single" w:sz="8" w:space="0" w:color="auto"/>
            </w:tcBorders>
            <w:vAlign w:val="center"/>
            <w:hideMark/>
          </w:tcPr>
          <w:p w:rsidR="00587B71" w:rsidRPr="00587B71" w:rsidRDefault="00587B71" w:rsidP="00587B71">
            <w:pPr>
              <w:spacing w:after="0" w:line="240" w:lineRule="auto"/>
              <w:rPr>
                <w:rFonts w:ascii="Arial" w:eastAsia="Calibri" w:hAnsi="Arial" w:cs="Arial"/>
                <w:b/>
                <w:bCs/>
                <w:sz w:val="20"/>
                <w:szCs w:val="20"/>
              </w:rPr>
            </w:pPr>
          </w:p>
        </w:tc>
        <w:tc>
          <w:tcPr>
            <w:tcW w:w="1246" w:type="dxa"/>
            <w:tcBorders>
              <w:top w:val="nil"/>
              <w:left w:val="nil"/>
              <w:bottom w:val="single" w:sz="8" w:space="0" w:color="auto"/>
              <w:right w:val="single" w:sz="8" w:space="0" w:color="auto"/>
            </w:tcBorders>
            <w:hideMark/>
          </w:tcPr>
          <w:p w:rsidR="00587B71" w:rsidRPr="00587B71" w:rsidRDefault="00587B71" w:rsidP="00587B71">
            <w:pPr>
              <w:spacing w:after="0" w:line="240" w:lineRule="auto"/>
              <w:ind w:right="-91"/>
              <w:jc w:val="both"/>
              <w:rPr>
                <w:rFonts w:ascii="Arial" w:eastAsia="Times New Roman" w:hAnsi="Arial" w:cs="Arial"/>
                <w:b/>
                <w:bCs/>
                <w:sz w:val="20"/>
                <w:szCs w:val="20"/>
                <w:lang w:val="ro-RO"/>
              </w:rPr>
            </w:pPr>
            <w:r w:rsidRPr="00587B71">
              <w:rPr>
                <w:rFonts w:ascii="Arial" w:eastAsia="Times New Roman" w:hAnsi="Arial" w:cs="Arial"/>
                <w:b/>
                <w:bCs/>
                <w:sz w:val="20"/>
                <w:szCs w:val="20"/>
                <w:lang w:val="ro-RO"/>
              </w:rPr>
              <w:t>PM10 nefelom.</w:t>
            </w:r>
          </w:p>
        </w:tc>
        <w:tc>
          <w:tcPr>
            <w:tcW w:w="1025" w:type="dxa"/>
            <w:tcBorders>
              <w:top w:val="nil"/>
              <w:left w:val="nil"/>
              <w:bottom w:val="single" w:sz="8" w:space="0" w:color="auto"/>
              <w:right w:val="single" w:sz="8" w:space="0" w:color="auto"/>
            </w:tcBorders>
            <w:hideMark/>
          </w:tcPr>
          <w:p w:rsidR="00587B71" w:rsidRPr="00587B71" w:rsidRDefault="00587B71" w:rsidP="00587B71">
            <w:pPr>
              <w:spacing w:after="0" w:line="240" w:lineRule="auto"/>
              <w:jc w:val="center"/>
              <w:rPr>
                <w:rFonts w:ascii="Arial" w:eastAsia="Times New Roman" w:hAnsi="Arial" w:cs="Arial"/>
                <w:sz w:val="20"/>
                <w:szCs w:val="20"/>
                <w:lang w:val="ro-RO"/>
              </w:rPr>
            </w:pPr>
            <w:r w:rsidRPr="00587B71">
              <w:rPr>
                <w:rFonts w:ascii="Arial" w:eastAsia="Times New Roman" w:hAnsi="Arial" w:cs="Arial"/>
                <w:sz w:val="20"/>
                <w:szCs w:val="20"/>
                <w:lang w:val="ro-RO"/>
              </w:rPr>
              <w:t>-</w:t>
            </w:r>
          </w:p>
        </w:tc>
        <w:tc>
          <w:tcPr>
            <w:tcW w:w="804" w:type="dxa"/>
            <w:tcBorders>
              <w:top w:val="nil"/>
              <w:left w:val="nil"/>
              <w:bottom w:val="single" w:sz="8" w:space="0" w:color="auto"/>
              <w:right w:val="single" w:sz="8" w:space="0" w:color="auto"/>
            </w:tcBorders>
            <w:tcMar>
              <w:top w:w="0" w:type="dxa"/>
              <w:left w:w="108" w:type="dxa"/>
              <w:bottom w:w="0" w:type="dxa"/>
              <w:right w:w="108" w:type="dxa"/>
            </w:tcMar>
            <w:hideMark/>
          </w:tcPr>
          <w:p w:rsidR="00587B71" w:rsidRPr="00587B71" w:rsidRDefault="00587B71" w:rsidP="00587B71">
            <w:pPr>
              <w:spacing w:after="0" w:line="240" w:lineRule="auto"/>
              <w:jc w:val="center"/>
              <w:rPr>
                <w:rFonts w:ascii="Arial" w:eastAsia="Times New Roman" w:hAnsi="Arial" w:cs="Arial"/>
                <w:color w:val="000000"/>
                <w:sz w:val="20"/>
                <w:szCs w:val="20"/>
                <w:lang w:val="ro-RO"/>
              </w:rPr>
            </w:pPr>
            <w:r w:rsidRPr="00587B71">
              <w:rPr>
                <w:rFonts w:ascii="Arial" w:eastAsia="Times New Roman" w:hAnsi="Arial" w:cs="Arial"/>
                <w:color w:val="000000"/>
                <w:sz w:val="20"/>
                <w:szCs w:val="20"/>
                <w:lang w:val="ro-RO"/>
              </w:rPr>
              <w:t>-</w:t>
            </w:r>
          </w:p>
        </w:tc>
        <w:tc>
          <w:tcPr>
            <w:tcW w:w="948"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Times New Roman" w:hAnsi="Arial" w:cs="Arial"/>
                <w:color w:val="000000"/>
                <w:sz w:val="20"/>
                <w:szCs w:val="20"/>
                <w:lang w:val="ro-RO"/>
              </w:rPr>
            </w:pPr>
            <w:r w:rsidRPr="00587B71">
              <w:rPr>
                <w:rFonts w:ascii="Arial" w:eastAsia="Times New Roman" w:hAnsi="Arial" w:cs="Arial"/>
                <w:color w:val="000000"/>
                <w:sz w:val="20"/>
                <w:szCs w:val="20"/>
                <w:lang w:val="ro-RO"/>
              </w:rPr>
              <w:t>-</w:t>
            </w:r>
          </w:p>
        </w:tc>
        <w:tc>
          <w:tcPr>
            <w:tcW w:w="89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color w:val="000000"/>
                <w:sz w:val="20"/>
                <w:szCs w:val="20"/>
                <w:lang w:val="ro-RO"/>
              </w:rPr>
            </w:pPr>
            <w:r w:rsidRPr="00587B71">
              <w:rPr>
                <w:rFonts w:ascii="Arial" w:eastAsia="Times New Roman" w:hAnsi="Arial" w:cs="Arial"/>
                <w:color w:val="000000"/>
                <w:sz w:val="20"/>
                <w:szCs w:val="20"/>
                <w:lang w:val="ro-RO"/>
              </w:rPr>
              <w:t>-</w:t>
            </w:r>
          </w:p>
        </w:tc>
        <w:tc>
          <w:tcPr>
            <w:tcW w:w="75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μg/mc</w:t>
            </w:r>
          </w:p>
        </w:tc>
        <w:tc>
          <w:tcPr>
            <w:tcW w:w="120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0</w:t>
            </w:r>
          </w:p>
        </w:tc>
        <w:tc>
          <w:tcPr>
            <w:tcW w:w="1719" w:type="dxa"/>
            <w:tcBorders>
              <w:top w:val="nil"/>
              <w:left w:val="nil"/>
              <w:bottom w:val="single" w:sz="8" w:space="0" w:color="auto"/>
              <w:right w:val="single" w:sz="12"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0</w:t>
            </w:r>
          </w:p>
        </w:tc>
      </w:tr>
      <w:tr w:rsidR="00587B71" w:rsidRPr="00587B71" w:rsidTr="00587B71">
        <w:trPr>
          <w:trHeight w:val="273"/>
          <w:jc w:val="center"/>
        </w:trPr>
        <w:tc>
          <w:tcPr>
            <w:tcW w:w="0" w:type="auto"/>
            <w:vMerge/>
            <w:tcBorders>
              <w:top w:val="nil"/>
              <w:left w:val="single" w:sz="12" w:space="0" w:color="auto"/>
              <w:bottom w:val="single" w:sz="8" w:space="0" w:color="auto"/>
              <w:right w:val="single" w:sz="8" w:space="0" w:color="auto"/>
            </w:tcBorders>
            <w:vAlign w:val="center"/>
            <w:hideMark/>
          </w:tcPr>
          <w:p w:rsidR="00587B71" w:rsidRPr="00587B71" w:rsidRDefault="00587B71" w:rsidP="00587B71">
            <w:pPr>
              <w:spacing w:after="0" w:line="240" w:lineRule="auto"/>
              <w:rPr>
                <w:rFonts w:ascii="Arial" w:eastAsia="Calibri" w:hAnsi="Arial" w:cs="Arial"/>
                <w:b/>
                <w:bCs/>
                <w:sz w:val="20"/>
                <w:szCs w:val="20"/>
              </w:rPr>
            </w:pPr>
          </w:p>
        </w:tc>
        <w:tc>
          <w:tcPr>
            <w:tcW w:w="0" w:type="auto"/>
            <w:vMerge/>
            <w:tcBorders>
              <w:top w:val="nil"/>
              <w:left w:val="nil"/>
              <w:bottom w:val="single" w:sz="8" w:space="0" w:color="auto"/>
              <w:right w:val="single" w:sz="8" w:space="0" w:color="auto"/>
            </w:tcBorders>
            <w:vAlign w:val="center"/>
            <w:hideMark/>
          </w:tcPr>
          <w:p w:rsidR="00587B71" w:rsidRPr="00587B71" w:rsidRDefault="00587B71" w:rsidP="00587B71">
            <w:pPr>
              <w:spacing w:after="0" w:line="240" w:lineRule="auto"/>
              <w:rPr>
                <w:rFonts w:ascii="Arial" w:eastAsia="Calibri" w:hAnsi="Arial" w:cs="Arial"/>
                <w:b/>
                <w:bCs/>
                <w:sz w:val="20"/>
                <w:szCs w:val="20"/>
              </w:rPr>
            </w:pPr>
          </w:p>
        </w:tc>
        <w:tc>
          <w:tcPr>
            <w:tcW w:w="1246" w:type="dxa"/>
            <w:tcBorders>
              <w:top w:val="nil"/>
              <w:left w:val="nil"/>
              <w:bottom w:val="single" w:sz="8" w:space="0" w:color="auto"/>
              <w:right w:val="single" w:sz="8" w:space="0" w:color="auto"/>
            </w:tcBorders>
            <w:hideMark/>
          </w:tcPr>
          <w:p w:rsidR="00587B71" w:rsidRPr="00587B71" w:rsidRDefault="00587B71" w:rsidP="00587B71">
            <w:pPr>
              <w:spacing w:after="0" w:line="240" w:lineRule="auto"/>
              <w:ind w:right="-91"/>
              <w:jc w:val="both"/>
              <w:rPr>
                <w:rFonts w:ascii="Arial" w:eastAsia="Times New Roman" w:hAnsi="Arial" w:cs="Arial"/>
                <w:b/>
                <w:bCs/>
                <w:sz w:val="20"/>
                <w:szCs w:val="20"/>
                <w:lang w:val="ro-RO"/>
              </w:rPr>
            </w:pPr>
            <w:r w:rsidRPr="00587B71">
              <w:rPr>
                <w:rFonts w:ascii="Arial" w:eastAsia="Times New Roman" w:hAnsi="Arial" w:cs="Arial"/>
                <w:b/>
                <w:bCs/>
                <w:sz w:val="20"/>
                <w:szCs w:val="20"/>
                <w:lang w:val="ro-RO"/>
              </w:rPr>
              <w:t>PM10 gravim.</w:t>
            </w:r>
          </w:p>
        </w:tc>
        <w:tc>
          <w:tcPr>
            <w:tcW w:w="1025" w:type="dxa"/>
            <w:tcBorders>
              <w:top w:val="nil"/>
              <w:left w:val="nil"/>
              <w:bottom w:val="single" w:sz="8" w:space="0" w:color="auto"/>
              <w:right w:val="single" w:sz="8" w:space="0" w:color="auto"/>
            </w:tcBorders>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w:t>
            </w:r>
          </w:p>
        </w:tc>
        <w:tc>
          <w:tcPr>
            <w:tcW w:w="804" w:type="dxa"/>
            <w:tcBorders>
              <w:top w:val="nil"/>
              <w:left w:val="nil"/>
              <w:bottom w:val="single" w:sz="8" w:space="0" w:color="auto"/>
              <w:right w:val="single" w:sz="8" w:space="0" w:color="auto"/>
            </w:tcBorders>
            <w:tcMar>
              <w:top w:w="0" w:type="dxa"/>
              <w:left w:w="108" w:type="dxa"/>
              <w:bottom w:w="0" w:type="dxa"/>
              <w:right w:w="108" w:type="dxa"/>
            </w:tcMar>
            <w:hideMark/>
          </w:tcPr>
          <w:p w:rsidR="00587B71" w:rsidRPr="00587B71" w:rsidRDefault="00587B71" w:rsidP="00587B71">
            <w:pPr>
              <w:spacing w:after="0" w:line="240" w:lineRule="auto"/>
              <w:jc w:val="center"/>
              <w:rPr>
                <w:rFonts w:ascii="Arial" w:eastAsia="Calibri" w:hAnsi="Arial" w:cs="Arial"/>
                <w:color w:val="000000"/>
                <w:sz w:val="20"/>
                <w:szCs w:val="20"/>
                <w:lang w:val="ro-RO"/>
              </w:rPr>
            </w:pPr>
            <w:r w:rsidRPr="00587B71">
              <w:rPr>
                <w:rFonts w:ascii="Arial" w:eastAsia="Times New Roman" w:hAnsi="Arial" w:cs="Arial"/>
                <w:color w:val="000000"/>
                <w:sz w:val="20"/>
                <w:szCs w:val="20"/>
                <w:lang w:val="ro-RO"/>
              </w:rPr>
              <w:t>-</w:t>
            </w:r>
          </w:p>
        </w:tc>
        <w:tc>
          <w:tcPr>
            <w:tcW w:w="948"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Times New Roman" w:hAnsi="Arial" w:cs="Arial"/>
                <w:color w:val="000000"/>
                <w:sz w:val="20"/>
                <w:szCs w:val="20"/>
                <w:lang w:val="ro-RO"/>
              </w:rPr>
            </w:pPr>
            <w:r w:rsidRPr="00587B71">
              <w:rPr>
                <w:rFonts w:ascii="Arial" w:eastAsia="Times New Roman" w:hAnsi="Arial" w:cs="Arial"/>
                <w:color w:val="000000"/>
                <w:sz w:val="20"/>
                <w:szCs w:val="20"/>
                <w:lang w:val="ro-RO"/>
              </w:rPr>
              <w:t>-</w:t>
            </w:r>
          </w:p>
        </w:tc>
        <w:tc>
          <w:tcPr>
            <w:tcW w:w="895" w:type="dxa"/>
            <w:tcBorders>
              <w:top w:val="nil"/>
              <w:left w:val="nil"/>
              <w:bottom w:val="single" w:sz="8" w:space="0" w:color="auto"/>
              <w:right w:val="single" w:sz="8" w:space="0" w:color="auto"/>
            </w:tcBorders>
            <w:tcMar>
              <w:top w:w="0" w:type="dxa"/>
              <w:left w:w="11" w:type="dxa"/>
              <w:bottom w:w="0" w:type="dxa"/>
              <w:right w:w="11" w:type="dxa"/>
            </w:tcMar>
            <w:vAlign w:val="center"/>
            <w:hideMark/>
          </w:tcPr>
          <w:p w:rsidR="00587B71" w:rsidRPr="00587B71" w:rsidRDefault="00587B71" w:rsidP="00587B71">
            <w:pPr>
              <w:spacing w:after="0" w:line="240" w:lineRule="auto"/>
              <w:jc w:val="center"/>
              <w:rPr>
                <w:rFonts w:ascii="Arial" w:eastAsia="Calibri" w:hAnsi="Arial" w:cs="Arial"/>
                <w:color w:val="000000"/>
                <w:sz w:val="20"/>
                <w:szCs w:val="20"/>
                <w:lang w:val="ro-RO"/>
              </w:rPr>
            </w:pPr>
            <w:r w:rsidRPr="00587B71">
              <w:rPr>
                <w:rFonts w:ascii="Arial" w:eastAsia="Times New Roman" w:hAnsi="Arial" w:cs="Arial"/>
                <w:color w:val="000000"/>
                <w:sz w:val="20"/>
                <w:szCs w:val="20"/>
                <w:lang w:val="ro-RO"/>
              </w:rPr>
              <w:t>-</w:t>
            </w:r>
          </w:p>
        </w:tc>
        <w:tc>
          <w:tcPr>
            <w:tcW w:w="75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μg/mc</w:t>
            </w:r>
          </w:p>
        </w:tc>
        <w:tc>
          <w:tcPr>
            <w:tcW w:w="120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0</w:t>
            </w:r>
          </w:p>
        </w:tc>
        <w:tc>
          <w:tcPr>
            <w:tcW w:w="1719" w:type="dxa"/>
            <w:tcBorders>
              <w:top w:val="nil"/>
              <w:left w:val="nil"/>
              <w:bottom w:val="single" w:sz="8" w:space="0" w:color="auto"/>
              <w:right w:val="single" w:sz="12"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0</w:t>
            </w:r>
          </w:p>
        </w:tc>
      </w:tr>
      <w:tr w:rsidR="00587B71" w:rsidRPr="00587B71" w:rsidTr="00587B71">
        <w:trPr>
          <w:trHeight w:val="242"/>
          <w:jc w:val="center"/>
        </w:trPr>
        <w:tc>
          <w:tcPr>
            <w:tcW w:w="0" w:type="auto"/>
            <w:vMerge/>
            <w:tcBorders>
              <w:top w:val="nil"/>
              <w:left w:val="single" w:sz="12" w:space="0" w:color="auto"/>
              <w:bottom w:val="single" w:sz="8" w:space="0" w:color="auto"/>
              <w:right w:val="single" w:sz="8" w:space="0" w:color="auto"/>
            </w:tcBorders>
            <w:vAlign w:val="center"/>
            <w:hideMark/>
          </w:tcPr>
          <w:p w:rsidR="00587B71" w:rsidRPr="00587B71" w:rsidRDefault="00587B71" w:rsidP="00587B71">
            <w:pPr>
              <w:spacing w:after="0" w:line="240" w:lineRule="auto"/>
              <w:rPr>
                <w:rFonts w:ascii="Arial" w:eastAsia="Calibri" w:hAnsi="Arial" w:cs="Arial"/>
                <w:b/>
                <w:bCs/>
                <w:sz w:val="20"/>
                <w:szCs w:val="20"/>
              </w:rPr>
            </w:pPr>
          </w:p>
        </w:tc>
        <w:tc>
          <w:tcPr>
            <w:tcW w:w="0" w:type="auto"/>
            <w:vMerge/>
            <w:tcBorders>
              <w:top w:val="nil"/>
              <w:left w:val="nil"/>
              <w:bottom w:val="single" w:sz="8" w:space="0" w:color="auto"/>
              <w:right w:val="single" w:sz="8" w:space="0" w:color="auto"/>
            </w:tcBorders>
            <w:vAlign w:val="center"/>
            <w:hideMark/>
          </w:tcPr>
          <w:p w:rsidR="00587B71" w:rsidRPr="00587B71" w:rsidRDefault="00587B71" w:rsidP="00587B71">
            <w:pPr>
              <w:spacing w:after="0" w:line="240" w:lineRule="auto"/>
              <w:rPr>
                <w:rFonts w:ascii="Arial" w:eastAsia="Calibri" w:hAnsi="Arial" w:cs="Arial"/>
                <w:b/>
                <w:bCs/>
                <w:sz w:val="20"/>
                <w:szCs w:val="20"/>
              </w:rPr>
            </w:pPr>
          </w:p>
        </w:tc>
        <w:tc>
          <w:tcPr>
            <w:tcW w:w="1246" w:type="dxa"/>
            <w:tcBorders>
              <w:top w:val="nil"/>
              <w:left w:val="nil"/>
              <w:bottom w:val="single" w:sz="8" w:space="0" w:color="auto"/>
              <w:right w:val="single" w:sz="8" w:space="0" w:color="auto"/>
            </w:tcBorders>
            <w:hideMark/>
          </w:tcPr>
          <w:p w:rsidR="00587B71" w:rsidRPr="00587B71" w:rsidRDefault="00587B71" w:rsidP="00587B71">
            <w:pPr>
              <w:spacing w:after="0" w:line="240" w:lineRule="auto"/>
              <w:jc w:val="both"/>
              <w:rPr>
                <w:rFonts w:ascii="Arial" w:eastAsia="Times New Roman" w:hAnsi="Arial" w:cs="Arial"/>
                <w:b/>
                <w:bCs/>
                <w:sz w:val="20"/>
                <w:szCs w:val="20"/>
                <w:lang w:val="ro-RO"/>
              </w:rPr>
            </w:pPr>
            <w:r w:rsidRPr="00587B71">
              <w:rPr>
                <w:rFonts w:ascii="Arial" w:eastAsia="Times New Roman" w:hAnsi="Arial" w:cs="Arial"/>
                <w:b/>
                <w:bCs/>
                <w:sz w:val="20"/>
                <w:szCs w:val="20"/>
                <w:lang w:val="ro-RO"/>
              </w:rPr>
              <w:t>CO</w:t>
            </w:r>
          </w:p>
        </w:tc>
        <w:tc>
          <w:tcPr>
            <w:tcW w:w="1025" w:type="dxa"/>
            <w:tcBorders>
              <w:top w:val="nil"/>
              <w:left w:val="nil"/>
              <w:bottom w:val="single" w:sz="8" w:space="0" w:color="auto"/>
              <w:right w:val="single" w:sz="8" w:space="0" w:color="auto"/>
            </w:tcBorders>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w:t>
            </w:r>
          </w:p>
        </w:tc>
        <w:tc>
          <w:tcPr>
            <w:tcW w:w="804" w:type="dxa"/>
            <w:tcBorders>
              <w:top w:val="nil"/>
              <w:left w:val="nil"/>
              <w:bottom w:val="single" w:sz="8" w:space="0" w:color="auto"/>
              <w:right w:val="single" w:sz="8" w:space="0" w:color="auto"/>
            </w:tcBorders>
            <w:tcMar>
              <w:top w:w="0" w:type="dxa"/>
              <w:left w:w="108" w:type="dxa"/>
              <w:bottom w:w="0" w:type="dxa"/>
              <w:right w:w="108"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5891</w:t>
            </w:r>
          </w:p>
        </w:tc>
        <w:tc>
          <w:tcPr>
            <w:tcW w:w="948" w:type="dxa"/>
            <w:tcBorders>
              <w:top w:val="nil"/>
              <w:left w:val="nil"/>
              <w:bottom w:val="single" w:sz="8" w:space="0" w:color="auto"/>
              <w:right w:val="single" w:sz="8" w:space="0" w:color="auto"/>
            </w:tcBorders>
            <w:tcMar>
              <w:top w:w="0" w:type="dxa"/>
              <w:left w:w="11" w:type="dxa"/>
              <w:bottom w:w="0" w:type="dxa"/>
              <w:right w:w="11" w:type="dxa"/>
            </w:tcMar>
            <w:vAlign w:val="cente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0,81</w:t>
            </w:r>
          </w:p>
        </w:tc>
        <w:tc>
          <w:tcPr>
            <w:tcW w:w="895" w:type="dxa"/>
            <w:tcBorders>
              <w:top w:val="nil"/>
              <w:left w:val="nil"/>
              <w:bottom w:val="single" w:sz="8" w:space="0" w:color="auto"/>
              <w:right w:val="single" w:sz="8" w:space="0" w:color="auto"/>
            </w:tcBorders>
            <w:tcMar>
              <w:top w:w="0" w:type="dxa"/>
              <w:left w:w="11" w:type="dxa"/>
              <w:bottom w:w="0" w:type="dxa"/>
              <w:right w:w="11" w:type="dxa"/>
            </w:tcMar>
            <w:vAlign w:val="cente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0,09</w:t>
            </w:r>
          </w:p>
        </w:tc>
        <w:tc>
          <w:tcPr>
            <w:tcW w:w="75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mg/mc</w:t>
            </w:r>
          </w:p>
        </w:tc>
        <w:tc>
          <w:tcPr>
            <w:tcW w:w="120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0</w:t>
            </w:r>
          </w:p>
        </w:tc>
        <w:tc>
          <w:tcPr>
            <w:tcW w:w="1719" w:type="dxa"/>
            <w:tcBorders>
              <w:top w:val="nil"/>
              <w:left w:val="nil"/>
              <w:bottom w:val="single" w:sz="8" w:space="0" w:color="auto"/>
              <w:right w:val="single" w:sz="12"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67,2</w:t>
            </w:r>
          </w:p>
        </w:tc>
      </w:tr>
      <w:tr w:rsidR="00587B71" w:rsidRPr="00587B71" w:rsidTr="00587B71">
        <w:trPr>
          <w:trHeight w:val="242"/>
          <w:jc w:val="center"/>
        </w:trPr>
        <w:tc>
          <w:tcPr>
            <w:tcW w:w="0" w:type="auto"/>
            <w:vMerge/>
            <w:tcBorders>
              <w:top w:val="nil"/>
              <w:left w:val="single" w:sz="12" w:space="0" w:color="auto"/>
              <w:bottom w:val="single" w:sz="8" w:space="0" w:color="auto"/>
              <w:right w:val="single" w:sz="8" w:space="0" w:color="auto"/>
            </w:tcBorders>
            <w:vAlign w:val="center"/>
            <w:hideMark/>
          </w:tcPr>
          <w:p w:rsidR="00587B71" w:rsidRPr="00587B71" w:rsidRDefault="00587B71" w:rsidP="00587B71">
            <w:pPr>
              <w:spacing w:after="0" w:line="240" w:lineRule="auto"/>
              <w:rPr>
                <w:rFonts w:ascii="Arial" w:eastAsia="Calibri" w:hAnsi="Arial" w:cs="Arial"/>
                <w:b/>
                <w:bCs/>
                <w:sz w:val="20"/>
                <w:szCs w:val="20"/>
              </w:rPr>
            </w:pPr>
          </w:p>
        </w:tc>
        <w:tc>
          <w:tcPr>
            <w:tcW w:w="0" w:type="auto"/>
            <w:vMerge/>
            <w:tcBorders>
              <w:top w:val="nil"/>
              <w:left w:val="nil"/>
              <w:bottom w:val="single" w:sz="8" w:space="0" w:color="auto"/>
              <w:right w:val="single" w:sz="8" w:space="0" w:color="auto"/>
            </w:tcBorders>
            <w:vAlign w:val="center"/>
            <w:hideMark/>
          </w:tcPr>
          <w:p w:rsidR="00587B71" w:rsidRPr="00587B71" w:rsidRDefault="00587B71" w:rsidP="00587B71">
            <w:pPr>
              <w:spacing w:after="0" w:line="240" w:lineRule="auto"/>
              <w:rPr>
                <w:rFonts w:ascii="Arial" w:eastAsia="Calibri" w:hAnsi="Arial" w:cs="Arial"/>
                <w:b/>
                <w:bCs/>
                <w:sz w:val="20"/>
                <w:szCs w:val="20"/>
              </w:rPr>
            </w:pPr>
          </w:p>
        </w:tc>
        <w:tc>
          <w:tcPr>
            <w:tcW w:w="1246" w:type="dxa"/>
            <w:tcBorders>
              <w:top w:val="nil"/>
              <w:left w:val="nil"/>
              <w:bottom w:val="single" w:sz="8" w:space="0" w:color="auto"/>
              <w:right w:val="single" w:sz="8" w:space="0" w:color="auto"/>
            </w:tcBorders>
            <w:hideMark/>
          </w:tcPr>
          <w:p w:rsidR="00587B71" w:rsidRPr="00587B71" w:rsidRDefault="00587B71" w:rsidP="00587B71">
            <w:pPr>
              <w:spacing w:after="0" w:line="240" w:lineRule="auto"/>
              <w:jc w:val="both"/>
              <w:rPr>
                <w:rFonts w:ascii="Arial" w:eastAsia="Times New Roman" w:hAnsi="Arial" w:cs="Arial"/>
                <w:b/>
                <w:bCs/>
                <w:sz w:val="20"/>
                <w:szCs w:val="20"/>
                <w:lang w:val="ro-RO"/>
              </w:rPr>
            </w:pPr>
            <w:r w:rsidRPr="00587B71">
              <w:rPr>
                <w:rFonts w:ascii="Arial" w:eastAsia="Times New Roman" w:hAnsi="Arial" w:cs="Arial"/>
                <w:b/>
                <w:bCs/>
                <w:sz w:val="20"/>
                <w:szCs w:val="20"/>
                <w:lang w:val="ro-RO"/>
              </w:rPr>
              <w:t>Benzen</w:t>
            </w:r>
          </w:p>
        </w:tc>
        <w:tc>
          <w:tcPr>
            <w:tcW w:w="1025" w:type="dxa"/>
            <w:tcBorders>
              <w:top w:val="nil"/>
              <w:left w:val="nil"/>
              <w:bottom w:val="single" w:sz="8" w:space="0" w:color="auto"/>
              <w:right w:val="single" w:sz="8" w:space="0" w:color="auto"/>
            </w:tcBorders>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w:t>
            </w:r>
          </w:p>
        </w:tc>
        <w:tc>
          <w:tcPr>
            <w:tcW w:w="804" w:type="dxa"/>
            <w:tcBorders>
              <w:top w:val="nil"/>
              <w:left w:val="nil"/>
              <w:bottom w:val="single" w:sz="8" w:space="0" w:color="auto"/>
              <w:right w:val="single" w:sz="8" w:space="0" w:color="auto"/>
            </w:tcBorders>
            <w:tcMar>
              <w:top w:w="0" w:type="dxa"/>
              <w:left w:w="108" w:type="dxa"/>
              <w:bottom w:w="0" w:type="dxa"/>
              <w:right w:w="108"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3300</w:t>
            </w:r>
          </w:p>
        </w:tc>
        <w:tc>
          <w:tcPr>
            <w:tcW w:w="948"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4,93</w:t>
            </w:r>
          </w:p>
        </w:tc>
        <w:tc>
          <w:tcPr>
            <w:tcW w:w="895" w:type="dxa"/>
            <w:tcBorders>
              <w:top w:val="nil"/>
              <w:left w:val="nil"/>
              <w:bottom w:val="single" w:sz="8" w:space="0" w:color="auto"/>
              <w:right w:val="single" w:sz="8" w:space="0" w:color="auto"/>
            </w:tcBorders>
            <w:tcMar>
              <w:top w:w="0" w:type="dxa"/>
              <w:left w:w="11" w:type="dxa"/>
              <w:bottom w:w="0" w:type="dxa"/>
              <w:right w:w="11" w:type="dxa"/>
            </w:tcMar>
            <w:vAlign w:val="cente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1,34</w:t>
            </w:r>
          </w:p>
        </w:tc>
        <w:tc>
          <w:tcPr>
            <w:tcW w:w="75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μg/mc</w:t>
            </w:r>
          </w:p>
        </w:tc>
        <w:tc>
          <w:tcPr>
            <w:tcW w:w="120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0</w:t>
            </w:r>
          </w:p>
        </w:tc>
        <w:tc>
          <w:tcPr>
            <w:tcW w:w="1719" w:type="dxa"/>
            <w:tcBorders>
              <w:top w:val="nil"/>
              <w:left w:val="nil"/>
              <w:bottom w:val="single" w:sz="8" w:space="0" w:color="auto"/>
              <w:right w:val="single" w:sz="12"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37,6</w:t>
            </w:r>
          </w:p>
        </w:tc>
      </w:tr>
      <w:tr w:rsidR="00587B71" w:rsidRPr="00587B71" w:rsidTr="00587B71">
        <w:trPr>
          <w:trHeight w:val="242"/>
          <w:jc w:val="center"/>
        </w:trPr>
        <w:tc>
          <w:tcPr>
            <w:tcW w:w="0" w:type="auto"/>
            <w:vMerge/>
            <w:tcBorders>
              <w:top w:val="nil"/>
              <w:left w:val="single" w:sz="12" w:space="0" w:color="auto"/>
              <w:bottom w:val="single" w:sz="8" w:space="0" w:color="auto"/>
              <w:right w:val="single" w:sz="8" w:space="0" w:color="auto"/>
            </w:tcBorders>
            <w:vAlign w:val="center"/>
            <w:hideMark/>
          </w:tcPr>
          <w:p w:rsidR="00587B71" w:rsidRPr="00587B71" w:rsidRDefault="00587B71" w:rsidP="00587B71">
            <w:pPr>
              <w:spacing w:after="0" w:line="240" w:lineRule="auto"/>
              <w:rPr>
                <w:rFonts w:ascii="Arial" w:eastAsia="Calibri" w:hAnsi="Arial" w:cs="Arial"/>
                <w:b/>
                <w:bCs/>
                <w:sz w:val="20"/>
                <w:szCs w:val="20"/>
              </w:rPr>
            </w:pPr>
          </w:p>
        </w:tc>
        <w:tc>
          <w:tcPr>
            <w:tcW w:w="0" w:type="auto"/>
            <w:vMerge/>
            <w:tcBorders>
              <w:top w:val="nil"/>
              <w:left w:val="nil"/>
              <w:bottom w:val="single" w:sz="8" w:space="0" w:color="auto"/>
              <w:right w:val="single" w:sz="8" w:space="0" w:color="auto"/>
            </w:tcBorders>
            <w:vAlign w:val="center"/>
            <w:hideMark/>
          </w:tcPr>
          <w:p w:rsidR="00587B71" w:rsidRPr="00587B71" w:rsidRDefault="00587B71" w:rsidP="00587B71">
            <w:pPr>
              <w:spacing w:after="0" w:line="240" w:lineRule="auto"/>
              <w:rPr>
                <w:rFonts w:ascii="Arial" w:eastAsia="Calibri" w:hAnsi="Arial" w:cs="Arial"/>
                <w:b/>
                <w:bCs/>
                <w:sz w:val="20"/>
                <w:szCs w:val="20"/>
              </w:rPr>
            </w:pPr>
          </w:p>
        </w:tc>
        <w:tc>
          <w:tcPr>
            <w:tcW w:w="1246" w:type="dxa"/>
            <w:tcBorders>
              <w:top w:val="nil"/>
              <w:left w:val="nil"/>
              <w:bottom w:val="single" w:sz="8" w:space="0" w:color="auto"/>
              <w:right w:val="single" w:sz="8" w:space="0" w:color="auto"/>
            </w:tcBorders>
            <w:hideMark/>
          </w:tcPr>
          <w:p w:rsidR="00587B71" w:rsidRPr="00587B71" w:rsidRDefault="00587B71" w:rsidP="00587B71">
            <w:pPr>
              <w:spacing w:after="0" w:line="240" w:lineRule="auto"/>
              <w:jc w:val="both"/>
              <w:rPr>
                <w:rFonts w:ascii="Arial" w:eastAsia="Times New Roman" w:hAnsi="Arial" w:cs="Arial"/>
                <w:b/>
                <w:bCs/>
                <w:sz w:val="20"/>
                <w:szCs w:val="20"/>
                <w:lang w:val="ro-RO"/>
              </w:rPr>
            </w:pPr>
            <w:r w:rsidRPr="00587B71">
              <w:rPr>
                <w:rFonts w:ascii="Arial" w:eastAsia="Times New Roman" w:hAnsi="Arial" w:cs="Arial"/>
                <w:b/>
                <w:bCs/>
                <w:sz w:val="20"/>
                <w:szCs w:val="20"/>
                <w:lang w:val="ro-RO"/>
              </w:rPr>
              <w:t>Toluen</w:t>
            </w:r>
          </w:p>
        </w:tc>
        <w:tc>
          <w:tcPr>
            <w:tcW w:w="1025" w:type="dxa"/>
            <w:tcBorders>
              <w:top w:val="nil"/>
              <w:left w:val="nil"/>
              <w:bottom w:val="single" w:sz="8" w:space="0" w:color="auto"/>
              <w:right w:val="single" w:sz="8" w:space="0" w:color="auto"/>
            </w:tcBorders>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w:t>
            </w:r>
          </w:p>
        </w:tc>
        <w:tc>
          <w:tcPr>
            <w:tcW w:w="804" w:type="dxa"/>
            <w:tcBorders>
              <w:top w:val="nil"/>
              <w:left w:val="nil"/>
              <w:bottom w:val="single" w:sz="8" w:space="0" w:color="auto"/>
              <w:right w:val="single" w:sz="8" w:space="0" w:color="auto"/>
            </w:tcBorders>
            <w:tcMar>
              <w:top w:w="0" w:type="dxa"/>
              <w:left w:w="108" w:type="dxa"/>
              <w:bottom w:w="0" w:type="dxa"/>
              <w:right w:w="108"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3300</w:t>
            </w:r>
          </w:p>
        </w:tc>
        <w:tc>
          <w:tcPr>
            <w:tcW w:w="948" w:type="dxa"/>
            <w:tcBorders>
              <w:top w:val="nil"/>
              <w:left w:val="nil"/>
              <w:bottom w:val="single" w:sz="8" w:space="0" w:color="auto"/>
              <w:right w:val="single" w:sz="8" w:space="0" w:color="auto"/>
            </w:tcBorders>
            <w:tcMar>
              <w:top w:w="0" w:type="dxa"/>
              <w:left w:w="11" w:type="dxa"/>
              <w:bottom w:w="0" w:type="dxa"/>
              <w:right w:w="11" w:type="dxa"/>
            </w:tcMar>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Calibri" w:hAnsi="Arial" w:cs="Arial"/>
                <w:sz w:val="20"/>
                <w:szCs w:val="20"/>
                <w:lang w:val="ro-RO"/>
              </w:rPr>
              <w:t>3,48</w:t>
            </w:r>
          </w:p>
        </w:tc>
        <w:tc>
          <w:tcPr>
            <w:tcW w:w="895" w:type="dxa"/>
            <w:tcBorders>
              <w:top w:val="nil"/>
              <w:left w:val="nil"/>
              <w:bottom w:val="single" w:sz="8" w:space="0" w:color="auto"/>
              <w:right w:val="single" w:sz="8" w:space="0" w:color="auto"/>
            </w:tcBorders>
            <w:tcMar>
              <w:top w:w="0" w:type="dxa"/>
              <w:left w:w="11" w:type="dxa"/>
              <w:bottom w:w="0" w:type="dxa"/>
              <w:right w:w="11" w:type="dxa"/>
            </w:tcMar>
            <w:vAlign w:val="cente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1,08</w:t>
            </w:r>
          </w:p>
        </w:tc>
        <w:tc>
          <w:tcPr>
            <w:tcW w:w="75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μg/mc</w:t>
            </w:r>
          </w:p>
        </w:tc>
        <w:tc>
          <w:tcPr>
            <w:tcW w:w="120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0</w:t>
            </w:r>
          </w:p>
        </w:tc>
        <w:tc>
          <w:tcPr>
            <w:tcW w:w="1719" w:type="dxa"/>
            <w:tcBorders>
              <w:top w:val="nil"/>
              <w:left w:val="nil"/>
              <w:bottom w:val="single" w:sz="8" w:space="0" w:color="auto"/>
              <w:right w:val="single" w:sz="12"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37,6</w:t>
            </w:r>
          </w:p>
        </w:tc>
      </w:tr>
      <w:tr w:rsidR="00587B71" w:rsidRPr="00587B71" w:rsidTr="00587B71">
        <w:trPr>
          <w:trHeight w:val="242"/>
          <w:jc w:val="center"/>
        </w:trPr>
        <w:tc>
          <w:tcPr>
            <w:tcW w:w="0" w:type="auto"/>
            <w:vMerge/>
            <w:tcBorders>
              <w:top w:val="nil"/>
              <w:left w:val="single" w:sz="12" w:space="0" w:color="auto"/>
              <w:bottom w:val="single" w:sz="8" w:space="0" w:color="auto"/>
              <w:right w:val="single" w:sz="8" w:space="0" w:color="auto"/>
            </w:tcBorders>
            <w:vAlign w:val="center"/>
            <w:hideMark/>
          </w:tcPr>
          <w:p w:rsidR="00587B71" w:rsidRPr="00587B71" w:rsidRDefault="00587B71" w:rsidP="00587B71">
            <w:pPr>
              <w:spacing w:after="0" w:line="240" w:lineRule="auto"/>
              <w:rPr>
                <w:rFonts w:ascii="Arial" w:eastAsia="Calibri" w:hAnsi="Arial" w:cs="Arial"/>
                <w:b/>
                <w:bCs/>
                <w:sz w:val="20"/>
                <w:szCs w:val="20"/>
              </w:rPr>
            </w:pPr>
          </w:p>
        </w:tc>
        <w:tc>
          <w:tcPr>
            <w:tcW w:w="0" w:type="auto"/>
            <w:vMerge/>
            <w:tcBorders>
              <w:top w:val="nil"/>
              <w:left w:val="nil"/>
              <w:bottom w:val="single" w:sz="8" w:space="0" w:color="auto"/>
              <w:right w:val="single" w:sz="8" w:space="0" w:color="auto"/>
            </w:tcBorders>
            <w:vAlign w:val="center"/>
            <w:hideMark/>
          </w:tcPr>
          <w:p w:rsidR="00587B71" w:rsidRPr="00587B71" w:rsidRDefault="00587B71" w:rsidP="00587B71">
            <w:pPr>
              <w:spacing w:after="0" w:line="240" w:lineRule="auto"/>
              <w:rPr>
                <w:rFonts w:ascii="Arial" w:eastAsia="Calibri" w:hAnsi="Arial" w:cs="Arial"/>
                <w:b/>
                <w:bCs/>
                <w:sz w:val="20"/>
                <w:szCs w:val="20"/>
              </w:rPr>
            </w:pPr>
          </w:p>
        </w:tc>
        <w:tc>
          <w:tcPr>
            <w:tcW w:w="1246" w:type="dxa"/>
            <w:tcBorders>
              <w:top w:val="nil"/>
              <w:left w:val="nil"/>
              <w:bottom w:val="single" w:sz="8" w:space="0" w:color="auto"/>
              <w:right w:val="single" w:sz="8" w:space="0" w:color="auto"/>
            </w:tcBorders>
            <w:hideMark/>
          </w:tcPr>
          <w:p w:rsidR="00587B71" w:rsidRPr="00587B71" w:rsidRDefault="00587B71" w:rsidP="00587B71">
            <w:pPr>
              <w:spacing w:after="0" w:line="240" w:lineRule="auto"/>
              <w:jc w:val="both"/>
              <w:rPr>
                <w:rFonts w:ascii="Arial" w:eastAsia="Times New Roman" w:hAnsi="Arial" w:cs="Arial"/>
                <w:b/>
                <w:bCs/>
                <w:sz w:val="20"/>
                <w:szCs w:val="20"/>
                <w:lang w:val="ro-RO"/>
              </w:rPr>
            </w:pPr>
            <w:r w:rsidRPr="00587B71">
              <w:rPr>
                <w:rFonts w:ascii="Arial" w:eastAsia="Times New Roman" w:hAnsi="Arial" w:cs="Arial"/>
                <w:b/>
                <w:bCs/>
                <w:sz w:val="20"/>
                <w:szCs w:val="20"/>
                <w:lang w:val="ro-RO"/>
              </w:rPr>
              <w:t>Etilbenzen</w:t>
            </w:r>
          </w:p>
        </w:tc>
        <w:tc>
          <w:tcPr>
            <w:tcW w:w="1025" w:type="dxa"/>
            <w:tcBorders>
              <w:top w:val="nil"/>
              <w:left w:val="nil"/>
              <w:bottom w:val="single" w:sz="8" w:space="0" w:color="auto"/>
              <w:right w:val="single" w:sz="8" w:space="0" w:color="auto"/>
            </w:tcBorders>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w:t>
            </w:r>
          </w:p>
        </w:tc>
        <w:tc>
          <w:tcPr>
            <w:tcW w:w="804" w:type="dxa"/>
            <w:tcBorders>
              <w:top w:val="nil"/>
              <w:left w:val="nil"/>
              <w:bottom w:val="single" w:sz="8" w:space="0" w:color="auto"/>
              <w:right w:val="single" w:sz="8" w:space="0" w:color="auto"/>
            </w:tcBorders>
            <w:tcMar>
              <w:top w:w="0" w:type="dxa"/>
              <w:left w:w="108" w:type="dxa"/>
              <w:bottom w:w="0" w:type="dxa"/>
              <w:right w:w="108"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3300</w:t>
            </w:r>
          </w:p>
        </w:tc>
        <w:tc>
          <w:tcPr>
            <w:tcW w:w="948"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0,79</w:t>
            </w:r>
          </w:p>
        </w:tc>
        <w:tc>
          <w:tcPr>
            <w:tcW w:w="895" w:type="dxa"/>
            <w:tcBorders>
              <w:top w:val="nil"/>
              <w:left w:val="nil"/>
              <w:bottom w:val="single" w:sz="8" w:space="0" w:color="auto"/>
              <w:right w:val="single" w:sz="8" w:space="0" w:color="auto"/>
            </w:tcBorders>
            <w:tcMar>
              <w:top w:w="0" w:type="dxa"/>
              <w:left w:w="11" w:type="dxa"/>
              <w:bottom w:w="0" w:type="dxa"/>
              <w:right w:w="11" w:type="dxa"/>
            </w:tcMar>
            <w:vAlign w:val="cente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0,18</w:t>
            </w:r>
          </w:p>
        </w:tc>
        <w:tc>
          <w:tcPr>
            <w:tcW w:w="75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μg/mc</w:t>
            </w:r>
          </w:p>
        </w:tc>
        <w:tc>
          <w:tcPr>
            <w:tcW w:w="120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0</w:t>
            </w:r>
          </w:p>
        </w:tc>
        <w:tc>
          <w:tcPr>
            <w:tcW w:w="1719" w:type="dxa"/>
            <w:tcBorders>
              <w:top w:val="nil"/>
              <w:left w:val="nil"/>
              <w:bottom w:val="single" w:sz="8" w:space="0" w:color="auto"/>
              <w:right w:val="single" w:sz="12"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37,6</w:t>
            </w:r>
          </w:p>
        </w:tc>
      </w:tr>
      <w:tr w:rsidR="00587B71" w:rsidRPr="00587B71" w:rsidTr="00587B71">
        <w:trPr>
          <w:trHeight w:val="242"/>
          <w:jc w:val="center"/>
        </w:trPr>
        <w:tc>
          <w:tcPr>
            <w:tcW w:w="0" w:type="auto"/>
            <w:vMerge/>
            <w:tcBorders>
              <w:top w:val="nil"/>
              <w:left w:val="single" w:sz="12" w:space="0" w:color="auto"/>
              <w:bottom w:val="single" w:sz="8" w:space="0" w:color="auto"/>
              <w:right w:val="single" w:sz="8" w:space="0" w:color="auto"/>
            </w:tcBorders>
            <w:vAlign w:val="center"/>
            <w:hideMark/>
          </w:tcPr>
          <w:p w:rsidR="00587B71" w:rsidRPr="00587B71" w:rsidRDefault="00587B71" w:rsidP="00587B71">
            <w:pPr>
              <w:spacing w:after="0" w:line="240" w:lineRule="auto"/>
              <w:rPr>
                <w:rFonts w:ascii="Arial" w:eastAsia="Calibri" w:hAnsi="Arial" w:cs="Arial"/>
                <w:b/>
                <w:bCs/>
                <w:sz w:val="20"/>
                <w:szCs w:val="20"/>
              </w:rPr>
            </w:pPr>
          </w:p>
        </w:tc>
        <w:tc>
          <w:tcPr>
            <w:tcW w:w="0" w:type="auto"/>
            <w:vMerge/>
            <w:tcBorders>
              <w:top w:val="nil"/>
              <w:left w:val="nil"/>
              <w:bottom w:val="single" w:sz="8" w:space="0" w:color="auto"/>
              <w:right w:val="single" w:sz="8" w:space="0" w:color="auto"/>
            </w:tcBorders>
            <w:vAlign w:val="center"/>
            <w:hideMark/>
          </w:tcPr>
          <w:p w:rsidR="00587B71" w:rsidRPr="00587B71" w:rsidRDefault="00587B71" w:rsidP="00587B71">
            <w:pPr>
              <w:spacing w:after="0" w:line="240" w:lineRule="auto"/>
              <w:rPr>
                <w:rFonts w:ascii="Arial" w:eastAsia="Calibri" w:hAnsi="Arial" w:cs="Arial"/>
                <w:b/>
                <w:bCs/>
                <w:sz w:val="20"/>
                <w:szCs w:val="20"/>
              </w:rPr>
            </w:pPr>
          </w:p>
        </w:tc>
        <w:tc>
          <w:tcPr>
            <w:tcW w:w="1246" w:type="dxa"/>
            <w:tcBorders>
              <w:top w:val="nil"/>
              <w:left w:val="nil"/>
              <w:bottom w:val="single" w:sz="8" w:space="0" w:color="auto"/>
              <w:right w:val="single" w:sz="8" w:space="0" w:color="auto"/>
            </w:tcBorders>
            <w:hideMark/>
          </w:tcPr>
          <w:p w:rsidR="00587B71" w:rsidRPr="00587B71" w:rsidRDefault="00587B71" w:rsidP="00587B71">
            <w:pPr>
              <w:spacing w:after="0" w:line="240" w:lineRule="auto"/>
              <w:jc w:val="both"/>
              <w:rPr>
                <w:rFonts w:ascii="Arial" w:eastAsia="Times New Roman" w:hAnsi="Arial" w:cs="Arial"/>
                <w:b/>
                <w:bCs/>
                <w:sz w:val="20"/>
                <w:szCs w:val="20"/>
                <w:lang w:val="ro-RO"/>
              </w:rPr>
            </w:pPr>
            <w:r w:rsidRPr="00587B71">
              <w:rPr>
                <w:rFonts w:ascii="Arial" w:eastAsia="Times New Roman" w:hAnsi="Arial" w:cs="Arial"/>
                <w:b/>
                <w:bCs/>
                <w:sz w:val="20"/>
                <w:szCs w:val="20"/>
                <w:lang w:val="ro-RO"/>
              </w:rPr>
              <w:t>o-xilen</w:t>
            </w:r>
          </w:p>
        </w:tc>
        <w:tc>
          <w:tcPr>
            <w:tcW w:w="1025" w:type="dxa"/>
            <w:tcBorders>
              <w:top w:val="nil"/>
              <w:left w:val="nil"/>
              <w:bottom w:val="single" w:sz="8" w:space="0" w:color="auto"/>
              <w:right w:val="single" w:sz="8" w:space="0" w:color="auto"/>
            </w:tcBorders>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w:t>
            </w:r>
          </w:p>
        </w:tc>
        <w:tc>
          <w:tcPr>
            <w:tcW w:w="804" w:type="dxa"/>
            <w:tcBorders>
              <w:top w:val="nil"/>
              <w:left w:val="nil"/>
              <w:bottom w:val="single" w:sz="8" w:space="0" w:color="auto"/>
              <w:right w:val="single" w:sz="8" w:space="0" w:color="auto"/>
            </w:tcBorders>
            <w:tcMar>
              <w:top w:w="0" w:type="dxa"/>
              <w:left w:w="108" w:type="dxa"/>
              <w:bottom w:w="0" w:type="dxa"/>
              <w:right w:w="108"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3300</w:t>
            </w:r>
          </w:p>
        </w:tc>
        <w:tc>
          <w:tcPr>
            <w:tcW w:w="948" w:type="dxa"/>
            <w:tcBorders>
              <w:top w:val="nil"/>
              <w:left w:val="nil"/>
              <w:bottom w:val="single" w:sz="8" w:space="0" w:color="auto"/>
              <w:right w:val="single" w:sz="8" w:space="0" w:color="auto"/>
            </w:tcBorders>
            <w:tcMar>
              <w:top w:w="0" w:type="dxa"/>
              <w:left w:w="11" w:type="dxa"/>
              <w:bottom w:w="0" w:type="dxa"/>
              <w:right w:w="11" w:type="dxa"/>
            </w:tcMar>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Calibri" w:hAnsi="Arial" w:cs="Arial"/>
                <w:sz w:val="20"/>
                <w:szCs w:val="20"/>
                <w:lang w:val="ro-RO"/>
              </w:rPr>
              <w:t>0,4</w:t>
            </w:r>
          </w:p>
        </w:tc>
        <w:tc>
          <w:tcPr>
            <w:tcW w:w="895" w:type="dxa"/>
            <w:tcBorders>
              <w:top w:val="nil"/>
              <w:left w:val="nil"/>
              <w:bottom w:val="single" w:sz="8" w:space="0" w:color="auto"/>
              <w:right w:val="single" w:sz="8" w:space="0" w:color="auto"/>
            </w:tcBorders>
            <w:tcMar>
              <w:top w:w="0" w:type="dxa"/>
              <w:left w:w="11" w:type="dxa"/>
              <w:bottom w:w="0" w:type="dxa"/>
              <w:right w:w="11" w:type="dxa"/>
            </w:tcMar>
            <w:vAlign w:val="cente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0,09</w:t>
            </w:r>
          </w:p>
        </w:tc>
        <w:tc>
          <w:tcPr>
            <w:tcW w:w="75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μg/mc</w:t>
            </w:r>
          </w:p>
        </w:tc>
        <w:tc>
          <w:tcPr>
            <w:tcW w:w="120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0</w:t>
            </w:r>
          </w:p>
        </w:tc>
        <w:tc>
          <w:tcPr>
            <w:tcW w:w="1719" w:type="dxa"/>
            <w:tcBorders>
              <w:top w:val="nil"/>
              <w:left w:val="nil"/>
              <w:bottom w:val="single" w:sz="8" w:space="0" w:color="auto"/>
              <w:right w:val="single" w:sz="12"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37,6</w:t>
            </w:r>
          </w:p>
        </w:tc>
      </w:tr>
      <w:tr w:rsidR="00587B71" w:rsidRPr="00587B71" w:rsidTr="00587B71">
        <w:trPr>
          <w:trHeight w:val="242"/>
          <w:jc w:val="center"/>
        </w:trPr>
        <w:tc>
          <w:tcPr>
            <w:tcW w:w="0" w:type="auto"/>
            <w:vMerge/>
            <w:tcBorders>
              <w:top w:val="nil"/>
              <w:left w:val="single" w:sz="12" w:space="0" w:color="auto"/>
              <w:bottom w:val="single" w:sz="8" w:space="0" w:color="auto"/>
              <w:right w:val="single" w:sz="8" w:space="0" w:color="auto"/>
            </w:tcBorders>
            <w:vAlign w:val="center"/>
            <w:hideMark/>
          </w:tcPr>
          <w:p w:rsidR="00587B71" w:rsidRPr="00587B71" w:rsidRDefault="00587B71" w:rsidP="00587B71">
            <w:pPr>
              <w:spacing w:after="0" w:line="240" w:lineRule="auto"/>
              <w:rPr>
                <w:rFonts w:ascii="Arial" w:eastAsia="Calibri" w:hAnsi="Arial" w:cs="Arial"/>
                <w:b/>
                <w:bCs/>
                <w:sz w:val="20"/>
                <w:szCs w:val="20"/>
              </w:rPr>
            </w:pPr>
          </w:p>
        </w:tc>
        <w:tc>
          <w:tcPr>
            <w:tcW w:w="0" w:type="auto"/>
            <w:vMerge/>
            <w:tcBorders>
              <w:top w:val="nil"/>
              <w:left w:val="nil"/>
              <w:bottom w:val="single" w:sz="8" w:space="0" w:color="auto"/>
              <w:right w:val="single" w:sz="8" w:space="0" w:color="auto"/>
            </w:tcBorders>
            <w:vAlign w:val="center"/>
            <w:hideMark/>
          </w:tcPr>
          <w:p w:rsidR="00587B71" w:rsidRPr="00587B71" w:rsidRDefault="00587B71" w:rsidP="00587B71">
            <w:pPr>
              <w:spacing w:after="0" w:line="240" w:lineRule="auto"/>
              <w:rPr>
                <w:rFonts w:ascii="Arial" w:eastAsia="Calibri" w:hAnsi="Arial" w:cs="Arial"/>
                <w:b/>
                <w:bCs/>
                <w:sz w:val="20"/>
                <w:szCs w:val="20"/>
              </w:rPr>
            </w:pPr>
          </w:p>
        </w:tc>
        <w:tc>
          <w:tcPr>
            <w:tcW w:w="1246" w:type="dxa"/>
            <w:tcBorders>
              <w:top w:val="nil"/>
              <w:left w:val="nil"/>
              <w:bottom w:val="single" w:sz="8" w:space="0" w:color="auto"/>
              <w:right w:val="single" w:sz="8" w:space="0" w:color="auto"/>
            </w:tcBorders>
            <w:hideMark/>
          </w:tcPr>
          <w:p w:rsidR="00587B71" w:rsidRPr="00587B71" w:rsidRDefault="00587B71" w:rsidP="00587B71">
            <w:pPr>
              <w:spacing w:after="0" w:line="240" w:lineRule="auto"/>
              <w:jc w:val="both"/>
              <w:rPr>
                <w:rFonts w:ascii="Arial" w:eastAsia="Times New Roman" w:hAnsi="Arial" w:cs="Arial"/>
                <w:b/>
                <w:bCs/>
                <w:sz w:val="20"/>
                <w:szCs w:val="20"/>
                <w:lang w:val="ro-RO"/>
              </w:rPr>
            </w:pPr>
            <w:r w:rsidRPr="00587B71">
              <w:rPr>
                <w:rFonts w:ascii="Arial" w:eastAsia="Times New Roman" w:hAnsi="Arial" w:cs="Arial"/>
                <w:b/>
                <w:bCs/>
                <w:sz w:val="20"/>
                <w:szCs w:val="20"/>
                <w:lang w:val="ro-RO"/>
              </w:rPr>
              <w:t>m-xilen</w:t>
            </w:r>
          </w:p>
        </w:tc>
        <w:tc>
          <w:tcPr>
            <w:tcW w:w="1025" w:type="dxa"/>
            <w:tcBorders>
              <w:top w:val="nil"/>
              <w:left w:val="nil"/>
              <w:bottom w:val="single" w:sz="8" w:space="0" w:color="auto"/>
              <w:right w:val="single" w:sz="8" w:space="0" w:color="auto"/>
            </w:tcBorders>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w:t>
            </w:r>
          </w:p>
        </w:tc>
        <w:tc>
          <w:tcPr>
            <w:tcW w:w="804" w:type="dxa"/>
            <w:tcBorders>
              <w:top w:val="nil"/>
              <w:left w:val="nil"/>
              <w:bottom w:val="single" w:sz="8" w:space="0" w:color="auto"/>
              <w:right w:val="single" w:sz="8" w:space="0" w:color="auto"/>
            </w:tcBorders>
            <w:tcMar>
              <w:top w:w="0" w:type="dxa"/>
              <w:left w:w="108" w:type="dxa"/>
              <w:bottom w:w="0" w:type="dxa"/>
              <w:right w:w="108"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3300</w:t>
            </w:r>
          </w:p>
        </w:tc>
        <w:tc>
          <w:tcPr>
            <w:tcW w:w="948" w:type="dxa"/>
            <w:tcBorders>
              <w:top w:val="nil"/>
              <w:left w:val="nil"/>
              <w:bottom w:val="single" w:sz="8" w:space="0" w:color="auto"/>
              <w:right w:val="single" w:sz="8" w:space="0" w:color="auto"/>
            </w:tcBorders>
            <w:tcMar>
              <w:top w:w="0" w:type="dxa"/>
              <w:left w:w="11" w:type="dxa"/>
              <w:bottom w:w="0" w:type="dxa"/>
              <w:right w:w="11" w:type="dxa"/>
            </w:tcMar>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Calibri" w:hAnsi="Arial" w:cs="Arial"/>
                <w:sz w:val="20"/>
                <w:szCs w:val="20"/>
                <w:lang w:val="ro-RO"/>
              </w:rPr>
              <w:t>1,55</w:t>
            </w:r>
          </w:p>
        </w:tc>
        <w:tc>
          <w:tcPr>
            <w:tcW w:w="895" w:type="dxa"/>
            <w:tcBorders>
              <w:top w:val="nil"/>
              <w:left w:val="nil"/>
              <w:bottom w:val="single" w:sz="8" w:space="0" w:color="auto"/>
              <w:right w:val="single" w:sz="8" w:space="0" w:color="auto"/>
            </w:tcBorders>
            <w:tcMar>
              <w:top w:w="0" w:type="dxa"/>
              <w:left w:w="11" w:type="dxa"/>
              <w:bottom w:w="0" w:type="dxa"/>
              <w:right w:w="11" w:type="dxa"/>
            </w:tcMar>
            <w:vAlign w:val="cente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0,18</w:t>
            </w:r>
          </w:p>
        </w:tc>
        <w:tc>
          <w:tcPr>
            <w:tcW w:w="75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μg/mc</w:t>
            </w:r>
          </w:p>
        </w:tc>
        <w:tc>
          <w:tcPr>
            <w:tcW w:w="120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0</w:t>
            </w:r>
          </w:p>
        </w:tc>
        <w:tc>
          <w:tcPr>
            <w:tcW w:w="1719" w:type="dxa"/>
            <w:tcBorders>
              <w:top w:val="nil"/>
              <w:left w:val="nil"/>
              <w:bottom w:val="single" w:sz="8" w:space="0" w:color="auto"/>
              <w:right w:val="single" w:sz="12"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37,6</w:t>
            </w:r>
          </w:p>
        </w:tc>
      </w:tr>
      <w:tr w:rsidR="00587B71" w:rsidRPr="00587B71" w:rsidTr="00587B71">
        <w:trPr>
          <w:trHeight w:val="304"/>
          <w:jc w:val="center"/>
        </w:trPr>
        <w:tc>
          <w:tcPr>
            <w:tcW w:w="0" w:type="auto"/>
            <w:vMerge/>
            <w:tcBorders>
              <w:top w:val="nil"/>
              <w:left w:val="single" w:sz="12" w:space="0" w:color="auto"/>
              <w:bottom w:val="single" w:sz="8" w:space="0" w:color="auto"/>
              <w:right w:val="single" w:sz="8" w:space="0" w:color="auto"/>
            </w:tcBorders>
            <w:vAlign w:val="center"/>
            <w:hideMark/>
          </w:tcPr>
          <w:p w:rsidR="00587B71" w:rsidRPr="00587B71" w:rsidRDefault="00587B71" w:rsidP="00587B71">
            <w:pPr>
              <w:spacing w:after="0" w:line="240" w:lineRule="auto"/>
              <w:rPr>
                <w:rFonts w:ascii="Arial" w:eastAsia="Calibri" w:hAnsi="Arial" w:cs="Arial"/>
                <w:b/>
                <w:bCs/>
                <w:sz w:val="20"/>
                <w:szCs w:val="20"/>
              </w:rPr>
            </w:pPr>
          </w:p>
        </w:tc>
        <w:tc>
          <w:tcPr>
            <w:tcW w:w="0" w:type="auto"/>
            <w:vMerge/>
            <w:tcBorders>
              <w:top w:val="nil"/>
              <w:left w:val="nil"/>
              <w:bottom w:val="single" w:sz="8" w:space="0" w:color="auto"/>
              <w:right w:val="single" w:sz="8" w:space="0" w:color="auto"/>
            </w:tcBorders>
            <w:vAlign w:val="center"/>
            <w:hideMark/>
          </w:tcPr>
          <w:p w:rsidR="00587B71" w:rsidRPr="00587B71" w:rsidRDefault="00587B71" w:rsidP="00587B71">
            <w:pPr>
              <w:spacing w:after="0" w:line="240" w:lineRule="auto"/>
              <w:rPr>
                <w:rFonts w:ascii="Arial" w:eastAsia="Calibri" w:hAnsi="Arial" w:cs="Arial"/>
                <w:b/>
                <w:bCs/>
                <w:sz w:val="20"/>
                <w:szCs w:val="20"/>
              </w:rPr>
            </w:pPr>
          </w:p>
        </w:tc>
        <w:tc>
          <w:tcPr>
            <w:tcW w:w="1246" w:type="dxa"/>
            <w:tcBorders>
              <w:top w:val="nil"/>
              <w:left w:val="nil"/>
              <w:bottom w:val="single" w:sz="8" w:space="0" w:color="auto"/>
              <w:right w:val="single" w:sz="8" w:space="0" w:color="auto"/>
            </w:tcBorders>
            <w:hideMark/>
          </w:tcPr>
          <w:p w:rsidR="00587B71" w:rsidRPr="00587B71" w:rsidRDefault="00587B71" w:rsidP="00587B71">
            <w:pPr>
              <w:spacing w:after="0" w:line="240" w:lineRule="auto"/>
              <w:jc w:val="both"/>
              <w:rPr>
                <w:rFonts w:ascii="Arial" w:eastAsia="Times New Roman" w:hAnsi="Arial" w:cs="Arial"/>
                <w:b/>
                <w:bCs/>
                <w:sz w:val="20"/>
                <w:szCs w:val="20"/>
                <w:lang w:val="ro-RO"/>
              </w:rPr>
            </w:pPr>
            <w:r w:rsidRPr="00587B71">
              <w:rPr>
                <w:rFonts w:ascii="Arial" w:eastAsia="Times New Roman" w:hAnsi="Arial" w:cs="Arial"/>
                <w:b/>
                <w:bCs/>
                <w:sz w:val="20"/>
                <w:szCs w:val="20"/>
                <w:lang w:val="ro-RO"/>
              </w:rPr>
              <w:t>p-xilen</w:t>
            </w:r>
          </w:p>
        </w:tc>
        <w:tc>
          <w:tcPr>
            <w:tcW w:w="1025" w:type="dxa"/>
            <w:tcBorders>
              <w:top w:val="nil"/>
              <w:left w:val="nil"/>
              <w:bottom w:val="single" w:sz="8" w:space="0" w:color="auto"/>
              <w:right w:val="single" w:sz="8" w:space="0" w:color="auto"/>
            </w:tcBorders>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w:t>
            </w:r>
          </w:p>
        </w:tc>
        <w:tc>
          <w:tcPr>
            <w:tcW w:w="804" w:type="dxa"/>
            <w:tcBorders>
              <w:top w:val="nil"/>
              <w:left w:val="nil"/>
              <w:bottom w:val="single" w:sz="8" w:space="0" w:color="auto"/>
              <w:right w:val="single" w:sz="8" w:space="0" w:color="auto"/>
            </w:tcBorders>
            <w:tcMar>
              <w:top w:w="0" w:type="dxa"/>
              <w:left w:w="108" w:type="dxa"/>
              <w:bottom w:w="0" w:type="dxa"/>
              <w:right w:w="108"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3300</w:t>
            </w:r>
          </w:p>
        </w:tc>
        <w:tc>
          <w:tcPr>
            <w:tcW w:w="948"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0,83</w:t>
            </w:r>
          </w:p>
        </w:tc>
        <w:tc>
          <w:tcPr>
            <w:tcW w:w="895" w:type="dxa"/>
            <w:tcBorders>
              <w:top w:val="nil"/>
              <w:left w:val="nil"/>
              <w:bottom w:val="single" w:sz="8" w:space="0" w:color="auto"/>
              <w:right w:val="single" w:sz="8" w:space="0" w:color="auto"/>
            </w:tcBorders>
            <w:tcMar>
              <w:top w:w="0" w:type="dxa"/>
              <w:left w:w="11" w:type="dxa"/>
              <w:bottom w:w="0" w:type="dxa"/>
              <w:right w:w="11" w:type="dxa"/>
            </w:tcMar>
            <w:vAlign w:val="cente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0,47</w:t>
            </w:r>
          </w:p>
        </w:tc>
        <w:tc>
          <w:tcPr>
            <w:tcW w:w="75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μg/mc</w:t>
            </w:r>
          </w:p>
        </w:tc>
        <w:tc>
          <w:tcPr>
            <w:tcW w:w="120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0</w:t>
            </w:r>
          </w:p>
        </w:tc>
        <w:tc>
          <w:tcPr>
            <w:tcW w:w="1719" w:type="dxa"/>
            <w:tcBorders>
              <w:top w:val="nil"/>
              <w:left w:val="nil"/>
              <w:bottom w:val="single" w:sz="8" w:space="0" w:color="auto"/>
              <w:right w:val="single" w:sz="12"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37,6</w:t>
            </w:r>
          </w:p>
        </w:tc>
      </w:tr>
      <w:tr w:rsidR="00587B71" w:rsidRPr="00587B71" w:rsidTr="00587B71">
        <w:trPr>
          <w:trHeight w:val="242"/>
          <w:jc w:val="center"/>
        </w:trPr>
        <w:tc>
          <w:tcPr>
            <w:tcW w:w="0" w:type="auto"/>
            <w:vMerge/>
            <w:tcBorders>
              <w:top w:val="nil"/>
              <w:left w:val="single" w:sz="12" w:space="0" w:color="auto"/>
              <w:bottom w:val="single" w:sz="8" w:space="0" w:color="auto"/>
              <w:right w:val="single" w:sz="8" w:space="0" w:color="auto"/>
            </w:tcBorders>
            <w:vAlign w:val="center"/>
            <w:hideMark/>
          </w:tcPr>
          <w:p w:rsidR="00587B71" w:rsidRPr="00587B71" w:rsidRDefault="00587B71" w:rsidP="00587B71">
            <w:pPr>
              <w:spacing w:after="0" w:line="240" w:lineRule="auto"/>
              <w:rPr>
                <w:rFonts w:ascii="Arial" w:eastAsia="Calibri" w:hAnsi="Arial" w:cs="Arial"/>
                <w:b/>
                <w:bCs/>
                <w:sz w:val="20"/>
                <w:szCs w:val="20"/>
              </w:rPr>
            </w:pPr>
          </w:p>
        </w:tc>
        <w:tc>
          <w:tcPr>
            <w:tcW w:w="0" w:type="auto"/>
            <w:vMerge/>
            <w:tcBorders>
              <w:top w:val="nil"/>
              <w:left w:val="nil"/>
              <w:bottom w:val="single" w:sz="8" w:space="0" w:color="auto"/>
              <w:right w:val="single" w:sz="8" w:space="0" w:color="auto"/>
            </w:tcBorders>
            <w:vAlign w:val="center"/>
            <w:hideMark/>
          </w:tcPr>
          <w:p w:rsidR="00587B71" w:rsidRPr="00587B71" w:rsidRDefault="00587B71" w:rsidP="00587B71">
            <w:pPr>
              <w:spacing w:after="0" w:line="240" w:lineRule="auto"/>
              <w:rPr>
                <w:rFonts w:ascii="Arial" w:eastAsia="Calibri" w:hAnsi="Arial" w:cs="Arial"/>
                <w:b/>
                <w:bCs/>
                <w:sz w:val="20"/>
                <w:szCs w:val="20"/>
              </w:rPr>
            </w:pPr>
          </w:p>
        </w:tc>
        <w:tc>
          <w:tcPr>
            <w:tcW w:w="1246" w:type="dxa"/>
            <w:tcBorders>
              <w:top w:val="nil"/>
              <w:left w:val="nil"/>
              <w:bottom w:val="single" w:sz="8" w:space="0" w:color="auto"/>
              <w:right w:val="single" w:sz="8" w:space="0" w:color="auto"/>
            </w:tcBorders>
            <w:hideMark/>
          </w:tcPr>
          <w:p w:rsidR="00587B71" w:rsidRPr="00587B71" w:rsidRDefault="00587B71" w:rsidP="00587B71">
            <w:pPr>
              <w:spacing w:after="0" w:line="240" w:lineRule="auto"/>
              <w:jc w:val="both"/>
              <w:rPr>
                <w:rFonts w:ascii="Arial" w:eastAsia="Times New Roman" w:hAnsi="Arial" w:cs="Arial"/>
                <w:b/>
                <w:bCs/>
                <w:sz w:val="20"/>
                <w:szCs w:val="20"/>
                <w:lang w:val="ro-RO"/>
              </w:rPr>
            </w:pPr>
            <w:r w:rsidRPr="00587B71">
              <w:rPr>
                <w:rFonts w:ascii="Arial" w:eastAsia="Times New Roman" w:hAnsi="Arial" w:cs="Arial"/>
                <w:b/>
                <w:bCs/>
                <w:sz w:val="20"/>
                <w:szCs w:val="20"/>
                <w:lang w:val="ro-RO"/>
              </w:rPr>
              <w:t>Ozon</w:t>
            </w:r>
          </w:p>
        </w:tc>
        <w:tc>
          <w:tcPr>
            <w:tcW w:w="1025" w:type="dxa"/>
            <w:tcBorders>
              <w:top w:val="nil"/>
              <w:left w:val="nil"/>
              <w:bottom w:val="single" w:sz="8" w:space="0" w:color="auto"/>
              <w:right w:val="single" w:sz="8" w:space="0" w:color="auto"/>
            </w:tcBorders>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w:t>
            </w:r>
          </w:p>
        </w:tc>
        <w:tc>
          <w:tcPr>
            <w:tcW w:w="804" w:type="dxa"/>
            <w:tcBorders>
              <w:top w:val="nil"/>
              <w:left w:val="nil"/>
              <w:bottom w:val="single" w:sz="8" w:space="0" w:color="auto"/>
              <w:right w:val="single" w:sz="8" w:space="0" w:color="auto"/>
            </w:tcBorders>
            <w:tcMar>
              <w:top w:w="0" w:type="dxa"/>
              <w:left w:w="108" w:type="dxa"/>
              <w:bottom w:w="0" w:type="dxa"/>
              <w:right w:w="108"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6998</w:t>
            </w:r>
          </w:p>
        </w:tc>
        <w:tc>
          <w:tcPr>
            <w:tcW w:w="948" w:type="dxa"/>
            <w:tcBorders>
              <w:top w:val="nil"/>
              <w:left w:val="nil"/>
              <w:bottom w:val="single" w:sz="8" w:space="0" w:color="auto"/>
              <w:right w:val="single" w:sz="8" w:space="0" w:color="auto"/>
            </w:tcBorders>
            <w:tcMar>
              <w:top w:w="0" w:type="dxa"/>
              <w:left w:w="11" w:type="dxa"/>
              <w:bottom w:w="0" w:type="dxa"/>
              <w:right w:w="11" w:type="dxa"/>
            </w:tcMar>
            <w:vAlign w:val="cente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96,9</w:t>
            </w:r>
          </w:p>
        </w:tc>
        <w:tc>
          <w:tcPr>
            <w:tcW w:w="895" w:type="dxa"/>
            <w:tcBorders>
              <w:top w:val="nil"/>
              <w:left w:val="nil"/>
              <w:bottom w:val="single" w:sz="8" w:space="0" w:color="auto"/>
              <w:right w:val="single" w:sz="8" w:space="0" w:color="auto"/>
            </w:tcBorders>
            <w:tcMar>
              <w:top w:w="0" w:type="dxa"/>
              <w:left w:w="11" w:type="dxa"/>
              <w:bottom w:w="0" w:type="dxa"/>
              <w:right w:w="11" w:type="dxa"/>
            </w:tcMar>
            <w:vAlign w:val="cente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63,16</w:t>
            </w:r>
          </w:p>
        </w:tc>
        <w:tc>
          <w:tcPr>
            <w:tcW w:w="75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μg/mc</w:t>
            </w:r>
          </w:p>
        </w:tc>
        <w:tc>
          <w:tcPr>
            <w:tcW w:w="120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0</w:t>
            </w:r>
          </w:p>
        </w:tc>
        <w:tc>
          <w:tcPr>
            <w:tcW w:w="1719" w:type="dxa"/>
            <w:tcBorders>
              <w:top w:val="nil"/>
              <w:left w:val="nil"/>
              <w:bottom w:val="single" w:sz="8" w:space="0" w:color="auto"/>
              <w:right w:val="single" w:sz="12"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49,6</w:t>
            </w:r>
          </w:p>
        </w:tc>
      </w:tr>
      <w:tr w:rsidR="00587B71" w:rsidRPr="00587B71" w:rsidTr="00587B71">
        <w:trPr>
          <w:trHeight w:val="242"/>
          <w:jc w:val="center"/>
        </w:trPr>
        <w:tc>
          <w:tcPr>
            <w:tcW w:w="738" w:type="dxa"/>
            <w:vMerge w:val="restart"/>
            <w:tcBorders>
              <w:top w:val="nil"/>
              <w:left w:val="single" w:sz="12" w:space="0" w:color="auto"/>
              <w:bottom w:val="single" w:sz="8" w:space="0" w:color="auto"/>
              <w:right w:val="single" w:sz="8" w:space="0" w:color="auto"/>
            </w:tcBorders>
          </w:tcPr>
          <w:p w:rsidR="00587B71" w:rsidRPr="00587B71" w:rsidRDefault="00587B71" w:rsidP="00587B71">
            <w:pPr>
              <w:spacing w:after="0" w:line="240" w:lineRule="auto"/>
              <w:rPr>
                <w:rFonts w:ascii="Arial" w:eastAsia="Calibri" w:hAnsi="Arial" w:cs="Arial"/>
                <w:b/>
                <w:bCs/>
                <w:sz w:val="20"/>
                <w:szCs w:val="20"/>
                <w:lang w:val="ro-RO"/>
              </w:rPr>
            </w:pPr>
          </w:p>
          <w:p w:rsidR="00587B71" w:rsidRPr="00587B71" w:rsidRDefault="00587B71" w:rsidP="00587B71">
            <w:pPr>
              <w:spacing w:after="0" w:line="240" w:lineRule="auto"/>
              <w:rPr>
                <w:rFonts w:ascii="Arial" w:eastAsia="Times New Roman" w:hAnsi="Arial" w:cs="Arial"/>
                <w:b/>
                <w:bCs/>
                <w:sz w:val="20"/>
                <w:szCs w:val="20"/>
                <w:lang w:val="ro-RO"/>
              </w:rPr>
            </w:pPr>
          </w:p>
          <w:p w:rsidR="00587B71" w:rsidRPr="00587B71" w:rsidRDefault="00587B71" w:rsidP="00587B71">
            <w:pPr>
              <w:spacing w:after="0" w:line="240" w:lineRule="auto"/>
              <w:rPr>
                <w:rFonts w:ascii="Arial" w:eastAsia="Times New Roman" w:hAnsi="Arial" w:cs="Arial"/>
                <w:b/>
                <w:bCs/>
                <w:sz w:val="20"/>
                <w:szCs w:val="20"/>
                <w:lang w:val="ro-RO"/>
              </w:rPr>
            </w:pPr>
          </w:p>
          <w:p w:rsidR="00587B71" w:rsidRPr="00587B71" w:rsidRDefault="00587B71" w:rsidP="00587B71">
            <w:pPr>
              <w:spacing w:after="0" w:line="240" w:lineRule="auto"/>
              <w:rPr>
                <w:rFonts w:ascii="Arial" w:eastAsia="Times New Roman" w:hAnsi="Arial" w:cs="Arial"/>
                <w:b/>
                <w:bCs/>
                <w:sz w:val="20"/>
                <w:szCs w:val="20"/>
                <w:lang w:val="ro-RO"/>
              </w:rPr>
            </w:pPr>
          </w:p>
          <w:p w:rsidR="00587B71" w:rsidRPr="00587B71" w:rsidRDefault="00587B71" w:rsidP="00587B71">
            <w:pPr>
              <w:spacing w:after="0" w:line="240" w:lineRule="auto"/>
              <w:rPr>
                <w:rFonts w:ascii="Arial" w:eastAsia="Times New Roman" w:hAnsi="Arial" w:cs="Arial"/>
                <w:b/>
                <w:bCs/>
                <w:sz w:val="20"/>
                <w:szCs w:val="20"/>
                <w:lang w:val="ro-RO"/>
              </w:rPr>
            </w:pPr>
          </w:p>
          <w:p w:rsidR="00587B71" w:rsidRPr="00587B71" w:rsidRDefault="00587B71" w:rsidP="00587B71">
            <w:pPr>
              <w:spacing w:after="0" w:line="240" w:lineRule="auto"/>
              <w:rPr>
                <w:rFonts w:ascii="Arial" w:eastAsia="Times New Roman" w:hAnsi="Arial" w:cs="Arial"/>
                <w:b/>
                <w:bCs/>
                <w:sz w:val="20"/>
                <w:szCs w:val="20"/>
                <w:lang w:val="ro-RO"/>
              </w:rPr>
            </w:pPr>
          </w:p>
          <w:p w:rsidR="00587B71" w:rsidRPr="00587B71" w:rsidRDefault="00587B71" w:rsidP="00587B71">
            <w:pPr>
              <w:spacing w:after="0" w:line="240" w:lineRule="auto"/>
              <w:rPr>
                <w:rFonts w:ascii="Arial" w:eastAsia="Times New Roman" w:hAnsi="Arial" w:cs="Arial"/>
                <w:b/>
                <w:bCs/>
                <w:sz w:val="20"/>
                <w:szCs w:val="20"/>
                <w:lang w:val="ro-RO"/>
              </w:rPr>
            </w:pPr>
          </w:p>
          <w:p w:rsidR="00587B71" w:rsidRPr="00587B71" w:rsidRDefault="00587B71" w:rsidP="00587B71">
            <w:pPr>
              <w:spacing w:after="0" w:line="240" w:lineRule="auto"/>
              <w:rPr>
                <w:rFonts w:ascii="Arial" w:eastAsia="Times New Roman" w:hAnsi="Arial" w:cs="Arial"/>
                <w:b/>
                <w:bCs/>
                <w:sz w:val="20"/>
                <w:szCs w:val="20"/>
              </w:rPr>
            </w:pPr>
            <w:r w:rsidRPr="00587B71">
              <w:rPr>
                <w:rFonts w:ascii="Arial" w:eastAsia="Times New Roman" w:hAnsi="Arial" w:cs="Arial"/>
                <w:b/>
                <w:bCs/>
                <w:sz w:val="20"/>
                <w:szCs w:val="20"/>
                <w:lang w:val="ro-RO"/>
              </w:rPr>
              <w:t>Vaslui</w:t>
            </w:r>
          </w:p>
        </w:tc>
        <w:tc>
          <w:tcPr>
            <w:tcW w:w="867" w:type="dxa"/>
            <w:vMerge w:val="restart"/>
            <w:tcBorders>
              <w:top w:val="nil"/>
              <w:left w:val="nil"/>
              <w:bottom w:val="single" w:sz="8" w:space="0" w:color="auto"/>
              <w:right w:val="single" w:sz="8" w:space="0" w:color="auto"/>
            </w:tcBorders>
            <w:tcMar>
              <w:top w:w="0" w:type="dxa"/>
              <w:left w:w="108" w:type="dxa"/>
              <w:bottom w:w="0" w:type="dxa"/>
              <w:right w:w="108" w:type="dxa"/>
            </w:tcMar>
          </w:tcPr>
          <w:p w:rsidR="00587B71" w:rsidRPr="00587B71" w:rsidRDefault="00587B71" w:rsidP="00587B71">
            <w:pPr>
              <w:spacing w:after="0" w:line="240" w:lineRule="auto"/>
              <w:rPr>
                <w:rFonts w:ascii="Arial" w:eastAsia="Calibri" w:hAnsi="Arial" w:cs="Arial"/>
                <w:b/>
                <w:bCs/>
                <w:sz w:val="20"/>
                <w:szCs w:val="20"/>
              </w:rPr>
            </w:pPr>
          </w:p>
          <w:p w:rsidR="00587B71" w:rsidRPr="00587B71" w:rsidRDefault="00587B71" w:rsidP="00587B71">
            <w:pPr>
              <w:spacing w:after="0" w:line="240" w:lineRule="auto"/>
              <w:rPr>
                <w:rFonts w:ascii="Arial" w:eastAsia="Times New Roman" w:hAnsi="Arial" w:cs="Arial"/>
                <w:b/>
                <w:bCs/>
                <w:sz w:val="20"/>
                <w:szCs w:val="20"/>
              </w:rPr>
            </w:pPr>
          </w:p>
          <w:p w:rsidR="00587B71" w:rsidRPr="00587B71" w:rsidRDefault="00587B71" w:rsidP="00587B71">
            <w:pPr>
              <w:spacing w:after="0" w:line="240" w:lineRule="auto"/>
              <w:rPr>
                <w:rFonts w:ascii="Arial" w:eastAsia="Times New Roman" w:hAnsi="Arial" w:cs="Arial"/>
                <w:b/>
                <w:bCs/>
                <w:sz w:val="20"/>
                <w:szCs w:val="20"/>
              </w:rPr>
            </w:pPr>
          </w:p>
          <w:p w:rsidR="00587B71" w:rsidRPr="00587B71" w:rsidRDefault="00587B71" w:rsidP="00587B71">
            <w:pPr>
              <w:spacing w:after="0" w:line="240" w:lineRule="auto"/>
              <w:rPr>
                <w:rFonts w:ascii="Arial" w:eastAsia="Times New Roman" w:hAnsi="Arial" w:cs="Arial"/>
                <w:b/>
                <w:bCs/>
                <w:sz w:val="20"/>
                <w:szCs w:val="20"/>
              </w:rPr>
            </w:pPr>
          </w:p>
          <w:p w:rsidR="00587B71" w:rsidRPr="00587B71" w:rsidRDefault="00587B71" w:rsidP="00587B71">
            <w:pPr>
              <w:spacing w:after="0" w:line="240" w:lineRule="auto"/>
              <w:rPr>
                <w:rFonts w:ascii="Arial" w:eastAsia="Times New Roman" w:hAnsi="Arial" w:cs="Arial"/>
                <w:b/>
                <w:bCs/>
                <w:sz w:val="20"/>
                <w:szCs w:val="20"/>
              </w:rPr>
            </w:pPr>
          </w:p>
          <w:p w:rsidR="00587B71" w:rsidRPr="00587B71" w:rsidRDefault="00587B71" w:rsidP="00587B71">
            <w:pPr>
              <w:spacing w:after="0" w:line="240" w:lineRule="auto"/>
              <w:rPr>
                <w:rFonts w:ascii="Arial" w:eastAsia="Times New Roman" w:hAnsi="Arial" w:cs="Arial"/>
                <w:b/>
                <w:bCs/>
                <w:sz w:val="20"/>
                <w:szCs w:val="20"/>
              </w:rPr>
            </w:pPr>
          </w:p>
          <w:p w:rsidR="00587B71" w:rsidRPr="00587B71" w:rsidRDefault="00587B71" w:rsidP="00587B71">
            <w:pPr>
              <w:spacing w:after="0" w:line="240" w:lineRule="auto"/>
              <w:rPr>
                <w:rFonts w:ascii="Arial" w:eastAsia="Times New Roman" w:hAnsi="Arial" w:cs="Arial"/>
                <w:b/>
                <w:bCs/>
                <w:sz w:val="20"/>
                <w:szCs w:val="20"/>
              </w:rPr>
            </w:pPr>
          </w:p>
          <w:p w:rsidR="00587B71" w:rsidRPr="00587B71" w:rsidRDefault="00587B71" w:rsidP="00587B71">
            <w:pPr>
              <w:spacing w:after="0" w:line="240" w:lineRule="auto"/>
              <w:rPr>
                <w:rFonts w:ascii="Arial" w:eastAsia="Times New Roman" w:hAnsi="Arial" w:cs="Arial"/>
                <w:b/>
                <w:bCs/>
                <w:sz w:val="20"/>
                <w:szCs w:val="20"/>
              </w:rPr>
            </w:pPr>
            <w:r w:rsidRPr="00587B71">
              <w:rPr>
                <w:rFonts w:ascii="Arial" w:eastAsia="Times New Roman" w:hAnsi="Arial" w:cs="Arial"/>
                <w:b/>
                <w:bCs/>
                <w:sz w:val="20"/>
                <w:szCs w:val="20"/>
              </w:rPr>
              <w:t>VS-2 - FU</w:t>
            </w:r>
          </w:p>
        </w:tc>
        <w:tc>
          <w:tcPr>
            <w:tcW w:w="1246"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both"/>
              <w:rPr>
                <w:rFonts w:ascii="Arial" w:eastAsia="Times New Roman" w:hAnsi="Arial" w:cs="Arial"/>
                <w:sz w:val="20"/>
                <w:szCs w:val="20"/>
                <w:lang w:val="ro-RO"/>
              </w:rPr>
            </w:pPr>
            <w:r w:rsidRPr="00587B71">
              <w:rPr>
                <w:rFonts w:ascii="Arial" w:eastAsia="Times New Roman" w:hAnsi="Arial" w:cs="Arial"/>
                <w:b/>
                <w:bCs/>
                <w:sz w:val="20"/>
                <w:szCs w:val="20"/>
                <w:lang w:val="it-IT"/>
              </w:rPr>
              <w:t>NO2</w:t>
            </w:r>
          </w:p>
        </w:tc>
        <w:tc>
          <w:tcPr>
            <w:tcW w:w="1025" w:type="dxa"/>
            <w:tcBorders>
              <w:top w:val="nil"/>
              <w:left w:val="nil"/>
              <w:bottom w:val="single" w:sz="8" w:space="0" w:color="auto"/>
              <w:right w:val="single" w:sz="8" w:space="0" w:color="auto"/>
            </w:tcBorders>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w:t>
            </w:r>
          </w:p>
        </w:tc>
        <w:tc>
          <w:tcPr>
            <w:tcW w:w="804" w:type="dxa"/>
            <w:tcBorders>
              <w:top w:val="nil"/>
              <w:left w:val="nil"/>
              <w:bottom w:val="single" w:sz="8" w:space="0" w:color="auto"/>
              <w:right w:val="single" w:sz="8" w:space="0" w:color="auto"/>
            </w:tcBorders>
            <w:tcMar>
              <w:top w:w="0" w:type="dxa"/>
              <w:left w:w="108" w:type="dxa"/>
              <w:bottom w:w="0" w:type="dxa"/>
              <w:right w:w="108"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4493</w:t>
            </w:r>
          </w:p>
        </w:tc>
        <w:tc>
          <w:tcPr>
            <w:tcW w:w="948" w:type="dxa"/>
            <w:tcBorders>
              <w:top w:val="nil"/>
              <w:left w:val="nil"/>
              <w:bottom w:val="single" w:sz="8" w:space="0" w:color="auto"/>
              <w:right w:val="single" w:sz="8" w:space="0" w:color="auto"/>
            </w:tcBorders>
            <w:tcMar>
              <w:top w:w="0" w:type="dxa"/>
              <w:left w:w="11" w:type="dxa"/>
              <w:bottom w:w="0" w:type="dxa"/>
              <w:right w:w="11" w:type="dxa"/>
            </w:tcMar>
            <w:vAlign w:val="cente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29,87</w:t>
            </w:r>
          </w:p>
        </w:tc>
        <w:tc>
          <w:tcPr>
            <w:tcW w:w="89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10,84</w:t>
            </w:r>
          </w:p>
        </w:tc>
        <w:tc>
          <w:tcPr>
            <w:tcW w:w="75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μg/mc</w:t>
            </w:r>
          </w:p>
        </w:tc>
        <w:tc>
          <w:tcPr>
            <w:tcW w:w="120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0</w:t>
            </w:r>
          </w:p>
        </w:tc>
        <w:tc>
          <w:tcPr>
            <w:tcW w:w="1719" w:type="dxa"/>
            <w:tcBorders>
              <w:top w:val="nil"/>
              <w:left w:val="nil"/>
              <w:bottom w:val="single" w:sz="8" w:space="0" w:color="auto"/>
              <w:right w:val="single" w:sz="12"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51,2</w:t>
            </w:r>
          </w:p>
        </w:tc>
      </w:tr>
      <w:tr w:rsidR="00587B71" w:rsidRPr="00587B71" w:rsidTr="00587B71">
        <w:trPr>
          <w:trHeight w:val="242"/>
          <w:jc w:val="center"/>
        </w:trPr>
        <w:tc>
          <w:tcPr>
            <w:tcW w:w="0" w:type="auto"/>
            <w:vMerge/>
            <w:tcBorders>
              <w:top w:val="nil"/>
              <w:left w:val="single" w:sz="12" w:space="0" w:color="auto"/>
              <w:bottom w:val="single" w:sz="8" w:space="0" w:color="auto"/>
              <w:right w:val="single" w:sz="8" w:space="0" w:color="auto"/>
            </w:tcBorders>
            <w:vAlign w:val="center"/>
            <w:hideMark/>
          </w:tcPr>
          <w:p w:rsidR="00587B71" w:rsidRPr="00587B71" w:rsidRDefault="00587B71" w:rsidP="00587B71">
            <w:pPr>
              <w:spacing w:after="0" w:line="240" w:lineRule="auto"/>
              <w:rPr>
                <w:rFonts w:ascii="Arial" w:eastAsia="Calibri" w:hAnsi="Arial" w:cs="Arial"/>
                <w:b/>
                <w:bCs/>
                <w:sz w:val="20"/>
                <w:szCs w:val="20"/>
              </w:rPr>
            </w:pPr>
          </w:p>
        </w:tc>
        <w:tc>
          <w:tcPr>
            <w:tcW w:w="0" w:type="auto"/>
            <w:vMerge/>
            <w:tcBorders>
              <w:top w:val="nil"/>
              <w:left w:val="nil"/>
              <w:bottom w:val="single" w:sz="8" w:space="0" w:color="auto"/>
              <w:right w:val="single" w:sz="8" w:space="0" w:color="auto"/>
            </w:tcBorders>
            <w:vAlign w:val="center"/>
            <w:hideMark/>
          </w:tcPr>
          <w:p w:rsidR="00587B71" w:rsidRPr="00587B71" w:rsidRDefault="00587B71" w:rsidP="00587B71">
            <w:pPr>
              <w:spacing w:after="0" w:line="240" w:lineRule="auto"/>
              <w:rPr>
                <w:rFonts w:ascii="Arial" w:eastAsia="Calibri" w:hAnsi="Arial" w:cs="Arial"/>
                <w:b/>
                <w:bCs/>
                <w:sz w:val="20"/>
                <w:szCs w:val="20"/>
              </w:rPr>
            </w:pPr>
          </w:p>
        </w:tc>
        <w:tc>
          <w:tcPr>
            <w:tcW w:w="1246" w:type="dxa"/>
            <w:tcBorders>
              <w:top w:val="nil"/>
              <w:left w:val="nil"/>
              <w:bottom w:val="single" w:sz="8" w:space="0" w:color="auto"/>
              <w:right w:val="single" w:sz="8" w:space="0" w:color="auto"/>
            </w:tcBorders>
            <w:hideMark/>
          </w:tcPr>
          <w:p w:rsidR="00587B71" w:rsidRPr="00587B71" w:rsidRDefault="00587B71" w:rsidP="00587B71">
            <w:pPr>
              <w:spacing w:after="0" w:line="240" w:lineRule="auto"/>
              <w:jc w:val="both"/>
              <w:rPr>
                <w:rFonts w:ascii="Arial" w:eastAsia="Times New Roman" w:hAnsi="Arial" w:cs="Arial"/>
                <w:sz w:val="20"/>
                <w:szCs w:val="20"/>
                <w:lang w:val="ro-RO"/>
              </w:rPr>
            </w:pPr>
            <w:r w:rsidRPr="00587B71">
              <w:rPr>
                <w:rFonts w:ascii="Arial" w:eastAsia="Times New Roman" w:hAnsi="Arial" w:cs="Arial"/>
                <w:b/>
                <w:bCs/>
                <w:sz w:val="20"/>
                <w:szCs w:val="20"/>
                <w:lang w:val="it-IT"/>
              </w:rPr>
              <w:t>SO2</w:t>
            </w:r>
          </w:p>
        </w:tc>
        <w:tc>
          <w:tcPr>
            <w:tcW w:w="1025" w:type="dxa"/>
            <w:tcBorders>
              <w:top w:val="nil"/>
              <w:left w:val="nil"/>
              <w:bottom w:val="single" w:sz="8" w:space="0" w:color="auto"/>
              <w:right w:val="single" w:sz="8" w:space="0" w:color="auto"/>
            </w:tcBorders>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w:t>
            </w:r>
          </w:p>
        </w:tc>
        <w:tc>
          <w:tcPr>
            <w:tcW w:w="804" w:type="dxa"/>
            <w:tcBorders>
              <w:top w:val="nil"/>
              <w:left w:val="nil"/>
              <w:bottom w:val="single" w:sz="8" w:space="0" w:color="auto"/>
              <w:right w:val="single" w:sz="8" w:space="0" w:color="auto"/>
            </w:tcBorders>
            <w:tcMar>
              <w:top w:w="0" w:type="dxa"/>
              <w:left w:w="108" w:type="dxa"/>
              <w:bottom w:w="0" w:type="dxa"/>
              <w:right w:w="108"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w:t>
            </w:r>
          </w:p>
        </w:tc>
        <w:tc>
          <w:tcPr>
            <w:tcW w:w="948" w:type="dxa"/>
            <w:tcBorders>
              <w:top w:val="nil"/>
              <w:left w:val="nil"/>
              <w:bottom w:val="single" w:sz="8" w:space="0" w:color="auto"/>
              <w:right w:val="single" w:sz="8" w:space="0" w:color="auto"/>
            </w:tcBorders>
            <w:tcMar>
              <w:top w:w="0" w:type="dxa"/>
              <w:left w:w="11" w:type="dxa"/>
              <w:bottom w:w="0" w:type="dxa"/>
              <w:right w:w="11" w:type="dxa"/>
            </w:tcMar>
            <w:vAlign w:val="cente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w:t>
            </w:r>
          </w:p>
        </w:tc>
        <w:tc>
          <w:tcPr>
            <w:tcW w:w="89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w:t>
            </w:r>
          </w:p>
        </w:tc>
        <w:tc>
          <w:tcPr>
            <w:tcW w:w="75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μg/mc</w:t>
            </w:r>
          </w:p>
        </w:tc>
        <w:tc>
          <w:tcPr>
            <w:tcW w:w="120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0</w:t>
            </w:r>
          </w:p>
        </w:tc>
        <w:tc>
          <w:tcPr>
            <w:tcW w:w="1719" w:type="dxa"/>
            <w:tcBorders>
              <w:top w:val="nil"/>
              <w:left w:val="nil"/>
              <w:bottom w:val="single" w:sz="8" w:space="0" w:color="auto"/>
              <w:right w:val="single" w:sz="12"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0</w:t>
            </w:r>
          </w:p>
        </w:tc>
      </w:tr>
      <w:tr w:rsidR="00587B71" w:rsidRPr="00587B71" w:rsidTr="00587B71">
        <w:trPr>
          <w:trHeight w:val="242"/>
          <w:jc w:val="center"/>
        </w:trPr>
        <w:tc>
          <w:tcPr>
            <w:tcW w:w="0" w:type="auto"/>
            <w:vMerge/>
            <w:tcBorders>
              <w:top w:val="nil"/>
              <w:left w:val="single" w:sz="12" w:space="0" w:color="auto"/>
              <w:bottom w:val="single" w:sz="8" w:space="0" w:color="auto"/>
              <w:right w:val="single" w:sz="8" w:space="0" w:color="auto"/>
            </w:tcBorders>
            <w:vAlign w:val="center"/>
            <w:hideMark/>
          </w:tcPr>
          <w:p w:rsidR="00587B71" w:rsidRPr="00587B71" w:rsidRDefault="00587B71" w:rsidP="00587B71">
            <w:pPr>
              <w:spacing w:after="0" w:line="240" w:lineRule="auto"/>
              <w:rPr>
                <w:rFonts w:ascii="Arial" w:eastAsia="Calibri" w:hAnsi="Arial" w:cs="Arial"/>
                <w:b/>
                <w:bCs/>
                <w:sz w:val="20"/>
                <w:szCs w:val="20"/>
              </w:rPr>
            </w:pPr>
          </w:p>
        </w:tc>
        <w:tc>
          <w:tcPr>
            <w:tcW w:w="0" w:type="auto"/>
            <w:vMerge/>
            <w:tcBorders>
              <w:top w:val="nil"/>
              <w:left w:val="nil"/>
              <w:bottom w:val="single" w:sz="8" w:space="0" w:color="auto"/>
              <w:right w:val="single" w:sz="8" w:space="0" w:color="auto"/>
            </w:tcBorders>
            <w:vAlign w:val="center"/>
            <w:hideMark/>
          </w:tcPr>
          <w:p w:rsidR="00587B71" w:rsidRPr="00587B71" w:rsidRDefault="00587B71" w:rsidP="00587B71">
            <w:pPr>
              <w:spacing w:after="0" w:line="240" w:lineRule="auto"/>
              <w:rPr>
                <w:rFonts w:ascii="Arial" w:eastAsia="Calibri" w:hAnsi="Arial" w:cs="Arial"/>
                <w:b/>
                <w:bCs/>
                <w:sz w:val="20"/>
                <w:szCs w:val="20"/>
              </w:rPr>
            </w:pPr>
          </w:p>
        </w:tc>
        <w:tc>
          <w:tcPr>
            <w:tcW w:w="1246" w:type="dxa"/>
            <w:tcBorders>
              <w:top w:val="nil"/>
              <w:left w:val="nil"/>
              <w:bottom w:val="single" w:sz="8" w:space="0" w:color="auto"/>
              <w:right w:val="single" w:sz="8" w:space="0" w:color="auto"/>
            </w:tcBorders>
            <w:hideMark/>
          </w:tcPr>
          <w:p w:rsidR="00587B71" w:rsidRPr="00587B71" w:rsidRDefault="00587B71" w:rsidP="00587B71">
            <w:pPr>
              <w:spacing w:after="0" w:line="240" w:lineRule="auto"/>
              <w:jc w:val="both"/>
              <w:rPr>
                <w:rFonts w:ascii="Arial" w:eastAsia="Times New Roman" w:hAnsi="Arial" w:cs="Arial"/>
                <w:b/>
                <w:bCs/>
                <w:sz w:val="20"/>
                <w:szCs w:val="20"/>
                <w:lang w:val="it-IT"/>
              </w:rPr>
            </w:pPr>
            <w:r w:rsidRPr="00587B71">
              <w:rPr>
                <w:rFonts w:ascii="Arial" w:eastAsia="Times New Roman" w:hAnsi="Arial" w:cs="Arial"/>
                <w:b/>
                <w:bCs/>
                <w:sz w:val="20"/>
                <w:szCs w:val="20"/>
                <w:lang w:val="it-IT"/>
              </w:rPr>
              <w:t>NO</w:t>
            </w:r>
          </w:p>
        </w:tc>
        <w:tc>
          <w:tcPr>
            <w:tcW w:w="1025" w:type="dxa"/>
            <w:tcBorders>
              <w:top w:val="nil"/>
              <w:left w:val="nil"/>
              <w:bottom w:val="single" w:sz="8" w:space="0" w:color="auto"/>
              <w:right w:val="single" w:sz="8" w:space="0" w:color="auto"/>
            </w:tcBorders>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w:t>
            </w:r>
          </w:p>
        </w:tc>
        <w:tc>
          <w:tcPr>
            <w:tcW w:w="804" w:type="dxa"/>
            <w:tcBorders>
              <w:top w:val="nil"/>
              <w:left w:val="nil"/>
              <w:bottom w:val="single" w:sz="8" w:space="0" w:color="auto"/>
              <w:right w:val="single" w:sz="8" w:space="0" w:color="auto"/>
            </w:tcBorders>
            <w:tcMar>
              <w:top w:w="0" w:type="dxa"/>
              <w:left w:w="108" w:type="dxa"/>
              <w:bottom w:w="0" w:type="dxa"/>
              <w:right w:w="108"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4493</w:t>
            </w:r>
          </w:p>
        </w:tc>
        <w:tc>
          <w:tcPr>
            <w:tcW w:w="948" w:type="dxa"/>
            <w:tcBorders>
              <w:top w:val="nil"/>
              <w:left w:val="nil"/>
              <w:bottom w:val="single" w:sz="8" w:space="0" w:color="auto"/>
              <w:right w:val="single" w:sz="8" w:space="0" w:color="auto"/>
            </w:tcBorders>
            <w:tcMar>
              <w:top w:w="0" w:type="dxa"/>
              <w:left w:w="11" w:type="dxa"/>
              <w:bottom w:w="0" w:type="dxa"/>
              <w:right w:w="11" w:type="dxa"/>
            </w:tcMar>
            <w:vAlign w:val="cente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17,36</w:t>
            </w:r>
          </w:p>
        </w:tc>
        <w:tc>
          <w:tcPr>
            <w:tcW w:w="89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6,96</w:t>
            </w:r>
          </w:p>
        </w:tc>
        <w:tc>
          <w:tcPr>
            <w:tcW w:w="75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μg/mc</w:t>
            </w:r>
          </w:p>
        </w:tc>
        <w:tc>
          <w:tcPr>
            <w:tcW w:w="120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0</w:t>
            </w:r>
          </w:p>
        </w:tc>
        <w:tc>
          <w:tcPr>
            <w:tcW w:w="1719" w:type="dxa"/>
            <w:tcBorders>
              <w:top w:val="nil"/>
              <w:left w:val="nil"/>
              <w:bottom w:val="single" w:sz="8" w:space="0" w:color="auto"/>
              <w:right w:val="single" w:sz="12"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51,2</w:t>
            </w:r>
          </w:p>
        </w:tc>
      </w:tr>
      <w:tr w:rsidR="00587B71" w:rsidRPr="00587B71" w:rsidTr="00587B71">
        <w:trPr>
          <w:trHeight w:val="242"/>
          <w:jc w:val="center"/>
        </w:trPr>
        <w:tc>
          <w:tcPr>
            <w:tcW w:w="0" w:type="auto"/>
            <w:vMerge/>
            <w:tcBorders>
              <w:top w:val="nil"/>
              <w:left w:val="single" w:sz="12" w:space="0" w:color="auto"/>
              <w:bottom w:val="single" w:sz="8" w:space="0" w:color="auto"/>
              <w:right w:val="single" w:sz="8" w:space="0" w:color="auto"/>
            </w:tcBorders>
            <w:vAlign w:val="center"/>
            <w:hideMark/>
          </w:tcPr>
          <w:p w:rsidR="00587B71" w:rsidRPr="00587B71" w:rsidRDefault="00587B71" w:rsidP="00587B71">
            <w:pPr>
              <w:spacing w:after="0" w:line="240" w:lineRule="auto"/>
              <w:rPr>
                <w:rFonts w:ascii="Arial" w:eastAsia="Calibri" w:hAnsi="Arial" w:cs="Arial"/>
                <w:b/>
                <w:bCs/>
                <w:sz w:val="20"/>
                <w:szCs w:val="20"/>
              </w:rPr>
            </w:pPr>
          </w:p>
        </w:tc>
        <w:tc>
          <w:tcPr>
            <w:tcW w:w="0" w:type="auto"/>
            <w:vMerge/>
            <w:tcBorders>
              <w:top w:val="nil"/>
              <w:left w:val="nil"/>
              <w:bottom w:val="single" w:sz="8" w:space="0" w:color="auto"/>
              <w:right w:val="single" w:sz="8" w:space="0" w:color="auto"/>
            </w:tcBorders>
            <w:vAlign w:val="center"/>
            <w:hideMark/>
          </w:tcPr>
          <w:p w:rsidR="00587B71" w:rsidRPr="00587B71" w:rsidRDefault="00587B71" w:rsidP="00587B71">
            <w:pPr>
              <w:spacing w:after="0" w:line="240" w:lineRule="auto"/>
              <w:rPr>
                <w:rFonts w:ascii="Arial" w:eastAsia="Calibri" w:hAnsi="Arial" w:cs="Arial"/>
                <w:b/>
                <w:bCs/>
                <w:sz w:val="20"/>
                <w:szCs w:val="20"/>
              </w:rPr>
            </w:pPr>
          </w:p>
        </w:tc>
        <w:tc>
          <w:tcPr>
            <w:tcW w:w="1246" w:type="dxa"/>
            <w:tcBorders>
              <w:top w:val="nil"/>
              <w:left w:val="nil"/>
              <w:bottom w:val="single" w:sz="8" w:space="0" w:color="auto"/>
              <w:right w:val="single" w:sz="8" w:space="0" w:color="auto"/>
            </w:tcBorders>
            <w:hideMark/>
          </w:tcPr>
          <w:p w:rsidR="00587B71" w:rsidRPr="00587B71" w:rsidRDefault="00587B71" w:rsidP="00587B71">
            <w:pPr>
              <w:spacing w:after="0" w:line="240" w:lineRule="auto"/>
              <w:jc w:val="both"/>
              <w:rPr>
                <w:rFonts w:ascii="Arial" w:eastAsia="Times New Roman" w:hAnsi="Arial" w:cs="Arial"/>
                <w:b/>
                <w:bCs/>
                <w:sz w:val="20"/>
                <w:szCs w:val="20"/>
                <w:lang w:val="it-IT"/>
              </w:rPr>
            </w:pPr>
            <w:r w:rsidRPr="00587B71">
              <w:rPr>
                <w:rFonts w:ascii="Arial" w:eastAsia="Times New Roman" w:hAnsi="Arial" w:cs="Arial"/>
                <w:b/>
                <w:bCs/>
                <w:sz w:val="20"/>
                <w:szCs w:val="20"/>
                <w:lang w:val="it-IT"/>
              </w:rPr>
              <w:t>NOx</w:t>
            </w:r>
          </w:p>
        </w:tc>
        <w:tc>
          <w:tcPr>
            <w:tcW w:w="1025" w:type="dxa"/>
            <w:tcBorders>
              <w:top w:val="nil"/>
              <w:left w:val="nil"/>
              <w:bottom w:val="single" w:sz="8" w:space="0" w:color="auto"/>
              <w:right w:val="single" w:sz="8" w:space="0" w:color="auto"/>
            </w:tcBorders>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w:t>
            </w:r>
          </w:p>
        </w:tc>
        <w:tc>
          <w:tcPr>
            <w:tcW w:w="804" w:type="dxa"/>
            <w:tcBorders>
              <w:top w:val="nil"/>
              <w:left w:val="nil"/>
              <w:bottom w:val="single" w:sz="8" w:space="0" w:color="auto"/>
              <w:right w:val="single" w:sz="8" w:space="0" w:color="auto"/>
            </w:tcBorders>
            <w:tcMar>
              <w:top w:w="0" w:type="dxa"/>
              <w:left w:w="108" w:type="dxa"/>
              <w:bottom w:w="0" w:type="dxa"/>
              <w:right w:w="108"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4493</w:t>
            </w:r>
          </w:p>
        </w:tc>
        <w:tc>
          <w:tcPr>
            <w:tcW w:w="948" w:type="dxa"/>
            <w:tcBorders>
              <w:top w:val="nil"/>
              <w:left w:val="nil"/>
              <w:bottom w:val="single" w:sz="8" w:space="0" w:color="auto"/>
              <w:right w:val="single" w:sz="8" w:space="0" w:color="auto"/>
            </w:tcBorders>
            <w:tcMar>
              <w:top w:w="0" w:type="dxa"/>
              <w:left w:w="11" w:type="dxa"/>
              <w:bottom w:w="0" w:type="dxa"/>
              <w:right w:w="11" w:type="dxa"/>
            </w:tcMar>
            <w:vAlign w:val="cente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92,80</w:t>
            </w:r>
          </w:p>
        </w:tc>
        <w:tc>
          <w:tcPr>
            <w:tcW w:w="89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21,33</w:t>
            </w:r>
          </w:p>
        </w:tc>
        <w:tc>
          <w:tcPr>
            <w:tcW w:w="75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μg/mc</w:t>
            </w:r>
          </w:p>
        </w:tc>
        <w:tc>
          <w:tcPr>
            <w:tcW w:w="120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0</w:t>
            </w:r>
          </w:p>
        </w:tc>
        <w:tc>
          <w:tcPr>
            <w:tcW w:w="1719" w:type="dxa"/>
            <w:tcBorders>
              <w:top w:val="nil"/>
              <w:left w:val="nil"/>
              <w:bottom w:val="single" w:sz="8" w:space="0" w:color="auto"/>
              <w:right w:val="single" w:sz="12"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Calibri" w:hAnsi="Arial" w:cs="Arial"/>
                <w:sz w:val="20"/>
                <w:szCs w:val="20"/>
                <w:lang w:val="ro-RO"/>
              </w:rPr>
              <w:t>51,2</w:t>
            </w:r>
          </w:p>
        </w:tc>
      </w:tr>
      <w:tr w:rsidR="00587B71" w:rsidRPr="00587B71" w:rsidTr="00587B71">
        <w:trPr>
          <w:trHeight w:val="242"/>
          <w:jc w:val="center"/>
        </w:trPr>
        <w:tc>
          <w:tcPr>
            <w:tcW w:w="0" w:type="auto"/>
            <w:vMerge/>
            <w:tcBorders>
              <w:top w:val="nil"/>
              <w:left w:val="single" w:sz="12" w:space="0" w:color="auto"/>
              <w:bottom w:val="single" w:sz="8" w:space="0" w:color="auto"/>
              <w:right w:val="single" w:sz="8" w:space="0" w:color="auto"/>
            </w:tcBorders>
            <w:vAlign w:val="center"/>
            <w:hideMark/>
          </w:tcPr>
          <w:p w:rsidR="00587B71" w:rsidRPr="00587B71" w:rsidRDefault="00587B71" w:rsidP="00587B71">
            <w:pPr>
              <w:spacing w:after="0" w:line="240" w:lineRule="auto"/>
              <w:rPr>
                <w:rFonts w:ascii="Arial" w:eastAsia="Calibri" w:hAnsi="Arial" w:cs="Arial"/>
                <w:b/>
                <w:bCs/>
                <w:sz w:val="20"/>
                <w:szCs w:val="20"/>
              </w:rPr>
            </w:pPr>
          </w:p>
        </w:tc>
        <w:tc>
          <w:tcPr>
            <w:tcW w:w="0" w:type="auto"/>
            <w:vMerge/>
            <w:tcBorders>
              <w:top w:val="nil"/>
              <w:left w:val="nil"/>
              <w:bottom w:val="single" w:sz="8" w:space="0" w:color="auto"/>
              <w:right w:val="single" w:sz="8" w:space="0" w:color="auto"/>
            </w:tcBorders>
            <w:vAlign w:val="center"/>
            <w:hideMark/>
          </w:tcPr>
          <w:p w:rsidR="00587B71" w:rsidRPr="00587B71" w:rsidRDefault="00587B71" w:rsidP="00587B71">
            <w:pPr>
              <w:spacing w:after="0" w:line="240" w:lineRule="auto"/>
              <w:rPr>
                <w:rFonts w:ascii="Arial" w:eastAsia="Calibri" w:hAnsi="Arial" w:cs="Arial"/>
                <w:b/>
                <w:bCs/>
                <w:sz w:val="20"/>
                <w:szCs w:val="20"/>
              </w:rPr>
            </w:pPr>
          </w:p>
        </w:tc>
        <w:tc>
          <w:tcPr>
            <w:tcW w:w="1246" w:type="dxa"/>
            <w:tcBorders>
              <w:top w:val="nil"/>
              <w:left w:val="nil"/>
              <w:bottom w:val="single" w:sz="8" w:space="0" w:color="auto"/>
              <w:right w:val="single" w:sz="8" w:space="0" w:color="auto"/>
            </w:tcBorders>
            <w:hideMark/>
          </w:tcPr>
          <w:p w:rsidR="00587B71" w:rsidRPr="00587B71" w:rsidRDefault="00587B71" w:rsidP="00587B71">
            <w:pPr>
              <w:spacing w:after="0" w:line="240" w:lineRule="auto"/>
              <w:ind w:right="-91"/>
              <w:jc w:val="both"/>
              <w:rPr>
                <w:rFonts w:ascii="Arial" w:eastAsia="Times New Roman" w:hAnsi="Arial" w:cs="Arial"/>
                <w:b/>
                <w:bCs/>
                <w:sz w:val="20"/>
                <w:szCs w:val="20"/>
                <w:lang w:val="ro-RO"/>
              </w:rPr>
            </w:pPr>
            <w:r w:rsidRPr="00587B71">
              <w:rPr>
                <w:rFonts w:ascii="Arial" w:eastAsia="Times New Roman" w:hAnsi="Arial" w:cs="Arial"/>
                <w:b/>
                <w:bCs/>
                <w:sz w:val="20"/>
                <w:szCs w:val="20"/>
                <w:lang w:val="ro-RO"/>
              </w:rPr>
              <w:t>PM10 nefelom.</w:t>
            </w:r>
          </w:p>
        </w:tc>
        <w:tc>
          <w:tcPr>
            <w:tcW w:w="1025" w:type="dxa"/>
            <w:tcBorders>
              <w:top w:val="nil"/>
              <w:left w:val="nil"/>
              <w:bottom w:val="single" w:sz="8" w:space="0" w:color="auto"/>
              <w:right w:val="single" w:sz="8" w:space="0" w:color="auto"/>
            </w:tcBorders>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w:t>
            </w:r>
          </w:p>
        </w:tc>
        <w:tc>
          <w:tcPr>
            <w:tcW w:w="804" w:type="dxa"/>
            <w:tcBorders>
              <w:top w:val="nil"/>
              <w:left w:val="nil"/>
              <w:bottom w:val="single" w:sz="8" w:space="0" w:color="auto"/>
              <w:right w:val="single" w:sz="8" w:space="0" w:color="auto"/>
            </w:tcBorders>
            <w:tcMar>
              <w:top w:w="0" w:type="dxa"/>
              <w:left w:w="108" w:type="dxa"/>
              <w:bottom w:w="0" w:type="dxa"/>
              <w:right w:w="108"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5904</w:t>
            </w:r>
          </w:p>
        </w:tc>
        <w:tc>
          <w:tcPr>
            <w:tcW w:w="948"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49,34</w:t>
            </w:r>
          </w:p>
        </w:tc>
        <w:tc>
          <w:tcPr>
            <w:tcW w:w="89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27,95</w:t>
            </w:r>
          </w:p>
        </w:tc>
        <w:tc>
          <w:tcPr>
            <w:tcW w:w="75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μg/mc</w:t>
            </w:r>
          </w:p>
        </w:tc>
        <w:tc>
          <w:tcPr>
            <w:tcW w:w="120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0</w:t>
            </w:r>
          </w:p>
        </w:tc>
        <w:tc>
          <w:tcPr>
            <w:tcW w:w="1719" w:type="dxa"/>
            <w:tcBorders>
              <w:top w:val="nil"/>
              <w:left w:val="nil"/>
              <w:bottom w:val="single" w:sz="8" w:space="0" w:color="auto"/>
              <w:right w:val="single" w:sz="12"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67,3</w:t>
            </w:r>
          </w:p>
        </w:tc>
      </w:tr>
      <w:tr w:rsidR="00587B71" w:rsidRPr="00587B71" w:rsidTr="00587B71">
        <w:trPr>
          <w:trHeight w:val="242"/>
          <w:jc w:val="center"/>
        </w:trPr>
        <w:tc>
          <w:tcPr>
            <w:tcW w:w="0" w:type="auto"/>
            <w:vMerge/>
            <w:tcBorders>
              <w:top w:val="nil"/>
              <w:left w:val="single" w:sz="12" w:space="0" w:color="auto"/>
              <w:bottom w:val="single" w:sz="8" w:space="0" w:color="auto"/>
              <w:right w:val="single" w:sz="8" w:space="0" w:color="auto"/>
            </w:tcBorders>
            <w:vAlign w:val="center"/>
            <w:hideMark/>
          </w:tcPr>
          <w:p w:rsidR="00587B71" w:rsidRPr="00587B71" w:rsidRDefault="00587B71" w:rsidP="00587B71">
            <w:pPr>
              <w:spacing w:after="0" w:line="240" w:lineRule="auto"/>
              <w:rPr>
                <w:rFonts w:ascii="Arial" w:eastAsia="Calibri" w:hAnsi="Arial" w:cs="Arial"/>
                <w:b/>
                <w:bCs/>
                <w:sz w:val="20"/>
                <w:szCs w:val="20"/>
              </w:rPr>
            </w:pPr>
          </w:p>
        </w:tc>
        <w:tc>
          <w:tcPr>
            <w:tcW w:w="0" w:type="auto"/>
            <w:vMerge/>
            <w:tcBorders>
              <w:top w:val="nil"/>
              <w:left w:val="nil"/>
              <w:bottom w:val="single" w:sz="8" w:space="0" w:color="auto"/>
              <w:right w:val="single" w:sz="8" w:space="0" w:color="auto"/>
            </w:tcBorders>
            <w:vAlign w:val="center"/>
            <w:hideMark/>
          </w:tcPr>
          <w:p w:rsidR="00587B71" w:rsidRPr="00587B71" w:rsidRDefault="00587B71" w:rsidP="00587B71">
            <w:pPr>
              <w:spacing w:after="0" w:line="240" w:lineRule="auto"/>
              <w:rPr>
                <w:rFonts w:ascii="Arial" w:eastAsia="Calibri" w:hAnsi="Arial" w:cs="Arial"/>
                <w:b/>
                <w:bCs/>
                <w:sz w:val="20"/>
                <w:szCs w:val="20"/>
              </w:rPr>
            </w:pPr>
          </w:p>
        </w:tc>
        <w:tc>
          <w:tcPr>
            <w:tcW w:w="1246" w:type="dxa"/>
            <w:tcBorders>
              <w:top w:val="nil"/>
              <w:left w:val="nil"/>
              <w:bottom w:val="single" w:sz="8" w:space="0" w:color="auto"/>
              <w:right w:val="single" w:sz="8" w:space="0" w:color="auto"/>
            </w:tcBorders>
            <w:hideMark/>
          </w:tcPr>
          <w:p w:rsidR="00587B71" w:rsidRPr="00587B71" w:rsidRDefault="00587B71" w:rsidP="00587B71">
            <w:pPr>
              <w:spacing w:after="0" w:line="240" w:lineRule="auto"/>
              <w:ind w:right="-91"/>
              <w:jc w:val="both"/>
              <w:rPr>
                <w:rFonts w:ascii="Arial" w:eastAsia="Times New Roman" w:hAnsi="Arial" w:cs="Arial"/>
                <w:b/>
                <w:bCs/>
                <w:sz w:val="20"/>
                <w:szCs w:val="20"/>
                <w:lang w:val="ro-RO"/>
              </w:rPr>
            </w:pPr>
            <w:r w:rsidRPr="00587B71">
              <w:rPr>
                <w:rFonts w:ascii="Arial" w:eastAsia="Times New Roman" w:hAnsi="Arial" w:cs="Arial"/>
                <w:b/>
                <w:bCs/>
                <w:sz w:val="20"/>
                <w:szCs w:val="20"/>
                <w:lang w:val="ro-RO"/>
              </w:rPr>
              <w:t>PM10 gravim.</w:t>
            </w:r>
          </w:p>
        </w:tc>
        <w:tc>
          <w:tcPr>
            <w:tcW w:w="1025" w:type="dxa"/>
            <w:tcBorders>
              <w:top w:val="nil"/>
              <w:left w:val="nil"/>
              <w:bottom w:val="single" w:sz="8" w:space="0" w:color="auto"/>
              <w:right w:val="single" w:sz="8" w:space="0" w:color="auto"/>
            </w:tcBorders>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Calibri" w:hAnsi="Arial" w:cs="Arial"/>
                <w:sz w:val="20"/>
                <w:szCs w:val="20"/>
                <w:lang w:val="ro-RO"/>
              </w:rPr>
              <w:t>331</w:t>
            </w:r>
          </w:p>
        </w:tc>
        <w:tc>
          <w:tcPr>
            <w:tcW w:w="804" w:type="dxa"/>
            <w:tcBorders>
              <w:top w:val="nil"/>
              <w:left w:val="nil"/>
              <w:bottom w:val="single" w:sz="8" w:space="0" w:color="auto"/>
              <w:right w:val="single" w:sz="8" w:space="0" w:color="auto"/>
            </w:tcBorders>
            <w:tcMar>
              <w:top w:w="0" w:type="dxa"/>
              <w:left w:w="108" w:type="dxa"/>
              <w:bottom w:w="0" w:type="dxa"/>
              <w:right w:w="108"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w:t>
            </w:r>
          </w:p>
        </w:tc>
        <w:tc>
          <w:tcPr>
            <w:tcW w:w="948" w:type="dxa"/>
            <w:tcBorders>
              <w:top w:val="nil"/>
              <w:left w:val="nil"/>
              <w:bottom w:val="single" w:sz="8" w:space="0" w:color="auto"/>
              <w:right w:val="single" w:sz="8" w:space="0" w:color="auto"/>
            </w:tcBorders>
            <w:tcMar>
              <w:top w:w="0" w:type="dxa"/>
              <w:left w:w="11" w:type="dxa"/>
              <w:bottom w:w="0" w:type="dxa"/>
              <w:right w:w="11" w:type="dxa"/>
            </w:tcMar>
            <w:vAlign w:val="cente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48,14</w:t>
            </w:r>
          </w:p>
        </w:tc>
        <w:tc>
          <w:tcPr>
            <w:tcW w:w="89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26,30</w:t>
            </w:r>
          </w:p>
        </w:tc>
        <w:tc>
          <w:tcPr>
            <w:tcW w:w="75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μg/mc</w:t>
            </w:r>
          </w:p>
        </w:tc>
        <w:tc>
          <w:tcPr>
            <w:tcW w:w="120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0</w:t>
            </w:r>
          </w:p>
        </w:tc>
        <w:tc>
          <w:tcPr>
            <w:tcW w:w="1719" w:type="dxa"/>
            <w:tcBorders>
              <w:top w:val="nil"/>
              <w:left w:val="nil"/>
              <w:bottom w:val="single" w:sz="8" w:space="0" w:color="auto"/>
              <w:right w:val="single" w:sz="12"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90,6</w:t>
            </w:r>
          </w:p>
        </w:tc>
      </w:tr>
      <w:tr w:rsidR="00587B71" w:rsidRPr="00587B71" w:rsidTr="00587B71">
        <w:trPr>
          <w:trHeight w:val="242"/>
          <w:jc w:val="center"/>
        </w:trPr>
        <w:tc>
          <w:tcPr>
            <w:tcW w:w="0" w:type="auto"/>
            <w:vMerge/>
            <w:tcBorders>
              <w:top w:val="nil"/>
              <w:left w:val="single" w:sz="12" w:space="0" w:color="auto"/>
              <w:bottom w:val="single" w:sz="8" w:space="0" w:color="auto"/>
              <w:right w:val="single" w:sz="8" w:space="0" w:color="auto"/>
            </w:tcBorders>
            <w:vAlign w:val="center"/>
            <w:hideMark/>
          </w:tcPr>
          <w:p w:rsidR="00587B71" w:rsidRPr="00587B71" w:rsidRDefault="00587B71" w:rsidP="00587B71">
            <w:pPr>
              <w:spacing w:after="0" w:line="240" w:lineRule="auto"/>
              <w:rPr>
                <w:rFonts w:ascii="Arial" w:eastAsia="Calibri" w:hAnsi="Arial" w:cs="Arial"/>
                <w:b/>
                <w:bCs/>
                <w:sz w:val="20"/>
                <w:szCs w:val="20"/>
              </w:rPr>
            </w:pPr>
          </w:p>
        </w:tc>
        <w:tc>
          <w:tcPr>
            <w:tcW w:w="0" w:type="auto"/>
            <w:vMerge/>
            <w:tcBorders>
              <w:top w:val="nil"/>
              <w:left w:val="nil"/>
              <w:bottom w:val="single" w:sz="8" w:space="0" w:color="auto"/>
              <w:right w:val="single" w:sz="8" w:space="0" w:color="auto"/>
            </w:tcBorders>
            <w:vAlign w:val="center"/>
            <w:hideMark/>
          </w:tcPr>
          <w:p w:rsidR="00587B71" w:rsidRPr="00587B71" w:rsidRDefault="00587B71" w:rsidP="00587B71">
            <w:pPr>
              <w:spacing w:after="0" w:line="240" w:lineRule="auto"/>
              <w:rPr>
                <w:rFonts w:ascii="Arial" w:eastAsia="Calibri" w:hAnsi="Arial" w:cs="Arial"/>
                <w:b/>
                <w:bCs/>
                <w:sz w:val="20"/>
                <w:szCs w:val="20"/>
              </w:rPr>
            </w:pPr>
          </w:p>
        </w:tc>
        <w:tc>
          <w:tcPr>
            <w:tcW w:w="1246" w:type="dxa"/>
            <w:tcBorders>
              <w:top w:val="nil"/>
              <w:left w:val="nil"/>
              <w:bottom w:val="single" w:sz="8" w:space="0" w:color="auto"/>
              <w:right w:val="single" w:sz="8" w:space="0" w:color="auto"/>
            </w:tcBorders>
            <w:hideMark/>
          </w:tcPr>
          <w:p w:rsidR="00587B71" w:rsidRPr="00587B71" w:rsidRDefault="00587B71" w:rsidP="00587B71">
            <w:pPr>
              <w:spacing w:after="0" w:line="240" w:lineRule="auto"/>
              <w:jc w:val="both"/>
              <w:rPr>
                <w:rFonts w:ascii="Arial" w:eastAsia="Times New Roman" w:hAnsi="Arial" w:cs="Arial"/>
                <w:b/>
                <w:bCs/>
                <w:sz w:val="20"/>
                <w:szCs w:val="20"/>
                <w:lang w:val="ro-RO"/>
              </w:rPr>
            </w:pPr>
            <w:r w:rsidRPr="00587B71">
              <w:rPr>
                <w:rFonts w:ascii="Arial" w:eastAsia="Times New Roman" w:hAnsi="Arial" w:cs="Arial"/>
                <w:b/>
                <w:bCs/>
                <w:sz w:val="20"/>
                <w:szCs w:val="20"/>
                <w:lang w:val="ro-RO"/>
              </w:rPr>
              <w:t>CO</w:t>
            </w:r>
          </w:p>
        </w:tc>
        <w:tc>
          <w:tcPr>
            <w:tcW w:w="1025" w:type="dxa"/>
            <w:tcBorders>
              <w:top w:val="nil"/>
              <w:left w:val="nil"/>
              <w:bottom w:val="single" w:sz="8" w:space="0" w:color="auto"/>
              <w:right w:val="single" w:sz="8" w:space="0" w:color="auto"/>
            </w:tcBorders>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w:t>
            </w:r>
          </w:p>
        </w:tc>
        <w:tc>
          <w:tcPr>
            <w:tcW w:w="804" w:type="dxa"/>
            <w:tcBorders>
              <w:top w:val="nil"/>
              <w:left w:val="nil"/>
              <w:bottom w:val="single" w:sz="8" w:space="0" w:color="auto"/>
              <w:right w:val="single" w:sz="8" w:space="0" w:color="auto"/>
            </w:tcBorders>
            <w:tcMar>
              <w:top w:w="0" w:type="dxa"/>
              <w:left w:w="108" w:type="dxa"/>
              <w:bottom w:w="0" w:type="dxa"/>
              <w:right w:w="108"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4853</w:t>
            </w:r>
          </w:p>
        </w:tc>
        <w:tc>
          <w:tcPr>
            <w:tcW w:w="948" w:type="dxa"/>
            <w:tcBorders>
              <w:top w:val="nil"/>
              <w:left w:val="nil"/>
              <w:bottom w:val="single" w:sz="8" w:space="0" w:color="auto"/>
              <w:right w:val="single" w:sz="8" w:space="0" w:color="auto"/>
            </w:tcBorders>
            <w:tcMar>
              <w:top w:w="0" w:type="dxa"/>
              <w:left w:w="11" w:type="dxa"/>
              <w:bottom w:w="0" w:type="dxa"/>
              <w:right w:w="11" w:type="dxa"/>
            </w:tcMar>
            <w:vAlign w:val="cente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2,16</w:t>
            </w:r>
          </w:p>
        </w:tc>
        <w:tc>
          <w:tcPr>
            <w:tcW w:w="89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0,25</w:t>
            </w:r>
          </w:p>
        </w:tc>
        <w:tc>
          <w:tcPr>
            <w:tcW w:w="75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mg/mc</w:t>
            </w:r>
          </w:p>
        </w:tc>
        <w:tc>
          <w:tcPr>
            <w:tcW w:w="120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0</w:t>
            </w:r>
          </w:p>
        </w:tc>
        <w:tc>
          <w:tcPr>
            <w:tcW w:w="1719" w:type="dxa"/>
            <w:tcBorders>
              <w:top w:val="nil"/>
              <w:left w:val="nil"/>
              <w:bottom w:val="single" w:sz="8" w:space="0" w:color="auto"/>
              <w:right w:val="single" w:sz="12"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55,3</w:t>
            </w:r>
          </w:p>
        </w:tc>
      </w:tr>
      <w:tr w:rsidR="00587B71" w:rsidRPr="00587B71" w:rsidTr="00587B71">
        <w:trPr>
          <w:trHeight w:val="242"/>
          <w:jc w:val="center"/>
        </w:trPr>
        <w:tc>
          <w:tcPr>
            <w:tcW w:w="0" w:type="auto"/>
            <w:vMerge/>
            <w:tcBorders>
              <w:top w:val="nil"/>
              <w:left w:val="single" w:sz="12" w:space="0" w:color="auto"/>
              <w:bottom w:val="single" w:sz="8" w:space="0" w:color="auto"/>
              <w:right w:val="single" w:sz="8" w:space="0" w:color="auto"/>
            </w:tcBorders>
            <w:vAlign w:val="center"/>
            <w:hideMark/>
          </w:tcPr>
          <w:p w:rsidR="00587B71" w:rsidRPr="00587B71" w:rsidRDefault="00587B71" w:rsidP="00587B71">
            <w:pPr>
              <w:spacing w:after="0" w:line="240" w:lineRule="auto"/>
              <w:rPr>
                <w:rFonts w:ascii="Arial" w:eastAsia="Calibri" w:hAnsi="Arial" w:cs="Arial"/>
                <w:b/>
                <w:bCs/>
                <w:sz w:val="20"/>
                <w:szCs w:val="20"/>
              </w:rPr>
            </w:pPr>
          </w:p>
        </w:tc>
        <w:tc>
          <w:tcPr>
            <w:tcW w:w="0" w:type="auto"/>
            <w:vMerge/>
            <w:tcBorders>
              <w:top w:val="nil"/>
              <w:left w:val="nil"/>
              <w:bottom w:val="single" w:sz="8" w:space="0" w:color="auto"/>
              <w:right w:val="single" w:sz="8" w:space="0" w:color="auto"/>
            </w:tcBorders>
            <w:vAlign w:val="center"/>
            <w:hideMark/>
          </w:tcPr>
          <w:p w:rsidR="00587B71" w:rsidRPr="00587B71" w:rsidRDefault="00587B71" w:rsidP="00587B71">
            <w:pPr>
              <w:spacing w:after="0" w:line="240" w:lineRule="auto"/>
              <w:rPr>
                <w:rFonts w:ascii="Arial" w:eastAsia="Calibri" w:hAnsi="Arial" w:cs="Arial"/>
                <w:b/>
                <w:bCs/>
                <w:sz w:val="20"/>
                <w:szCs w:val="20"/>
              </w:rPr>
            </w:pPr>
          </w:p>
        </w:tc>
        <w:tc>
          <w:tcPr>
            <w:tcW w:w="1246" w:type="dxa"/>
            <w:tcBorders>
              <w:top w:val="nil"/>
              <w:left w:val="nil"/>
              <w:bottom w:val="single" w:sz="8" w:space="0" w:color="auto"/>
              <w:right w:val="single" w:sz="8" w:space="0" w:color="auto"/>
            </w:tcBorders>
            <w:hideMark/>
          </w:tcPr>
          <w:p w:rsidR="00587B71" w:rsidRPr="00587B71" w:rsidRDefault="00587B71" w:rsidP="00587B71">
            <w:pPr>
              <w:spacing w:after="0" w:line="240" w:lineRule="auto"/>
              <w:jc w:val="both"/>
              <w:rPr>
                <w:rFonts w:ascii="Arial" w:eastAsia="Times New Roman" w:hAnsi="Arial" w:cs="Arial"/>
                <w:b/>
                <w:bCs/>
                <w:sz w:val="20"/>
                <w:szCs w:val="20"/>
                <w:lang w:val="ro-RO"/>
              </w:rPr>
            </w:pPr>
            <w:r w:rsidRPr="00587B71">
              <w:rPr>
                <w:rFonts w:ascii="Arial" w:eastAsia="Times New Roman" w:hAnsi="Arial" w:cs="Arial"/>
                <w:b/>
                <w:bCs/>
                <w:sz w:val="20"/>
                <w:szCs w:val="20"/>
                <w:lang w:val="ro-RO"/>
              </w:rPr>
              <w:t>Benzen</w:t>
            </w:r>
          </w:p>
        </w:tc>
        <w:tc>
          <w:tcPr>
            <w:tcW w:w="1025" w:type="dxa"/>
            <w:tcBorders>
              <w:top w:val="nil"/>
              <w:left w:val="nil"/>
              <w:bottom w:val="single" w:sz="8" w:space="0" w:color="auto"/>
              <w:right w:val="single" w:sz="8" w:space="0" w:color="auto"/>
            </w:tcBorders>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w:t>
            </w:r>
          </w:p>
        </w:tc>
        <w:tc>
          <w:tcPr>
            <w:tcW w:w="804" w:type="dxa"/>
            <w:tcBorders>
              <w:top w:val="nil"/>
              <w:left w:val="nil"/>
              <w:bottom w:val="single" w:sz="8" w:space="0" w:color="auto"/>
              <w:right w:val="single" w:sz="8" w:space="0" w:color="auto"/>
            </w:tcBorders>
            <w:tcMar>
              <w:top w:w="0" w:type="dxa"/>
              <w:left w:w="108" w:type="dxa"/>
              <w:bottom w:w="0" w:type="dxa"/>
              <w:right w:w="108"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w:t>
            </w:r>
          </w:p>
        </w:tc>
        <w:tc>
          <w:tcPr>
            <w:tcW w:w="948"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w:t>
            </w:r>
          </w:p>
        </w:tc>
        <w:tc>
          <w:tcPr>
            <w:tcW w:w="89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w:t>
            </w:r>
          </w:p>
        </w:tc>
        <w:tc>
          <w:tcPr>
            <w:tcW w:w="75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μg/mc</w:t>
            </w:r>
          </w:p>
        </w:tc>
        <w:tc>
          <w:tcPr>
            <w:tcW w:w="120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0</w:t>
            </w:r>
          </w:p>
        </w:tc>
        <w:tc>
          <w:tcPr>
            <w:tcW w:w="1719" w:type="dxa"/>
            <w:tcBorders>
              <w:top w:val="nil"/>
              <w:left w:val="nil"/>
              <w:bottom w:val="single" w:sz="8" w:space="0" w:color="auto"/>
              <w:right w:val="single" w:sz="12"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0</w:t>
            </w:r>
          </w:p>
        </w:tc>
      </w:tr>
      <w:tr w:rsidR="00587B71" w:rsidRPr="00587B71" w:rsidTr="00587B71">
        <w:trPr>
          <w:trHeight w:val="242"/>
          <w:jc w:val="center"/>
        </w:trPr>
        <w:tc>
          <w:tcPr>
            <w:tcW w:w="0" w:type="auto"/>
            <w:vMerge/>
            <w:tcBorders>
              <w:top w:val="nil"/>
              <w:left w:val="single" w:sz="12" w:space="0" w:color="auto"/>
              <w:bottom w:val="single" w:sz="8" w:space="0" w:color="auto"/>
              <w:right w:val="single" w:sz="8" w:space="0" w:color="auto"/>
            </w:tcBorders>
            <w:vAlign w:val="center"/>
            <w:hideMark/>
          </w:tcPr>
          <w:p w:rsidR="00587B71" w:rsidRPr="00587B71" w:rsidRDefault="00587B71" w:rsidP="00587B71">
            <w:pPr>
              <w:spacing w:after="0" w:line="240" w:lineRule="auto"/>
              <w:rPr>
                <w:rFonts w:ascii="Arial" w:eastAsia="Calibri" w:hAnsi="Arial" w:cs="Arial"/>
                <w:b/>
                <w:bCs/>
                <w:sz w:val="20"/>
                <w:szCs w:val="20"/>
              </w:rPr>
            </w:pPr>
          </w:p>
        </w:tc>
        <w:tc>
          <w:tcPr>
            <w:tcW w:w="0" w:type="auto"/>
            <w:vMerge/>
            <w:tcBorders>
              <w:top w:val="nil"/>
              <w:left w:val="nil"/>
              <w:bottom w:val="single" w:sz="8" w:space="0" w:color="auto"/>
              <w:right w:val="single" w:sz="8" w:space="0" w:color="auto"/>
            </w:tcBorders>
            <w:vAlign w:val="center"/>
            <w:hideMark/>
          </w:tcPr>
          <w:p w:rsidR="00587B71" w:rsidRPr="00587B71" w:rsidRDefault="00587B71" w:rsidP="00587B71">
            <w:pPr>
              <w:spacing w:after="0" w:line="240" w:lineRule="auto"/>
              <w:rPr>
                <w:rFonts w:ascii="Arial" w:eastAsia="Calibri" w:hAnsi="Arial" w:cs="Arial"/>
                <w:b/>
                <w:bCs/>
                <w:sz w:val="20"/>
                <w:szCs w:val="20"/>
              </w:rPr>
            </w:pPr>
          </w:p>
        </w:tc>
        <w:tc>
          <w:tcPr>
            <w:tcW w:w="1246" w:type="dxa"/>
            <w:tcBorders>
              <w:top w:val="nil"/>
              <w:left w:val="nil"/>
              <w:bottom w:val="single" w:sz="8" w:space="0" w:color="auto"/>
              <w:right w:val="single" w:sz="8" w:space="0" w:color="auto"/>
            </w:tcBorders>
            <w:hideMark/>
          </w:tcPr>
          <w:p w:rsidR="00587B71" w:rsidRPr="00587B71" w:rsidRDefault="00587B71" w:rsidP="00587B71">
            <w:pPr>
              <w:spacing w:after="0" w:line="240" w:lineRule="auto"/>
              <w:jc w:val="both"/>
              <w:rPr>
                <w:rFonts w:ascii="Arial" w:eastAsia="Times New Roman" w:hAnsi="Arial" w:cs="Arial"/>
                <w:b/>
                <w:bCs/>
                <w:sz w:val="20"/>
                <w:szCs w:val="20"/>
                <w:lang w:val="ro-RO"/>
              </w:rPr>
            </w:pPr>
            <w:r w:rsidRPr="00587B71">
              <w:rPr>
                <w:rFonts w:ascii="Arial" w:eastAsia="Times New Roman" w:hAnsi="Arial" w:cs="Arial"/>
                <w:b/>
                <w:bCs/>
                <w:sz w:val="20"/>
                <w:szCs w:val="20"/>
                <w:lang w:val="ro-RO"/>
              </w:rPr>
              <w:t>Toluen</w:t>
            </w:r>
          </w:p>
        </w:tc>
        <w:tc>
          <w:tcPr>
            <w:tcW w:w="1025" w:type="dxa"/>
            <w:tcBorders>
              <w:top w:val="nil"/>
              <w:left w:val="nil"/>
              <w:bottom w:val="single" w:sz="8" w:space="0" w:color="auto"/>
              <w:right w:val="single" w:sz="8" w:space="0" w:color="auto"/>
            </w:tcBorders>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w:t>
            </w:r>
          </w:p>
        </w:tc>
        <w:tc>
          <w:tcPr>
            <w:tcW w:w="804" w:type="dxa"/>
            <w:tcBorders>
              <w:top w:val="nil"/>
              <w:left w:val="nil"/>
              <w:bottom w:val="single" w:sz="8" w:space="0" w:color="auto"/>
              <w:right w:val="single" w:sz="8" w:space="0" w:color="auto"/>
            </w:tcBorders>
            <w:tcMar>
              <w:top w:w="0" w:type="dxa"/>
              <w:left w:w="108" w:type="dxa"/>
              <w:bottom w:w="0" w:type="dxa"/>
              <w:right w:w="108"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w:t>
            </w:r>
          </w:p>
        </w:tc>
        <w:tc>
          <w:tcPr>
            <w:tcW w:w="948"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w:t>
            </w:r>
          </w:p>
        </w:tc>
        <w:tc>
          <w:tcPr>
            <w:tcW w:w="89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w:t>
            </w:r>
          </w:p>
        </w:tc>
        <w:tc>
          <w:tcPr>
            <w:tcW w:w="75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μg/mc</w:t>
            </w:r>
          </w:p>
        </w:tc>
        <w:tc>
          <w:tcPr>
            <w:tcW w:w="120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0</w:t>
            </w:r>
          </w:p>
        </w:tc>
        <w:tc>
          <w:tcPr>
            <w:tcW w:w="1719" w:type="dxa"/>
            <w:tcBorders>
              <w:top w:val="nil"/>
              <w:left w:val="nil"/>
              <w:bottom w:val="single" w:sz="8" w:space="0" w:color="auto"/>
              <w:right w:val="single" w:sz="12"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0</w:t>
            </w:r>
          </w:p>
        </w:tc>
      </w:tr>
      <w:tr w:rsidR="00587B71" w:rsidRPr="00587B71" w:rsidTr="00587B71">
        <w:trPr>
          <w:trHeight w:val="242"/>
          <w:jc w:val="center"/>
        </w:trPr>
        <w:tc>
          <w:tcPr>
            <w:tcW w:w="0" w:type="auto"/>
            <w:vMerge/>
            <w:tcBorders>
              <w:top w:val="nil"/>
              <w:left w:val="single" w:sz="12" w:space="0" w:color="auto"/>
              <w:bottom w:val="single" w:sz="8" w:space="0" w:color="auto"/>
              <w:right w:val="single" w:sz="8" w:space="0" w:color="auto"/>
            </w:tcBorders>
            <w:vAlign w:val="center"/>
            <w:hideMark/>
          </w:tcPr>
          <w:p w:rsidR="00587B71" w:rsidRPr="00587B71" w:rsidRDefault="00587B71" w:rsidP="00587B71">
            <w:pPr>
              <w:spacing w:after="0" w:line="240" w:lineRule="auto"/>
              <w:rPr>
                <w:rFonts w:ascii="Arial" w:eastAsia="Calibri" w:hAnsi="Arial" w:cs="Arial"/>
                <w:b/>
                <w:bCs/>
                <w:sz w:val="20"/>
                <w:szCs w:val="20"/>
              </w:rPr>
            </w:pPr>
          </w:p>
        </w:tc>
        <w:tc>
          <w:tcPr>
            <w:tcW w:w="0" w:type="auto"/>
            <w:vMerge/>
            <w:tcBorders>
              <w:top w:val="nil"/>
              <w:left w:val="nil"/>
              <w:bottom w:val="single" w:sz="8" w:space="0" w:color="auto"/>
              <w:right w:val="single" w:sz="8" w:space="0" w:color="auto"/>
            </w:tcBorders>
            <w:vAlign w:val="center"/>
            <w:hideMark/>
          </w:tcPr>
          <w:p w:rsidR="00587B71" w:rsidRPr="00587B71" w:rsidRDefault="00587B71" w:rsidP="00587B71">
            <w:pPr>
              <w:spacing w:after="0" w:line="240" w:lineRule="auto"/>
              <w:rPr>
                <w:rFonts w:ascii="Arial" w:eastAsia="Calibri" w:hAnsi="Arial" w:cs="Arial"/>
                <w:b/>
                <w:bCs/>
                <w:sz w:val="20"/>
                <w:szCs w:val="20"/>
              </w:rPr>
            </w:pPr>
          </w:p>
        </w:tc>
        <w:tc>
          <w:tcPr>
            <w:tcW w:w="1246" w:type="dxa"/>
            <w:tcBorders>
              <w:top w:val="nil"/>
              <w:left w:val="nil"/>
              <w:bottom w:val="single" w:sz="8" w:space="0" w:color="auto"/>
              <w:right w:val="single" w:sz="8" w:space="0" w:color="auto"/>
            </w:tcBorders>
            <w:hideMark/>
          </w:tcPr>
          <w:p w:rsidR="00587B71" w:rsidRPr="00587B71" w:rsidRDefault="00587B71" w:rsidP="00587B71">
            <w:pPr>
              <w:spacing w:after="0" w:line="240" w:lineRule="auto"/>
              <w:jc w:val="both"/>
              <w:rPr>
                <w:rFonts w:ascii="Arial" w:eastAsia="Times New Roman" w:hAnsi="Arial" w:cs="Arial"/>
                <w:b/>
                <w:bCs/>
                <w:sz w:val="20"/>
                <w:szCs w:val="20"/>
                <w:lang w:val="ro-RO"/>
              </w:rPr>
            </w:pPr>
            <w:r w:rsidRPr="00587B71">
              <w:rPr>
                <w:rFonts w:ascii="Arial" w:eastAsia="Times New Roman" w:hAnsi="Arial" w:cs="Arial"/>
                <w:b/>
                <w:bCs/>
                <w:sz w:val="20"/>
                <w:szCs w:val="20"/>
                <w:lang w:val="ro-RO"/>
              </w:rPr>
              <w:t>Etilbenzen</w:t>
            </w:r>
          </w:p>
        </w:tc>
        <w:tc>
          <w:tcPr>
            <w:tcW w:w="1025" w:type="dxa"/>
            <w:tcBorders>
              <w:top w:val="nil"/>
              <w:left w:val="nil"/>
              <w:bottom w:val="single" w:sz="8" w:space="0" w:color="auto"/>
              <w:right w:val="single" w:sz="8" w:space="0" w:color="auto"/>
            </w:tcBorders>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w:t>
            </w:r>
          </w:p>
        </w:tc>
        <w:tc>
          <w:tcPr>
            <w:tcW w:w="804" w:type="dxa"/>
            <w:tcBorders>
              <w:top w:val="nil"/>
              <w:left w:val="nil"/>
              <w:bottom w:val="single" w:sz="8" w:space="0" w:color="auto"/>
              <w:right w:val="single" w:sz="8" w:space="0" w:color="auto"/>
            </w:tcBorders>
            <w:tcMar>
              <w:top w:w="0" w:type="dxa"/>
              <w:left w:w="108" w:type="dxa"/>
              <w:bottom w:w="0" w:type="dxa"/>
              <w:right w:w="108"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w:t>
            </w:r>
          </w:p>
        </w:tc>
        <w:tc>
          <w:tcPr>
            <w:tcW w:w="948"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w:t>
            </w:r>
          </w:p>
        </w:tc>
        <w:tc>
          <w:tcPr>
            <w:tcW w:w="89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w:t>
            </w:r>
          </w:p>
        </w:tc>
        <w:tc>
          <w:tcPr>
            <w:tcW w:w="75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μg/mc</w:t>
            </w:r>
          </w:p>
        </w:tc>
        <w:tc>
          <w:tcPr>
            <w:tcW w:w="120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0</w:t>
            </w:r>
          </w:p>
        </w:tc>
        <w:tc>
          <w:tcPr>
            <w:tcW w:w="1719" w:type="dxa"/>
            <w:tcBorders>
              <w:top w:val="nil"/>
              <w:left w:val="nil"/>
              <w:bottom w:val="single" w:sz="8" w:space="0" w:color="auto"/>
              <w:right w:val="single" w:sz="12"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0</w:t>
            </w:r>
          </w:p>
        </w:tc>
      </w:tr>
      <w:tr w:rsidR="00587B71" w:rsidRPr="00587B71" w:rsidTr="00587B71">
        <w:trPr>
          <w:trHeight w:val="242"/>
          <w:jc w:val="center"/>
        </w:trPr>
        <w:tc>
          <w:tcPr>
            <w:tcW w:w="0" w:type="auto"/>
            <w:vMerge/>
            <w:tcBorders>
              <w:top w:val="nil"/>
              <w:left w:val="single" w:sz="12" w:space="0" w:color="auto"/>
              <w:bottom w:val="single" w:sz="8" w:space="0" w:color="auto"/>
              <w:right w:val="single" w:sz="8" w:space="0" w:color="auto"/>
            </w:tcBorders>
            <w:vAlign w:val="center"/>
            <w:hideMark/>
          </w:tcPr>
          <w:p w:rsidR="00587B71" w:rsidRPr="00587B71" w:rsidRDefault="00587B71" w:rsidP="00587B71">
            <w:pPr>
              <w:spacing w:after="0" w:line="240" w:lineRule="auto"/>
              <w:rPr>
                <w:rFonts w:ascii="Arial" w:eastAsia="Calibri" w:hAnsi="Arial" w:cs="Arial"/>
                <w:b/>
                <w:bCs/>
                <w:sz w:val="20"/>
                <w:szCs w:val="20"/>
              </w:rPr>
            </w:pPr>
          </w:p>
        </w:tc>
        <w:tc>
          <w:tcPr>
            <w:tcW w:w="0" w:type="auto"/>
            <w:vMerge/>
            <w:tcBorders>
              <w:top w:val="nil"/>
              <w:left w:val="nil"/>
              <w:bottom w:val="single" w:sz="8" w:space="0" w:color="auto"/>
              <w:right w:val="single" w:sz="8" w:space="0" w:color="auto"/>
            </w:tcBorders>
            <w:vAlign w:val="center"/>
            <w:hideMark/>
          </w:tcPr>
          <w:p w:rsidR="00587B71" w:rsidRPr="00587B71" w:rsidRDefault="00587B71" w:rsidP="00587B71">
            <w:pPr>
              <w:spacing w:after="0" w:line="240" w:lineRule="auto"/>
              <w:rPr>
                <w:rFonts w:ascii="Arial" w:eastAsia="Calibri" w:hAnsi="Arial" w:cs="Arial"/>
                <w:b/>
                <w:bCs/>
                <w:sz w:val="20"/>
                <w:szCs w:val="20"/>
              </w:rPr>
            </w:pPr>
          </w:p>
        </w:tc>
        <w:tc>
          <w:tcPr>
            <w:tcW w:w="1246" w:type="dxa"/>
            <w:tcBorders>
              <w:top w:val="nil"/>
              <w:left w:val="nil"/>
              <w:bottom w:val="single" w:sz="8" w:space="0" w:color="auto"/>
              <w:right w:val="single" w:sz="8" w:space="0" w:color="auto"/>
            </w:tcBorders>
            <w:hideMark/>
          </w:tcPr>
          <w:p w:rsidR="00587B71" w:rsidRPr="00587B71" w:rsidRDefault="00587B71" w:rsidP="00587B71">
            <w:pPr>
              <w:spacing w:after="0" w:line="240" w:lineRule="auto"/>
              <w:jc w:val="both"/>
              <w:rPr>
                <w:rFonts w:ascii="Arial" w:eastAsia="Times New Roman" w:hAnsi="Arial" w:cs="Arial"/>
                <w:b/>
                <w:bCs/>
                <w:sz w:val="20"/>
                <w:szCs w:val="20"/>
                <w:lang w:val="ro-RO"/>
              </w:rPr>
            </w:pPr>
            <w:r w:rsidRPr="00587B71">
              <w:rPr>
                <w:rFonts w:ascii="Arial" w:eastAsia="Times New Roman" w:hAnsi="Arial" w:cs="Arial"/>
                <w:b/>
                <w:bCs/>
                <w:sz w:val="20"/>
                <w:szCs w:val="20"/>
                <w:lang w:val="ro-RO"/>
              </w:rPr>
              <w:t>o-xilen</w:t>
            </w:r>
          </w:p>
        </w:tc>
        <w:tc>
          <w:tcPr>
            <w:tcW w:w="1025" w:type="dxa"/>
            <w:tcBorders>
              <w:top w:val="nil"/>
              <w:left w:val="nil"/>
              <w:bottom w:val="single" w:sz="8" w:space="0" w:color="auto"/>
              <w:right w:val="single" w:sz="8" w:space="0" w:color="auto"/>
            </w:tcBorders>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w:t>
            </w:r>
          </w:p>
        </w:tc>
        <w:tc>
          <w:tcPr>
            <w:tcW w:w="804" w:type="dxa"/>
            <w:tcBorders>
              <w:top w:val="nil"/>
              <w:left w:val="nil"/>
              <w:bottom w:val="single" w:sz="8" w:space="0" w:color="auto"/>
              <w:right w:val="single" w:sz="8" w:space="0" w:color="auto"/>
            </w:tcBorders>
            <w:tcMar>
              <w:top w:w="0" w:type="dxa"/>
              <w:left w:w="108" w:type="dxa"/>
              <w:bottom w:w="0" w:type="dxa"/>
              <w:right w:w="108"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w:t>
            </w:r>
          </w:p>
        </w:tc>
        <w:tc>
          <w:tcPr>
            <w:tcW w:w="948"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w:t>
            </w:r>
          </w:p>
        </w:tc>
        <w:tc>
          <w:tcPr>
            <w:tcW w:w="89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w:t>
            </w:r>
          </w:p>
        </w:tc>
        <w:tc>
          <w:tcPr>
            <w:tcW w:w="75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μg/mc</w:t>
            </w:r>
          </w:p>
        </w:tc>
        <w:tc>
          <w:tcPr>
            <w:tcW w:w="120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0</w:t>
            </w:r>
          </w:p>
        </w:tc>
        <w:tc>
          <w:tcPr>
            <w:tcW w:w="1719" w:type="dxa"/>
            <w:tcBorders>
              <w:top w:val="nil"/>
              <w:left w:val="nil"/>
              <w:bottom w:val="single" w:sz="8" w:space="0" w:color="auto"/>
              <w:right w:val="single" w:sz="12"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0</w:t>
            </w:r>
          </w:p>
        </w:tc>
      </w:tr>
      <w:tr w:rsidR="00587B71" w:rsidRPr="00587B71" w:rsidTr="00587B71">
        <w:trPr>
          <w:trHeight w:val="242"/>
          <w:jc w:val="center"/>
        </w:trPr>
        <w:tc>
          <w:tcPr>
            <w:tcW w:w="0" w:type="auto"/>
            <w:vMerge/>
            <w:tcBorders>
              <w:top w:val="nil"/>
              <w:left w:val="single" w:sz="12" w:space="0" w:color="auto"/>
              <w:bottom w:val="single" w:sz="8" w:space="0" w:color="auto"/>
              <w:right w:val="single" w:sz="8" w:space="0" w:color="auto"/>
            </w:tcBorders>
            <w:vAlign w:val="center"/>
            <w:hideMark/>
          </w:tcPr>
          <w:p w:rsidR="00587B71" w:rsidRPr="00587B71" w:rsidRDefault="00587B71" w:rsidP="00587B71">
            <w:pPr>
              <w:spacing w:after="0" w:line="240" w:lineRule="auto"/>
              <w:rPr>
                <w:rFonts w:ascii="Arial" w:eastAsia="Calibri" w:hAnsi="Arial" w:cs="Arial"/>
                <w:b/>
                <w:bCs/>
                <w:sz w:val="20"/>
                <w:szCs w:val="20"/>
              </w:rPr>
            </w:pPr>
          </w:p>
        </w:tc>
        <w:tc>
          <w:tcPr>
            <w:tcW w:w="0" w:type="auto"/>
            <w:vMerge/>
            <w:tcBorders>
              <w:top w:val="nil"/>
              <w:left w:val="nil"/>
              <w:bottom w:val="single" w:sz="8" w:space="0" w:color="auto"/>
              <w:right w:val="single" w:sz="8" w:space="0" w:color="auto"/>
            </w:tcBorders>
            <w:vAlign w:val="center"/>
            <w:hideMark/>
          </w:tcPr>
          <w:p w:rsidR="00587B71" w:rsidRPr="00587B71" w:rsidRDefault="00587B71" w:rsidP="00587B71">
            <w:pPr>
              <w:spacing w:after="0" w:line="240" w:lineRule="auto"/>
              <w:rPr>
                <w:rFonts w:ascii="Arial" w:eastAsia="Calibri" w:hAnsi="Arial" w:cs="Arial"/>
                <w:b/>
                <w:bCs/>
                <w:sz w:val="20"/>
                <w:szCs w:val="20"/>
              </w:rPr>
            </w:pPr>
          </w:p>
        </w:tc>
        <w:tc>
          <w:tcPr>
            <w:tcW w:w="1246" w:type="dxa"/>
            <w:tcBorders>
              <w:top w:val="nil"/>
              <w:left w:val="nil"/>
              <w:bottom w:val="single" w:sz="8" w:space="0" w:color="auto"/>
              <w:right w:val="single" w:sz="8" w:space="0" w:color="auto"/>
            </w:tcBorders>
            <w:hideMark/>
          </w:tcPr>
          <w:p w:rsidR="00587B71" w:rsidRPr="00587B71" w:rsidRDefault="00587B71" w:rsidP="00587B71">
            <w:pPr>
              <w:spacing w:after="0" w:line="240" w:lineRule="auto"/>
              <w:jc w:val="both"/>
              <w:rPr>
                <w:rFonts w:ascii="Arial" w:eastAsia="Times New Roman" w:hAnsi="Arial" w:cs="Arial"/>
                <w:b/>
                <w:bCs/>
                <w:sz w:val="20"/>
                <w:szCs w:val="20"/>
                <w:lang w:val="ro-RO"/>
              </w:rPr>
            </w:pPr>
            <w:r w:rsidRPr="00587B71">
              <w:rPr>
                <w:rFonts w:ascii="Arial" w:eastAsia="Times New Roman" w:hAnsi="Arial" w:cs="Arial"/>
                <w:b/>
                <w:bCs/>
                <w:sz w:val="20"/>
                <w:szCs w:val="20"/>
                <w:lang w:val="ro-RO"/>
              </w:rPr>
              <w:t>m-xilen</w:t>
            </w:r>
          </w:p>
        </w:tc>
        <w:tc>
          <w:tcPr>
            <w:tcW w:w="1025" w:type="dxa"/>
            <w:tcBorders>
              <w:top w:val="nil"/>
              <w:left w:val="nil"/>
              <w:bottom w:val="single" w:sz="8" w:space="0" w:color="auto"/>
              <w:right w:val="single" w:sz="8" w:space="0" w:color="auto"/>
            </w:tcBorders>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w:t>
            </w:r>
          </w:p>
        </w:tc>
        <w:tc>
          <w:tcPr>
            <w:tcW w:w="804" w:type="dxa"/>
            <w:tcBorders>
              <w:top w:val="nil"/>
              <w:left w:val="nil"/>
              <w:bottom w:val="single" w:sz="8" w:space="0" w:color="auto"/>
              <w:right w:val="single" w:sz="8" w:space="0" w:color="auto"/>
            </w:tcBorders>
            <w:tcMar>
              <w:top w:w="0" w:type="dxa"/>
              <w:left w:w="108" w:type="dxa"/>
              <w:bottom w:w="0" w:type="dxa"/>
              <w:right w:w="108"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w:t>
            </w:r>
          </w:p>
        </w:tc>
        <w:tc>
          <w:tcPr>
            <w:tcW w:w="948"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w:t>
            </w:r>
          </w:p>
        </w:tc>
        <w:tc>
          <w:tcPr>
            <w:tcW w:w="89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w:t>
            </w:r>
          </w:p>
        </w:tc>
        <w:tc>
          <w:tcPr>
            <w:tcW w:w="75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μg/mc</w:t>
            </w:r>
          </w:p>
        </w:tc>
        <w:tc>
          <w:tcPr>
            <w:tcW w:w="120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0</w:t>
            </w:r>
          </w:p>
        </w:tc>
        <w:tc>
          <w:tcPr>
            <w:tcW w:w="1719" w:type="dxa"/>
            <w:tcBorders>
              <w:top w:val="nil"/>
              <w:left w:val="nil"/>
              <w:bottom w:val="single" w:sz="8" w:space="0" w:color="auto"/>
              <w:right w:val="single" w:sz="12"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0</w:t>
            </w:r>
          </w:p>
        </w:tc>
      </w:tr>
      <w:tr w:rsidR="00587B71" w:rsidRPr="00587B71" w:rsidTr="00587B71">
        <w:trPr>
          <w:trHeight w:val="242"/>
          <w:jc w:val="center"/>
        </w:trPr>
        <w:tc>
          <w:tcPr>
            <w:tcW w:w="0" w:type="auto"/>
            <w:vMerge/>
            <w:tcBorders>
              <w:top w:val="nil"/>
              <w:left w:val="single" w:sz="12" w:space="0" w:color="auto"/>
              <w:bottom w:val="single" w:sz="8" w:space="0" w:color="auto"/>
              <w:right w:val="single" w:sz="8" w:space="0" w:color="auto"/>
            </w:tcBorders>
            <w:vAlign w:val="center"/>
            <w:hideMark/>
          </w:tcPr>
          <w:p w:rsidR="00587B71" w:rsidRPr="00587B71" w:rsidRDefault="00587B71" w:rsidP="00587B71">
            <w:pPr>
              <w:spacing w:after="0" w:line="240" w:lineRule="auto"/>
              <w:rPr>
                <w:rFonts w:ascii="Arial" w:eastAsia="Calibri" w:hAnsi="Arial" w:cs="Arial"/>
                <w:b/>
                <w:bCs/>
                <w:sz w:val="20"/>
                <w:szCs w:val="20"/>
              </w:rPr>
            </w:pPr>
          </w:p>
        </w:tc>
        <w:tc>
          <w:tcPr>
            <w:tcW w:w="0" w:type="auto"/>
            <w:vMerge/>
            <w:tcBorders>
              <w:top w:val="nil"/>
              <w:left w:val="nil"/>
              <w:bottom w:val="single" w:sz="8" w:space="0" w:color="auto"/>
              <w:right w:val="single" w:sz="8" w:space="0" w:color="auto"/>
            </w:tcBorders>
            <w:vAlign w:val="center"/>
            <w:hideMark/>
          </w:tcPr>
          <w:p w:rsidR="00587B71" w:rsidRPr="00587B71" w:rsidRDefault="00587B71" w:rsidP="00587B71">
            <w:pPr>
              <w:spacing w:after="0" w:line="240" w:lineRule="auto"/>
              <w:rPr>
                <w:rFonts w:ascii="Arial" w:eastAsia="Calibri" w:hAnsi="Arial" w:cs="Arial"/>
                <w:b/>
                <w:bCs/>
                <w:sz w:val="20"/>
                <w:szCs w:val="20"/>
              </w:rPr>
            </w:pPr>
          </w:p>
        </w:tc>
        <w:tc>
          <w:tcPr>
            <w:tcW w:w="1246" w:type="dxa"/>
            <w:tcBorders>
              <w:top w:val="nil"/>
              <w:left w:val="nil"/>
              <w:bottom w:val="single" w:sz="8" w:space="0" w:color="auto"/>
              <w:right w:val="single" w:sz="8" w:space="0" w:color="auto"/>
            </w:tcBorders>
            <w:hideMark/>
          </w:tcPr>
          <w:p w:rsidR="00587B71" w:rsidRPr="00587B71" w:rsidRDefault="00587B71" w:rsidP="00587B71">
            <w:pPr>
              <w:spacing w:after="0" w:line="240" w:lineRule="auto"/>
              <w:jc w:val="both"/>
              <w:rPr>
                <w:rFonts w:ascii="Arial" w:eastAsia="Times New Roman" w:hAnsi="Arial" w:cs="Arial"/>
                <w:b/>
                <w:bCs/>
                <w:sz w:val="20"/>
                <w:szCs w:val="20"/>
                <w:lang w:val="ro-RO"/>
              </w:rPr>
            </w:pPr>
            <w:r w:rsidRPr="00587B71">
              <w:rPr>
                <w:rFonts w:ascii="Arial" w:eastAsia="Times New Roman" w:hAnsi="Arial" w:cs="Arial"/>
                <w:b/>
                <w:bCs/>
                <w:sz w:val="20"/>
                <w:szCs w:val="20"/>
                <w:lang w:val="ro-RO"/>
              </w:rPr>
              <w:t>p-xilen</w:t>
            </w:r>
          </w:p>
        </w:tc>
        <w:tc>
          <w:tcPr>
            <w:tcW w:w="1025" w:type="dxa"/>
            <w:tcBorders>
              <w:top w:val="nil"/>
              <w:left w:val="nil"/>
              <w:bottom w:val="single" w:sz="8" w:space="0" w:color="auto"/>
              <w:right w:val="single" w:sz="8" w:space="0" w:color="auto"/>
            </w:tcBorders>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w:t>
            </w:r>
          </w:p>
        </w:tc>
        <w:tc>
          <w:tcPr>
            <w:tcW w:w="804" w:type="dxa"/>
            <w:tcBorders>
              <w:top w:val="nil"/>
              <w:left w:val="nil"/>
              <w:bottom w:val="single" w:sz="8" w:space="0" w:color="auto"/>
              <w:right w:val="single" w:sz="8" w:space="0" w:color="auto"/>
            </w:tcBorders>
            <w:tcMar>
              <w:top w:w="0" w:type="dxa"/>
              <w:left w:w="108" w:type="dxa"/>
              <w:bottom w:w="0" w:type="dxa"/>
              <w:right w:w="108"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w:t>
            </w:r>
          </w:p>
        </w:tc>
        <w:tc>
          <w:tcPr>
            <w:tcW w:w="948"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w:t>
            </w:r>
          </w:p>
        </w:tc>
        <w:tc>
          <w:tcPr>
            <w:tcW w:w="89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w:t>
            </w:r>
          </w:p>
        </w:tc>
        <w:tc>
          <w:tcPr>
            <w:tcW w:w="75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μg/mc</w:t>
            </w:r>
          </w:p>
        </w:tc>
        <w:tc>
          <w:tcPr>
            <w:tcW w:w="120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0</w:t>
            </w:r>
          </w:p>
        </w:tc>
        <w:tc>
          <w:tcPr>
            <w:tcW w:w="1719" w:type="dxa"/>
            <w:tcBorders>
              <w:top w:val="nil"/>
              <w:left w:val="nil"/>
              <w:bottom w:val="single" w:sz="8" w:space="0" w:color="auto"/>
              <w:right w:val="single" w:sz="12"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0</w:t>
            </w:r>
          </w:p>
        </w:tc>
      </w:tr>
      <w:tr w:rsidR="00587B71" w:rsidRPr="00587B71" w:rsidTr="00587B71">
        <w:trPr>
          <w:trHeight w:val="242"/>
          <w:jc w:val="center"/>
        </w:trPr>
        <w:tc>
          <w:tcPr>
            <w:tcW w:w="0" w:type="auto"/>
            <w:vMerge/>
            <w:tcBorders>
              <w:top w:val="nil"/>
              <w:left w:val="single" w:sz="12" w:space="0" w:color="auto"/>
              <w:bottom w:val="single" w:sz="8" w:space="0" w:color="auto"/>
              <w:right w:val="single" w:sz="8" w:space="0" w:color="auto"/>
            </w:tcBorders>
            <w:vAlign w:val="center"/>
            <w:hideMark/>
          </w:tcPr>
          <w:p w:rsidR="00587B71" w:rsidRPr="00587B71" w:rsidRDefault="00587B71" w:rsidP="00587B71">
            <w:pPr>
              <w:spacing w:after="0" w:line="240" w:lineRule="auto"/>
              <w:rPr>
                <w:rFonts w:ascii="Arial" w:eastAsia="Calibri" w:hAnsi="Arial" w:cs="Arial"/>
                <w:b/>
                <w:bCs/>
                <w:sz w:val="20"/>
                <w:szCs w:val="20"/>
              </w:rPr>
            </w:pPr>
          </w:p>
        </w:tc>
        <w:tc>
          <w:tcPr>
            <w:tcW w:w="0" w:type="auto"/>
            <w:vMerge/>
            <w:tcBorders>
              <w:top w:val="nil"/>
              <w:left w:val="nil"/>
              <w:bottom w:val="single" w:sz="8" w:space="0" w:color="auto"/>
              <w:right w:val="single" w:sz="8" w:space="0" w:color="auto"/>
            </w:tcBorders>
            <w:vAlign w:val="center"/>
            <w:hideMark/>
          </w:tcPr>
          <w:p w:rsidR="00587B71" w:rsidRPr="00587B71" w:rsidRDefault="00587B71" w:rsidP="00587B71">
            <w:pPr>
              <w:spacing w:after="0" w:line="240" w:lineRule="auto"/>
              <w:rPr>
                <w:rFonts w:ascii="Arial" w:eastAsia="Calibri" w:hAnsi="Arial" w:cs="Arial"/>
                <w:b/>
                <w:bCs/>
                <w:sz w:val="20"/>
                <w:szCs w:val="20"/>
              </w:rPr>
            </w:pPr>
          </w:p>
        </w:tc>
        <w:tc>
          <w:tcPr>
            <w:tcW w:w="1246" w:type="dxa"/>
            <w:tcBorders>
              <w:top w:val="nil"/>
              <w:left w:val="nil"/>
              <w:bottom w:val="single" w:sz="8" w:space="0" w:color="auto"/>
              <w:right w:val="single" w:sz="8" w:space="0" w:color="auto"/>
            </w:tcBorders>
            <w:hideMark/>
          </w:tcPr>
          <w:p w:rsidR="00587B71" w:rsidRPr="00587B71" w:rsidRDefault="00587B71" w:rsidP="00587B71">
            <w:pPr>
              <w:spacing w:after="0" w:line="240" w:lineRule="auto"/>
              <w:jc w:val="both"/>
              <w:rPr>
                <w:rFonts w:ascii="Arial" w:eastAsia="Times New Roman" w:hAnsi="Arial" w:cs="Arial"/>
                <w:b/>
                <w:bCs/>
                <w:sz w:val="20"/>
                <w:szCs w:val="20"/>
                <w:lang w:val="ro-RO"/>
              </w:rPr>
            </w:pPr>
            <w:r w:rsidRPr="00587B71">
              <w:rPr>
                <w:rFonts w:ascii="Arial" w:eastAsia="Times New Roman" w:hAnsi="Arial" w:cs="Arial"/>
                <w:b/>
                <w:bCs/>
                <w:sz w:val="20"/>
                <w:szCs w:val="20"/>
                <w:lang w:val="ro-RO"/>
              </w:rPr>
              <w:t>Ozon</w:t>
            </w:r>
          </w:p>
        </w:tc>
        <w:tc>
          <w:tcPr>
            <w:tcW w:w="1025" w:type="dxa"/>
            <w:tcBorders>
              <w:top w:val="nil"/>
              <w:left w:val="nil"/>
              <w:bottom w:val="single" w:sz="8" w:space="0" w:color="auto"/>
              <w:right w:val="single" w:sz="8" w:space="0" w:color="auto"/>
            </w:tcBorders>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w:t>
            </w:r>
          </w:p>
        </w:tc>
        <w:tc>
          <w:tcPr>
            <w:tcW w:w="804" w:type="dxa"/>
            <w:tcBorders>
              <w:top w:val="nil"/>
              <w:left w:val="nil"/>
              <w:bottom w:val="single" w:sz="8" w:space="0" w:color="auto"/>
              <w:right w:val="single" w:sz="8" w:space="0" w:color="auto"/>
            </w:tcBorders>
            <w:tcMar>
              <w:top w:w="0" w:type="dxa"/>
              <w:left w:w="108" w:type="dxa"/>
              <w:bottom w:w="0" w:type="dxa"/>
              <w:right w:w="108"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1910</w:t>
            </w:r>
          </w:p>
        </w:tc>
        <w:tc>
          <w:tcPr>
            <w:tcW w:w="948" w:type="dxa"/>
            <w:tcBorders>
              <w:top w:val="nil"/>
              <w:left w:val="nil"/>
              <w:bottom w:val="single" w:sz="8" w:space="0" w:color="auto"/>
              <w:right w:val="single" w:sz="8" w:space="0" w:color="auto"/>
            </w:tcBorders>
            <w:tcMar>
              <w:top w:w="0" w:type="dxa"/>
              <w:left w:w="11" w:type="dxa"/>
              <w:bottom w:w="0" w:type="dxa"/>
              <w:right w:w="11" w:type="dxa"/>
            </w:tcMar>
            <w:vAlign w:val="cente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49,9</w:t>
            </w:r>
          </w:p>
        </w:tc>
        <w:tc>
          <w:tcPr>
            <w:tcW w:w="89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28,93</w:t>
            </w:r>
          </w:p>
        </w:tc>
        <w:tc>
          <w:tcPr>
            <w:tcW w:w="75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μg/mc</w:t>
            </w:r>
          </w:p>
        </w:tc>
        <w:tc>
          <w:tcPr>
            <w:tcW w:w="1205" w:type="dxa"/>
            <w:tcBorders>
              <w:top w:val="nil"/>
              <w:left w:val="nil"/>
              <w:bottom w:val="single" w:sz="8" w:space="0" w:color="auto"/>
              <w:right w:val="single" w:sz="8"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0</w:t>
            </w:r>
          </w:p>
        </w:tc>
        <w:tc>
          <w:tcPr>
            <w:tcW w:w="1719" w:type="dxa"/>
            <w:tcBorders>
              <w:top w:val="nil"/>
              <w:left w:val="nil"/>
              <w:bottom w:val="single" w:sz="8" w:space="0" w:color="auto"/>
              <w:right w:val="single" w:sz="12" w:space="0" w:color="auto"/>
            </w:tcBorders>
            <w:tcMar>
              <w:top w:w="0" w:type="dxa"/>
              <w:left w:w="11" w:type="dxa"/>
              <w:bottom w:w="0" w:type="dxa"/>
              <w:right w:w="11" w:type="dxa"/>
            </w:tcMar>
            <w:hideMark/>
          </w:tcPr>
          <w:p w:rsidR="00587B71" w:rsidRPr="00587B71" w:rsidRDefault="00587B71" w:rsidP="00587B71">
            <w:pPr>
              <w:spacing w:after="0" w:line="240" w:lineRule="auto"/>
              <w:jc w:val="center"/>
              <w:rPr>
                <w:rFonts w:ascii="Arial" w:eastAsia="Times New Roman" w:hAnsi="Arial" w:cs="Arial"/>
                <w:sz w:val="20"/>
                <w:szCs w:val="20"/>
                <w:lang w:val="ro-RO"/>
              </w:rPr>
            </w:pPr>
            <w:r w:rsidRPr="00587B71">
              <w:rPr>
                <w:rFonts w:ascii="Arial" w:eastAsia="Times New Roman" w:hAnsi="Arial" w:cs="Arial"/>
                <w:sz w:val="20"/>
                <w:szCs w:val="20"/>
                <w:lang w:val="ro-RO"/>
              </w:rPr>
              <w:t>21,8</w:t>
            </w:r>
          </w:p>
        </w:tc>
      </w:tr>
    </w:tbl>
    <w:p w:rsidR="00587B71" w:rsidRPr="00587B71" w:rsidRDefault="00587B71" w:rsidP="00587B71">
      <w:pPr>
        <w:spacing w:after="0" w:line="240" w:lineRule="auto"/>
        <w:rPr>
          <w:rFonts w:ascii="Arial" w:eastAsia="Times New Roman" w:hAnsi="Arial" w:cs="Arial"/>
          <w:iCs/>
          <w:color w:val="FF0000"/>
          <w:sz w:val="24"/>
          <w:szCs w:val="24"/>
          <w:lang w:val="ro-RO"/>
        </w:rPr>
      </w:pPr>
    </w:p>
    <w:p w:rsidR="00587B71" w:rsidRPr="00587B71" w:rsidRDefault="00587B71" w:rsidP="00587B71">
      <w:pPr>
        <w:spacing w:after="0" w:line="240" w:lineRule="auto"/>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 xml:space="preserve">Tabelul I.2. -  Calitatea aerului ambiental – monitorizare discontinuă 2015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808"/>
        <w:gridCol w:w="1220"/>
        <w:gridCol w:w="883"/>
        <w:gridCol w:w="831"/>
        <w:gridCol w:w="1112"/>
        <w:gridCol w:w="914"/>
        <w:gridCol w:w="880"/>
        <w:gridCol w:w="743"/>
        <w:gridCol w:w="1598"/>
      </w:tblGrid>
      <w:tr w:rsidR="00587B71" w:rsidRPr="00587B71" w:rsidTr="00587B71">
        <w:trPr>
          <w:jc w:val="center"/>
        </w:trPr>
        <w:tc>
          <w:tcPr>
            <w:tcW w:w="567" w:type="dxa"/>
            <w:vMerge w:val="restart"/>
            <w:shd w:val="clear" w:color="auto" w:fill="auto"/>
            <w:tcMar>
              <w:left w:w="11" w:type="dxa"/>
              <w:right w:w="11" w:type="dxa"/>
            </w:tcMar>
          </w:tcPr>
          <w:p w:rsidR="00587B71" w:rsidRPr="00587B71" w:rsidRDefault="00587B71" w:rsidP="00587B71">
            <w:pPr>
              <w:spacing w:after="0" w:line="240" w:lineRule="auto"/>
              <w:jc w:val="center"/>
              <w:rPr>
                <w:rFonts w:ascii="Arial" w:eastAsia="Times New Roman" w:hAnsi="Arial" w:cs="Arial"/>
                <w:b/>
                <w:color w:val="000000"/>
                <w:sz w:val="20"/>
                <w:szCs w:val="20"/>
                <w:lang w:val="ro-RO"/>
              </w:rPr>
            </w:pPr>
            <w:r w:rsidRPr="00587B71">
              <w:rPr>
                <w:rFonts w:ascii="Arial" w:eastAsia="Times New Roman" w:hAnsi="Arial" w:cs="Arial"/>
                <w:b/>
                <w:color w:val="000000"/>
                <w:sz w:val="20"/>
                <w:szCs w:val="20"/>
                <w:lang w:val="ro-RO"/>
              </w:rPr>
              <w:t>Judeţ</w:t>
            </w:r>
          </w:p>
        </w:tc>
        <w:tc>
          <w:tcPr>
            <w:tcW w:w="808" w:type="dxa"/>
            <w:vMerge w:val="restart"/>
            <w:shd w:val="clear" w:color="auto" w:fill="auto"/>
            <w:tcMar>
              <w:left w:w="11" w:type="dxa"/>
              <w:right w:w="11" w:type="dxa"/>
            </w:tcMar>
          </w:tcPr>
          <w:p w:rsidR="00587B71" w:rsidRPr="00587B71" w:rsidRDefault="00587B71" w:rsidP="00587B71">
            <w:pPr>
              <w:spacing w:after="0" w:line="240" w:lineRule="auto"/>
              <w:jc w:val="center"/>
              <w:rPr>
                <w:rFonts w:ascii="Arial" w:eastAsia="Times New Roman" w:hAnsi="Arial" w:cs="Arial"/>
                <w:b/>
                <w:color w:val="000000"/>
                <w:sz w:val="20"/>
                <w:szCs w:val="20"/>
                <w:lang w:val="ro-RO"/>
              </w:rPr>
            </w:pPr>
            <w:r w:rsidRPr="00587B71">
              <w:rPr>
                <w:rFonts w:ascii="Arial" w:eastAsia="Times New Roman" w:hAnsi="Arial" w:cs="Arial"/>
                <w:b/>
                <w:color w:val="000000"/>
                <w:sz w:val="20"/>
                <w:szCs w:val="20"/>
                <w:lang w:val="ro-RO"/>
              </w:rPr>
              <w:t>Oraş</w:t>
            </w:r>
          </w:p>
        </w:tc>
        <w:tc>
          <w:tcPr>
            <w:tcW w:w="1220" w:type="dxa"/>
            <w:vMerge w:val="restart"/>
            <w:shd w:val="clear" w:color="auto" w:fill="auto"/>
            <w:tcMar>
              <w:left w:w="11" w:type="dxa"/>
              <w:right w:w="11" w:type="dxa"/>
            </w:tcMar>
          </w:tcPr>
          <w:p w:rsidR="00587B71" w:rsidRPr="00587B71" w:rsidRDefault="00587B71" w:rsidP="00587B71">
            <w:pPr>
              <w:spacing w:after="0" w:line="240" w:lineRule="auto"/>
              <w:jc w:val="center"/>
              <w:rPr>
                <w:rFonts w:ascii="Arial" w:eastAsia="Times New Roman" w:hAnsi="Arial" w:cs="Arial"/>
                <w:b/>
                <w:color w:val="000000"/>
                <w:sz w:val="20"/>
                <w:szCs w:val="20"/>
                <w:lang w:val="ro-RO"/>
              </w:rPr>
            </w:pPr>
            <w:r w:rsidRPr="00587B71">
              <w:rPr>
                <w:rFonts w:ascii="Arial" w:eastAsia="Times New Roman" w:hAnsi="Arial" w:cs="Arial"/>
                <w:b/>
                <w:color w:val="000000"/>
                <w:sz w:val="20"/>
                <w:szCs w:val="20"/>
                <w:lang w:val="ro-RO"/>
              </w:rPr>
              <w:t>Staţia</w:t>
            </w:r>
          </w:p>
        </w:tc>
        <w:tc>
          <w:tcPr>
            <w:tcW w:w="883" w:type="dxa"/>
            <w:vMerge w:val="restart"/>
            <w:shd w:val="clear" w:color="auto" w:fill="auto"/>
            <w:tcMar>
              <w:left w:w="11" w:type="dxa"/>
              <w:right w:w="11" w:type="dxa"/>
            </w:tcMar>
          </w:tcPr>
          <w:p w:rsidR="00587B71" w:rsidRPr="00587B71" w:rsidRDefault="00587B71" w:rsidP="00587B71">
            <w:pPr>
              <w:spacing w:after="0" w:line="240" w:lineRule="auto"/>
              <w:jc w:val="center"/>
              <w:rPr>
                <w:rFonts w:ascii="Arial" w:eastAsia="Times New Roman" w:hAnsi="Arial" w:cs="Arial"/>
                <w:b/>
                <w:color w:val="000000"/>
                <w:sz w:val="20"/>
                <w:szCs w:val="20"/>
                <w:lang w:val="ro-RO"/>
              </w:rPr>
            </w:pPr>
            <w:r w:rsidRPr="00587B71">
              <w:rPr>
                <w:rFonts w:ascii="Arial" w:eastAsia="Times New Roman" w:hAnsi="Arial" w:cs="Arial"/>
                <w:b/>
                <w:color w:val="000000"/>
                <w:sz w:val="20"/>
                <w:szCs w:val="20"/>
                <w:lang w:val="ro-RO"/>
              </w:rPr>
              <w:t>Tipul staţiei</w:t>
            </w:r>
          </w:p>
        </w:tc>
        <w:tc>
          <w:tcPr>
            <w:tcW w:w="831" w:type="dxa"/>
            <w:vMerge w:val="restart"/>
            <w:shd w:val="clear" w:color="auto" w:fill="auto"/>
            <w:tcMar>
              <w:left w:w="11" w:type="dxa"/>
              <w:right w:w="11" w:type="dxa"/>
            </w:tcMar>
          </w:tcPr>
          <w:p w:rsidR="00587B71" w:rsidRPr="00587B71" w:rsidRDefault="00587B71" w:rsidP="00587B71">
            <w:pPr>
              <w:spacing w:after="0" w:line="240" w:lineRule="auto"/>
              <w:jc w:val="center"/>
              <w:rPr>
                <w:rFonts w:ascii="Arial" w:eastAsia="Times New Roman" w:hAnsi="Arial" w:cs="Arial"/>
                <w:b/>
                <w:color w:val="000000"/>
                <w:sz w:val="20"/>
                <w:szCs w:val="20"/>
                <w:lang w:val="ro-RO"/>
              </w:rPr>
            </w:pPr>
            <w:r w:rsidRPr="00587B71">
              <w:rPr>
                <w:rFonts w:ascii="Arial" w:eastAsia="Times New Roman" w:hAnsi="Arial" w:cs="Arial"/>
                <w:b/>
                <w:color w:val="000000"/>
                <w:sz w:val="20"/>
                <w:szCs w:val="20"/>
                <w:lang w:val="ro-RO"/>
              </w:rPr>
              <w:t>Tip</w:t>
            </w:r>
          </w:p>
          <w:p w:rsidR="00587B71" w:rsidRPr="00587B71" w:rsidRDefault="00587B71" w:rsidP="00587B71">
            <w:pPr>
              <w:spacing w:after="0" w:line="240" w:lineRule="auto"/>
              <w:jc w:val="center"/>
              <w:rPr>
                <w:rFonts w:ascii="Arial" w:eastAsia="Times New Roman" w:hAnsi="Arial" w:cs="Arial"/>
                <w:b/>
                <w:color w:val="000000"/>
                <w:sz w:val="20"/>
                <w:szCs w:val="20"/>
                <w:lang w:val="ro-RO"/>
              </w:rPr>
            </w:pPr>
            <w:r w:rsidRPr="00587B71">
              <w:rPr>
                <w:rFonts w:ascii="Arial" w:eastAsia="Times New Roman" w:hAnsi="Arial" w:cs="Arial"/>
                <w:b/>
                <w:color w:val="000000"/>
                <w:sz w:val="20"/>
                <w:szCs w:val="20"/>
                <w:lang w:val="ro-RO"/>
              </w:rPr>
              <w:t>poluant</w:t>
            </w:r>
          </w:p>
        </w:tc>
        <w:tc>
          <w:tcPr>
            <w:tcW w:w="1112" w:type="dxa"/>
            <w:vMerge w:val="restart"/>
            <w:shd w:val="clear" w:color="auto" w:fill="auto"/>
            <w:tcMar>
              <w:left w:w="11" w:type="dxa"/>
              <w:right w:w="11" w:type="dxa"/>
            </w:tcMar>
          </w:tcPr>
          <w:p w:rsidR="00587B71" w:rsidRPr="00587B71" w:rsidRDefault="00587B71" w:rsidP="00587B71">
            <w:pPr>
              <w:spacing w:after="0" w:line="240" w:lineRule="auto"/>
              <w:jc w:val="center"/>
              <w:rPr>
                <w:rFonts w:ascii="Arial" w:eastAsia="Times New Roman" w:hAnsi="Arial" w:cs="Arial"/>
                <w:b/>
                <w:color w:val="000000"/>
                <w:sz w:val="20"/>
                <w:szCs w:val="20"/>
                <w:lang w:val="ro-RO"/>
              </w:rPr>
            </w:pPr>
            <w:r w:rsidRPr="00587B71">
              <w:rPr>
                <w:rFonts w:ascii="Arial" w:eastAsia="Times New Roman" w:hAnsi="Arial" w:cs="Arial"/>
                <w:b/>
                <w:color w:val="000000"/>
                <w:sz w:val="20"/>
                <w:szCs w:val="20"/>
                <w:lang w:val="ro-RO"/>
              </w:rPr>
              <w:t>Număr determinări</w:t>
            </w:r>
          </w:p>
          <w:p w:rsidR="00587B71" w:rsidRPr="00587B71" w:rsidRDefault="00587B71" w:rsidP="00587B71">
            <w:pPr>
              <w:spacing w:after="0" w:line="240" w:lineRule="auto"/>
              <w:jc w:val="center"/>
              <w:rPr>
                <w:rFonts w:ascii="Arial" w:eastAsia="Times New Roman" w:hAnsi="Arial" w:cs="Arial"/>
                <w:b/>
                <w:color w:val="FF0000"/>
                <w:sz w:val="20"/>
                <w:szCs w:val="20"/>
                <w:lang w:val="ro-RO"/>
              </w:rPr>
            </w:pPr>
            <w:r w:rsidRPr="00587B71">
              <w:rPr>
                <w:rFonts w:ascii="Arial" w:eastAsia="Times New Roman" w:hAnsi="Arial" w:cs="Arial"/>
                <w:b/>
                <w:color w:val="000000"/>
                <w:sz w:val="20"/>
                <w:szCs w:val="20"/>
                <w:lang w:val="ro-RO"/>
              </w:rPr>
              <w:t>(zilnice)</w:t>
            </w:r>
          </w:p>
        </w:tc>
        <w:tc>
          <w:tcPr>
            <w:tcW w:w="2537" w:type="dxa"/>
            <w:gridSpan w:val="3"/>
            <w:shd w:val="clear" w:color="auto" w:fill="auto"/>
            <w:tcMar>
              <w:left w:w="11" w:type="dxa"/>
              <w:right w:w="11" w:type="dxa"/>
            </w:tcMar>
          </w:tcPr>
          <w:p w:rsidR="00587B71" w:rsidRPr="00587B71" w:rsidRDefault="00587B71" w:rsidP="00587B71">
            <w:pPr>
              <w:spacing w:after="0" w:line="240" w:lineRule="auto"/>
              <w:jc w:val="center"/>
              <w:rPr>
                <w:rFonts w:ascii="Arial" w:eastAsia="Times New Roman" w:hAnsi="Arial" w:cs="Arial"/>
                <w:b/>
                <w:color w:val="000000"/>
                <w:sz w:val="20"/>
                <w:szCs w:val="20"/>
                <w:lang w:val="ro-RO"/>
              </w:rPr>
            </w:pPr>
            <w:r w:rsidRPr="00587B71">
              <w:rPr>
                <w:rFonts w:ascii="Arial" w:eastAsia="Times New Roman" w:hAnsi="Arial" w:cs="Arial"/>
                <w:b/>
                <w:color w:val="000000"/>
                <w:sz w:val="20"/>
                <w:szCs w:val="20"/>
                <w:lang w:val="ro-RO"/>
              </w:rPr>
              <w:t>Concentraţia</w:t>
            </w:r>
          </w:p>
        </w:tc>
        <w:tc>
          <w:tcPr>
            <w:tcW w:w="1598" w:type="dxa"/>
            <w:vMerge w:val="restart"/>
            <w:shd w:val="clear" w:color="auto" w:fill="auto"/>
            <w:tcMar>
              <w:left w:w="11" w:type="dxa"/>
              <w:right w:w="11" w:type="dxa"/>
            </w:tcMar>
          </w:tcPr>
          <w:p w:rsidR="00587B71" w:rsidRPr="00587B71" w:rsidRDefault="00587B71" w:rsidP="00587B71">
            <w:pPr>
              <w:spacing w:after="0" w:line="240" w:lineRule="auto"/>
              <w:jc w:val="center"/>
              <w:rPr>
                <w:rFonts w:ascii="Arial" w:eastAsia="Times New Roman" w:hAnsi="Arial" w:cs="Arial"/>
                <w:b/>
                <w:color w:val="000000"/>
                <w:sz w:val="20"/>
                <w:szCs w:val="20"/>
                <w:lang w:val="ro-RO"/>
              </w:rPr>
            </w:pPr>
            <w:r w:rsidRPr="00587B71">
              <w:rPr>
                <w:rFonts w:ascii="Arial" w:eastAsia="Times New Roman" w:hAnsi="Arial" w:cs="Arial"/>
                <w:b/>
                <w:color w:val="000000"/>
                <w:sz w:val="20"/>
                <w:szCs w:val="20"/>
                <w:lang w:val="ro-RO"/>
              </w:rPr>
              <w:t>Frecvenţa depăşirii VL  (%)</w:t>
            </w:r>
          </w:p>
        </w:tc>
      </w:tr>
      <w:tr w:rsidR="00587B71" w:rsidRPr="00587B71" w:rsidTr="00587B71">
        <w:trPr>
          <w:jc w:val="center"/>
        </w:trPr>
        <w:tc>
          <w:tcPr>
            <w:tcW w:w="567" w:type="dxa"/>
            <w:vMerge/>
            <w:shd w:val="clear" w:color="auto" w:fill="auto"/>
            <w:tcMar>
              <w:left w:w="11" w:type="dxa"/>
              <w:right w:w="11" w:type="dxa"/>
            </w:tcMar>
          </w:tcPr>
          <w:p w:rsidR="00587B71" w:rsidRPr="00587B71" w:rsidRDefault="00587B71" w:rsidP="00587B71">
            <w:pPr>
              <w:spacing w:after="0" w:line="240" w:lineRule="auto"/>
              <w:jc w:val="center"/>
              <w:rPr>
                <w:rFonts w:ascii="Arial" w:eastAsia="Times New Roman" w:hAnsi="Arial" w:cs="Arial"/>
                <w:color w:val="000000"/>
                <w:sz w:val="20"/>
                <w:szCs w:val="20"/>
                <w:lang w:val="ro-RO"/>
              </w:rPr>
            </w:pPr>
          </w:p>
        </w:tc>
        <w:tc>
          <w:tcPr>
            <w:tcW w:w="808" w:type="dxa"/>
            <w:vMerge/>
            <w:shd w:val="clear" w:color="auto" w:fill="auto"/>
            <w:tcMar>
              <w:left w:w="11" w:type="dxa"/>
              <w:right w:w="11" w:type="dxa"/>
            </w:tcMar>
          </w:tcPr>
          <w:p w:rsidR="00587B71" w:rsidRPr="00587B71" w:rsidRDefault="00587B71" w:rsidP="00587B71">
            <w:pPr>
              <w:spacing w:after="0" w:line="240" w:lineRule="auto"/>
              <w:jc w:val="center"/>
              <w:rPr>
                <w:rFonts w:ascii="Arial" w:eastAsia="Times New Roman" w:hAnsi="Arial" w:cs="Arial"/>
                <w:color w:val="000000"/>
                <w:sz w:val="20"/>
                <w:szCs w:val="20"/>
                <w:lang w:val="ro-RO"/>
              </w:rPr>
            </w:pPr>
          </w:p>
        </w:tc>
        <w:tc>
          <w:tcPr>
            <w:tcW w:w="1220" w:type="dxa"/>
            <w:vMerge/>
            <w:shd w:val="clear" w:color="auto" w:fill="auto"/>
            <w:tcMar>
              <w:left w:w="11" w:type="dxa"/>
              <w:right w:w="11" w:type="dxa"/>
            </w:tcMar>
          </w:tcPr>
          <w:p w:rsidR="00587B71" w:rsidRPr="00587B71" w:rsidRDefault="00587B71" w:rsidP="00587B71">
            <w:pPr>
              <w:spacing w:after="0" w:line="240" w:lineRule="auto"/>
              <w:jc w:val="center"/>
              <w:rPr>
                <w:rFonts w:ascii="Arial" w:eastAsia="Times New Roman" w:hAnsi="Arial" w:cs="Arial"/>
                <w:color w:val="000000"/>
                <w:sz w:val="20"/>
                <w:szCs w:val="20"/>
                <w:lang w:val="ro-RO"/>
              </w:rPr>
            </w:pPr>
          </w:p>
        </w:tc>
        <w:tc>
          <w:tcPr>
            <w:tcW w:w="883" w:type="dxa"/>
            <w:vMerge/>
            <w:shd w:val="clear" w:color="auto" w:fill="auto"/>
            <w:tcMar>
              <w:left w:w="11" w:type="dxa"/>
              <w:right w:w="11" w:type="dxa"/>
            </w:tcMar>
          </w:tcPr>
          <w:p w:rsidR="00587B71" w:rsidRPr="00587B71" w:rsidRDefault="00587B71" w:rsidP="00587B71">
            <w:pPr>
              <w:spacing w:after="0" w:line="240" w:lineRule="auto"/>
              <w:jc w:val="center"/>
              <w:rPr>
                <w:rFonts w:ascii="Arial" w:eastAsia="Times New Roman" w:hAnsi="Arial" w:cs="Arial"/>
                <w:color w:val="000000"/>
                <w:sz w:val="20"/>
                <w:szCs w:val="20"/>
                <w:lang w:val="ro-RO"/>
              </w:rPr>
            </w:pPr>
          </w:p>
        </w:tc>
        <w:tc>
          <w:tcPr>
            <w:tcW w:w="831" w:type="dxa"/>
            <w:vMerge/>
            <w:shd w:val="clear" w:color="auto" w:fill="auto"/>
            <w:tcMar>
              <w:left w:w="11" w:type="dxa"/>
              <w:right w:w="11" w:type="dxa"/>
            </w:tcMar>
          </w:tcPr>
          <w:p w:rsidR="00587B71" w:rsidRPr="00587B71" w:rsidRDefault="00587B71" w:rsidP="00587B71">
            <w:pPr>
              <w:spacing w:after="0" w:line="240" w:lineRule="auto"/>
              <w:jc w:val="center"/>
              <w:rPr>
                <w:rFonts w:ascii="Arial" w:eastAsia="Times New Roman" w:hAnsi="Arial" w:cs="Arial"/>
                <w:color w:val="000000"/>
                <w:sz w:val="20"/>
                <w:szCs w:val="20"/>
                <w:lang w:val="ro-RO"/>
              </w:rPr>
            </w:pPr>
          </w:p>
        </w:tc>
        <w:tc>
          <w:tcPr>
            <w:tcW w:w="1112" w:type="dxa"/>
            <w:vMerge/>
            <w:shd w:val="clear" w:color="auto" w:fill="auto"/>
            <w:tcMar>
              <w:left w:w="11" w:type="dxa"/>
              <w:right w:w="11" w:type="dxa"/>
            </w:tcMar>
          </w:tcPr>
          <w:p w:rsidR="00587B71" w:rsidRPr="00587B71" w:rsidRDefault="00587B71" w:rsidP="00587B71">
            <w:pPr>
              <w:spacing w:after="0" w:line="240" w:lineRule="auto"/>
              <w:jc w:val="center"/>
              <w:rPr>
                <w:rFonts w:ascii="Arial" w:eastAsia="Times New Roman" w:hAnsi="Arial" w:cs="Arial"/>
                <w:color w:val="FF0000"/>
                <w:sz w:val="20"/>
                <w:szCs w:val="20"/>
                <w:lang w:val="ro-RO"/>
              </w:rPr>
            </w:pPr>
          </w:p>
        </w:tc>
        <w:tc>
          <w:tcPr>
            <w:tcW w:w="914" w:type="dxa"/>
            <w:shd w:val="clear" w:color="auto" w:fill="auto"/>
            <w:tcMar>
              <w:left w:w="11" w:type="dxa"/>
              <w:right w:w="11" w:type="dxa"/>
            </w:tcMar>
          </w:tcPr>
          <w:p w:rsidR="00587B71" w:rsidRPr="00587B71" w:rsidRDefault="00587B71" w:rsidP="00587B71">
            <w:pPr>
              <w:spacing w:after="0" w:line="240" w:lineRule="auto"/>
              <w:jc w:val="center"/>
              <w:rPr>
                <w:rFonts w:ascii="Arial" w:eastAsia="Times New Roman" w:hAnsi="Arial" w:cs="Arial"/>
                <w:b/>
                <w:color w:val="000000"/>
                <w:sz w:val="20"/>
                <w:szCs w:val="20"/>
                <w:lang w:val="ro-RO"/>
              </w:rPr>
            </w:pPr>
            <w:r w:rsidRPr="00587B71">
              <w:rPr>
                <w:rFonts w:ascii="Arial" w:eastAsia="Times New Roman" w:hAnsi="Arial" w:cs="Arial"/>
                <w:b/>
                <w:color w:val="000000"/>
                <w:sz w:val="20"/>
                <w:szCs w:val="20"/>
                <w:lang w:val="ro-RO"/>
              </w:rPr>
              <w:t>Medie</w:t>
            </w:r>
          </w:p>
          <w:p w:rsidR="00587B71" w:rsidRPr="00587B71" w:rsidRDefault="00587B71" w:rsidP="00587B71">
            <w:pPr>
              <w:spacing w:after="0" w:line="240" w:lineRule="auto"/>
              <w:jc w:val="center"/>
              <w:rPr>
                <w:rFonts w:ascii="Arial" w:eastAsia="Times New Roman" w:hAnsi="Arial" w:cs="Arial"/>
                <w:b/>
                <w:color w:val="000000"/>
                <w:sz w:val="20"/>
                <w:szCs w:val="20"/>
                <w:lang w:val="ro-RO"/>
              </w:rPr>
            </w:pPr>
            <w:r w:rsidRPr="00587B71">
              <w:rPr>
                <w:rFonts w:ascii="Arial" w:eastAsia="Times New Roman" w:hAnsi="Arial" w:cs="Arial"/>
                <w:b/>
                <w:color w:val="000000"/>
                <w:sz w:val="20"/>
                <w:szCs w:val="20"/>
                <w:lang w:val="ro-RO"/>
              </w:rPr>
              <w:t>anuală</w:t>
            </w:r>
          </w:p>
        </w:tc>
        <w:tc>
          <w:tcPr>
            <w:tcW w:w="880" w:type="dxa"/>
            <w:shd w:val="clear" w:color="auto" w:fill="auto"/>
            <w:tcMar>
              <w:left w:w="11" w:type="dxa"/>
              <w:right w:w="11" w:type="dxa"/>
            </w:tcMar>
          </w:tcPr>
          <w:p w:rsidR="00587B71" w:rsidRPr="00587B71" w:rsidRDefault="00587B71" w:rsidP="00587B71">
            <w:pPr>
              <w:spacing w:after="0" w:line="240" w:lineRule="auto"/>
              <w:jc w:val="center"/>
              <w:rPr>
                <w:rFonts w:ascii="Arial" w:eastAsia="Times New Roman" w:hAnsi="Arial" w:cs="Arial"/>
                <w:b/>
                <w:color w:val="000000"/>
                <w:sz w:val="20"/>
                <w:szCs w:val="20"/>
                <w:lang w:val="ro-RO"/>
              </w:rPr>
            </w:pPr>
            <w:r w:rsidRPr="00587B71">
              <w:rPr>
                <w:rFonts w:ascii="Arial" w:eastAsia="Times New Roman" w:hAnsi="Arial" w:cs="Arial"/>
                <w:b/>
                <w:color w:val="000000"/>
                <w:sz w:val="20"/>
                <w:szCs w:val="20"/>
                <w:lang w:val="ro-RO"/>
              </w:rPr>
              <w:t>Max. Zilnica</w:t>
            </w:r>
          </w:p>
        </w:tc>
        <w:tc>
          <w:tcPr>
            <w:tcW w:w="743" w:type="dxa"/>
            <w:shd w:val="clear" w:color="auto" w:fill="auto"/>
            <w:tcMar>
              <w:left w:w="11" w:type="dxa"/>
              <w:right w:w="11" w:type="dxa"/>
            </w:tcMar>
          </w:tcPr>
          <w:p w:rsidR="00587B71" w:rsidRPr="00587B71" w:rsidRDefault="00587B71" w:rsidP="00587B71">
            <w:pPr>
              <w:spacing w:after="0" w:line="240" w:lineRule="auto"/>
              <w:jc w:val="center"/>
              <w:rPr>
                <w:rFonts w:ascii="Arial" w:eastAsia="Times New Roman" w:hAnsi="Arial" w:cs="Arial"/>
                <w:b/>
                <w:color w:val="000000"/>
                <w:sz w:val="20"/>
                <w:szCs w:val="20"/>
                <w:lang w:val="ro-RO"/>
              </w:rPr>
            </w:pPr>
            <w:r w:rsidRPr="00587B71">
              <w:rPr>
                <w:rFonts w:ascii="Arial" w:eastAsia="Times New Roman" w:hAnsi="Arial" w:cs="Arial"/>
                <w:b/>
                <w:color w:val="000000"/>
                <w:sz w:val="20"/>
                <w:szCs w:val="20"/>
                <w:lang w:val="ro-RO"/>
              </w:rPr>
              <w:t>UM</w:t>
            </w:r>
          </w:p>
        </w:tc>
        <w:tc>
          <w:tcPr>
            <w:tcW w:w="1598" w:type="dxa"/>
            <w:vMerge/>
            <w:shd w:val="clear" w:color="auto" w:fill="auto"/>
            <w:tcMar>
              <w:left w:w="11" w:type="dxa"/>
              <w:right w:w="11" w:type="dxa"/>
            </w:tcMar>
          </w:tcPr>
          <w:p w:rsidR="00587B71" w:rsidRPr="00587B71" w:rsidRDefault="00587B71" w:rsidP="00587B71">
            <w:pPr>
              <w:spacing w:after="0" w:line="240" w:lineRule="auto"/>
              <w:jc w:val="center"/>
              <w:rPr>
                <w:rFonts w:ascii="Arial" w:eastAsia="Times New Roman" w:hAnsi="Arial" w:cs="Arial"/>
                <w:color w:val="FF0000"/>
                <w:sz w:val="20"/>
                <w:szCs w:val="20"/>
                <w:lang w:val="ro-RO"/>
              </w:rPr>
            </w:pPr>
          </w:p>
        </w:tc>
      </w:tr>
      <w:tr w:rsidR="00587B71" w:rsidRPr="00587B71" w:rsidTr="00587B71">
        <w:trPr>
          <w:trHeight w:val="187"/>
          <w:jc w:val="center"/>
        </w:trPr>
        <w:tc>
          <w:tcPr>
            <w:tcW w:w="567" w:type="dxa"/>
            <w:vMerge w:val="restart"/>
            <w:shd w:val="clear" w:color="auto" w:fill="auto"/>
            <w:tcMar>
              <w:left w:w="11" w:type="dxa"/>
              <w:right w:w="11" w:type="dxa"/>
            </w:tcMar>
          </w:tcPr>
          <w:p w:rsidR="00587B71" w:rsidRPr="00587B71" w:rsidRDefault="00587B71" w:rsidP="00587B71">
            <w:pPr>
              <w:spacing w:after="0" w:line="240" w:lineRule="auto"/>
              <w:jc w:val="center"/>
              <w:rPr>
                <w:rFonts w:ascii="Arial" w:eastAsia="Times New Roman" w:hAnsi="Arial" w:cs="Arial"/>
                <w:color w:val="000000"/>
                <w:sz w:val="20"/>
                <w:szCs w:val="20"/>
                <w:lang w:val="ro-RO"/>
              </w:rPr>
            </w:pPr>
          </w:p>
          <w:p w:rsidR="00587B71" w:rsidRPr="00587B71" w:rsidRDefault="00587B71" w:rsidP="00587B71">
            <w:pPr>
              <w:spacing w:after="0" w:line="240" w:lineRule="auto"/>
              <w:jc w:val="center"/>
              <w:rPr>
                <w:rFonts w:ascii="Arial" w:eastAsia="Times New Roman" w:hAnsi="Arial" w:cs="Arial"/>
                <w:color w:val="000000"/>
                <w:sz w:val="20"/>
                <w:szCs w:val="20"/>
                <w:lang w:val="ro-RO"/>
              </w:rPr>
            </w:pPr>
          </w:p>
          <w:p w:rsidR="00587B71" w:rsidRPr="00587B71" w:rsidRDefault="00587B71" w:rsidP="00587B71">
            <w:pPr>
              <w:spacing w:after="0" w:line="240" w:lineRule="auto"/>
              <w:jc w:val="center"/>
              <w:rPr>
                <w:rFonts w:ascii="Arial" w:eastAsia="Times New Roman" w:hAnsi="Arial" w:cs="Arial"/>
                <w:color w:val="000000"/>
                <w:sz w:val="20"/>
                <w:szCs w:val="20"/>
                <w:lang w:val="ro-RO"/>
              </w:rPr>
            </w:pPr>
          </w:p>
          <w:p w:rsidR="00587B71" w:rsidRPr="00587B71" w:rsidRDefault="00587B71" w:rsidP="00587B71">
            <w:pPr>
              <w:spacing w:after="0" w:line="240" w:lineRule="auto"/>
              <w:jc w:val="center"/>
              <w:rPr>
                <w:rFonts w:ascii="Arial" w:eastAsia="Times New Roman" w:hAnsi="Arial" w:cs="Arial"/>
                <w:color w:val="000000"/>
                <w:sz w:val="20"/>
                <w:szCs w:val="20"/>
                <w:lang w:val="ro-RO"/>
              </w:rPr>
            </w:pPr>
            <w:r w:rsidRPr="00587B71">
              <w:rPr>
                <w:rFonts w:ascii="Arial" w:eastAsia="Times New Roman" w:hAnsi="Arial" w:cs="Arial"/>
                <w:color w:val="000000"/>
                <w:sz w:val="20"/>
                <w:szCs w:val="20"/>
                <w:lang w:val="ro-RO"/>
              </w:rPr>
              <w:lastRenderedPageBreak/>
              <w:t>Vaslui</w:t>
            </w:r>
          </w:p>
        </w:tc>
        <w:tc>
          <w:tcPr>
            <w:tcW w:w="808" w:type="dxa"/>
            <w:shd w:val="clear" w:color="auto" w:fill="auto"/>
            <w:tcMar>
              <w:left w:w="11" w:type="dxa"/>
              <w:right w:w="11" w:type="dxa"/>
            </w:tcMar>
          </w:tcPr>
          <w:p w:rsidR="00587B71" w:rsidRPr="00587B71" w:rsidRDefault="00587B71" w:rsidP="00587B71">
            <w:pPr>
              <w:spacing w:after="0" w:line="240" w:lineRule="auto"/>
              <w:ind w:right="28"/>
              <w:jc w:val="center"/>
              <w:rPr>
                <w:rFonts w:ascii="Arial" w:eastAsia="Times New Roman" w:hAnsi="Arial" w:cs="Arial"/>
                <w:color w:val="000000"/>
                <w:sz w:val="20"/>
                <w:szCs w:val="20"/>
                <w:lang w:val="ro-RO"/>
              </w:rPr>
            </w:pPr>
            <w:r w:rsidRPr="00587B71">
              <w:rPr>
                <w:rFonts w:ascii="Arial" w:eastAsia="Times New Roman" w:hAnsi="Arial" w:cs="Arial"/>
                <w:color w:val="000000"/>
                <w:sz w:val="20"/>
                <w:szCs w:val="20"/>
                <w:lang w:val="ro-RO"/>
              </w:rPr>
              <w:lastRenderedPageBreak/>
              <w:t>Vaslui</w:t>
            </w:r>
          </w:p>
        </w:tc>
        <w:tc>
          <w:tcPr>
            <w:tcW w:w="1220" w:type="dxa"/>
            <w:shd w:val="clear" w:color="auto" w:fill="auto"/>
            <w:tcMar>
              <w:left w:w="11" w:type="dxa"/>
              <w:right w:w="11" w:type="dxa"/>
            </w:tcMar>
          </w:tcPr>
          <w:p w:rsidR="00587B71" w:rsidRPr="00587B71" w:rsidRDefault="00587B71" w:rsidP="00587B71">
            <w:pPr>
              <w:tabs>
                <w:tab w:val="center" w:pos="4680"/>
                <w:tab w:val="right" w:pos="9360"/>
              </w:tabs>
              <w:spacing w:after="0" w:line="240" w:lineRule="auto"/>
              <w:ind w:right="28"/>
              <w:jc w:val="center"/>
              <w:rPr>
                <w:rFonts w:ascii="Arial" w:eastAsia="Times New Roman" w:hAnsi="Arial" w:cs="Arial"/>
                <w:color w:val="000000"/>
                <w:sz w:val="20"/>
                <w:szCs w:val="20"/>
                <w:lang w:val="ro-RO"/>
              </w:rPr>
            </w:pPr>
            <w:r w:rsidRPr="00587B71">
              <w:rPr>
                <w:rFonts w:ascii="Arial" w:eastAsia="Times New Roman" w:hAnsi="Arial" w:cs="Arial"/>
                <w:color w:val="000000"/>
                <w:sz w:val="20"/>
                <w:szCs w:val="20"/>
                <w:lang w:val="ro-RO"/>
              </w:rPr>
              <w:t>Sediu APM</w:t>
            </w:r>
          </w:p>
        </w:tc>
        <w:tc>
          <w:tcPr>
            <w:tcW w:w="883" w:type="dxa"/>
            <w:shd w:val="clear" w:color="auto" w:fill="auto"/>
            <w:tcMar>
              <w:left w:w="11" w:type="dxa"/>
              <w:right w:w="11" w:type="dxa"/>
            </w:tcMar>
          </w:tcPr>
          <w:p w:rsidR="00587B71" w:rsidRPr="00587B71" w:rsidRDefault="00587B71" w:rsidP="00587B71">
            <w:pPr>
              <w:tabs>
                <w:tab w:val="center" w:pos="4680"/>
                <w:tab w:val="right" w:pos="9360"/>
              </w:tabs>
              <w:spacing w:after="0" w:line="240" w:lineRule="auto"/>
              <w:ind w:right="28"/>
              <w:jc w:val="center"/>
              <w:rPr>
                <w:rFonts w:ascii="Arial" w:eastAsia="Times New Roman" w:hAnsi="Arial" w:cs="Arial"/>
                <w:color w:val="000000"/>
                <w:sz w:val="20"/>
                <w:szCs w:val="20"/>
                <w:lang w:val="ro-RO"/>
              </w:rPr>
            </w:pPr>
            <w:r w:rsidRPr="00587B71">
              <w:rPr>
                <w:rFonts w:ascii="Arial" w:eastAsia="Times New Roman" w:hAnsi="Arial" w:cs="Arial"/>
                <w:color w:val="000000"/>
                <w:sz w:val="20"/>
                <w:szCs w:val="20"/>
                <w:lang w:val="ro-RO"/>
              </w:rPr>
              <w:t>Trafic</w:t>
            </w:r>
          </w:p>
        </w:tc>
        <w:tc>
          <w:tcPr>
            <w:tcW w:w="831" w:type="dxa"/>
            <w:shd w:val="clear" w:color="auto" w:fill="auto"/>
            <w:tcMar>
              <w:left w:w="11" w:type="dxa"/>
              <w:right w:w="11" w:type="dxa"/>
            </w:tcMar>
          </w:tcPr>
          <w:p w:rsidR="00587B71" w:rsidRPr="00587B71" w:rsidRDefault="00587B71" w:rsidP="00587B71">
            <w:pPr>
              <w:tabs>
                <w:tab w:val="center" w:pos="4680"/>
                <w:tab w:val="right" w:pos="9360"/>
              </w:tabs>
              <w:spacing w:after="0" w:line="240" w:lineRule="auto"/>
              <w:ind w:right="28"/>
              <w:jc w:val="center"/>
              <w:rPr>
                <w:rFonts w:ascii="Arial" w:eastAsia="Times New Roman" w:hAnsi="Arial" w:cs="Arial"/>
                <w:color w:val="000000"/>
                <w:sz w:val="20"/>
                <w:szCs w:val="20"/>
                <w:lang w:val="ro-RO"/>
              </w:rPr>
            </w:pPr>
            <w:r w:rsidRPr="00587B71">
              <w:rPr>
                <w:rFonts w:ascii="Arial" w:eastAsia="Times New Roman" w:hAnsi="Arial" w:cs="Arial"/>
                <w:color w:val="000000"/>
                <w:sz w:val="20"/>
                <w:szCs w:val="20"/>
                <w:lang w:val="ro-RO"/>
              </w:rPr>
              <w:t>NH</w:t>
            </w:r>
            <w:r w:rsidRPr="00587B71">
              <w:rPr>
                <w:rFonts w:ascii="Arial" w:eastAsia="Times New Roman" w:hAnsi="Arial" w:cs="Arial"/>
                <w:color w:val="000000"/>
                <w:sz w:val="20"/>
                <w:szCs w:val="20"/>
                <w:vertAlign w:val="subscript"/>
                <w:lang w:val="ro-RO"/>
              </w:rPr>
              <w:t>3</w:t>
            </w:r>
          </w:p>
        </w:tc>
        <w:tc>
          <w:tcPr>
            <w:tcW w:w="1112" w:type="dxa"/>
            <w:shd w:val="clear" w:color="auto" w:fill="auto"/>
            <w:tcMar>
              <w:left w:w="11" w:type="dxa"/>
              <w:right w:w="11" w:type="dxa"/>
            </w:tcMar>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252</w:t>
            </w:r>
          </w:p>
        </w:tc>
        <w:tc>
          <w:tcPr>
            <w:tcW w:w="914" w:type="dxa"/>
            <w:shd w:val="clear" w:color="auto" w:fill="auto"/>
            <w:tcMar>
              <w:left w:w="11" w:type="dxa"/>
              <w:right w:w="11" w:type="dxa"/>
            </w:tcMar>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9,74</w:t>
            </w:r>
          </w:p>
        </w:tc>
        <w:tc>
          <w:tcPr>
            <w:tcW w:w="880" w:type="dxa"/>
            <w:shd w:val="clear" w:color="auto" w:fill="auto"/>
            <w:tcMar>
              <w:left w:w="11" w:type="dxa"/>
              <w:right w:w="11" w:type="dxa"/>
            </w:tcMar>
          </w:tcPr>
          <w:p w:rsidR="00587B71" w:rsidRPr="00587B71" w:rsidRDefault="00587B71" w:rsidP="00587B71">
            <w:pPr>
              <w:spacing w:after="0" w:line="240" w:lineRule="auto"/>
              <w:jc w:val="center"/>
              <w:rPr>
                <w:rFonts w:ascii="Arial" w:eastAsia="Times New Roman" w:hAnsi="Arial" w:cs="Arial"/>
                <w:color w:val="000000"/>
                <w:sz w:val="20"/>
                <w:szCs w:val="20"/>
                <w:lang w:val="ro-RO"/>
              </w:rPr>
            </w:pPr>
            <w:r w:rsidRPr="00587B71">
              <w:rPr>
                <w:rFonts w:ascii="Arial" w:eastAsia="Times New Roman" w:hAnsi="Arial" w:cs="Arial"/>
                <w:color w:val="000000"/>
                <w:sz w:val="20"/>
                <w:szCs w:val="20"/>
                <w:lang w:val="ro-RO"/>
              </w:rPr>
              <w:t>17</w:t>
            </w:r>
          </w:p>
        </w:tc>
        <w:tc>
          <w:tcPr>
            <w:tcW w:w="743" w:type="dxa"/>
            <w:shd w:val="clear" w:color="auto" w:fill="auto"/>
            <w:tcMar>
              <w:left w:w="11" w:type="dxa"/>
              <w:right w:w="11" w:type="dxa"/>
            </w:tcMar>
          </w:tcPr>
          <w:p w:rsidR="00587B71" w:rsidRPr="00587B71" w:rsidRDefault="00587B71" w:rsidP="00587B71">
            <w:pPr>
              <w:spacing w:after="0" w:line="240" w:lineRule="auto"/>
              <w:jc w:val="center"/>
              <w:rPr>
                <w:rFonts w:ascii="Arial" w:eastAsia="Times New Roman" w:hAnsi="Arial" w:cs="Arial"/>
                <w:color w:val="000000"/>
                <w:sz w:val="20"/>
                <w:szCs w:val="20"/>
                <w:lang w:val="ro-RO"/>
              </w:rPr>
            </w:pPr>
            <w:r w:rsidRPr="00587B71">
              <w:rPr>
                <w:rFonts w:ascii="Arial" w:eastAsia="Times New Roman" w:hAnsi="Arial" w:cs="Arial"/>
                <w:color w:val="000000"/>
                <w:sz w:val="20"/>
                <w:szCs w:val="20"/>
                <w:lang w:val="ro-RO"/>
              </w:rPr>
              <w:t>µg/mc</w:t>
            </w:r>
          </w:p>
        </w:tc>
        <w:tc>
          <w:tcPr>
            <w:tcW w:w="1598" w:type="dxa"/>
            <w:shd w:val="clear" w:color="auto" w:fill="auto"/>
            <w:tcMar>
              <w:left w:w="11" w:type="dxa"/>
              <w:right w:w="11" w:type="dxa"/>
            </w:tcMar>
          </w:tcPr>
          <w:p w:rsidR="00587B71" w:rsidRPr="00587B71" w:rsidRDefault="00587B71" w:rsidP="00587B71">
            <w:pPr>
              <w:spacing w:after="0" w:line="240" w:lineRule="auto"/>
              <w:jc w:val="center"/>
              <w:rPr>
                <w:rFonts w:ascii="Arial" w:eastAsia="Times New Roman" w:hAnsi="Arial" w:cs="Arial"/>
                <w:color w:val="000000"/>
                <w:sz w:val="20"/>
                <w:szCs w:val="20"/>
                <w:lang w:val="ro-RO"/>
              </w:rPr>
            </w:pPr>
            <w:r w:rsidRPr="00587B71">
              <w:rPr>
                <w:rFonts w:ascii="Arial" w:eastAsia="Times New Roman" w:hAnsi="Arial" w:cs="Arial"/>
                <w:color w:val="000000"/>
                <w:sz w:val="20"/>
                <w:szCs w:val="20"/>
                <w:lang w:val="ro-RO"/>
              </w:rPr>
              <w:t>0</w:t>
            </w:r>
          </w:p>
        </w:tc>
      </w:tr>
      <w:tr w:rsidR="00587B71" w:rsidRPr="00587B71" w:rsidTr="00587B71">
        <w:trPr>
          <w:trHeight w:val="357"/>
          <w:jc w:val="center"/>
        </w:trPr>
        <w:tc>
          <w:tcPr>
            <w:tcW w:w="567" w:type="dxa"/>
            <w:vMerge/>
            <w:shd w:val="clear" w:color="auto" w:fill="auto"/>
            <w:tcMar>
              <w:left w:w="11" w:type="dxa"/>
              <w:right w:w="11" w:type="dxa"/>
            </w:tcMar>
          </w:tcPr>
          <w:p w:rsidR="00587B71" w:rsidRPr="00587B71" w:rsidRDefault="00587B71" w:rsidP="00587B71">
            <w:pPr>
              <w:spacing w:after="0" w:line="240" w:lineRule="auto"/>
              <w:jc w:val="center"/>
              <w:rPr>
                <w:rFonts w:ascii="Arial" w:eastAsia="Times New Roman" w:hAnsi="Arial" w:cs="Arial"/>
                <w:color w:val="000000"/>
                <w:sz w:val="20"/>
                <w:szCs w:val="20"/>
                <w:lang w:val="ro-RO"/>
              </w:rPr>
            </w:pPr>
          </w:p>
        </w:tc>
        <w:tc>
          <w:tcPr>
            <w:tcW w:w="808" w:type="dxa"/>
            <w:shd w:val="clear" w:color="auto" w:fill="auto"/>
            <w:tcMar>
              <w:left w:w="11" w:type="dxa"/>
              <w:right w:w="11" w:type="dxa"/>
            </w:tcMar>
          </w:tcPr>
          <w:p w:rsidR="00587B71" w:rsidRPr="00587B71" w:rsidRDefault="00587B71" w:rsidP="00587B71">
            <w:pPr>
              <w:spacing w:after="0" w:line="240" w:lineRule="auto"/>
              <w:ind w:right="28"/>
              <w:jc w:val="center"/>
              <w:rPr>
                <w:rFonts w:ascii="Arial" w:eastAsia="Times New Roman" w:hAnsi="Arial" w:cs="Arial"/>
                <w:color w:val="000000"/>
                <w:sz w:val="20"/>
                <w:szCs w:val="20"/>
                <w:lang w:val="ro-RO"/>
              </w:rPr>
            </w:pPr>
            <w:r w:rsidRPr="00587B71">
              <w:rPr>
                <w:rFonts w:ascii="Arial" w:eastAsia="Times New Roman" w:hAnsi="Arial" w:cs="Arial"/>
                <w:color w:val="000000"/>
                <w:sz w:val="20"/>
                <w:szCs w:val="20"/>
                <w:lang w:val="ro-RO"/>
              </w:rPr>
              <w:t>Vaslui</w:t>
            </w:r>
          </w:p>
        </w:tc>
        <w:tc>
          <w:tcPr>
            <w:tcW w:w="1220" w:type="dxa"/>
            <w:shd w:val="clear" w:color="auto" w:fill="auto"/>
            <w:tcMar>
              <w:left w:w="11" w:type="dxa"/>
              <w:right w:w="11" w:type="dxa"/>
            </w:tcMar>
          </w:tcPr>
          <w:p w:rsidR="00587B71" w:rsidRPr="00587B71" w:rsidRDefault="00587B71" w:rsidP="00587B71">
            <w:pPr>
              <w:tabs>
                <w:tab w:val="center" w:pos="4680"/>
                <w:tab w:val="right" w:pos="9360"/>
              </w:tabs>
              <w:spacing w:after="0" w:line="240" w:lineRule="auto"/>
              <w:ind w:right="28"/>
              <w:jc w:val="center"/>
              <w:rPr>
                <w:rFonts w:ascii="Arial" w:eastAsia="Times New Roman" w:hAnsi="Arial" w:cs="Arial"/>
                <w:color w:val="000000"/>
                <w:sz w:val="20"/>
                <w:szCs w:val="20"/>
              </w:rPr>
            </w:pPr>
            <w:r w:rsidRPr="00587B71">
              <w:rPr>
                <w:rFonts w:ascii="Arial" w:eastAsia="Times New Roman" w:hAnsi="Arial" w:cs="Arial"/>
                <w:color w:val="000000"/>
                <w:sz w:val="20"/>
                <w:szCs w:val="20"/>
              </w:rPr>
              <w:t>Spitalul Judeţean</w:t>
            </w:r>
          </w:p>
        </w:tc>
        <w:tc>
          <w:tcPr>
            <w:tcW w:w="883" w:type="dxa"/>
            <w:shd w:val="clear" w:color="auto" w:fill="auto"/>
            <w:tcMar>
              <w:left w:w="11" w:type="dxa"/>
              <w:right w:w="11" w:type="dxa"/>
            </w:tcMar>
          </w:tcPr>
          <w:p w:rsidR="00587B71" w:rsidRPr="00587B71" w:rsidRDefault="00587B71" w:rsidP="00587B71">
            <w:pPr>
              <w:tabs>
                <w:tab w:val="center" w:pos="4680"/>
                <w:tab w:val="right" w:pos="9360"/>
              </w:tabs>
              <w:spacing w:after="0" w:line="240" w:lineRule="auto"/>
              <w:ind w:right="28"/>
              <w:jc w:val="center"/>
              <w:rPr>
                <w:rFonts w:ascii="Arial" w:eastAsia="Times New Roman" w:hAnsi="Arial" w:cs="Arial"/>
                <w:b/>
                <w:color w:val="000000"/>
                <w:sz w:val="20"/>
                <w:szCs w:val="20"/>
              </w:rPr>
            </w:pPr>
            <w:r w:rsidRPr="00587B71">
              <w:rPr>
                <w:rFonts w:ascii="Arial" w:eastAsia="Times New Roman" w:hAnsi="Arial" w:cs="Arial"/>
                <w:color w:val="000000"/>
                <w:sz w:val="20"/>
                <w:szCs w:val="20"/>
              </w:rPr>
              <w:t>Fond urban</w:t>
            </w:r>
          </w:p>
        </w:tc>
        <w:tc>
          <w:tcPr>
            <w:tcW w:w="831" w:type="dxa"/>
            <w:shd w:val="clear" w:color="auto" w:fill="auto"/>
            <w:tcMar>
              <w:left w:w="11" w:type="dxa"/>
              <w:right w:w="11" w:type="dxa"/>
            </w:tcMar>
          </w:tcPr>
          <w:p w:rsidR="00587B71" w:rsidRPr="00587B71" w:rsidRDefault="00587B71" w:rsidP="00587B71">
            <w:pPr>
              <w:tabs>
                <w:tab w:val="center" w:pos="4680"/>
                <w:tab w:val="right" w:pos="9360"/>
              </w:tabs>
              <w:spacing w:after="0" w:line="240" w:lineRule="auto"/>
              <w:ind w:right="28"/>
              <w:jc w:val="center"/>
              <w:rPr>
                <w:rFonts w:ascii="Arial" w:eastAsia="Times New Roman" w:hAnsi="Arial" w:cs="Arial"/>
                <w:color w:val="000000"/>
                <w:sz w:val="20"/>
                <w:szCs w:val="20"/>
                <w:lang w:val="ro-RO"/>
              </w:rPr>
            </w:pPr>
            <w:r w:rsidRPr="00587B71">
              <w:rPr>
                <w:rFonts w:ascii="Arial" w:eastAsia="Times New Roman" w:hAnsi="Arial" w:cs="Arial"/>
                <w:color w:val="000000"/>
                <w:sz w:val="20"/>
                <w:szCs w:val="20"/>
                <w:lang w:val="ro-RO"/>
              </w:rPr>
              <w:t>NH</w:t>
            </w:r>
            <w:r w:rsidRPr="00587B71">
              <w:rPr>
                <w:rFonts w:ascii="Arial" w:eastAsia="Times New Roman" w:hAnsi="Arial" w:cs="Arial"/>
                <w:color w:val="000000"/>
                <w:sz w:val="20"/>
                <w:szCs w:val="20"/>
                <w:vertAlign w:val="subscript"/>
                <w:lang w:val="ro-RO"/>
              </w:rPr>
              <w:t>3</w:t>
            </w:r>
          </w:p>
        </w:tc>
        <w:tc>
          <w:tcPr>
            <w:tcW w:w="1112" w:type="dxa"/>
            <w:shd w:val="clear" w:color="auto" w:fill="auto"/>
            <w:tcMar>
              <w:left w:w="11" w:type="dxa"/>
              <w:right w:w="11" w:type="dxa"/>
            </w:tcMar>
          </w:tcPr>
          <w:p w:rsidR="00587B71" w:rsidRPr="00587B71" w:rsidRDefault="00587B71" w:rsidP="00587B71">
            <w:pPr>
              <w:spacing w:after="0" w:line="240" w:lineRule="auto"/>
              <w:jc w:val="center"/>
              <w:rPr>
                <w:rFonts w:ascii="Arial" w:eastAsia="Calibri" w:hAnsi="Arial" w:cs="Arial"/>
                <w:color w:val="000000"/>
                <w:sz w:val="20"/>
                <w:szCs w:val="20"/>
                <w:lang w:val="ro-RO"/>
              </w:rPr>
            </w:pPr>
            <w:r w:rsidRPr="00587B71">
              <w:rPr>
                <w:rFonts w:ascii="Arial" w:eastAsia="Times New Roman" w:hAnsi="Arial" w:cs="Arial"/>
                <w:color w:val="000000"/>
                <w:sz w:val="20"/>
                <w:szCs w:val="20"/>
                <w:lang w:val="ro-RO"/>
              </w:rPr>
              <w:t>250</w:t>
            </w:r>
          </w:p>
        </w:tc>
        <w:tc>
          <w:tcPr>
            <w:tcW w:w="914" w:type="dxa"/>
            <w:shd w:val="clear" w:color="auto" w:fill="auto"/>
            <w:tcMar>
              <w:left w:w="11" w:type="dxa"/>
              <w:right w:w="11" w:type="dxa"/>
            </w:tcMar>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13.19</w:t>
            </w:r>
          </w:p>
        </w:tc>
        <w:tc>
          <w:tcPr>
            <w:tcW w:w="880" w:type="dxa"/>
            <w:shd w:val="clear" w:color="auto" w:fill="auto"/>
            <w:tcMar>
              <w:left w:w="11" w:type="dxa"/>
              <w:right w:w="11" w:type="dxa"/>
            </w:tcMar>
          </w:tcPr>
          <w:p w:rsidR="00587B71" w:rsidRPr="00587B71" w:rsidRDefault="00587B71" w:rsidP="00587B71">
            <w:pPr>
              <w:spacing w:after="0" w:line="240" w:lineRule="auto"/>
              <w:jc w:val="center"/>
              <w:rPr>
                <w:rFonts w:ascii="Arial" w:eastAsia="Times New Roman" w:hAnsi="Arial" w:cs="Arial"/>
                <w:color w:val="000000"/>
                <w:sz w:val="20"/>
                <w:szCs w:val="20"/>
                <w:lang w:val="ro-RO"/>
              </w:rPr>
            </w:pPr>
            <w:r w:rsidRPr="00587B71">
              <w:rPr>
                <w:rFonts w:ascii="Arial" w:eastAsia="Times New Roman" w:hAnsi="Arial" w:cs="Arial"/>
                <w:color w:val="000000"/>
                <w:sz w:val="20"/>
                <w:szCs w:val="20"/>
                <w:lang w:val="ro-RO"/>
              </w:rPr>
              <w:t>17</w:t>
            </w:r>
          </w:p>
        </w:tc>
        <w:tc>
          <w:tcPr>
            <w:tcW w:w="743" w:type="dxa"/>
            <w:shd w:val="clear" w:color="auto" w:fill="auto"/>
            <w:tcMar>
              <w:left w:w="11" w:type="dxa"/>
              <w:right w:w="11" w:type="dxa"/>
            </w:tcMar>
          </w:tcPr>
          <w:p w:rsidR="00587B71" w:rsidRPr="00587B71" w:rsidRDefault="00587B71" w:rsidP="00587B71">
            <w:pPr>
              <w:spacing w:after="0" w:line="240" w:lineRule="auto"/>
              <w:jc w:val="center"/>
              <w:rPr>
                <w:rFonts w:ascii="Arial" w:eastAsia="Times New Roman" w:hAnsi="Arial" w:cs="Arial"/>
                <w:color w:val="000000"/>
                <w:sz w:val="20"/>
                <w:szCs w:val="20"/>
                <w:lang w:val="ro-RO"/>
              </w:rPr>
            </w:pPr>
            <w:r w:rsidRPr="00587B71">
              <w:rPr>
                <w:rFonts w:ascii="Arial" w:eastAsia="Times New Roman" w:hAnsi="Arial" w:cs="Arial"/>
                <w:color w:val="000000"/>
                <w:sz w:val="20"/>
                <w:szCs w:val="20"/>
                <w:lang w:val="ro-RO"/>
              </w:rPr>
              <w:t>µg/mc</w:t>
            </w:r>
          </w:p>
        </w:tc>
        <w:tc>
          <w:tcPr>
            <w:tcW w:w="1598" w:type="dxa"/>
            <w:shd w:val="clear" w:color="auto" w:fill="auto"/>
            <w:tcMar>
              <w:left w:w="11" w:type="dxa"/>
              <w:right w:w="11" w:type="dxa"/>
            </w:tcMar>
          </w:tcPr>
          <w:p w:rsidR="00587B71" w:rsidRPr="00587B71" w:rsidRDefault="00587B71" w:rsidP="00587B71">
            <w:pPr>
              <w:spacing w:after="0" w:line="240" w:lineRule="auto"/>
              <w:jc w:val="center"/>
              <w:rPr>
                <w:rFonts w:ascii="Arial" w:eastAsia="Times New Roman" w:hAnsi="Arial" w:cs="Arial"/>
                <w:color w:val="000000"/>
                <w:sz w:val="20"/>
                <w:szCs w:val="20"/>
                <w:lang w:val="ro-RO"/>
              </w:rPr>
            </w:pPr>
            <w:r w:rsidRPr="00587B71">
              <w:rPr>
                <w:rFonts w:ascii="Arial" w:eastAsia="Times New Roman" w:hAnsi="Arial" w:cs="Arial"/>
                <w:color w:val="000000"/>
                <w:sz w:val="20"/>
                <w:szCs w:val="20"/>
                <w:lang w:val="ro-RO"/>
              </w:rPr>
              <w:t>0</w:t>
            </w:r>
          </w:p>
        </w:tc>
      </w:tr>
      <w:tr w:rsidR="00587B71" w:rsidRPr="00587B71" w:rsidTr="00587B71">
        <w:trPr>
          <w:trHeight w:val="404"/>
          <w:jc w:val="center"/>
        </w:trPr>
        <w:tc>
          <w:tcPr>
            <w:tcW w:w="567" w:type="dxa"/>
            <w:vMerge/>
            <w:shd w:val="clear" w:color="auto" w:fill="auto"/>
            <w:tcMar>
              <w:left w:w="11" w:type="dxa"/>
              <w:right w:w="11" w:type="dxa"/>
            </w:tcMar>
          </w:tcPr>
          <w:p w:rsidR="00587B71" w:rsidRPr="00587B71" w:rsidRDefault="00587B71" w:rsidP="00587B71">
            <w:pPr>
              <w:spacing w:after="0" w:line="240" w:lineRule="auto"/>
              <w:jc w:val="center"/>
              <w:rPr>
                <w:rFonts w:ascii="Arial" w:eastAsia="Times New Roman" w:hAnsi="Arial" w:cs="Arial"/>
                <w:color w:val="000000"/>
                <w:sz w:val="20"/>
                <w:szCs w:val="20"/>
                <w:lang w:val="ro-RO"/>
              </w:rPr>
            </w:pPr>
          </w:p>
        </w:tc>
        <w:tc>
          <w:tcPr>
            <w:tcW w:w="808" w:type="dxa"/>
            <w:shd w:val="clear" w:color="auto" w:fill="auto"/>
            <w:tcMar>
              <w:left w:w="11" w:type="dxa"/>
              <w:right w:w="11" w:type="dxa"/>
            </w:tcMar>
          </w:tcPr>
          <w:p w:rsidR="00587B71" w:rsidRPr="00587B71" w:rsidRDefault="00587B71" w:rsidP="00587B71">
            <w:pPr>
              <w:spacing w:after="0" w:line="240" w:lineRule="auto"/>
              <w:ind w:right="28"/>
              <w:jc w:val="center"/>
              <w:rPr>
                <w:rFonts w:ascii="Arial" w:eastAsia="Times New Roman" w:hAnsi="Arial" w:cs="Arial"/>
                <w:color w:val="000000"/>
                <w:sz w:val="20"/>
                <w:szCs w:val="20"/>
                <w:lang w:val="ro-RO"/>
              </w:rPr>
            </w:pPr>
            <w:r w:rsidRPr="00587B71">
              <w:rPr>
                <w:rFonts w:ascii="Arial" w:eastAsia="Times New Roman" w:hAnsi="Arial" w:cs="Arial"/>
                <w:color w:val="000000"/>
                <w:sz w:val="20"/>
                <w:szCs w:val="20"/>
                <w:lang w:val="ro-RO"/>
              </w:rPr>
              <w:t>Vaslui</w:t>
            </w:r>
          </w:p>
        </w:tc>
        <w:tc>
          <w:tcPr>
            <w:tcW w:w="1220" w:type="dxa"/>
            <w:shd w:val="clear" w:color="auto" w:fill="auto"/>
            <w:tcMar>
              <w:left w:w="11" w:type="dxa"/>
              <w:right w:w="11" w:type="dxa"/>
            </w:tcMar>
          </w:tcPr>
          <w:p w:rsidR="00587B71" w:rsidRPr="00587B71" w:rsidRDefault="00587B71" w:rsidP="00587B71">
            <w:pPr>
              <w:tabs>
                <w:tab w:val="center" w:pos="4680"/>
                <w:tab w:val="right" w:pos="9360"/>
              </w:tabs>
              <w:spacing w:after="0" w:line="240" w:lineRule="auto"/>
              <w:ind w:right="28"/>
              <w:jc w:val="center"/>
              <w:rPr>
                <w:rFonts w:ascii="Arial" w:eastAsia="Times New Roman" w:hAnsi="Arial" w:cs="Arial"/>
                <w:color w:val="000000"/>
                <w:sz w:val="20"/>
                <w:szCs w:val="20"/>
              </w:rPr>
            </w:pPr>
            <w:r w:rsidRPr="00587B71">
              <w:rPr>
                <w:rFonts w:ascii="Arial" w:eastAsia="Times New Roman" w:hAnsi="Arial" w:cs="Arial"/>
                <w:color w:val="000000"/>
                <w:sz w:val="20"/>
                <w:szCs w:val="20"/>
              </w:rPr>
              <w:t>Staţia de epurare</w:t>
            </w:r>
          </w:p>
        </w:tc>
        <w:tc>
          <w:tcPr>
            <w:tcW w:w="883" w:type="dxa"/>
            <w:shd w:val="clear" w:color="auto" w:fill="auto"/>
            <w:tcMar>
              <w:left w:w="11" w:type="dxa"/>
              <w:right w:w="11" w:type="dxa"/>
            </w:tcMar>
          </w:tcPr>
          <w:p w:rsidR="00587B71" w:rsidRPr="00587B71" w:rsidRDefault="00587B71" w:rsidP="00587B71">
            <w:pPr>
              <w:tabs>
                <w:tab w:val="center" w:pos="4680"/>
                <w:tab w:val="right" w:pos="9360"/>
              </w:tabs>
              <w:spacing w:after="0" w:line="240" w:lineRule="auto"/>
              <w:ind w:right="28"/>
              <w:jc w:val="center"/>
              <w:rPr>
                <w:rFonts w:ascii="Arial" w:eastAsia="Times New Roman" w:hAnsi="Arial" w:cs="Arial"/>
                <w:color w:val="000000"/>
                <w:sz w:val="20"/>
                <w:szCs w:val="20"/>
                <w:lang w:val="ro-RO"/>
              </w:rPr>
            </w:pPr>
            <w:r w:rsidRPr="00587B71">
              <w:rPr>
                <w:rFonts w:ascii="Arial" w:eastAsia="Times New Roman" w:hAnsi="Arial" w:cs="Arial"/>
                <w:color w:val="000000"/>
                <w:sz w:val="20"/>
                <w:szCs w:val="20"/>
                <w:lang w:val="ro-RO"/>
              </w:rPr>
              <w:t>Fond urban</w:t>
            </w:r>
          </w:p>
        </w:tc>
        <w:tc>
          <w:tcPr>
            <w:tcW w:w="831" w:type="dxa"/>
            <w:shd w:val="clear" w:color="auto" w:fill="auto"/>
            <w:tcMar>
              <w:left w:w="11" w:type="dxa"/>
              <w:right w:w="11" w:type="dxa"/>
            </w:tcMar>
          </w:tcPr>
          <w:p w:rsidR="00587B71" w:rsidRPr="00587B71" w:rsidRDefault="00587B71" w:rsidP="00587B71">
            <w:pPr>
              <w:tabs>
                <w:tab w:val="center" w:pos="4680"/>
                <w:tab w:val="right" w:pos="9360"/>
              </w:tabs>
              <w:spacing w:after="0" w:line="240" w:lineRule="auto"/>
              <w:ind w:right="28"/>
              <w:jc w:val="center"/>
              <w:rPr>
                <w:rFonts w:ascii="Arial" w:eastAsia="Times New Roman" w:hAnsi="Arial" w:cs="Arial"/>
                <w:color w:val="000000"/>
                <w:sz w:val="20"/>
                <w:szCs w:val="20"/>
                <w:lang w:val="ro-RO"/>
              </w:rPr>
            </w:pPr>
            <w:r w:rsidRPr="00587B71">
              <w:rPr>
                <w:rFonts w:ascii="Arial" w:eastAsia="Times New Roman" w:hAnsi="Arial" w:cs="Arial"/>
                <w:color w:val="000000"/>
                <w:sz w:val="20"/>
                <w:szCs w:val="20"/>
                <w:lang w:val="ro-RO"/>
              </w:rPr>
              <w:t>NH</w:t>
            </w:r>
            <w:r w:rsidRPr="00587B71">
              <w:rPr>
                <w:rFonts w:ascii="Arial" w:eastAsia="Times New Roman" w:hAnsi="Arial" w:cs="Arial"/>
                <w:color w:val="000000"/>
                <w:sz w:val="20"/>
                <w:szCs w:val="20"/>
                <w:vertAlign w:val="subscript"/>
                <w:lang w:val="ro-RO"/>
              </w:rPr>
              <w:t>3</w:t>
            </w:r>
          </w:p>
        </w:tc>
        <w:tc>
          <w:tcPr>
            <w:tcW w:w="1112" w:type="dxa"/>
            <w:shd w:val="clear" w:color="auto" w:fill="auto"/>
            <w:tcMar>
              <w:left w:w="11" w:type="dxa"/>
              <w:right w:w="11" w:type="dxa"/>
            </w:tcMar>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247</w:t>
            </w:r>
          </w:p>
        </w:tc>
        <w:tc>
          <w:tcPr>
            <w:tcW w:w="914" w:type="dxa"/>
            <w:shd w:val="clear" w:color="auto" w:fill="auto"/>
            <w:tcMar>
              <w:left w:w="11" w:type="dxa"/>
              <w:right w:w="11" w:type="dxa"/>
            </w:tcMar>
          </w:tcPr>
          <w:p w:rsidR="00587B71" w:rsidRPr="00587B71" w:rsidRDefault="00587B71" w:rsidP="00587B71">
            <w:pPr>
              <w:spacing w:after="0" w:line="240" w:lineRule="auto"/>
              <w:jc w:val="center"/>
              <w:rPr>
                <w:rFonts w:ascii="Arial" w:eastAsia="Calibri" w:hAnsi="Arial" w:cs="Arial"/>
                <w:sz w:val="20"/>
                <w:szCs w:val="20"/>
                <w:lang w:val="ro-RO"/>
              </w:rPr>
            </w:pPr>
            <w:r w:rsidRPr="00587B71">
              <w:rPr>
                <w:rFonts w:ascii="Arial" w:eastAsia="Times New Roman" w:hAnsi="Arial" w:cs="Arial"/>
                <w:sz w:val="20"/>
                <w:szCs w:val="20"/>
                <w:lang w:val="ro-RO"/>
              </w:rPr>
              <w:t>12,88</w:t>
            </w:r>
          </w:p>
        </w:tc>
        <w:tc>
          <w:tcPr>
            <w:tcW w:w="880" w:type="dxa"/>
            <w:shd w:val="clear" w:color="auto" w:fill="auto"/>
            <w:tcMar>
              <w:left w:w="11" w:type="dxa"/>
              <w:right w:w="11" w:type="dxa"/>
            </w:tcMar>
          </w:tcPr>
          <w:p w:rsidR="00587B71" w:rsidRPr="00587B71" w:rsidRDefault="00587B71" w:rsidP="00587B71">
            <w:pPr>
              <w:spacing w:after="0" w:line="240" w:lineRule="auto"/>
              <w:jc w:val="center"/>
              <w:rPr>
                <w:rFonts w:ascii="Arial" w:eastAsia="Times New Roman" w:hAnsi="Arial" w:cs="Arial"/>
                <w:color w:val="000000"/>
                <w:sz w:val="20"/>
                <w:szCs w:val="20"/>
                <w:lang w:val="ro-RO"/>
              </w:rPr>
            </w:pPr>
            <w:r w:rsidRPr="00587B71">
              <w:rPr>
                <w:rFonts w:ascii="Arial" w:eastAsia="Times New Roman" w:hAnsi="Arial" w:cs="Arial"/>
                <w:color w:val="000000"/>
                <w:sz w:val="20"/>
                <w:szCs w:val="20"/>
                <w:lang w:val="ro-RO"/>
              </w:rPr>
              <w:t>18</w:t>
            </w:r>
          </w:p>
        </w:tc>
        <w:tc>
          <w:tcPr>
            <w:tcW w:w="743" w:type="dxa"/>
            <w:shd w:val="clear" w:color="auto" w:fill="auto"/>
            <w:tcMar>
              <w:left w:w="11" w:type="dxa"/>
              <w:right w:w="11" w:type="dxa"/>
            </w:tcMar>
          </w:tcPr>
          <w:p w:rsidR="00587B71" w:rsidRPr="00587B71" w:rsidRDefault="00587B71" w:rsidP="00587B71">
            <w:pPr>
              <w:spacing w:after="0" w:line="240" w:lineRule="auto"/>
              <w:jc w:val="center"/>
              <w:rPr>
                <w:rFonts w:ascii="Arial" w:eastAsia="Times New Roman" w:hAnsi="Arial" w:cs="Arial"/>
                <w:color w:val="000000"/>
                <w:sz w:val="20"/>
                <w:szCs w:val="20"/>
                <w:lang w:val="ro-RO"/>
              </w:rPr>
            </w:pPr>
            <w:r w:rsidRPr="00587B71">
              <w:rPr>
                <w:rFonts w:ascii="Arial" w:eastAsia="Times New Roman" w:hAnsi="Arial" w:cs="Arial"/>
                <w:color w:val="000000"/>
                <w:sz w:val="20"/>
                <w:szCs w:val="20"/>
                <w:lang w:val="ro-RO"/>
              </w:rPr>
              <w:t>µg/mc</w:t>
            </w:r>
          </w:p>
        </w:tc>
        <w:tc>
          <w:tcPr>
            <w:tcW w:w="1598" w:type="dxa"/>
            <w:shd w:val="clear" w:color="auto" w:fill="auto"/>
            <w:tcMar>
              <w:left w:w="11" w:type="dxa"/>
              <w:right w:w="11" w:type="dxa"/>
            </w:tcMar>
          </w:tcPr>
          <w:p w:rsidR="00587B71" w:rsidRPr="00587B71" w:rsidRDefault="00587B71" w:rsidP="00587B71">
            <w:pPr>
              <w:spacing w:after="0" w:line="240" w:lineRule="auto"/>
              <w:jc w:val="center"/>
              <w:rPr>
                <w:rFonts w:ascii="Arial" w:eastAsia="Times New Roman" w:hAnsi="Arial" w:cs="Arial"/>
                <w:color w:val="000000"/>
                <w:sz w:val="20"/>
                <w:szCs w:val="20"/>
                <w:lang w:val="ro-RO"/>
              </w:rPr>
            </w:pPr>
            <w:r w:rsidRPr="00587B71">
              <w:rPr>
                <w:rFonts w:ascii="Arial" w:eastAsia="Times New Roman" w:hAnsi="Arial" w:cs="Arial"/>
                <w:color w:val="000000"/>
                <w:sz w:val="20"/>
                <w:szCs w:val="20"/>
                <w:lang w:val="ro-RO"/>
              </w:rPr>
              <w:t>0</w:t>
            </w:r>
          </w:p>
        </w:tc>
      </w:tr>
    </w:tbl>
    <w:p w:rsidR="00587B71" w:rsidRPr="00587B71" w:rsidRDefault="00587B71" w:rsidP="00587B71">
      <w:pPr>
        <w:spacing w:after="0" w:line="240" w:lineRule="auto"/>
        <w:ind w:firstLine="720"/>
        <w:jc w:val="both"/>
        <w:rPr>
          <w:rFonts w:ascii="Arial" w:eastAsia="Times New Roman" w:hAnsi="Arial" w:cs="Arial"/>
          <w:b/>
          <w:iCs/>
          <w:color w:val="000000"/>
          <w:sz w:val="24"/>
          <w:szCs w:val="24"/>
          <w:lang w:val="ro-RO"/>
        </w:rPr>
      </w:pPr>
      <w:r w:rsidRPr="00587B71">
        <w:rPr>
          <w:rFonts w:ascii="Arial" w:eastAsia="Times New Roman" w:hAnsi="Arial" w:cs="Arial"/>
          <w:color w:val="000000"/>
          <w:sz w:val="24"/>
          <w:szCs w:val="24"/>
          <w:lang w:val="ro-RO"/>
        </w:rPr>
        <w:lastRenderedPageBreak/>
        <w:t xml:space="preserve">Amoniacul- monitorizat prin metoda manuală,  se raportează la cerinţele </w:t>
      </w:r>
      <w:r w:rsidRPr="00587B71">
        <w:rPr>
          <w:rFonts w:ascii="Arial" w:eastAsia="Times New Roman" w:hAnsi="Arial" w:cs="Arial"/>
          <w:i/>
          <w:iCs/>
          <w:color w:val="000000"/>
          <w:sz w:val="24"/>
          <w:szCs w:val="24"/>
          <w:lang w:val="ro-RO"/>
        </w:rPr>
        <w:t>STAS-ului nr. 12574/87 – Aer din zonele protejate. Condiţii de calitate.</w:t>
      </w:r>
    </w:p>
    <w:p w:rsidR="00587B71" w:rsidRPr="00587B71" w:rsidRDefault="00587B71" w:rsidP="00587B71">
      <w:pPr>
        <w:spacing w:after="0" w:line="240" w:lineRule="auto"/>
        <w:jc w:val="both"/>
        <w:rPr>
          <w:rFonts w:ascii="Arial" w:eastAsia="Times New Roman" w:hAnsi="Arial" w:cs="Arial"/>
          <w:b/>
          <w:i/>
          <w:iCs/>
          <w:color w:val="000000"/>
          <w:sz w:val="24"/>
          <w:szCs w:val="24"/>
          <w:lang w:val="ro-RO"/>
        </w:rPr>
      </w:pPr>
      <w:r w:rsidRPr="00587B71">
        <w:rPr>
          <w:rFonts w:ascii="Arial" w:eastAsia="Times New Roman" w:hAnsi="Arial" w:cs="Arial"/>
          <w:b/>
          <w:i/>
          <w:iCs/>
          <w:color w:val="000000"/>
          <w:sz w:val="24"/>
          <w:szCs w:val="24"/>
          <w:lang w:val="ro-RO"/>
        </w:rPr>
        <w:t>Dioxidul de azot</w:t>
      </w:r>
    </w:p>
    <w:p w:rsidR="00587B71" w:rsidRPr="00587B71" w:rsidRDefault="00587B71" w:rsidP="00587B71">
      <w:pPr>
        <w:autoSpaceDE w:val="0"/>
        <w:autoSpaceDN w:val="0"/>
        <w:adjustRightInd w:val="0"/>
        <w:spacing w:after="0" w:line="240" w:lineRule="auto"/>
        <w:ind w:firstLine="720"/>
        <w:jc w:val="both"/>
        <w:rPr>
          <w:rFonts w:ascii="Arial" w:eastAsia="Times New Roman" w:hAnsi="Arial" w:cs="Arial"/>
          <w:color w:val="000000"/>
          <w:sz w:val="24"/>
          <w:szCs w:val="24"/>
          <w:lang w:val="ro-RO"/>
        </w:rPr>
      </w:pPr>
    </w:p>
    <w:p w:rsidR="00587B71" w:rsidRPr="00587B71" w:rsidRDefault="00587B71" w:rsidP="00587B71">
      <w:pPr>
        <w:autoSpaceDE w:val="0"/>
        <w:autoSpaceDN w:val="0"/>
        <w:adjustRightInd w:val="0"/>
        <w:spacing w:after="0" w:line="240" w:lineRule="auto"/>
        <w:ind w:firstLine="720"/>
        <w:jc w:val="both"/>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Pentru anul 2015, toate concentraţiile</w:t>
      </w:r>
      <w:r w:rsidRPr="00587B71">
        <w:rPr>
          <w:rFonts w:ascii="Arial" w:eastAsia="Times New Roman" w:hAnsi="Arial" w:cs="Arial"/>
          <w:i/>
          <w:color w:val="000000"/>
          <w:sz w:val="24"/>
          <w:szCs w:val="24"/>
          <w:lang w:val="ro-RO"/>
        </w:rPr>
        <w:t xml:space="preserve"> medii orare de NO</w:t>
      </w:r>
      <w:r w:rsidRPr="00587B71">
        <w:rPr>
          <w:rFonts w:ascii="Arial" w:eastAsia="Times New Roman" w:hAnsi="Arial" w:cs="Arial"/>
          <w:i/>
          <w:color w:val="000000"/>
          <w:sz w:val="24"/>
          <w:szCs w:val="24"/>
          <w:vertAlign w:val="subscript"/>
          <w:lang w:val="ro-RO"/>
        </w:rPr>
        <w:t>2</w:t>
      </w:r>
      <w:r w:rsidRPr="00587B71">
        <w:rPr>
          <w:rFonts w:ascii="Arial" w:eastAsia="Times New Roman" w:hAnsi="Arial" w:cs="Arial"/>
          <w:color w:val="000000"/>
          <w:sz w:val="24"/>
          <w:szCs w:val="24"/>
          <w:lang w:val="ro-RO"/>
        </w:rPr>
        <w:t xml:space="preserve"> măsurate automat în cele două staţii automate din municipiul Vaslui, respectiv Huşi, s-au</w:t>
      </w:r>
      <w:r w:rsidRPr="00587B71">
        <w:rPr>
          <w:rFonts w:ascii="Arial" w:eastAsia="Times New Roman" w:hAnsi="Arial" w:cs="Arial"/>
          <w:i/>
          <w:color w:val="000000"/>
          <w:sz w:val="24"/>
          <w:szCs w:val="24"/>
          <w:lang w:val="ro-RO"/>
        </w:rPr>
        <w:t xml:space="preserve"> </w:t>
      </w:r>
      <w:r w:rsidRPr="00587B71">
        <w:rPr>
          <w:rFonts w:ascii="Arial" w:eastAsia="Times New Roman" w:hAnsi="Arial" w:cs="Arial"/>
          <w:color w:val="000000"/>
          <w:sz w:val="24"/>
          <w:szCs w:val="24"/>
          <w:lang w:val="ro-RO"/>
        </w:rPr>
        <w:t>situat</w:t>
      </w:r>
      <w:r w:rsidRPr="00587B71">
        <w:rPr>
          <w:rFonts w:ascii="Arial" w:eastAsia="Times New Roman" w:hAnsi="Arial" w:cs="Arial"/>
          <w:i/>
          <w:color w:val="000000"/>
          <w:sz w:val="24"/>
          <w:szCs w:val="24"/>
          <w:lang w:val="ro-RO"/>
        </w:rPr>
        <w:t xml:space="preserve"> sub valoarea limită orară pentru protecţia sănătăţii umane</w:t>
      </w:r>
      <w:r w:rsidRPr="00587B71">
        <w:rPr>
          <w:rFonts w:ascii="Arial" w:eastAsia="Times New Roman" w:hAnsi="Arial" w:cs="Arial"/>
          <w:color w:val="000000"/>
          <w:sz w:val="24"/>
          <w:szCs w:val="24"/>
          <w:lang w:val="ro-RO"/>
        </w:rPr>
        <w:t xml:space="preserve"> (</w:t>
      </w:r>
      <w:r w:rsidRPr="00587B71">
        <w:rPr>
          <w:rFonts w:ascii="Arial" w:eastAsia="Times New Roman" w:hAnsi="Arial" w:cs="Arial"/>
          <w:i/>
          <w:color w:val="000000"/>
          <w:sz w:val="24"/>
          <w:szCs w:val="24"/>
          <w:lang w:val="ro-RO"/>
        </w:rPr>
        <w:t xml:space="preserve">200 </w:t>
      </w:r>
      <w:r w:rsidRPr="00587B71">
        <w:rPr>
          <w:rFonts w:ascii="Arial" w:eastAsia="Times New Roman" w:hAnsi="Arial" w:cs="Arial"/>
          <w:i/>
          <w:color w:val="000000"/>
          <w:sz w:val="24"/>
          <w:szCs w:val="24"/>
        </w:rPr>
        <w:sym w:font="Symbol" w:char="F06D"/>
      </w:r>
      <w:r w:rsidRPr="00587B71">
        <w:rPr>
          <w:rFonts w:ascii="Arial" w:eastAsia="Times New Roman" w:hAnsi="Arial" w:cs="Arial"/>
          <w:i/>
          <w:color w:val="000000"/>
          <w:sz w:val="24"/>
          <w:szCs w:val="24"/>
          <w:lang w:val="ro-RO"/>
        </w:rPr>
        <w:t>g/m</w:t>
      </w:r>
      <w:r w:rsidRPr="00587B71">
        <w:rPr>
          <w:rFonts w:ascii="Arial" w:eastAsia="Times New Roman" w:hAnsi="Arial" w:cs="Arial"/>
          <w:i/>
          <w:color w:val="000000"/>
          <w:sz w:val="24"/>
          <w:szCs w:val="24"/>
          <w:vertAlign w:val="superscript"/>
          <w:lang w:val="ro-RO"/>
        </w:rPr>
        <w:t>3</w:t>
      </w:r>
      <w:r w:rsidRPr="00587B71">
        <w:rPr>
          <w:rFonts w:ascii="Arial" w:eastAsia="Times New Roman" w:hAnsi="Arial" w:cs="Arial"/>
          <w:i/>
          <w:color w:val="000000"/>
          <w:sz w:val="24"/>
          <w:szCs w:val="24"/>
          <w:lang w:val="ro-RO"/>
        </w:rPr>
        <w:t>)</w:t>
      </w:r>
      <w:r w:rsidRPr="00587B71">
        <w:rPr>
          <w:rFonts w:ascii="Arial" w:eastAsia="Times New Roman" w:hAnsi="Arial" w:cs="Arial"/>
          <w:color w:val="000000"/>
          <w:sz w:val="24"/>
          <w:szCs w:val="24"/>
          <w:lang w:val="ro-RO"/>
        </w:rPr>
        <w:t xml:space="preserve">. </w:t>
      </w:r>
    </w:p>
    <w:p w:rsidR="00587B71" w:rsidRPr="00587B71" w:rsidRDefault="00587B71" w:rsidP="00587B71">
      <w:pPr>
        <w:autoSpaceDE w:val="0"/>
        <w:autoSpaceDN w:val="0"/>
        <w:adjustRightInd w:val="0"/>
        <w:spacing w:after="0" w:line="240" w:lineRule="auto"/>
        <w:ind w:firstLine="720"/>
        <w:jc w:val="both"/>
        <w:rPr>
          <w:rFonts w:ascii="Arial" w:eastAsia="Times New Roman" w:hAnsi="Arial" w:cs="Arial"/>
          <w:color w:val="000000"/>
          <w:sz w:val="24"/>
          <w:szCs w:val="24"/>
          <w:lang w:val="ro-RO"/>
        </w:rPr>
      </w:pPr>
      <w:r w:rsidRPr="00587B71">
        <w:rPr>
          <w:rFonts w:ascii="Arial" w:eastAsia="Times New Roman" w:hAnsi="Arial" w:cs="Arial"/>
          <w:i/>
          <w:color w:val="000000"/>
          <w:sz w:val="24"/>
          <w:szCs w:val="24"/>
          <w:lang w:val="ro-RO"/>
        </w:rPr>
        <w:t xml:space="preserve">Maximul  valorilor orare  pentru măsurătorile efectuate la staţia VS-1 a fost de 91,57 </w:t>
      </w:r>
      <w:r w:rsidRPr="00587B71">
        <w:rPr>
          <w:rFonts w:ascii="Arial" w:eastAsia="Times New Roman" w:hAnsi="Arial" w:cs="Arial"/>
          <w:i/>
          <w:color w:val="000000"/>
          <w:sz w:val="24"/>
          <w:szCs w:val="24"/>
          <w:lang w:val="it-IT"/>
        </w:rPr>
        <w:t>μ</w:t>
      </w:r>
      <w:r w:rsidRPr="00587B71">
        <w:rPr>
          <w:rFonts w:ascii="Arial" w:eastAsia="Times New Roman" w:hAnsi="Arial" w:cs="Arial"/>
          <w:i/>
          <w:color w:val="000000"/>
          <w:sz w:val="24"/>
          <w:szCs w:val="24"/>
          <w:lang w:val="ro-RO"/>
        </w:rPr>
        <w:t>g/mc, acest</w:t>
      </w:r>
      <w:r w:rsidRPr="00587B71">
        <w:rPr>
          <w:rFonts w:ascii="Arial" w:eastAsia="Times New Roman" w:hAnsi="Arial" w:cs="Arial"/>
          <w:color w:val="000000"/>
          <w:sz w:val="24"/>
          <w:szCs w:val="24"/>
          <w:lang w:val="ro-RO"/>
        </w:rPr>
        <w:t xml:space="preserve"> maxim orar s-a înregistrat în luna martie 2015. În ceea ce priveşte concentraţiile</w:t>
      </w:r>
      <w:r w:rsidRPr="00587B71">
        <w:rPr>
          <w:rFonts w:ascii="Arial" w:eastAsia="Times New Roman" w:hAnsi="Arial" w:cs="Arial"/>
          <w:i/>
          <w:color w:val="000000"/>
          <w:sz w:val="24"/>
          <w:szCs w:val="24"/>
          <w:lang w:val="ro-RO"/>
        </w:rPr>
        <w:t xml:space="preserve"> medii anuale de NO</w:t>
      </w:r>
      <w:r w:rsidRPr="00587B71">
        <w:rPr>
          <w:rFonts w:ascii="Arial" w:eastAsia="Times New Roman" w:hAnsi="Arial" w:cs="Arial"/>
          <w:i/>
          <w:color w:val="000000"/>
          <w:sz w:val="24"/>
          <w:szCs w:val="24"/>
          <w:vertAlign w:val="subscript"/>
          <w:lang w:val="ro-RO"/>
        </w:rPr>
        <w:t>2</w:t>
      </w:r>
      <w:r w:rsidRPr="00587B71">
        <w:rPr>
          <w:rFonts w:ascii="Arial" w:eastAsia="Times New Roman" w:hAnsi="Arial" w:cs="Arial"/>
          <w:i/>
          <w:color w:val="000000"/>
          <w:sz w:val="24"/>
          <w:szCs w:val="24"/>
          <w:lang w:val="ro-RO"/>
        </w:rPr>
        <w:t xml:space="preserve"> acestea nu au depăşit valoarea limită anuală pentru protecţia sănătăţii umane (40 </w:t>
      </w:r>
      <w:r w:rsidRPr="00587B71">
        <w:rPr>
          <w:rFonts w:ascii="Arial" w:eastAsia="Times New Roman" w:hAnsi="Arial" w:cs="Arial"/>
          <w:i/>
          <w:color w:val="000000"/>
          <w:sz w:val="24"/>
          <w:szCs w:val="24"/>
        </w:rPr>
        <w:sym w:font="Symbol" w:char="F06D"/>
      </w:r>
      <w:r w:rsidRPr="00587B71">
        <w:rPr>
          <w:rFonts w:ascii="Arial" w:eastAsia="Times New Roman" w:hAnsi="Arial" w:cs="Arial"/>
          <w:i/>
          <w:color w:val="000000"/>
          <w:sz w:val="24"/>
          <w:szCs w:val="24"/>
          <w:lang w:val="ro-RO"/>
        </w:rPr>
        <w:t>g/m</w:t>
      </w:r>
      <w:r w:rsidRPr="00587B71">
        <w:rPr>
          <w:rFonts w:ascii="Arial" w:eastAsia="Times New Roman" w:hAnsi="Arial" w:cs="Arial"/>
          <w:i/>
          <w:color w:val="000000"/>
          <w:sz w:val="24"/>
          <w:szCs w:val="24"/>
          <w:vertAlign w:val="superscript"/>
          <w:lang w:val="ro-RO"/>
        </w:rPr>
        <w:t>3</w:t>
      </w:r>
      <w:r w:rsidRPr="00587B71">
        <w:rPr>
          <w:rFonts w:ascii="Arial" w:eastAsia="Times New Roman" w:hAnsi="Arial" w:cs="Arial"/>
          <w:i/>
          <w:color w:val="000000"/>
          <w:sz w:val="24"/>
          <w:szCs w:val="24"/>
          <w:lang w:val="ro-RO"/>
        </w:rPr>
        <w:t>)</w:t>
      </w:r>
      <w:r w:rsidRPr="00587B71">
        <w:rPr>
          <w:rFonts w:ascii="Arial" w:eastAsia="Times New Roman" w:hAnsi="Arial" w:cs="Arial"/>
          <w:color w:val="000000"/>
          <w:sz w:val="24"/>
          <w:szCs w:val="24"/>
          <w:lang w:val="ro-RO"/>
        </w:rPr>
        <w:t xml:space="preserve">, înregistrându-se 14,43 µg/mc pentru staţia VS 1. </w:t>
      </w:r>
    </w:p>
    <w:p w:rsidR="00587B71" w:rsidRPr="00587B71" w:rsidRDefault="00587B71" w:rsidP="00587B71">
      <w:pPr>
        <w:spacing w:after="0" w:line="240" w:lineRule="auto"/>
        <w:ind w:firstLine="720"/>
        <w:jc w:val="both"/>
        <w:rPr>
          <w:rFonts w:ascii="Arial" w:eastAsia="Times New Roman" w:hAnsi="Arial" w:cs="Arial"/>
          <w:i/>
          <w:sz w:val="24"/>
          <w:szCs w:val="24"/>
        </w:rPr>
      </w:pPr>
    </w:p>
    <w:p w:rsidR="00587B71" w:rsidRPr="00587B71" w:rsidRDefault="00587B71" w:rsidP="00587B71">
      <w:pPr>
        <w:spacing w:after="0" w:line="240" w:lineRule="auto"/>
        <w:ind w:firstLine="720"/>
        <w:jc w:val="both"/>
        <w:rPr>
          <w:rFonts w:ascii="Arial" w:eastAsia="Times New Roman" w:hAnsi="Arial" w:cs="Arial"/>
          <w:b/>
          <w:i/>
          <w:iCs/>
          <w:color w:val="000000"/>
          <w:sz w:val="24"/>
          <w:szCs w:val="24"/>
          <w:lang w:val="ro-RO"/>
        </w:rPr>
      </w:pPr>
      <w:r w:rsidRPr="00587B71">
        <w:rPr>
          <w:rFonts w:ascii="Arial" w:eastAsia="Times New Roman" w:hAnsi="Arial" w:cs="Arial"/>
          <w:i/>
          <w:sz w:val="24"/>
          <w:szCs w:val="24"/>
        </w:rPr>
        <w:t>Din motive tehnice pentru acest poluant nu există date colectate la staţia de monitorizare VS-2, astfel încât să fie respectate criteriile de calitate conform Legii 104/2011.</w:t>
      </w:r>
    </w:p>
    <w:p w:rsidR="00587B71" w:rsidRPr="00587B71" w:rsidRDefault="00587B71" w:rsidP="00587B71">
      <w:pPr>
        <w:spacing w:after="0" w:line="240" w:lineRule="auto"/>
        <w:jc w:val="both"/>
        <w:rPr>
          <w:rFonts w:ascii="Arial" w:eastAsia="Times New Roman" w:hAnsi="Arial" w:cs="Arial"/>
          <w:b/>
          <w:i/>
          <w:iCs/>
          <w:color w:val="000000"/>
          <w:sz w:val="24"/>
          <w:szCs w:val="24"/>
          <w:lang w:val="ro-RO"/>
        </w:rPr>
      </w:pPr>
    </w:p>
    <w:p w:rsidR="00587B71" w:rsidRPr="00587B71" w:rsidRDefault="00587B71" w:rsidP="00587B71">
      <w:pPr>
        <w:spacing w:after="120" w:line="240" w:lineRule="auto"/>
        <w:rPr>
          <w:rFonts w:ascii="Arial" w:eastAsia="Times New Roman" w:hAnsi="Arial" w:cs="Arial"/>
          <w:color w:val="000000"/>
          <w:sz w:val="24"/>
          <w:szCs w:val="24"/>
          <w:lang w:val="it-IT"/>
        </w:rPr>
      </w:pPr>
      <w:r w:rsidRPr="00587B71">
        <w:rPr>
          <w:rFonts w:ascii="Arial" w:eastAsia="Times New Roman" w:hAnsi="Arial" w:cs="Arial"/>
          <w:color w:val="000000"/>
          <w:sz w:val="24"/>
          <w:szCs w:val="24"/>
          <w:lang w:val="it-IT"/>
        </w:rPr>
        <w:t>Tabelul nr. I.3.</w:t>
      </w:r>
      <w:r w:rsidRPr="00587B71">
        <w:rPr>
          <w:rFonts w:ascii="ArialMT" w:eastAsia="Times New Roman" w:hAnsi="ArialMT" w:cs="ArialMT"/>
          <w:color w:val="000000"/>
          <w:sz w:val="23"/>
          <w:szCs w:val="23"/>
          <w:lang w:val="it-IT"/>
        </w:rPr>
        <w:t xml:space="preserve"> </w:t>
      </w:r>
      <w:r w:rsidRPr="00587B71">
        <w:rPr>
          <w:rFonts w:ascii="Arial" w:eastAsia="Times New Roman" w:hAnsi="Arial" w:cs="Arial"/>
          <w:color w:val="000000"/>
          <w:sz w:val="24"/>
          <w:szCs w:val="24"/>
          <w:lang w:val="it-IT"/>
        </w:rPr>
        <w:t>Evoluţia calităţii aerului la indicatorul NO2- concentraţie medie anuală</w:t>
      </w:r>
    </w:p>
    <w:tbl>
      <w:tblPr>
        <w:tblW w:w="0" w:type="auto"/>
        <w:jc w:val="center"/>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0"/>
        <w:gridCol w:w="1027"/>
        <w:gridCol w:w="1053"/>
        <w:gridCol w:w="1081"/>
        <w:gridCol w:w="1071"/>
        <w:gridCol w:w="1049"/>
        <w:gridCol w:w="1074"/>
        <w:gridCol w:w="1074"/>
        <w:gridCol w:w="1074"/>
      </w:tblGrid>
      <w:tr w:rsidR="00587B71" w:rsidRPr="00587B71" w:rsidTr="00587B71">
        <w:trPr>
          <w:jc w:val="center"/>
        </w:trPr>
        <w:tc>
          <w:tcPr>
            <w:tcW w:w="1160" w:type="dxa"/>
            <w:vMerge w:val="restart"/>
            <w:vAlign w:val="center"/>
          </w:tcPr>
          <w:p w:rsidR="00587B71" w:rsidRPr="00587B71" w:rsidRDefault="00587B71" w:rsidP="00587B71">
            <w:pPr>
              <w:autoSpaceDE w:val="0"/>
              <w:autoSpaceDN w:val="0"/>
              <w:adjustRightInd w:val="0"/>
              <w:spacing w:after="12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Staţia</w:t>
            </w:r>
          </w:p>
        </w:tc>
        <w:tc>
          <w:tcPr>
            <w:tcW w:w="6355" w:type="dxa"/>
            <w:gridSpan w:val="6"/>
          </w:tcPr>
          <w:p w:rsidR="00587B71" w:rsidRPr="00587B71" w:rsidRDefault="00587B71" w:rsidP="00587B71">
            <w:pPr>
              <w:autoSpaceDE w:val="0"/>
              <w:autoSpaceDN w:val="0"/>
              <w:adjustRightInd w:val="0"/>
              <w:spacing w:after="12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Concentraţia medie anuală  NO</w:t>
            </w:r>
            <w:r w:rsidRPr="00587B71">
              <w:rPr>
                <w:rFonts w:ascii="Arial" w:eastAsia="Times New Roman" w:hAnsi="Arial" w:cs="Arial"/>
                <w:b/>
                <w:color w:val="000000"/>
                <w:sz w:val="24"/>
                <w:szCs w:val="24"/>
                <w:vertAlign w:val="subscript"/>
                <w:lang w:val="pt-BR"/>
              </w:rPr>
              <w:t>2</w:t>
            </w:r>
            <w:r w:rsidRPr="00587B71">
              <w:rPr>
                <w:rFonts w:ascii="Arial" w:eastAsia="Times New Roman" w:hAnsi="Arial" w:cs="Arial"/>
                <w:b/>
                <w:color w:val="000000"/>
                <w:sz w:val="24"/>
                <w:szCs w:val="24"/>
                <w:lang w:val="pt-BR"/>
              </w:rPr>
              <w:t xml:space="preserve"> ( </w:t>
            </w:r>
            <w:r w:rsidRPr="00587B71">
              <w:rPr>
                <w:rFonts w:ascii="Arial" w:eastAsia="Times New Roman" w:hAnsi="Arial" w:cs="Arial"/>
                <w:b/>
                <w:color w:val="000000"/>
                <w:sz w:val="24"/>
                <w:szCs w:val="24"/>
                <w:lang w:val="it-IT"/>
              </w:rPr>
              <w:t>μ</w:t>
            </w:r>
            <w:r w:rsidRPr="00587B71">
              <w:rPr>
                <w:rFonts w:ascii="Arial" w:eastAsia="Times New Roman" w:hAnsi="Arial" w:cs="Arial"/>
                <w:b/>
                <w:color w:val="000000"/>
                <w:sz w:val="24"/>
                <w:szCs w:val="24"/>
                <w:lang w:val="pt-BR"/>
              </w:rPr>
              <w:t>g/mc )</w:t>
            </w:r>
          </w:p>
        </w:tc>
        <w:tc>
          <w:tcPr>
            <w:tcW w:w="1074"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b/>
                <w:color w:val="000000"/>
                <w:sz w:val="24"/>
                <w:szCs w:val="24"/>
                <w:lang w:val="pt-BR"/>
              </w:rPr>
            </w:pPr>
          </w:p>
        </w:tc>
        <w:tc>
          <w:tcPr>
            <w:tcW w:w="1074"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b/>
                <w:color w:val="000000"/>
                <w:sz w:val="24"/>
                <w:szCs w:val="24"/>
                <w:lang w:val="pt-BR"/>
              </w:rPr>
            </w:pPr>
          </w:p>
        </w:tc>
      </w:tr>
      <w:tr w:rsidR="00587B71" w:rsidRPr="00587B71" w:rsidTr="00587B71">
        <w:trPr>
          <w:trHeight w:val="285"/>
          <w:jc w:val="center"/>
        </w:trPr>
        <w:tc>
          <w:tcPr>
            <w:tcW w:w="1160" w:type="dxa"/>
            <w:vMerge/>
          </w:tcPr>
          <w:p w:rsidR="00587B71" w:rsidRPr="00587B71" w:rsidRDefault="00587B71" w:rsidP="00587B71">
            <w:pPr>
              <w:autoSpaceDE w:val="0"/>
              <w:autoSpaceDN w:val="0"/>
              <w:adjustRightInd w:val="0"/>
              <w:spacing w:after="120" w:line="240" w:lineRule="auto"/>
              <w:jc w:val="both"/>
              <w:rPr>
                <w:rFonts w:ascii="Arial" w:eastAsia="Times New Roman" w:hAnsi="Arial" w:cs="Arial"/>
                <w:color w:val="000000"/>
                <w:sz w:val="24"/>
                <w:szCs w:val="24"/>
                <w:lang w:val="pt-BR"/>
              </w:rPr>
            </w:pPr>
          </w:p>
        </w:tc>
        <w:tc>
          <w:tcPr>
            <w:tcW w:w="1027" w:type="dxa"/>
          </w:tcPr>
          <w:p w:rsidR="00587B71" w:rsidRPr="00587B71" w:rsidRDefault="00587B71" w:rsidP="00587B71">
            <w:pPr>
              <w:spacing w:after="12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2008</w:t>
            </w:r>
          </w:p>
        </w:tc>
        <w:tc>
          <w:tcPr>
            <w:tcW w:w="1053"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2009</w:t>
            </w:r>
          </w:p>
        </w:tc>
        <w:tc>
          <w:tcPr>
            <w:tcW w:w="1081"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2010</w:t>
            </w:r>
          </w:p>
        </w:tc>
        <w:tc>
          <w:tcPr>
            <w:tcW w:w="1071"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2011</w:t>
            </w:r>
          </w:p>
        </w:tc>
        <w:tc>
          <w:tcPr>
            <w:tcW w:w="1049"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2012</w:t>
            </w:r>
          </w:p>
        </w:tc>
        <w:tc>
          <w:tcPr>
            <w:tcW w:w="1074"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2013</w:t>
            </w:r>
          </w:p>
        </w:tc>
        <w:tc>
          <w:tcPr>
            <w:tcW w:w="1074"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2014</w:t>
            </w:r>
          </w:p>
        </w:tc>
        <w:tc>
          <w:tcPr>
            <w:tcW w:w="1074"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2015</w:t>
            </w:r>
          </w:p>
        </w:tc>
      </w:tr>
      <w:tr w:rsidR="00587B71" w:rsidRPr="00587B71" w:rsidTr="00587B71">
        <w:trPr>
          <w:jc w:val="center"/>
        </w:trPr>
        <w:tc>
          <w:tcPr>
            <w:tcW w:w="1160" w:type="dxa"/>
          </w:tcPr>
          <w:p w:rsidR="00587B71" w:rsidRPr="00587B71" w:rsidRDefault="00587B71" w:rsidP="00587B71">
            <w:pPr>
              <w:autoSpaceDE w:val="0"/>
              <w:autoSpaceDN w:val="0"/>
              <w:adjustRightInd w:val="0"/>
              <w:spacing w:after="120" w:line="240" w:lineRule="auto"/>
              <w:jc w:val="both"/>
              <w:rPr>
                <w:rFonts w:ascii="Arial" w:eastAsia="Times New Roman" w:hAnsi="Arial" w:cs="Arial"/>
                <w:color w:val="000000"/>
                <w:sz w:val="24"/>
                <w:szCs w:val="24"/>
                <w:lang w:val="pt-BR"/>
              </w:rPr>
            </w:pPr>
            <w:r w:rsidRPr="00587B71">
              <w:rPr>
                <w:rFonts w:ascii="Arial" w:eastAsia="Times New Roman" w:hAnsi="Arial" w:cs="Arial"/>
                <w:color w:val="000000"/>
                <w:sz w:val="24"/>
                <w:szCs w:val="24"/>
                <w:lang w:val="pt-BR"/>
              </w:rPr>
              <w:t>VS1</w:t>
            </w:r>
          </w:p>
        </w:tc>
        <w:tc>
          <w:tcPr>
            <w:tcW w:w="1027" w:type="dxa"/>
            <w:vAlign w:val="center"/>
          </w:tcPr>
          <w:p w:rsidR="00587B71" w:rsidRPr="00587B71" w:rsidRDefault="00587B71" w:rsidP="00587B71">
            <w:pPr>
              <w:spacing w:after="120" w:line="240" w:lineRule="auto"/>
              <w:jc w:val="center"/>
              <w:rPr>
                <w:rFonts w:ascii="Arial" w:eastAsia="Times New Roman" w:hAnsi="Arial" w:cs="Arial"/>
                <w:color w:val="000000"/>
                <w:sz w:val="24"/>
                <w:szCs w:val="24"/>
                <w:lang w:val="pt-BR"/>
              </w:rPr>
            </w:pPr>
            <w:r w:rsidRPr="00587B71">
              <w:rPr>
                <w:rFonts w:ascii="Arial" w:eastAsia="Times New Roman" w:hAnsi="Arial" w:cs="Arial"/>
                <w:color w:val="000000"/>
                <w:sz w:val="24"/>
                <w:szCs w:val="24"/>
                <w:lang w:val="pt-BR"/>
              </w:rPr>
              <w:t>11,08</w:t>
            </w:r>
          </w:p>
        </w:tc>
        <w:tc>
          <w:tcPr>
            <w:tcW w:w="1053" w:type="dxa"/>
            <w:vAlign w:val="center"/>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4"/>
                <w:szCs w:val="24"/>
                <w:lang w:val="pt-BR"/>
              </w:rPr>
            </w:pPr>
            <w:r w:rsidRPr="00587B71">
              <w:rPr>
                <w:rFonts w:ascii="Arial" w:eastAsia="Times New Roman" w:hAnsi="Arial" w:cs="Arial"/>
                <w:color w:val="000000"/>
                <w:sz w:val="24"/>
                <w:szCs w:val="24"/>
                <w:lang w:val="pt-BR"/>
              </w:rPr>
              <w:t>15</w:t>
            </w:r>
          </w:p>
        </w:tc>
        <w:tc>
          <w:tcPr>
            <w:tcW w:w="1081" w:type="dxa"/>
            <w:vAlign w:val="center"/>
          </w:tcPr>
          <w:p w:rsidR="00587B71" w:rsidRPr="00587B71" w:rsidRDefault="00587B71" w:rsidP="00587B71">
            <w:pPr>
              <w:autoSpaceDE w:val="0"/>
              <w:autoSpaceDN w:val="0"/>
              <w:adjustRightInd w:val="0"/>
              <w:spacing w:after="12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10,12</w:t>
            </w:r>
          </w:p>
        </w:tc>
        <w:tc>
          <w:tcPr>
            <w:tcW w:w="1071" w:type="dxa"/>
            <w:vAlign w:val="center"/>
          </w:tcPr>
          <w:p w:rsidR="00587B71" w:rsidRPr="00587B71" w:rsidRDefault="00587B71" w:rsidP="00587B71">
            <w:pPr>
              <w:autoSpaceDE w:val="0"/>
              <w:autoSpaceDN w:val="0"/>
              <w:adjustRightInd w:val="0"/>
              <w:spacing w:after="12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20,32</w:t>
            </w:r>
          </w:p>
        </w:tc>
        <w:tc>
          <w:tcPr>
            <w:tcW w:w="1049" w:type="dxa"/>
            <w:vAlign w:val="center"/>
          </w:tcPr>
          <w:p w:rsidR="00587B71" w:rsidRPr="00587B71" w:rsidRDefault="00587B71" w:rsidP="00587B71">
            <w:pPr>
              <w:autoSpaceDE w:val="0"/>
              <w:autoSpaceDN w:val="0"/>
              <w:adjustRightInd w:val="0"/>
              <w:spacing w:after="12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24,78</w:t>
            </w:r>
          </w:p>
        </w:tc>
        <w:tc>
          <w:tcPr>
            <w:tcW w:w="1074"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22,33</w:t>
            </w:r>
          </w:p>
        </w:tc>
        <w:tc>
          <w:tcPr>
            <w:tcW w:w="1074"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w:t>
            </w:r>
          </w:p>
        </w:tc>
        <w:tc>
          <w:tcPr>
            <w:tcW w:w="1074"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14,43</w:t>
            </w:r>
          </w:p>
        </w:tc>
      </w:tr>
      <w:tr w:rsidR="00587B71" w:rsidRPr="00587B71" w:rsidTr="00587B71">
        <w:trPr>
          <w:jc w:val="center"/>
        </w:trPr>
        <w:tc>
          <w:tcPr>
            <w:tcW w:w="1160" w:type="dxa"/>
          </w:tcPr>
          <w:p w:rsidR="00587B71" w:rsidRPr="00587B71" w:rsidRDefault="00587B71" w:rsidP="00587B71">
            <w:pPr>
              <w:autoSpaceDE w:val="0"/>
              <w:autoSpaceDN w:val="0"/>
              <w:adjustRightInd w:val="0"/>
              <w:spacing w:after="120" w:line="240" w:lineRule="auto"/>
              <w:jc w:val="both"/>
              <w:rPr>
                <w:rFonts w:ascii="Arial" w:eastAsia="Times New Roman" w:hAnsi="Arial" w:cs="Arial"/>
                <w:color w:val="000000"/>
                <w:sz w:val="24"/>
                <w:szCs w:val="24"/>
                <w:lang w:val="pt-BR"/>
              </w:rPr>
            </w:pPr>
            <w:r w:rsidRPr="00587B71">
              <w:rPr>
                <w:rFonts w:ascii="Arial" w:eastAsia="Times New Roman" w:hAnsi="Arial" w:cs="Arial"/>
                <w:color w:val="000000"/>
                <w:sz w:val="24"/>
                <w:szCs w:val="24"/>
                <w:lang w:val="pt-BR"/>
              </w:rPr>
              <w:t>VS2</w:t>
            </w:r>
          </w:p>
        </w:tc>
        <w:tc>
          <w:tcPr>
            <w:tcW w:w="1027" w:type="dxa"/>
            <w:vAlign w:val="center"/>
          </w:tcPr>
          <w:p w:rsidR="00587B71" w:rsidRPr="00587B71" w:rsidRDefault="00587B71" w:rsidP="00587B71">
            <w:pPr>
              <w:spacing w:after="120" w:line="240" w:lineRule="auto"/>
              <w:jc w:val="center"/>
              <w:rPr>
                <w:rFonts w:ascii="Arial" w:eastAsia="Times New Roman" w:hAnsi="Arial" w:cs="Arial"/>
                <w:color w:val="000000"/>
                <w:sz w:val="24"/>
                <w:szCs w:val="24"/>
                <w:lang w:val="pt-BR"/>
              </w:rPr>
            </w:pPr>
            <w:r w:rsidRPr="00587B71">
              <w:rPr>
                <w:rFonts w:ascii="Arial" w:eastAsia="Times New Roman" w:hAnsi="Arial" w:cs="Arial"/>
                <w:color w:val="000000"/>
                <w:sz w:val="24"/>
                <w:szCs w:val="24"/>
                <w:lang w:val="pt-BR"/>
              </w:rPr>
              <w:t>-</w:t>
            </w:r>
          </w:p>
        </w:tc>
        <w:tc>
          <w:tcPr>
            <w:tcW w:w="1053" w:type="dxa"/>
            <w:vAlign w:val="center"/>
          </w:tcPr>
          <w:p w:rsidR="00587B71" w:rsidRPr="00587B71" w:rsidRDefault="00587B71" w:rsidP="00587B71">
            <w:pPr>
              <w:spacing w:after="120" w:line="240" w:lineRule="auto"/>
              <w:jc w:val="center"/>
              <w:rPr>
                <w:rFonts w:ascii="Arial" w:eastAsia="Times New Roman" w:hAnsi="Arial" w:cs="Arial"/>
                <w:color w:val="000000"/>
                <w:sz w:val="24"/>
                <w:szCs w:val="24"/>
                <w:lang w:val="pt-BR"/>
              </w:rPr>
            </w:pPr>
            <w:r w:rsidRPr="00587B71">
              <w:rPr>
                <w:rFonts w:ascii="Arial" w:eastAsia="Times New Roman" w:hAnsi="Arial" w:cs="Arial"/>
                <w:color w:val="000000"/>
                <w:sz w:val="24"/>
                <w:szCs w:val="24"/>
                <w:lang w:val="pt-BR"/>
              </w:rPr>
              <w:t>-</w:t>
            </w:r>
          </w:p>
        </w:tc>
        <w:tc>
          <w:tcPr>
            <w:tcW w:w="1081" w:type="dxa"/>
            <w:vAlign w:val="center"/>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4"/>
                <w:szCs w:val="24"/>
                <w:lang w:val="pt-BR"/>
              </w:rPr>
            </w:pPr>
            <w:r w:rsidRPr="00587B71">
              <w:rPr>
                <w:rFonts w:ascii="Arial" w:eastAsia="Times New Roman" w:hAnsi="Arial" w:cs="Arial"/>
                <w:color w:val="000000"/>
                <w:sz w:val="24"/>
                <w:szCs w:val="24"/>
                <w:lang w:val="pt-BR"/>
              </w:rPr>
              <w:t>-</w:t>
            </w:r>
          </w:p>
        </w:tc>
        <w:tc>
          <w:tcPr>
            <w:tcW w:w="1071" w:type="dxa"/>
            <w:vAlign w:val="center"/>
          </w:tcPr>
          <w:p w:rsidR="00587B71" w:rsidRPr="00587B71" w:rsidRDefault="00587B71" w:rsidP="00587B71">
            <w:pPr>
              <w:autoSpaceDE w:val="0"/>
              <w:autoSpaceDN w:val="0"/>
              <w:adjustRightInd w:val="0"/>
              <w:spacing w:after="12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13,98*</w:t>
            </w:r>
          </w:p>
        </w:tc>
        <w:tc>
          <w:tcPr>
            <w:tcW w:w="1049" w:type="dxa"/>
            <w:vAlign w:val="center"/>
          </w:tcPr>
          <w:p w:rsidR="00587B71" w:rsidRPr="00587B71" w:rsidRDefault="00587B71" w:rsidP="00587B71">
            <w:pPr>
              <w:autoSpaceDE w:val="0"/>
              <w:autoSpaceDN w:val="0"/>
              <w:adjustRightInd w:val="0"/>
              <w:spacing w:after="12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15,08</w:t>
            </w:r>
          </w:p>
        </w:tc>
        <w:tc>
          <w:tcPr>
            <w:tcW w:w="1074"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11,24</w:t>
            </w:r>
          </w:p>
        </w:tc>
        <w:tc>
          <w:tcPr>
            <w:tcW w:w="1074"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w:t>
            </w:r>
          </w:p>
        </w:tc>
        <w:tc>
          <w:tcPr>
            <w:tcW w:w="1074"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w:t>
            </w:r>
          </w:p>
        </w:tc>
      </w:tr>
    </w:tbl>
    <w:p w:rsidR="00587B71" w:rsidRPr="00587B71" w:rsidRDefault="00587B71" w:rsidP="00587B71">
      <w:pPr>
        <w:autoSpaceDE w:val="0"/>
        <w:autoSpaceDN w:val="0"/>
        <w:adjustRightInd w:val="0"/>
        <w:spacing w:after="120" w:line="240" w:lineRule="auto"/>
        <w:ind w:firstLine="720"/>
        <w:jc w:val="both"/>
        <w:rPr>
          <w:rFonts w:ascii="Arial" w:eastAsia="Times New Roman" w:hAnsi="Arial" w:cs="Arial"/>
          <w:i/>
          <w:color w:val="000000"/>
          <w:sz w:val="20"/>
          <w:szCs w:val="20"/>
          <w:lang w:val="it-IT"/>
        </w:rPr>
      </w:pPr>
      <w:r w:rsidRPr="00587B71">
        <w:rPr>
          <w:rFonts w:ascii="Arial" w:eastAsia="Times New Roman" w:hAnsi="Arial" w:cs="Arial"/>
          <w:i/>
          <w:color w:val="000000"/>
          <w:sz w:val="20"/>
          <w:szCs w:val="20"/>
          <w:lang w:val="it-IT"/>
        </w:rPr>
        <w:t>*staţie pusă în funcţiune la data de  01.04.2011</w:t>
      </w:r>
    </w:p>
    <w:p w:rsidR="00587B71" w:rsidRPr="00587B71" w:rsidRDefault="00587B71" w:rsidP="00587B71">
      <w:pPr>
        <w:tabs>
          <w:tab w:val="left" w:pos="2295"/>
        </w:tabs>
        <w:spacing w:after="0" w:line="240" w:lineRule="auto"/>
        <w:jc w:val="both"/>
        <w:rPr>
          <w:rFonts w:ascii="Arial" w:eastAsia="Times New Roman" w:hAnsi="Arial" w:cs="Arial"/>
          <w:iCs/>
          <w:color w:val="FF0000"/>
          <w:sz w:val="24"/>
          <w:szCs w:val="24"/>
          <w:lang w:val="ro-RO"/>
        </w:rPr>
      </w:pPr>
    </w:p>
    <w:p w:rsidR="00587B71" w:rsidRPr="00587B71" w:rsidRDefault="00587B71" w:rsidP="00587B71">
      <w:pPr>
        <w:spacing w:after="0" w:line="240" w:lineRule="auto"/>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Tabelul I.4. –Dioxid de azot- date validate- medii orare, (µg/mc)</w:t>
      </w:r>
    </w:p>
    <w:p w:rsidR="00587B71" w:rsidRPr="00587B71" w:rsidRDefault="00587B71" w:rsidP="00587B71">
      <w:pPr>
        <w:spacing w:after="0" w:line="240" w:lineRule="auto"/>
        <w:rPr>
          <w:rFonts w:ascii="Arial" w:eastAsia="Times New Roman" w:hAnsi="Arial" w:cs="Arial"/>
          <w:iCs/>
          <w:color w:val="000000"/>
          <w:sz w:val="24"/>
          <w:szCs w:val="24"/>
          <w:lang w:val="ro-RO"/>
        </w:rPr>
      </w:pPr>
    </w:p>
    <w:tbl>
      <w:tblPr>
        <w:tblW w:w="8417" w:type="dxa"/>
        <w:jc w:val="center"/>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1378"/>
        <w:gridCol w:w="1724"/>
        <w:gridCol w:w="1684"/>
        <w:gridCol w:w="1134"/>
        <w:gridCol w:w="1418"/>
      </w:tblGrid>
      <w:tr w:rsidR="00587B71" w:rsidRPr="00587B71" w:rsidTr="00587B71">
        <w:trPr>
          <w:jc w:val="center"/>
        </w:trPr>
        <w:tc>
          <w:tcPr>
            <w:tcW w:w="1079" w:type="dxa"/>
          </w:tcPr>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bCs/>
                <w:color w:val="000000"/>
                <w:sz w:val="24"/>
                <w:szCs w:val="24"/>
                <w:lang w:val="ro-RO"/>
              </w:rPr>
              <w:t>Staţia</w:t>
            </w:r>
          </w:p>
        </w:tc>
        <w:tc>
          <w:tcPr>
            <w:tcW w:w="1378" w:type="dxa"/>
          </w:tcPr>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 xml:space="preserve">Date validate </w:t>
            </w:r>
          </w:p>
          <w:p w:rsidR="00587B71" w:rsidRPr="00587B71" w:rsidRDefault="00587B71" w:rsidP="00587B71">
            <w:pPr>
              <w:spacing w:after="0" w:line="240" w:lineRule="auto"/>
              <w:rPr>
                <w:rFonts w:ascii="Arial" w:eastAsia="Times New Roman" w:hAnsi="Arial" w:cs="Arial"/>
                <w:iCs/>
                <w:color w:val="000000"/>
                <w:sz w:val="24"/>
                <w:szCs w:val="24"/>
                <w:lang w:val="ro-RO"/>
              </w:rPr>
            </w:pPr>
          </w:p>
        </w:tc>
        <w:tc>
          <w:tcPr>
            <w:tcW w:w="1724"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bCs/>
                <w:color w:val="000000"/>
                <w:sz w:val="24"/>
                <w:szCs w:val="24"/>
                <w:lang w:val="ro-RO"/>
              </w:rPr>
            </w:pPr>
            <w:r w:rsidRPr="00587B71">
              <w:rPr>
                <w:rFonts w:ascii="Arial" w:eastAsia="Times New Roman" w:hAnsi="Arial" w:cs="Arial"/>
                <w:bCs/>
                <w:color w:val="000000"/>
                <w:sz w:val="24"/>
                <w:szCs w:val="24"/>
                <w:lang w:val="ro-RO"/>
              </w:rPr>
              <w:t>Date</w:t>
            </w:r>
          </w:p>
          <w:p w:rsidR="00587B71" w:rsidRPr="00587B71" w:rsidRDefault="00587B71" w:rsidP="00587B71">
            <w:pPr>
              <w:autoSpaceDE w:val="0"/>
              <w:autoSpaceDN w:val="0"/>
              <w:adjustRightInd w:val="0"/>
              <w:spacing w:after="0" w:line="240" w:lineRule="auto"/>
              <w:jc w:val="center"/>
              <w:rPr>
                <w:rFonts w:ascii="Arial" w:eastAsia="Times New Roman" w:hAnsi="Arial" w:cs="Arial"/>
                <w:bCs/>
                <w:color w:val="000000"/>
                <w:sz w:val="24"/>
                <w:szCs w:val="24"/>
                <w:lang w:val="ro-RO"/>
              </w:rPr>
            </w:pPr>
            <w:r w:rsidRPr="00587B71">
              <w:rPr>
                <w:rFonts w:ascii="Arial" w:eastAsia="Times New Roman" w:hAnsi="Arial" w:cs="Arial"/>
                <w:bCs/>
                <w:color w:val="000000"/>
                <w:sz w:val="24"/>
                <w:szCs w:val="24"/>
                <w:lang w:val="ro-RO"/>
              </w:rPr>
              <w:t>disponibile(%)</w:t>
            </w:r>
          </w:p>
        </w:tc>
        <w:tc>
          <w:tcPr>
            <w:tcW w:w="1684"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bCs/>
                <w:color w:val="000000"/>
                <w:sz w:val="24"/>
                <w:szCs w:val="24"/>
                <w:lang w:val="ro-RO"/>
              </w:rPr>
            </w:pPr>
            <w:r w:rsidRPr="00587B71">
              <w:rPr>
                <w:rFonts w:ascii="Arial" w:eastAsia="Times New Roman" w:hAnsi="Arial" w:cs="Arial"/>
                <w:bCs/>
                <w:color w:val="000000"/>
                <w:sz w:val="24"/>
                <w:szCs w:val="24"/>
                <w:lang w:val="ro-RO"/>
              </w:rPr>
              <w:t xml:space="preserve">Nr. Probe &gt;= 200 </w:t>
            </w:r>
            <w:r w:rsidRPr="00587B71">
              <w:rPr>
                <w:rFonts w:ascii="Arial" w:eastAsia="Times New Roman" w:hAnsi="Arial" w:cs="Arial"/>
                <w:iCs/>
                <w:color w:val="000000"/>
                <w:sz w:val="24"/>
                <w:szCs w:val="24"/>
                <w:lang w:val="ro-RO"/>
              </w:rPr>
              <w:t>µg</w:t>
            </w:r>
            <w:r w:rsidRPr="00587B71">
              <w:rPr>
                <w:rFonts w:ascii="Arial" w:eastAsia="Times New Roman" w:hAnsi="Arial" w:cs="Arial"/>
                <w:bCs/>
                <w:color w:val="000000"/>
                <w:sz w:val="24"/>
                <w:szCs w:val="24"/>
                <w:lang w:val="ro-RO"/>
              </w:rPr>
              <w:t xml:space="preserve">/mc (VL </w:t>
            </w:r>
            <w:r w:rsidRPr="00587B71">
              <w:rPr>
                <w:rFonts w:ascii="Arial" w:eastAsia="Times New Roman" w:hAnsi="Arial" w:cs="Arial"/>
                <w:bCs/>
                <w:color w:val="000000"/>
                <w:sz w:val="24"/>
                <w:szCs w:val="24"/>
                <w:vertAlign w:val="subscript"/>
                <w:lang w:val="ro-RO"/>
              </w:rPr>
              <w:t>orară</w:t>
            </w:r>
            <w:r w:rsidRPr="00587B71">
              <w:rPr>
                <w:rFonts w:ascii="Arial" w:eastAsia="Times New Roman" w:hAnsi="Arial" w:cs="Arial"/>
                <w:bCs/>
                <w:color w:val="000000"/>
                <w:sz w:val="24"/>
                <w:szCs w:val="24"/>
                <w:lang w:val="ro-RO"/>
              </w:rPr>
              <w:t>)</w:t>
            </w:r>
          </w:p>
        </w:tc>
        <w:tc>
          <w:tcPr>
            <w:tcW w:w="1134"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bCs/>
                <w:color w:val="000000"/>
                <w:sz w:val="24"/>
                <w:szCs w:val="24"/>
                <w:lang w:val="ro-RO"/>
              </w:rPr>
            </w:pPr>
            <w:r w:rsidRPr="00587B71">
              <w:rPr>
                <w:rFonts w:ascii="Arial" w:eastAsia="Times New Roman" w:hAnsi="Arial" w:cs="Arial"/>
                <w:bCs/>
                <w:color w:val="000000"/>
                <w:sz w:val="24"/>
                <w:szCs w:val="24"/>
                <w:lang w:val="ro-RO"/>
              </w:rPr>
              <w:t>Frecv.</w:t>
            </w:r>
          </w:p>
          <w:p w:rsidR="00587B71" w:rsidRPr="00587B71" w:rsidRDefault="00587B71" w:rsidP="00587B71">
            <w:pPr>
              <w:autoSpaceDE w:val="0"/>
              <w:autoSpaceDN w:val="0"/>
              <w:adjustRightInd w:val="0"/>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bCs/>
                <w:color w:val="000000"/>
                <w:sz w:val="24"/>
                <w:szCs w:val="24"/>
                <w:lang w:val="ro-RO"/>
              </w:rPr>
              <w:t>Depăşiri %</w:t>
            </w:r>
          </w:p>
        </w:tc>
        <w:tc>
          <w:tcPr>
            <w:tcW w:w="1418"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bCs/>
                <w:color w:val="000000"/>
                <w:sz w:val="24"/>
                <w:szCs w:val="24"/>
                <w:lang w:val="ro-RO"/>
              </w:rPr>
            </w:pPr>
            <w:r w:rsidRPr="00587B71">
              <w:rPr>
                <w:rFonts w:ascii="Arial" w:eastAsia="Times New Roman" w:hAnsi="Arial" w:cs="Arial"/>
                <w:bCs/>
                <w:color w:val="000000"/>
                <w:sz w:val="24"/>
                <w:szCs w:val="24"/>
                <w:lang w:val="ro-RO"/>
              </w:rPr>
              <w:t>Media</w:t>
            </w:r>
          </w:p>
          <w:p w:rsidR="00587B71" w:rsidRPr="00587B71" w:rsidRDefault="00587B71" w:rsidP="00587B71">
            <w:pPr>
              <w:autoSpaceDE w:val="0"/>
              <w:autoSpaceDN w:val="0"/>
              <w:adjustRightInd w:val="0"/>
              <w:spacing w:after="0" w:line="240" w:lineRule="auto"/>
              <w:jc w:val="center"/>
              <w:rPr>
                <w:rFonts w:ascii="Arial" w:eastAsia="Times New Roman" w:hAnsi="Arial" w:cs="Arial"/>
                <w:bCs/>
                <w:color w:val="000000"/>
                <w:sz w:val="24"/>
                <w:szCs w:val="24"/>
                <w:lang w:val="ro-RO"/>
              </w:rPr>
            </w:pPr>
            <w:r w:rsidRPr="00587B71">
              <w:rPr>
                <w:rFonts w:ascii="Arial" w:eastAsia="Times New Roman" w:hAnsi="Arial" w:cs="Arial"/>
                <w:bCs/>
                <w:color w:val="000000"/>
                <w:sz w:val="24"/>
                <w:szCs w:val="24"/>
                <w:lang w:val="ro-RO"/>
              </w:rPr>
              <w:t>anuală</w:t>
            </w:r>
          </w:p>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bCs/>
                <w:color w:val="000000"/>
                <w:sz w:val="24"/>
                <w:szCs w:val="24"/>
                <w:lang w:val="ro-RO"/>
              </w:rPr>
              <w:t>(</w:t>
            </w:r>
            <w:r w:rsidRPr="00587B71">
              <w:rPr>
                <w:rFonts w:ascii="Arial" w:eastAsia="Times New Roman" w:hAnsi="Arial" w:cs="Arial"/>
                <w:iCs/>
                <w:color w:val="000000"/>
                <w:sz w:val="24"/>
                <w:szCs w:val="24"/>
                <w:lang w:val="ro-RO"/>
              </w:rPr>
              <w:t>µg</w:t>
            </w:r>
            <w:r w:rsidRPr="00587B71">
              <w:rPr>
                <w:rFonts w:ascii="Arial" w:eastAsia="Times New Roman" w:hAnsi="Arial" w:cs="Arial"/>
                <w:bCs/>
                <w:color w:val="000000"/>
                <w:sz w:val="24"/>
                <w:szCs w:val="24"/>
                <w:lang w:val="ro-RO"/>
              </w:rPr>
              <w:t>/mc)</w:t>
            </w:r>
          </w:p>
        </w:tc>
      </w:tr>
      <w:tr w:rsidR="00587B71" w:rsidRPr="00587B71" w:rsidTr="00587B71">
        <w:trPr>
          <w:jc w:val="center"/>
        </w:trPr>
        <w:tc>
          <w:tcPr>
            <w:tcW w:w="1079" w:type="dxa"/>
          </w:tcPr>
          <w:p w:rsidR="00587B71" w:rsidRPr="00587B71" w:rsidRDefault="00587B71" w:rsidP="00587B71">
            <w:pPr>
              <w:spacing w:after="0" w:line="240" w:lineRule="auto"/>
              <w:jc w:val="both"/>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VS1</w:t>
            </w:r>
          </w:p>
        </w:tc>
        <w:tc>
          <w:tcPr>
            <w:tcW w:w="1378" w:type="dxa"/>
          </w:tcPr>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color w:val="000000"/>
                <w:sz w:val="24"/>
                <w:szCs w:val="24"/>
                <w:lang w:val="ro-RO"/>
              </w:rPr>
              <w:t>6998</w:t>
            </w:r>
          </w:p>
        </w:tc>
        <w:tc>
          <w:tcPr>
            <w:tcW w:w="1724" w:type="dxa"/>
          </w:tcPr>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color w:val="000000"/>
                <w:sz w:val="24"/>
                <w:szCs w:val="24"/>
                <w:lang w:val="ro-RO"/>
              </w:rPr>
              <w:t>79,8</w:t>
            </w:r>
          </w:p>
        </w:tc>
        <w:tc>
          <w:tcPr>
            <w:tcW w:w="1684" w:type="dxa"/>
          </w:tcPr>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0</w:t>
            </w:r>
          </w:p>
        </w:tc>
        <w:tc>
          <w:tcPr>
            <w:tcW w:w="1134" w:type="dxa"/>
          </w:tcPr>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0</w:t>
            </w:r>
          </w:p>
        </w:tc>
        <w:tc>
          <w:tcPr>
            <w:tcW w:w="1418" w:type="dxa"/>
            <w:vAlign w:val="center"/>
          </w:tcPr>
          <w:p w:rsidR="00587B71" w:rsidRPr="00587B71" w:rsidRDefault="00587B71" w:rsidP="00587B71">
            <w:pPr>
              <w:autoSpaceDE w:val="0"/>
              <w:autoSpaceDN w:val="0"/>
              <w:adjustRightInd w:val="0"/>
              <w:spacing w:after="12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14,43</w:t>
            </w:r>
          </w:p>
        </w:tc>
      </w:tr>
      <w:tr w:rsidR="00587B71" w:rsidRPr="00587B71" w:rsidTr="00587B71">
        <w:trPr>
          <w:jc w:val="center"/>
        </w:trPr>
        <w:tc>
          <w:tcPr>
            <w:tcW w:w="1079" w:type="dxa"/>
          </w:tcPr>
          <w:p w:rsidR="00587B71" w:rsidRPr="00587B71" w:rsidRDefault="00587B71" w:rsidP="00587B71">
            <w:pPr>
              <w:spacing w:after="0" w:line="240" w:lineRule="auto"/>
              <w:jc w:val="both"/>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VS2</w:t>
            </w:r>
          </w:p>
        </w:tc>
        <w:tc>
          <w:tcPr>
            <w:tcW w:w="1378" w:type="dxa"/>
          </w:tcPr>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color w:val="000000"/>
                <w:sz w:val="24"/>
                <w:szCs w:val="24"/>
                <w:lang w:val="ro-RO"/>
              </w:rPr>
              <w:t>4493</w:t>
            </w:r>
          </w:p>
        </w:tc>
        <w:tc>
          <w:tcPr>
            <w:tcW w:w="1724" w:type="dxa"/>
          </w:tcPr>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color w:val="000000"/>
                <w:sz w:val="24"/>
                <w:szCs w:val="24"/>
                <w:lang w:val="ro-RO"/>
              </w:rPr>
              <w:t>51,2</w:t>
            </w:r>
          </w:p>
        </w:tc>
        <w:tc>
          <w:tcPr>
            <w:tcW w:w="1684" w:type="dxa"/>
          </w:tcPr>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0</w:t>
            </w:r>
          </w:p>
        </w:tc>
        <w:tc>
          <w:tcPr>
            <w:tcW w:w="1134" w:type="dxa"/>
          </w:tcPr>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0</w:t>
            </w:r>
          </w:p>
        </w:tc>
        <w:tc>
          <w:tcPr>
            <w:tcW w:w="1418" w:type="dxa"/>
            <w:vAlign w:val="center"/>
          </w:tcPr>
          <w:p w:rsidR="00587B71" w:rsidRPr="00587B71" w:rsidRDefault="00587B71" w:rsidP="00587B71">
            <w:pPr>
              <w:autoSpaceDE w:val="0"/>
              <w:autoSpaceDN w:val="0"/>
              <w:adjustRightInd w:val="0"/>
              <w:spacing w:after="12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w:t>
            </w:r>
          </w:p>
        </w:tc>
      </w:tr>
    </w:tbl>
    <w:p w:rsidR="00587B71" w:rsidRPr="00587B71" w:rsidRDefault="00587B71" w:rsidP="00587B71">
      <w:pPr>
        <w:spacing w:after="0" w:line="240" w:lineRule="auto"/>
        <w:jc w:val="both"/>
        <w:rPr>
          <w:rFonts w:ascii="Arial" w:eastAsia="Times New Roman" w:hAnsi="Arial" w:cs="Arial"/>
          <w:i/>
          <w:sz w:val="24"/>
          <w:szCs w:val="24"/>
        </w:rPr>
      </w:pPr>
    </w:p>
    <w:p w:rsidR="00587B71" w:rsidRPr="00587B71" w:rsidRDefault="00587B71" w:rsidP="00587B71">
      <w:pPr>
        <w:spacing w:after="0" w:line="240" w:lineRule="auto"/>
        <w:jc w:val="both"/>
        <w:rPr>
          <w:rFonts w:ascii="Arial" w:eastAsia="Times New Roman" w:hAnsi="Arial" w:cs="Arial"/>
          <w:b/>
          <w:i/>
          <w:iCs/>
          <w:color w:val="000000"/>
          <w:sz w:val="24"/>
          <w:szCs w:val="24"/>
          <w:lang w:val="ro-RO"/>
        </w:rPr>
      </w:pPr>
      <w:r w:rsidRPr="00587B71">
        <w:rPr>
          <w:rFonts w:ascii="Arial" w:eastAsia="Times New Roman" w:hAnsi="Arial" w:cs="Arial"/>
          <w:b/>
          <w:i/>
          <w:iCs/>
          <w:color w:val="000000"/>
          <w:sz w:val="24"/>
          <w:szCs w:val="24"/>
          <w:lang w:val="ro-RO"/>
        </w:rPr>
        <w:t>Dioxidul de sulf</w:t>
      </w:r>
    </w:p>
    <w:p w:rsidR="00587B71" w:rsidRPr="00587B71" w:rsidRDefault="00587B71" w:rsidP="00587B71">
      <w:pPr>
        <w:spacing w:after="0" w:line="240" w:lineRule="auto"/>
        <w:jc w:val="both"/>
        <w:rPr>
          <w:rFonts w:ascii="Arial" w:eastAsia="Times New Roman" w:hAnsi="Arial" w:cs="Arial"/>
          <w:b/>
          <w:i/>
          <w:iCs/>
          <w:color w:val="FF0000"/>
          <w:sz w:val="24"/>
          <w:szCs w:val="24"/>
          <w:lang w:val="ro-RO"/>
        </w:rPr>
      </w:pPr>
    </w:p>
    <w:p w:rsidR="00587B71" w:rsidRPr="00587B71" w:rsidRDefault="00587B71" w:rsidP="00587B71">
      <w:pPr>
        <w:spacing w:after="0" w:line="240" w:lineRule="auto"/>
        <w:ind w:firstLine="720"/>
        <w:jc w:val="both"/>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Dioxidul de sulf are drept sursă principală arderea combustibililor fosili sulfuroşi (cărbuni, păcură)- utilizaţi pentru producerea de energie electrică și termică, și a combustibililor lichizi (motorină)- folosiţi de motoarele cu ardere internă ale autovehiculelor rutiere. Dioxidul de sulf poate afecta atât sănătatea oamenilor, prin efecte asupra sistemului respirator, cât şi mediul în general (ecosisteme, materiale, construcţii, monumente) prin efectul de acidifiere.</w:t>
      </w:r>
    </w:p>
    <w:p w:rsidR="00587B71" w:rsidRPr="00587B71" w:rsidRDefault="00587B71" w:rsidP="00587B71">
      <w:pPr>
        <w:spacing w:after="0" w:line="240" w:lineRule="auto"/>
        <w:ind w:firstLine="720"/>
        <w:jc w:val="both"/>
        <w:rPr>
          <w:rFonts w:ascii="Arial" w:eastAsia="Times New Roman" w:hAnsi="Arial" w:cs="Arial"/>
          <w:b/>
          <w:i/>
          <w:iCs/>
          <w:color w:val="000000"/>
          <w:sz w:val="24"/>
          <w:szCs w:val="24"/>
          <w:lang w:val="ro-RO"/>
        </w:rPr>
      </w:pPr>
      <w:r w:rsidRPr="00587B71">
        <w:rPr>
          <w:rFonts w:ascii="Arial" w:eastAsia="Times New Roman" w:hAnsi="Arial" w:cs="Arial"/>
          <w:i/>
          <w:sz w:val="24"/>
          <w:szCs w:val="24"/>
        </w:rPr>
        <w:t>Din motive tehnice pentru acest poluant datele colectate sunt insuficiente pentru a respecta criteriile de calitate conform Legii 104/2011.</w:t>
      </w:r>
    </w:p>
    <w:p w:rsidR="00587B71" w:rsidRPr="00587B71" w:rsidRDefault="00587B71" w:rsidP="00587B71">
      <w:pPr>
        <w:spacing w:after="0" w:line="240" w:lineRule="auto"/>
        <w:jc w:val="both"/>
        <w:rPr>
          <w:rFonts w:ascii="Arial" w:eastAsia="Times New Roman" w:hAnsi="Arial" w:cs="Arial"/>
          <w:b/>
          <w:i/>
          <w:iCs/>
          <w:color w:val="000000"/>
          <w:sz w:val="24"/>
          <w:szCs w:val="24"/>
          <w:lang w:val="ro-RO"/>
        </w:rPr>
      </w:pPr>
    </w:p>
    <w:p w:rsidR="00587B71" w:rsidRPr="00587B71" w:rsidRDefault="00587B71" w:rsidP="00587B71">
      <w:pPr>
        <w:spacing w:after="0" w:line="240" w:lineRule="auto"/>
        <w:jc w:val="both"/>
        <w:rPr>
          <w:rFonts w:ascii="Arial" w:eastAsia="Times New Roman" w:hAnsi="Arial" w:cs="Arial"/>
          <w:b/>
          <w:i/>
          <w:iCs/>
          <w:color w:val="000000"/>
          <w:sz w:val="24"/>
          <w:szCs w:val="24"/>
          <w:lang w:val="ro-RO"/>
        </w:rPr>
      </w:pPr>
      <w:r w:rsidRPr="00587B71">
        <w:rPr>
          <w:rFonts w:ascii="Arial" w:eastAsia="Times New Roman" w:hAnsi="Arial" w:cs="Arial"/>
          <w:b/>
          <w:i/>
          <w:iCs/>
          <w:color w:val="000000"/>
          <w:sz w:val="24"/>
          <w:szCs w:val="24"/>
          <w:lang w:val="ro-RO"/>
        </w:rPr>
        <w:t>Pulberi în suspensie PM</w:t>
      </w:r>
      <w:r w:rsidRPr="00587B71">
        <w:rPr>
          <w:rFonts w:ascii="Arial" w:eastAsia="Times New Roman" w:hAnsi="Arial" w:cs="Arial"/>
          <w:b/>
          <w:i/>
          <w:iCs/>
          <w:color w:val="000000"/>
          <w:sz w:val="24"/>
          <w:szCs w:val="24"/>
          <w:vertAlign w:val="subscript"/>
          <w:lang w:val="ro-RO"/>
        </w:rPr>
        <w:t>10</w:t>
      </w:r>
    </w:p>
    <w:p w:rsidR="007C45A1" w:rsidRDefault="007C45A1" w:rsidP="00587B71">
      <w:pPr>
        <w:autoSpaceDE w:val="0"/>
        <w:autoSpaceDN w:val="0"/>
        <w:adjustRightInd w:val="0"/>
        <w:spacing w:after="0" w:line="240" w:lineRule="auto"/>
        <w:ind w:firstLine="720"/>
        <w:jc w:val="both"/>
        <w:rPr>
          <w:rFonts w:ascii="Arial" w:eastAsia="Times New Roman" w:hAnsi="Arial" w:cs="Arial"/>
          <w:color w:val="000000"/>
          <w:sz w:val="24"/>
          <w:szCs w:val="24"/>
          <w:lang w:val="ro-RO"/>
        </w:rPr>
      </w:pPr>
    </w:p>
    <w:p w:rsidR="00587B71" w:rsidRPr="00587B71" w:rsidRDefault="00587B71" w:rsidP="00587B71">
      <w:pPr>
        <w:autoSpaceDE w:val="0"/>
        <w:autoSpaceDN w:val="0"/>
        <w:adjustRightInd w:val="0"/>
        <w:spacing w:after="0" w:line="240" w:lineRule="auto"/>
        <w:ind w:firstLine="720"/>
        <w:jc w:val="both"/>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Concentraţiile de particule în suspensie cu diametrul mai mic de 10 microni din aerul înconjurător se evaluează comparând val</w:t>
      </w:r>
      <w:r w:rsidR="00913DCB">
        <w:rPr>
          <w:rFonts w:ascii="Arial" w:eastAsia="Times New Roman" w:hAnsi="Arial" w:cs="Arial"/>
          <w:color w:val="000000"/>
          <w:sz w:val="24"/>
          <w:szCs w:val="24"/>
          <w:lang w:val="ro-RO"/>
        </w:rPr>
        <w:t xml:space="preserve">orile obţinute prin determinări </w:t>
      </w:r>
      <w:r w:rsidRPr="00587B71">
        <w:rPr>
          <w:rFonts w:ascii="Arial" w:eastAsia="Times New Roman" w:hAnsi="Arial" w:cs="Arial"/>
          <w:color w:val="000000"/>
          <w:sz w:val="24"/>
          <w:szCs w:val="24"/>
          <w:lang w:val="ro-RO"/>
        </w:rPr>
        <w:t>gravimetrice folosind valoarea limită zilnică (50μg/m3) şi valoarea limită anuală (40μg/m3). În anul 2015, nu au existat depăşiri la acest indicator.</w:t>
      </w:r>
    </w:p>
    <w:p w:rsidR="00587B71" w:rsidRPr="00587B71" w:rsidRDefault="00587B71" w:rsidP="00587B71">
      <w:pPr>
        <w:spacing w:after="0" w:line="240" w:lineRule="auto"/>
        <w:ind w:firstLine="720"/>
        <w:jc w:val="both"/>
        <w:rPr>
          <w:rFonts w:ascii="Arial" w:eastAsia="Times New Roman" w:hAnsi="Arial" w:cs="Arial"/>
          <w:i/>
          <w:sz w:val="24"/>
          <w:szCs w:val="24"/>
        </w:rPr>
      </w:pPr>
    </w:p>
    <w:p w:rsidR="00587B71" w:rsidRPr="00587B71" w:rsidRDefault="00587B71" w:rsidP="00587B71">
      <w:pPr>
        <w:spacing w:after="0" w:line="240" w:lineRule="auto"/>
        <w:ind w:firstLine="720"/>
        <w:jc w:val="both"/>
        <w:rPr>
          <w:rFonts w:ascii="Arial" w:eastAsia="Times New Roman" w:hAnsi="Arial" w:cs="Arial"/>
          <w:b/>
          <w:i/>
          <w:iCs/>
          <w:color w:val="000000"/>
          <w:sz w:val="24"/>
          <w:szCs w:val="24"/>
          <w:lang w:val="ro-RO"/>
        </w:rPr>
      </w:pPr>
      <w:r w:rsidRPr="00587B71">
        <w:rPr>
          <w:rFonts w:ascii="Arial" w:eastAsia="Times New Roman" w:hAnsi="Arial" w:cs="Arial"/>
          <w:i/>
          <w:sz w:val="24"/>
          <w:szCs w:val="24"/>
        </w:rPr>
        <w:t>Din motive tehnice pentru acest poluant datele colectate sunt insuficiente pentru a respecta criteriile de calitate conform Legii 104/2011, pentru staţia VS-1.</w:t>
      </w:r>
    </w:p>
    <w:p w:rsidR="00587B71" w:rsidRPr="00587B71" w:rsidRDefault="00587B71" w:rsidP="00587B71">
      <w:pPr>
        <w:autoSpaceDE w:val="0"/>
        <w:autoSpaceDN w:val="0"/>
        <w:adjustRightInd w:val="0"/>
        <w:spacing w:after="0" w:line="240" w:lineRule="auto"/>
        <w:ind w:firstLine="720"/>
        <w:jc w:val="both"/>
        <w:rPr>
          <w:rFonts w:ascii="Arial" w:eastAsia="Times New Roman" w:hAnsi="Arial" w:cs="Arial"/>
          <w:color w:val="FF0000"/>
          <w:sz w:val="24"/>
          <w:szCs w:val="24"/>
          <w:lang w:val="ro-RO"/>
        </w:rPr>
      </w:pPr>
    </w:p>
    <w:p w:rsidR="00587B71" w:rsidRPr="00587B71" w:rsidRDefault="00587B71" w:rsidP="00587B71">
      <w:pPr>
        <w:spacing w:after="0" w:line="240" w:lineRule="auto"/>
        <w:rPr>
          <w:rFonts w:ascii="Arial" w:eastAsia="Times New Roman" w:hAnsi="Arial" w:cs="Arial"/>
          <w:iCs/>
          <w:color w:val="000000"/>
          <w:sz w:val="24"/>
          <w:szCs w:val="24"/>
        </w:rPr>
      </w:pPr>
      <w:r w:rsidRPr="00587B71">
        <w:rPr>
          <w:rFonts w:ascii="Arial" w:eastAsia="Times New Roman" w:hAnsi="Arial" w:cs="Arial"/>
          <w:color w:val="000000"/>
          <w:sz w:val="24"/>
          <w:szCs w:val="24"/>
        </w:rPr>
        <w:t>Tabelul I.5.</w:t>
      </w:r>
      <w:r w:rsidRPr="00587B71">
        <w:rPr>
          <w:rFonts w:ascii="ArialMT" w:eastAsia="Times New Roman" w:hAnsi="ArialMT" w:cs="ArialMT"/>
          <w:color w:val="000000"/>
          <w:sz w:val="23"/>
          <w:szCs w:val="23"/>
        </w:rPr>
        <w:t xml:space="preserve"> </w:t>
      </w:r>
      <w:r w:rsidRPr="00587B71">
        <w:rPr>
          <w:rFonts w:ascii="Arial" w:eastAsia="Times New Roman" w:hAnsi="Arial" w:cs="Arial"/>
          <w:color w:val="000000"/>
          <w:sz w:val="24"/>
          <w:szCs w:val="24"/>
        </w:rPr>
        <w:t xml:space="preserve">Evoluţia calităţii aerului la </w:t>
      </w:r>
      <w:r w:rsidRPr="00587B71">
        <w:rPr>
          <w:rFonts w:ascii="Arial" w:eastAsia="Times New Roman" w:hAnsi="Arial" w:cs="Arial"/>
          <w:color w:val="000000"/>
          <w:sz w:val="24"/>
          <w:szCs w:val="24"/>
          <w:lang w:val="it-IT"/>
        </w:rPr>
        <w:t xml:space="preserve">indicatorul </w:t>
      </w:r>
      <w:r w:rsidRPr="00587B71">
        <w:rPr>
          <w:rFonts w:ascii="Arial" w:eastAsia="Times New Roman" w:hAnsi="Arial" w:cs="Arial"/>
          <w:iCs/>
          <w:color w:val="000000"/>
          <w:sz w:val="24"/>
          <w:szCs w:val="24"/>
        </w:rPr>
        <w:t>PM</w:t>
      </w:r>
      <w:r w:rsidRPr="00587B71">
        <w:rPr>
          <w:rFonts w:ascii="Arial" w:eastAsia="Times New Roman" w:hAnsi="Arial" w:cs="Arial"/>
          <w:iCs/>
          <w:color w:val="000000"/>
          <w:sz w:val="24"/>
          <w:szCs w:val="24"/>
          <w:vertAlign w:val="subscript"/>
        </w:rPr>
        <w:t>10</w:t>
      </w:r>
      <w:r w:rsidRPr="00587B71">
        <w:rPr>
          <w:rFonts w:ascii="Arial" w:eastAsia="Times New Roman" w:hAnsi="Arial" w:cs="Arial"/>
          <w:iCs/>
          <w:color w:val="000000"/>
          <w:sz w:val="24"/>
          <w:szCs w:val="24"/>
        </w:rPr>
        <w:t>, (µg/mc)</w:t>
      </w:r>
    </w:p>
    <w:tbl>
      <w:tblPr>
        <w:tblW w:w="10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
        <w:gridCol w:w="817"/>
        <w:gridCol w:w="817"/>
        <w:gridCol w:w="937"/>
        <w:gridCol w:w="817"/>
        <w:gridCol w:w="817"/>
        <w:gridCol w:w="817"/>
        <w:gridCol w:w="817"/>
        <w:gridCol w:w="817"/>
        <w:gridCol w:w="817"/>
        <w:gridCol w:w="817"/>
        <w:gridCol w:w="817"/>
        <w:gridCol w:w="817"/>
      </w:tblGrid>
      <w:tr w:rsidR="00587B71" w:rsidRPr="00587B71" w:rsidTr="00587B71">
        <w:tc>
          <w:tcPr>
            <w:tcW w:w="803" w:type="dxa"/>
            <w:vMerge w:val="restart"/>
            <w:vAlign w:val="center"/>
          </w:tcPr>
          <w:p w:rsidR="00587B71" w:rsidRPr="00587B71" w:rsidRDefault="00587B71" w:rsidP="00587B71">
            <w:pPr>
              <w:autoSpaceDE w:val="0"/>
              <w:autoSpaceDN w:val="0"/>
              <w:adjustRightInd w:val="0"/>
              <w:spacing w:after="12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Staţii</w:t>
            </w:r>
          </w:p>
        </w:tc>
        <w:tc>
          <w:tcPr>
            <w:tcW w:w="9924" w:type="dxa"/>
            <w:gridSpan w:val="12"/>
          </w:tcPr>
          <w:p w:rsidR="00587B71" w:rsidRPr="00587B71" w:rsidRDefault="00587B71" w:rsidP="00587B71">
            <w:pPr>
              <w:autoSpaceDE w:val="0"/>
              <w:autoSpaceDN w:val="0"/>
              <w:adjustRightInd w:val="0"/>
              <w:spacing w:after="12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 xml:space="preserve">Concentraţia medie lunară  </w:t>
            </w:r>
            <w:r w:rsidRPr="00587B71">
              <w:rPr>
                <w:rFonts w:ascii="Arial" w:eastAsia="Times New Roman" w:hAnsi="Arial" w:cs="Arial"/>
                <w:b/>
                <w:iCs/>
                <w:color w:val="000000"/>
                <w:sz w:val="24"/>
                <w:szCs w:val="24"/>
              </w:rPr>
              <w:t>PM10, (mg/mc)</w:t>
            </w:r>
          </w:p>
        </w:tc>
      </w:tr>
      <w:tr w:rsidR="00587B71" w:rsidRPr="00587B71" w:rsidTr="00587B71">
        <w:trPr>
          <w:trHeight w:val="247"/>
        </w:trPr>
        <w:tc>
          <w:tcPr>
            <w:tcW w:w="803" w:type="dxa"/>
            <w:vMerge/>
          </w:tcPr>
          <w:p w:rsidR="00587B71" w:rsidRPr="00587B71" w:rsidRDefault="00587B71" w:rsidP="00587B71">
            <w:pPr>
              <w:autoSpaceDE w:val="0"/>
              <w:autoSpaceDN w:val="0"/>
              <w:adjustRightInd w:val="0"/>
              <w:spacing w:after="120" w:line="240" w:lineRule="auto"/>
              <w:jc w:val="both"/>
              <w:rPr>
                <w:rFonts w:ascii="Arial" w:eastAsia="Times New Roman" w:hAnsi="Arial" w:cs="Arial"/>
                <w:color w:val="000000"/>
                <w:sz w:val="24"/>
                <w:szCs w:val="24"/>
                <w:lang w:val="pt-BR"/>
              </w:rPr>
            </w:pPr>
          </w:p>
        </w:tc>
        <w:tc>
          <w:tcPr>
            <w:tcW w:w="817" w:type="dxa"/>
          </w:tcPr>
          <w:p w:rsidR="00587B71" w:rsidRPr="00587B71" w:rsidRDefault="00587B71" w:rsidP="00587B71">
            <w:pPr>
              <w:spacing w:after="12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ian</w:t>
            </w:r>
          </w:p>
        </w:tc>
        <w:tc>
          <w:tcPr>
            <w:tcW w:w="817"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feb</w:t>
            </w:r>
          </w:p>
        </w:tc>
        <w:tc>
          <w:tcPr>
            <w:tcW w:w="937"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martie</w:t>
            </w:r>
          </w:p>
        </w:tc>
        <w:tc>
          <w:tcPr>
            <w:tcW w:w="817"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apr</w:t>
            </w:r>
          </w:p>
        </w:tc>
        <w:tc>
          <w:tcPr>
            <w:tcW w:w="817"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mai</w:t>
            </w:r>
          </w:p>
        </w:tc>
        <w:tc>
          <w:tcPr>
            <w:tcW w:w="817"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iunie</w:t>
            </w:r>
          </w:p>
        </w:tc>
        <w:tc>
          <w:tcPr>
            <w:tcW w:w="817"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iulie</w:t>
            </w:r>
          </w:p>
        </w:tc>
        <w:tc>
          <w:tcPr>
            <w:tcW w:w="817"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aug</w:t>
            </w:r>
          </w:p>
        </w:tc>
        <w:tc>
          <w:tcPr>
            <w:tcW w:w="817"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sept</w:t>
            </w:r>
          </w:p>
        </w:tc>
        <w:tc>
          <w:tcPr>
            <w:tcW w:w="817"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oct</w:t>
            </w:r>
          </w:p>
        </w:tc>
        <w:tc>
          <w:tcPr>
            <w:tcW w:w="817"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nov</w:t>
            </w:r>
          </w:p>
        </w:tc>
        <w:tc>
          <w:tcPr>
            <w:tcW w:w="817"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dec</w:t>
            </w:r>
          </w:p>
        </w:tc>
      </w:tr>
      <w:tr w:rsidR="00587B71" w:rsidRPr="00587B71" w:rsidTr="00587B71">
        <w:trPr>
          <w:trHeight w:val="273"/>
        </w:trPr>
        <w:tc>
          <w:tcPr>
            <w:tcW w:w="803" w:type="dxa"/>
          </w:tcPr>
          <w:p w:rsidR="00587B71" w:rsidRPr="00587B71" w:rsidRDefault="00587B71" w:rsidP="00587B71">
            <w:pPr>
              <w:autoSpaceDE w:val="0"/>
              <w:autoSpaceDN w:val="0"/>
              <w:adjustRightInd w:val="0"/>
              <w:spacing w:after="120" w:line="240" w:lineRule="auto"/>
              <w:jc w:val="both"/>
              <w:rPr>
                <w:rFonts w:ascii="Arial" w:eastAsia="Times New Roman" w:hAnsi="Arial" w:cs="Arial"/>
                <w:color w:val="000000"/>
                <w:sz w:val="24"/>
                <w:szCs w:val="24"/>
                <w:lang w:val="pt-BR"/>
              </w:rPr>
            </w:pPr>
            <w:r w:rsidRPr="00587B71">
              <w:rPr>
                <w:rFonts w:ascii="Arial" w:eastAsia="Times New Roman" w:hAnsi="Arial" w:cs="Arial"/>
                <w:color w:val="000000"/>
                <w:sz w:val="24"/>
                <w:szCs w:val="24"/>
                <w:lang w:val="pt-BR"/>
              </w:rPr>
              <w:t>VS-2</w:t>
            </w:r>
          </w:p>
        </w:tc>
        <w:tc>
          <w:tcPr>
            <w:tcW w:w="817" w:type="dxa"/>
          </w:tcPr>
          <w:p w:rsidR="00587B71" w:rsidRPr="00587B71" w:rsidRDefault="00587B71" w:rsidP="00587B71">
            <w:pPr>
              <w:spacing w:after="120" w:line="240" w:lineRule="auto"/>
              <w:jc w:val="center"/>
              <w:rPr>
                <w:rFonts w:ascii="Arial" w:eastAsia="Times New Roman" w:hAnsi="Arial" w:cs="Arial"/>
                <w:color w:val="000000"/>
                <w:sz w:val="24"/>
                <w:szCs w:val="24"/>
                <w:lang w:val="pt-BR"/>
              </w:rPr>
            </w:pPr>
            <w:r w:rsidRPr="00587B71">
              <w:rPr>
                <w:rFonts w:ascii="Arial" w:eastAsia="Times New Roman" w:hAnsi="Arial" w:cs="Arial"/>
                <w:color w:val="000000"/>
                <w:sz w:val="24"/>
                <w:szCs w:val="24"/>
                <w:lang w:val="pt-BR"/>
              </w:rPr>
              <w:t>25,71</w:t>
            </w:r>
          </w:p>
        </w:tc>
        <w:tc>
          <w:tcPr>
            <w:tcW w:w="817" w:type="dxa"/>
          </w:tcPr>
          <w:p w:rsidR="00587B71" w:rsidRPr="00587B71" w:rsidRDefault="00587B71" w:rsidP="00587B71">
            <w:pPr>
              <w:spacing w:after="120" w:line="240" w:lineRule="auto"/>
              <w:jc w:val="center"/>
              <w:rPr>
                <w:rFonts w:ascii="Arial" w:eastAsia="Times New Roman" w:hAnsi="Arial" w:cs="Arial"/>
                <w:color w:val="000000"/>
                <w:sz w:val="24"/>
                <w:szCs w:val="24"/>
                <w:lang w:val="pt-BR"/>
              </w:rPr>
            </w:pPr>
            <w:r w:rsidRPr="00587B71">
              <w:rPr>
                <w:rFonts w:ascii="Arial" w:eastAsia="Times New Roman" w:hAnsi="Arial" w:cs="Arial"/>
                <w:color w:val="000000"/>
                <w:sz w:val="24"/>
                <w:szCs w:val="24"/>
                <w:lang w:val="pt-BR"/>
              </w:rPr>
              <w:t>23.37</w:t>
            </w:r>
          </w:p>
        </w:tc>
        <w:tc>
          <w:tcPr>
            <w:tcW w:w="937"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4"/>
                <w:szCs w:val="24"/>
                <w:lang w:val="pt-BR"/>
              </w:rPr>
            </w:pPr>
            <w:r w:rsidRPr="00587B71">
              <w:rPr>
                <w:rFonts w:ascii="Arial" w:eastAsia="Times New Roman" w:hAnsi="Arial" w:cs="Arial"/>
                <w:color w:val="000000"/>
                <w:sz w:val="24"/>
                <w:szCs w:val="24"/>
                <w:lang w:val="pt-BR"/>
              </w:rPr>
              <w:t>22.12</w:t>
            </w:r>
          </w:p>
        </w:tc>
        <w:tc>
          <w:tcPr>
            <w:tcW w:w="817"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18.71</w:t>
            </w:r>
          </w:p>
        </w:tc>
        <w:tc>
          <w:tcPr>
            <w:tcW w:w="817"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27.84</w:t>
            </w:r>
          </w:p>
        </w:tc>
        <w:tc>
          <w:tcPr>
            <w:tcW w:w="817"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24.95</w:t>
            </w:r>
          </w:p>
        </w:tc>
        <w:tc>
          <w:tcPr>
            <w:tcW w:w="817"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29.42</w:t>
            </w:r>
          </w:p>
        </w:tc>
        <w:tc>
          <w:tcPr>
            <w:tcW w:w="817"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27.88</w:t>
            </w:r>
          </w:p>
        </w:tc>
        <w:tc>
          <w:tcPr>
            <w:tcW w:w="817"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31.24</w:t>
            </w:r>
          </w:p>
        </w:tc>
        <w:tc>
          <w:tcPr>
            <w:tcW w:w="817"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27.6</w:t>
            </w:r>
          </w:p>
        </w:tc>
        <w:tc>
          <w:tcPr>
            <w:tcW w:w="817"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26.15</w:t>
            </w:r>
          </w:p>
        </w:tc>
        <w:tc>
          <w:tcPr>
            <w:tcW w:w="817"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31.82</w:t>
            </w:r>
          </w:p>
        </w:tc>
      </w:tr>
    </w:tbl>
    <w:p w:rsidR="00587B71" w:rsidRPr="00587B71" w:rsidRDefault="007C45A1" w:rsidP="00587B71">
      <w:pPr>
        <w:autoSpaceDE w:val="0"/>
        <w:autoSpaceDN w:val="0"/>
        <w:adjustRightInd w:val="0"/>
        <w:spacing w:after="0" w:line="240" w:lineRule="auto"/>
        <w:ind w:firstLine="720"/>
        <w:jc w:val="both"/>
        <w:rPr>
          <w:rFonts w:ascii="Arial" w:eastAsia="Times New Roman" w:hAnsi="Arial" w:cs="Arial"/>
          <w:color w:val="FF0000"/>
          <w:sz w:val="24"/>
          <w:szCs w:val="24"/>
          <w:lang w:val="ro-RO"/>
        </w:rPr>
      </w:pPr>
      <w:r>
        <w:rPr>
          <w:rFonts w:ascii="Arial" w:eastAsia="Times New Roman" w:hAnsi="Arial" w:cs="Arial"/>
          <w:noProof/>
          <w:color w:val="FF0000"/>
          <w:sz w:val="24"/>
          <w:szCs w:val="24"/>
        </w:rPr>
        <w:drawing>
          <wp:anchor distT="0" distB="0" distL="114300" distR="114300" simplePos="0" relativeHeight="251663360" behindDoc="0" locked="0" layoutInCell="1" allowOverlap="1" wp14:anchorId="580508BD" wp14:editId="542D11F3">
            <wp:simplePos x="0" y="0"/>
            <wp:positionH relativeFrom="column">
              <wp:posOffset>337820</wp:posOffset>
            </wp:positionH>
            <wp:positionV relativeFrom="paragraph">
              <wp:posOffset>182245</wp:posOffset>
            </wp:positionV>
            <wp:extent cx="5715000" cy="2371725"/>
            <wp:effectExtent l="0" t="0" r="0" b="0"/>
            <wp:wrapSquare wrapText="right"/>
            <wp:docPr id="191" name="Chart 19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rsidR="00587B71" w:rsidRPr="00587B71" w:rsidRDefault="00587B71" w:rsidP="00587B71">
      <w:pPr>
        <w:autoSpaceDE w:val="0"/>
        <w:autoSpaceDN w:val="0"/>
        <w:adjustRightInd w:val="0"/>
        <w:spacing w:after="0" w:line="240" w:lineRule="auto"/>
        <w:ind w:firstLine="720"/>
        <w:jc w:val="both"/>
        <w:rPr>
          <w:rFonts w:ascii="Arial" w:eastAsia="Times New Roman" w:hAnsi="Arial" w:cs="Arial"/>
          <w:sz w:val="24"/>
          <w:szCs w:val="24"/>
          <w:lang w:val="ro-RO"/>
        </w:rPr>
      </w:pPr>
      <w:r w:rsidRPr="00587B71">
        <w:rPr>
          <w:rFonts w:ascii="Arial" w:eastAsia="Times New Roman" w:hAnsi="Arial" w:cs="Arial"/>
          <w:sz w:val="24"/>
          <w:szCs w:val="24"/>
          <w:lang w:val="ro-RO"/>
        </w:rPr>
        <w:t>Figura I.1 Evoluţia concentraţiei lunare de PM10 pentru anul 2015</w:t>
      </w:r>
    </w:p>
    <w:p w:rsidR="00587B71" w:rsidRPr="00587B71" w:rsidRDefault="00587B71" w:rsidP="00587B71">
      <w:pPr>
        <w:widowControl w:val="0"/>
        <w:spacing w:after="0" w:line="240" w:lineRule="auto"/>
        <w:ind w:firstLine="720"/>
        <w:jc w:val="both"/>
        <w:rPr>
          <w:rFonts w:ascii="Arial" w:eastAsia="Times New Roman" w:hAnsi="Arial" w:cs="Arial"/>
          <w:color w:val="000000"/>
          <w:sz w:val="24"/>
          <w:szCs w:val="24"/>
          <w:lang w:val="ro-RO" w:eastAsia="ro-RO"/>
        </w:rPr>
      </w:pPr>
    </w:p>
    <w:p w:rsidR="00587B71" w:rsidRPr="00587B71" w:rsidRDefault="00587B71" w:rsidP="00587B71">
      <w:pPr>
        <w:widowControl w:val="0"/>
        <w:spacing w:after="0" w:line="240" w:lineRule="auto"/>
        <w:ind w:firstLine="720"/>
        <w:jc w:val="both"/>
        <w:rPr>
          <w:rFonts w:ascii="Arial" w:eastAsia="Times New Roman" w:hAnsi="Arial" w:cs="Arial"/>
          <w:color w:val="000000"/>
          <w:sz w:val="24"/>
          <w:szCs w:val="24"/>
          <w:lang w:val="ro-RO" w:eastAsia="ro-RO"/>
        </w:rPr>
      </w:pPr>
      <w:r w:rsidRPr="00587B71">
        <w:rPr>
          <w:rFonts w:ascii="Arial" w:eastAsia="Times New Roman" w:hAnsi="Arial" w:cs="Arial"/>
          <w:color w:val="000000"/>
          <w:sz w:val="24"/>
          <w:szCs w:val="24"/>
          <w:lang w:val="ro-RO" w:eastAsia="ro-RO"/>
        </w:rPr>
        <w:t>În tabelul de mai jos sunt prezentate sintetic datele statistice obţinute în 2015 din monitorizarea PM10, prin metoda gravimetrică, la staţia de monitorizare VS-2:</w:t>
      </w:r>
    </w:p>
    <w:p w:rsidR="00587B71" w:rsidRPr="00587B71" w:rsidRDefault="00587B71" w:rsidP="00587B71">
      <w:pPr>
        <w:spacing w:after="0" w:line="240" w:lineRule="auto"/>
        <w:rPr>
          <w:rFonts w:ascii="Arial" w:eastAsia="Times New Roman" w:hAnsi="Arial" w:cs="Arial"/>
          <w:color w:val="000000"/>
          <w:sz w:val="24"/>
          <w:szCs w:val="24"/>
          <w:lang w:val="it-IT"/>
        </w:rPr>
      </w:pPr>
      <w:r w:rsidRPr="00587B71">
        <w:rPr>
          <w:rFonts w:ascii="Arial" w:eastAsia="Times New Roman" w:hAnsi="Arial" w:cs="Arial"/>
          <w:color w:val="000000"/>
          <w:sz w:val="24"/>
          <w:szCs w:val="24"/>
          <w:lang w:val="it-IT"/>
        </w:rPr>
        <w:t>Tabelul I.6. Concentraţii de pulberi PM10 măsurate prin metoda gravimetrică – an 2015</w:t>
      </w:r>
    </w:p>
    <w:p w:rsidR="00587B71" w:rsidRPr="00587B71" w:rsidRDefault="00587B71" w:rsidP="00587B71">
      <w:pPr>
        <w:widowControl w:val="0"/>
        <w:spacing w:after="0" w:line="240" w:lineRule="auto"/>
        <w:ind w:firstLine="706"/>
        <w:jc w:val="both"/>
        <w:rPr>
          <w:rFonts w:ascii="Arial" w:eastAsia="Times New Roman" w:hAnsi="Arial" w:cs="Arial"/>
          <w:color w:val="FF0000"/>
          <w:sz w:val="10"/>
          <w:szCs w:val="10"/>
          <w:lang w:val="it-IT"/>
        </w:rPr>
      </w:pPr>
    </w:p>
    <w:tbl>
      <w:tblPr>
        <w:tblW w:w="9617" w:type="dxa"/>
        <w:jc w:val="center"/>
        <w:tblInd w:w="-112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569"/>
        <w:gridCol w:w="1581"/>
        <w:gridCol w:w="2436"/>
        <w:gridCol w:w="1263"/>
        <w:gridCol w:w="1768"/>
      </w:tblGrid>
      <w:tr w:rsidR="00587B71" w:rsidRPr="00587B71" w:rsidTr="00587B71">
        <w:trPr>
          <w:trHeight w:val="255"/>
          <w:jc w:val="center"/>
        </w:trPr>
        <w:tc>
          <w:tcPr>
            <w:tcW w:w="2569" w:type="dxa"/>
            <w:vMerge w:val="restart"/>
            <w:shd w:val="clear" w:color="auto" w:fill="auto"/>
            <w:noWrap/>
            <w:tcMar>
              <w:left w:w="57" w:type="dxa"/>
              <w:right w:w="57" w:type="dxa"/>
            </w:tcMar>
            <w:vAlign w:val="center"/>
          </w:tcPr>
          <w:p w:rsidR="00587B71" w:rsidRPr="00587B71" w:rsidRDefault="00587B71" w:rsidP="00587B71">
            <w:pPr>
              <w:widowControl w:val="0"/>
              <w:spacing w:after="0" w:line="240" w:lineRule="auto"/>
              <w:jc w:val="center"/>
              <w:rPr>
                <w:rFonts w:ascii="Arial" w:eastAsia="Times New Roman" w:hAnsi="Arial" w:cs="Arial"/>
                <w:b/>
                <w:bCs/>
                <w:color w:val="000000"/>
                <w:sz w:val="24"/>
                <w:szCs w:val="24"/>
                <w:lang w:eastAsia="ro-RO"/>
              </w:rPr>
            </w:pPr>
            <w:r w:rsidRPr="00587B71">
              <w:rPr>
                <w:rFonts w:ascii="Arial" w:eastAsia="Times New Roman" w:hAnsi="Arial" w:cs="Arial"/>
                <w:b/>
                <w:bCs/>
                <w:color w:val="000000"/>
                <w:sz w:val="24"/>
                <w:szCs w:val="24"/>
                <w:lang w:eastAsia="ro-RO"/>
              </w:rPr>
              <w:t>Staţia de monitorizare PM10- metoda gravimetrică</w:t>
            </w:r>
          </w:p>
        </w:tc>
        <w:tc>
          <w:tcPr>
            <w:tcW w:w="1581" w:type="dxa"/>
            <w:shd w:val="clear" w:color="auto" w:fill="auto"/>
            <w:noWrap/>
            <w:tcMar>
              <w:left w:w="57" w:type="dxa"/>
              <w:right w:w="57" w:type="dxa"/>
            </w:tcMar>
            <w:vAlign w:val="center"/>
          </w:tcPr>
          <w:p w:rsidR="00587B71" w:rsidRPr="00587B71" w:rsidRDefault="00587B71" w:rsidP="00587B71">
            <w:pPr>
              <w:widowControl w:val="0"/>
              <w:spacing w:after="0" w:line="240" w:lineRule="auto"/>
              <w:jc w:val="center"/>
              <w:rPr>
                <w:rFonts w:ascii="Arial" w:eastAsia="Times New Roman" w:hAnsi="Arial" w:cs="Arial"/>
                <w:b/>
                <w:bCs/>
                <w:color w:val="000000"/>
                <w:sz w:val="24"/>
                <w:szCs w:val="24"/>
                <w:lang w:eastAsia="ro-RO"/>
              </w:rPr>
            </w:pPr>
            <w:r w:rsidRPr="00587B71">
              <w:rPr>
                <w:rFonts w:ascii="Arial" w:eastAsia="Times New Roman" w:hAnsi="Arial" w:cs="Arial"/>
                <w:b/>
                <w:bCs/>
                <w:color w:val="000000"/>
                <w:sz w:val="24"/>
                <w:szCs w:val="24"/>
                <w:lang w:eastAsia="ro-RO"/>
              </w:rPr>
              <w:t>Concentraţia medie anuală</w:t>
            </w:r>
          </w:p>
        </w:tc>
        <w:tc>
          <w:tcPr>
            <w:tcW w:w="2436" w:type="dxa"/>
            <w:shd w:val="clear" w:color="auto" w:fill="auto"/>
            <w:tcMar>
              <w:left w:w="57" w:type="dxa"/>
              <w:right w:w="57" w:type="dxa"/>
            </w:tcMar>
            <w:vAlign w:val="center"/>
          </w:tcPr>
          <w:p w:rsidR="00587B71" w:rsidRPr="00587B71" w:rsidRDefault="00587B71" w:rsidP="00587B71">
            <w:pPr>
              <w:widowControl w:val="0"/>
              <w:spacing w:after="0" w:line="240" w:lineRule="auto"/>
              <w:jc w:val="center"/>
              <w:rPr>
                <w:rFonts w:ascii="Arial" w:eastAsia="Times New Roman" w:hAnsi="Arial" w:cs="Arial"/>
                <w:b/>
                <w:bCs/>
                <w:color w:val="000000"/>
                <w:sz w:val="24"/>
                <w:szCs w:val="24"/>
                <w:lang w:eastAsia="ro-RO"/>
              </w:rPr>
            </w:pPr>
            <w:r w:rsidRPr="00587B71">
              <w:rPr>
                <w:rFonts w:ascii="Arial" w:eastAsia="Times New Roman" w:hAnsi="Arial" w:cs="Arial"/>
                <w:b/>
                <w:bCs/>
                <w:color w:val="000000"/>
                <w:sz w:val="24"/>
                <w:szCs w:val="24"/>
                <w:lang w:eastAsia="ro-RO"/>
              </w:rPr>
              <w:t>Maxima conc. medii zilnice pe anul 2015</w:t>
            </w:r>
          </w:p>
        </w:tc>
        <w:tc>
          <w:tcPr>
            <w:tcW w:w="1263" w:type="dxa"/>
            <w:vMerge w:val="restart"/>
            <w:shd w:val="clear" w:color="auto" w:fill="auto"/>
            <w:noWrap/>
            <w:tcMar>
              <w:left w:w="57" w:type="dxa"/>
              <w:right w:w="57" w:type="dxa"/>
            </w:tcMar>
            <w:vAlign w:val="center"/>
          </w:tcPr>
          <w:p w:rsidR="00587B71" w:rsidRPr="00587B71" w:rsidRDefault="00587B71" w:rsidP="00587B71">
            <w:pPr>
              <w:widowControl w:val="0"/>
              <w:spacing w:after="0" w:line="240" w:lineRule="auto"/>
              <w:jc w:val="center"/>
              <w:rPr>
                <w:rFonts w:ascii="Arial" w:eastAsia="Times New Roman" w:hAnsi="Arial" w:cs="Arial"/>
                <w:b/>
                <w:bCs/>
                <w:color w:val="000000"/>
                <w:sz w:val="24"/>
                <w:szCs w:val="24"/>
                <w:lang w:eastAsia="ro-RO"/>
              </w:rPr>
            </w:pPr>
            <w:r w:rsidRPr="00587B71">
              <w:rPr>
                <w:rFonts w:ascii="Arial" w:eastAsia="Times New Roman" w:hAnsi="Arial" w:cs="Arial"/>
                <w:b/>
                <w:bCs/>
                <w:color w:val="000000"/>
                <w:sz w:val="24"/>
                <w:szCs w:val="24"/>
                <w:lang w:eastAsia="ro-RO"/>
              </w:rPr>
              <w:t>Nr. depăşiri ale VL zilnice</w:t>
            </w:r>
          </w:p>
        </w:tc>
        <w:tc>
          <w:tcPr>
            <w:tcW w:w="1768" w:type="dxa"/>
            <w:shd w:val="clear" w:color="auto" w:fill="auto"/>
            <w:noWrap/>
            <w:tcMar>
              <w:left w:w="57" w:type="dxa"/>
              <w:right w:w="57" w:type="dxa"/>
            </w:tcMar>
            <w:vAlign w:val="center"/>
          </w:tcPr>
          <w:p w:rsidR="00587B71" w:rsidRPr="00587B71" w:rsidRDefault="00587B71" w:rsidP="00587B71">
            <w:pPr>
              <w:widowControl w:val="0"/>
              <w:spacing w:after="0" w:line="240" w:lineRule="auto"/>
              <w:jc w:val="center"/>
              <w:rPr>
                <w:rFonts w:ascii="Arial" w:eastAsia="Times New Roman" w:hAnsi="Arial" w:cs="Arial"/>
                <w:b/>
                <w:bCs/>
                <w:color w:val="000000"/>
                <w:sz w:val="24"/>
                <w:szCs w:val="24"/>
                <w:lang w:eastAsia="ro-RO"/>
              </w:rPr>
            </w:pPr>
            <w:r w:rsidRPr="00587B71">
              <w:rPr>
                <w:rFonts w:ascii="Arial" w:eastAsia="Times New Roman" w:hAnsi="Arial" w:cs="Arial"/>
                <w:b/>
                <w:bCs/>
                <w:color w:val="000000"/>
                <w:sz w:val="24"/>
                <w:szCs w:val="24"/>
                <w:lang w:eastAsia="ro-RO"/>
              </w:rPr>
              <w:t>Captura de date zilnice</w:t>
            </w:r>
          </w:p>
        </w:tc>
      </w:tr>
      <w:tr w:rsidR="00587B71" w:rsidRPr="00587B71" w:rsidTr="00587B71">
        <w:trPr>
          <w:trHeight w:val="255"/>
          <w:jc w:val="center"/>
        </w:trPr>
        <w:tc>
          <w:tcPr>
            <w:tcW w:w="2569" w:type="dxa"/>
            <w:vMerge/>
            <w:shd w:val="clear" w:color="auto" w:fill="auto"/>
            <w:noWrap/>
            <w:tcMar>
              <w:left w:w="57" w:type="dxa"/>
              <w:right w:w="57" w:type="dxa"/>
            </w:tcMar>
            <w:vAlign w:val="center"/>
          </w:tcPr>
          <w:p w:rsidR="00587B71" w:rsidRPr="00587B71" w:rsidRDefault="00587B71" w:rsidP="00587B71">
            <w:pPr>
              <w:widowControl w:val="0"/>
              <w:spacing w:after="0" w:line="240" w:lineRule="auto"/>
              <w:jc w:val="center"/>
              <w:rPr>
                <w:rFonts w:ascii="Arial" w:eastAsia="Times New Roman" w:hAnsi="Arial" w:cs="Arial"/>
                <w:b/>
                <w:bCs/>
                <w:color w:val="000000"/>
                <w:sz w:val="24"/>
                <w:szCs w:val="24"/>
                <w:lang w:eastAsia="ro-RO"/>
              </w:rPr>
            </w:pPr>
          </w:p>
        </w:tc>
        <w:tc>
          <w:tcPr>
            <w:tcW w:w="1581" w:type="dxa"/>
            <w:shd w:val="clear" w:color="auto" w:fill="auto"/>
            <w:noWrap/>
            <w:tcMar>
              <w:left w:w="57" w:type="dxa"/>
              <w:right w:w="57" w:type="dxa"/>
            </w:tcMar>
            <w:vAlign w:val="center"/>
          </w:tcPr>
          <w:p w:rsidR="00587B71" w:rsidRPr="00587B71" w:rsidRDefault="00587B71" w:rsidP="00587B71">
            <w:pPr>
              <w:widowControl w:val="0"/>
              <w:spacing w:after="0" w:line="240" w:lineRule="auto"/>
              <w:jc w:val="center"/>
              <w:rPr>
                <w:rFonts w:ascii="Arial" w:eastAsia="Times New Roman" w:hAnsi="Arial" w:cs="Arial"/>
                <w:b/>
                <w:bCs/>
                <w:color w:val="000000"/>
                <w:sz w:val="24"/>
                <w:szCs w:val="24"/>
                <w:lang w:eastAsia="ro-RO"/>
              </w:rPr>
            </w:pPr>
            <w:r w:rsidRPr="00587B71">
              <w:rPr>
                <w:rFonts w:ascii="Arial" w:eastAsia="Times New Roman" w:hAnsi="Arial" w:cs="Arial"/>
                <w:color w:val="000000"/>
                <w:sz w:val="24"/>
                <w:szCs w:val="24"/>
              </w:rPr>
              <w:sym w:font="Symbol" w:char="F06D"/>
            </w:r>
            <w:r w:rsidRPr="00587B71">
              <w:rPr>
                <w:rFonts w:ascii="Arial" w:eastAsia="Times New Roman" w:hAnsi="Arial" w:cs="Arial"/>
                <w:color w:val="000000"/>
                <w:sz w:val="24"/>
                <w:szCs w:val="24"/>
              </w:rPr>
              <w:t>g/m</w:t>
            </w:r>
            <w:r w:rsidRPr="00587B71">
              <w:rPr>
                <w:rFonts w:ascii="Arial" w:eastAsia="Times New Roman" w:hAnsi="Arial" w:cs="Arial"/>
                <w:color w:val="000000"/>
                <w:sz w:val="24"/>
                <w:szCs w:val="24"/>
                <w:vertAlign w:val="superscript"/>
              </w:rPr>
              <w:t>3</w:t>
            </w:r>
          </w:p>
        </w:tc>
        <w:tc>
          <w:tcPr>
            <w:tcW w:w="2436" w:type="dxa"/>
            <w:shd w:val="clear" w:color="auto" w:fill="auto"/>
            <w:tcMar>
              <w:left w:w="57" w:type="dxa"/>
              <w:right w:w="57" w:type="dxa"/>
            </w:tcMar>
            <w:vAlign w:val="center"/>
          </w:tcPr>
          <w:p w:rsidR="00587B71" w:rsidRPr="00587B71" w:rsidRDefault="00587B71" w:rsidP="00587B71">
            <w:pPr>
              <w:widowControl w:val="0"/>
              <w:spacing w:after="0" w:line="240" w:lineRule="auto"/>
              <w:jc w:val="center"/>
              <w:rPr>
                <w:rFonts w:ascii="Arial" w:eastAsia="Times New Roman" w:hAnsi="Arial" w:cs="Arial"/>
                <w:b/>
                <w:bCs/>
                <w:color w:val="000000"/>
                <w:sz w:val="24"/>
                <w:szCs w:val="24"/>
                <w:lang w:eastAsia="ro-RO"/>
              </w:rPr>
            </w:pPr>
            <w:r w:rsidRPr="00587B71">
              <w:rPr>
                <w:rFonts w:ascii="Arial" w:eastAsia="Times New Roman" w:hAnsi="Arial" w:cs="Arial"/>
                <w:color w:val="000000"/>
                <w:sz w:val="24"/>
                <w:szCs w:val="24"/>
              </w:rPr>
              <w:sym w:font="Symbol" w:char="F06D"/>
            </w:r>
            <w:r w:rsidRPr="00587B71">
              <w:rPr>
                <w:rFonts w:ascii="Arial" w:eastAsia="Times New Roman" w:hAnsi="Arial" w:cs="Arial"/>
                <w:color w:val="000000"/>
                <w:sz w:val="24"/>
                <w:szCs w:val="24"/>
              </w:rPr>
              <w:t>g/m</w:t>
            </w:r>
            <w:r w:rsidRPr="00587B71">
              <w:rPr>
                <w:rFonts w:ascii="Arial" w:eastAsia="Times New Roman" w:hAnsi="Arial" w:cs="Arial"/>
                <w:color w:val="000000"/>
                <w:sz w:val="24"/>
                <w:szCs w:val="24"/>
                <w:vertAlign w:val="superscript"/>
              </w:rPr>
              <w:t>3</w:t>
            </w:r>
          </w:p>
        </w:tc>
        <w:tc>
          <w:tcPr>
            <w:tcW w:w="1263" w:type="dxa"/>
            <w:vMerge/>
            <w:shd w:val="clear" w:color="auto" w:fill="auto"/>
            <w:noWrap/>
            <w:tcMar>
              <w:left w:w="57" w:type="dxa"/>
              <w:right w:w="57" w:type="dxa"/>
            </w:tcMar>
            <w:vAlign w:val="center"/>
          </w:tcPr>
          <w:p w:rsidR="00587B71" w:rsidRPr="00587B71" w:rsidRDefault="00587B71" w:rsidP="00587B71">
            <w:pPr>
              <w:widowControl w:val="0"/>
              <w:spacing w:after="0" w:line="240" w:lineRule="auto"/>
              <w:jc w:val="center"/>
              <w:rPr>
                <w:rFonts w:ascii="Arial" w:eastAsia="Times New Roman" w:hAnsi="Arial" w:cs="Arial"/>
                <w:b/>
                <w:bCs/>
                <w:color w:val="000000"/>
                <w:sz w:val="24"/>
                <w:szCs w:val="24"/>
                <w:lang w:eastAsia="ro-RO"/>
              </w:rPr>
            </w:pPr>
          </w:p>
        </w:tc>
        <w:tc>
          <w:tcPr>
            <w:tcW w:w="1768" w:type="dxa"/>
            <w:shd w:val="clear" w:color="auto" w:fill="auto"/>
            <w:noWrap/>
            <w:tcMar>
              <w:left w:w="57" w:type="dxa"/>
              <w:right w:w="57" w:type="dxa"/>
            </w:tcMar>
            <w:vAlign w:val="center"/>
          </w:tcPr>
          <w:p w:rsidR="00587B71" w:rsidRPr="00587B71" w:rsidRDefault="00587B71" w:rsidP="00587B71">
            <w:pPr>
              <w:widowControl w:val="0"/>
              <w:spacing w:after="0" w:line="240" w:lineRule="auto"/>
              <w:jc w:val="center"/>
              <w:rPr>
                <w:rFonts w:ascii="Arial" w:eastAsia="Times New Roman" w:hAnsi="Arial" w:cs="Arial"/>
                <w:b/>
                <w:bCs/>
                <w:color w:val="000000"/>
                <w:sz w:val="24"/>
                <w:szCs w:val="24"/>
                <w:lang w:eastAsia="ro-RO"/>
              </w:rPr>
            </w:pPr>
            <w:r w:rsidRPr="00587B71">
              <w:rPr>
                <w:rFonts w:ascii="Arial" w:eastAsia="Times New Roman" w:hAnsi="Arial" w:cs="Arial"/>
                <w:b/>
                <w:bCs/>
                <w:color w:val="000000"/>
                <w:sz w:val="24"/>
                <w:szCs w:val="24"/>
                <w:lang w:eastAsia="ro-RO"/>
              </w:rPr>
              <w:t>%</w:t>
            </w:r>
          </w:p>
        </w:tc>
      </w:tr>
      <w:tr w:rsidR="00587B71" w:rsidRPr="00587B71" w:rsidTr="00587B71">
        <w:trPr>
          <w:trHeight w:val="300"/>
          <w:jc w:val="center"/>
        </w:trPr>
        <w:tc>
          <w:tcPr>
            <w:tcW w:w="2569" w:type="dxa"/>
            <w:shd w:val="clear" w:color="auto" w:fill="auto"/>
            <w:noWrap/>
            <w:tcMar>
              <w:left w:w="57" w:type="dxa"/>
              <w:right w:w="57" w:type="dxa"/>
            </w:tcMar>
            <w:vAlign w:val="center"/>
          </w:tcPr>
          <w:p w:rsidR="00587B71" w:rsidRPr="00587B71" w:rsidRDefault="00587B71" w:rsidP="00587B71">
            <w:pPr>
              <w:widowControl w:val="0"/>
              <w:spacing w:after="0" w:line="240" w:lineRule="auto"/>
              <w:jc w:val="center"/>
              <w:rPr>
                <w:rFonts w:ascii="Arial" w:eastAsia="Times New Roman" w:hAnsi="Arial" w:cs="Arial"/>
                <w:b/>
                <w:color w:val="000000"/>
                <w:sz w:val="24"/>
                <w:szCs w:val="24"/>
                <w:lang w:eastAsia="ro-RO"/>
              </w:rPr>
            </w:pPr>
            <w:r w:rsidRPr="00587B71">
              <w:rPr>
                <w:rFonts w:ascii="Arial" w:eastAsia="Times New Roman" w:hAnsi="Arial" w:cs="Arial"/>
                <w:b/>
                <w:color w:val="000000"/>
                <w:sz w:val="24"/>
                <w:szCs w:val="24"/>
                <w:lang w:eastAsia="ro-RO"/>
              </w:rPr>
              <w:t>VS-2</w:t>
            </w:r>
          </w:p>
        </w:tc>
        <w:tc>
          <w:tcPr>
            <w:tcW w:w="1581" w:type="dxa"/>
            <w:shd w:val="clear" w:color="auto" w:fill="auto"/>
            <w:noWrap/>
            <w:tcMar>
              <w:left w:w="57" w:type="dxa"/>
              <w:right w:w="57" w:type="dxa"/>
            </w:tcMar>
            <w:vAlign w:val="center"/>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26,30</w:t>
            </w:r>
          </w:p>
        </w:tc>
        <w:tc>
          <w:tcPr>
            <w:tcW w:w="2436" w:type="dxa"/>
            <w:tcMar>
              <w:left w:w="57" w:type="dxa"/>
              <w:right w:w="57" w:type="dxa"/>
            </w:tcMar>
            <w:vAlign w:val="center"/>
          </w:tcPr>
          <w:p w:rsidR="00587B71" w:rsidRPr="00587B71" w:rsidRDefault="00587B71" w:rsidP="00587B71">
            <w:pPr>
              <w:widowControl w:val="0"/>
              <w:spacing w:after="0" w:line="240" w:lineRule="auto"/>
              <w:jc w:val="center"/>
              <w:rPr>
                <w:rFonts w:ascii="Arial" w:eastAsia="Times New Roman" w:hAnsi="Arial" w:cs="Arial"/>
                <w:color w:val="000000"/>
                <w:sz w:val="24"/>
                <w:szCs w:val="24"/>
                <w:lang w:eastAsia="ro-RO"/>
              </w:rPr>
            </w:pPr>
            <w:r w:rsidRPr="00587B71">
              <w:rPr>
                <w:rFonts w:ascii="Arial" w:eastAsia="Times New Roman" w:hAnsi="Arial" w:cs="Arial"/>
                <w:color w:val="000000"/>
                <w:sz w:val="24"/>
                <w:szCs w:val="24"/>
                <w:lang w:eastAsia="ro-RO"/>
              </w:rPr>
              <w:t>48,14 (înregistrată în data de 23.07.2015)</w:t>
            </w:r>
          </w:p>
        </w:tc>
        <w:tc>
          <w:tcPr>
            <w:tcW w:w="1263" w:type="dxa"/>
            <w:shd w:val="clear" w:color="auto" w:fill="auto"/>
            <w:noWrap/>
            <w:tcMar>
              <w:left w:w="57" w:type="dxa"/>
              <w:right w:w="57" w:type="dxa"/>
            </w:tcMar>
            <w:vAlign w:val="center"/>
          </w:tcPr>
          <w:p w:rsidR="00587B71" w:rsidRPr="00587B71" w:rsidRDefault="00587B71" w:rsidP="00587B71">
            <w:pPr>
              <w:widowControl w:val="0"/>
              <w:spacing w:after="0" w:line="240" w:lineRule="auto"/>
              <w:jc w:val="center"/>
              <w:rPr>
                <w:rFonts w:ascii="Arial" w:eastAsia="Times New Roman" w:hAnsi="Arial" w:cs="Arial"/>
                <w:color w:val="000000"/>
                <w:sz w:val="24"/>
                <w:szCs w:val="24"/>
                <w:lang w:eastAsia="ro-RO"/>
              </w:rPr>
            </w:pPr>
            <w:r w:rsidRPr="00587B71">
              <w:rPr>
                <w:rFonts w:ascii="Arial" w:eastAsia="Times New Roman" w:hAnsi="Arial" w:cs="Arial"/>
                <w:color w:val="000000"/>
                <w:sz w:val="24"/>
                <w:szCs w:val="24"/>
                <w:lang w:eastAsia="ro-RO"/>
              </w:rPr>
              <w:t>0</w:t>
            </w:r>
          </w:p>
        </w:tc>
        <w:tc>
          <w:tcPr>
            <w:tcW w:w="1768" w:type="dxa"/>
            <w:shd w:val="clear" w:color="auto" w:fill="auto"/>
            <w:noWrap/>
            <w:tcMar>
              <w:left w:w="57" w:type="dxa"/>
              <w:right w:w="57" w:type="dxa"/>
            </w:tcMar>
            <w:vAlign w:val="center"/>
          </w:tcPr>
          <w:p w:rsidR="00587B71" w:rsidRPr="00587B71" w:rsidRDefault="00587B71" w:rsidP="00587B71">
            <w:pPr>
              <w:widowControl w:val="0"/>
              <w:spacing w:after="0" w:line="240" w:lineRule="auto"/>
              <w:jc w:val="center"/>
              <w:rPr>
                <w:rFonts w:ascii="Arial" w:eastAsia="Times New Roman" w:hAnsi="Arial" w:cs="Arial"/>
                <w:color w:val="000000"/>
                <w:sz w:val="24"/>
                <w:szCs w:val="24"/>
                <w:lang w:eastAsia="ro-RO"/>
              </w:rPr>
            </w:pPr>
            <w:r w:rsidRPr="00587B71">
              <w:rPr>
                <w:rFonts w:ascii="Arial" w:eastAsia="Times New Roman" w:hAnsi="Arial" w:cs="Arial"/>
                <w:color w:val="000000"/>
                <w:sz w:val="24"/>
                <w:szCs w:val="24"/>
                <w:lang w:eastAsia="ro-RO"/>
              </w:rPr>
              <w:t>90,6</w:t>
            </w:r>
          </w:p>
        </w:tc>
      </w:tr>
    </w:tbl>
    <w:p w:rsidR="00587B71" w:rsidRPr="00587B71" w:rsidRDefault="00587B71" w:rsidP="00587B71">
      <w:pPr>
        <w:spacing w:after="0" w:line="240" w:lineRule="auto"/>
        <w:ind w:firstLine="720"/>
        <w:jc w:val="both"/>
        <w:rPr>
          <w:rFonts w:ascii="Arial" w:eastAsia="Times New Roman" w:hAnsi="Arial" w:cs="Arial"/>
          <w:b/>
          <w:i/>
          <w:iCs/>
          <w:color w:val="000000"/>
          <w:sz w:val="24"/>
          <w:szCs w:val="24"/>
          <w:lang w:val="ro-RO"/>
        </w:rPr>
      </w:pPr>
      <w:r w:rsidRPr="00587B71">
        <w:rPr>
          <w:rFonts w:ascii="Arial" w:eastAsia="Times New Roman" w:hAnsi="Arial" w:cs="Arial"/>
          <w:i/>
          <w:sz w:val="24"/>
          <w:szCs w:val="24"/>
        </w:rPr>
        <w:t>Din motive tehnice pentru acest poluant datele colectate sunt insuficiente pentru a respecta criteriile de calitate conform Legii 104/2011, pentru staţia VS-1.</w:t>
      </w:r>
    </w:p>
    <w:p w:rsidR="00587B71" w:rsidRPr="00587B71" w:rsidRDefault="00587B71" w:rsidP="00587B71">
      <w:pPr>
        <w:autoSpaceDE w:val="0"/>
        <w:autoSpaceDN w:val="0"/>
        <w:adjustRightInd w:val="0"/>
        <w:spacing w:after="0" w:line="240" w:lineRule="auto"/>
        <w:ind w:firstLine="720"/>
        <w:jc w:val="both"/>
        <w:rPr>
          <w:rFonts w:ascii="Arial" w:eastAsia="Times New Roman" w:hAnsi="Arial" w:cs="Arial"/>
          <w:color w:val="000000"/>
          <w:sz w:val="24"/>
          <w:szCs w:val="24"/>
          <w:lang w:val="ro-RO"/>
        </w:rPr>
      </w:pPr>
    </w:p>
    <w:p w:rsidR="00587B71" w:rsidRPr="00587B71" w:rsidRDefault="00587B71" w:rsidP="00587B71">
      <w:pPr>
        <w:spacing w:after="0" w:line="240" w:lineRule="auto"/>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Tabelul I.7.  - PM 10 măsurători  gravimetrice- date validate</w:t>
      </w:r>
    </w:p>
    <w:tbl>
      <w:tblPr>
        <w:tblW w:w="8095"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600"/>
        <w:gridCol w:w="1719"/>
        <w:gridCol w:w="1381"/>
        <w:gridCol w:w="1955"/>
      </w:tblGrid>
      <w:tr w:rsidR="00587B71" w:rsidRPr="00587B71" w:rsidTr="00587B71">
        <w:trPr>
          <w:jc w:val="center"/>
        </w:trPr>
        <w:tc>
          <w:tcPr>
            <w:tcW w:w="1440" w:type="dxa"/>
          </w:tcPr>
          <w:p w:rsidR="00587B71" w:rsidRPr="00587B71" w:rsidRDefault="00587B71" w:rsidP="00587B71">
            <w:pPr>
              <w:spacing w:after="0" w:line="240" w:lineRule="auto"/>
              <w:jc w:val="center"/>
              <w:rPr>
                <w:rFonts w:ascii="Arial" w:eastAsia="Times New Roman" w:hAnsi="Arial" w:cs="Arial"/>
                <w:b/>
                <w:iCs/>
                <w:color w:val="000000"/>
                <w:lang w:val="ro-RO"/>
              </w:rPr>
            </w:pPr>
            <w:r w:rsidRPr="00587B71">
              <w:rPr>
                <w:rFonts w:ascii="Arial" w:eastAsia="Times New Roman" w:hAnsi="Arial" w:cs="Arial"/>
                <w:b/>
                <w:bCs/>
                <w:color w:val="000000"/>
                <w:lang w:val="ro-RO"/>
              </w:rPr>
              <w:t>Staţia</w:t>
            </w:r>
          </w:p>
        </w:tc>
        <w:tc>
          <w:tcPr>
            <w:tcW w:w="1600" w:type="dxa"/>
          </w:tcPr>
          <w:p w:rsidR="00587B71" w:rsidRPr="00587B71" w:rsidRDefault="00587B71" w:rsidP="00587B71">
            <w:pPr>
              <w:spacing w:after="0" w:line="240" w:lineRule="auto"/>
              <w:jc w:val="center"/>
              <w:rPr>
                <w:rFonts w:ascii="Arial" w:eastAsia="Times New Roman" w:hAnsi="Arial" w:cs="Arial"/>
                <w:b/>
                <w:iCs/>
                <w:color w:val="000000"/>
                <w:lang w:val="ro-RO"/>
              </w:rPr>
            </w:pPr>
            <w:r w:rsidRPr="00587B71">
              <w:rPr>
                <w:rFonts w:ascii="Arial" w:eastAsia="Times New Roman" w:hAnsi="Arial" w:cs="Arial"/>
                <w:b/>
                <w:iCs/>
                <w:color w:val="000000"/>
                <w:lang w:val="ro-RO"/>
              </w:rPr>
              <w:t>Date validate 24h</w:t>
            </w:r>
          </w:p>
        </w:tc>
        <w:tc>
          <w:tcPr>
            <w:tcW w:w="1719"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b/>
                <w:bCs/>
                <w:color w:val="000000"/>
                <w:lang w:val="ro-RO"/>
              </w:rPr>
            </w:pPr>
            <w:r w:rsidRPr="00587B71">
              <w:rPr>
                <w:rFonts w:ascii="Arial" w:eastAsia="Times New Roman" w:hAnsi="Arial" w:cs="Arial"/>
                <w:b/>
                <w:bCs/>
                <w:color w:val="000000"/>
                <w:lang w:val="ro-RO"/>
              </w:rPr>
              <w:t xml:space="preserve">Nr. Probe &gt; 50 </w:t>
            </w:r>
            <w:r w:rsidRPr="00587B71">
              <w:rPr>
                <w:rFonts w:ascii="Arial" w:eastAsia="Times New Roman" w:hAnsi="Arial" w:cs="Arial"/>
                <w:b/>
                <w:iCs/>
                <w:color w:val="000000"/>
                <w:lang w:val="ro-RO"/>
              </w:rPr>
              <w:t>µg</w:t>
            </w:r>
            <w:r w:rsidRPr="00587B71">
              <w:rPr>
                <w:rFonts w:ascii="Arial" w:eastAsia="Times New Roman" w:hAnsi="Arial" w:cs="Arial"/>
                <w:b/>
                <w:bCs/>
                <w:color w:val="000000"/>
                <w:lang w:val="ro-RO"/>
              </w:rPr>
              <w:t>/mc</w:t>
            </w:r>
          </w:p>
        </w:tc>
        <w:tc>
          <w:tcPr>
            <w:tcW w:w="1381"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b/>
                <w:bCs/>
                <w:color w:val="000000"/>
                <w:lang w:val="ro-RO"/>
              </w:rPr>
            </w:pPr>
            <w:r w:rsidRPr="00587B71">
              <w:rPr>
                <w:rFonts w:ascii="Arial" w:eastAsia="Times New Roman" w:hAnsi="Arial" w:cs="Arial"/>
                <w:b/>
                <w:bCs/>
                <w:color w:val="000000"/>
                <w:lang w:val="ro-RO"/>
              </w:rPr>
              <w:t>Frecv.</w:t>
            </w:r>
          </w:p>
          <w:p w:rsidR="00587B71" w:rsidRPr="00587B71" w:rsidRDefault="00587B71" w:rsidP="00587B71">
            <w:pPr>
              <w:spacing w:after="0" w:line="240" w:lineRule="auto"/>
              <w:jc w:val="center"/>
              <w:rPr>
                <w:rFonts w:ascii="Arial" w:eastAsia="Times New Roman" w:hAnsi="Arial" w:cs="Arial"/>
                <w:b/>
                <w:iCs/>
                <w:color w:val="000000"/>
                <w:lang w:val="ro-RO"/>
              </w:rPr>
            </w:pPr>
            <w:r w:rsidRPr="00587B71">
              <w:rPr>
                <w:rFonts w:ascii="Arial" w:eastAsia="Times New Roman" w:hAnsi="Arial" w:cs="Arial"/>
                <w:b/>
                <w:bCs/>
                <w:color w:val="000000"/>
                <w:lang w:val="ro-RO"/>
              </w:rPr>
              <w:t>depăşiri%</w:t>
            </w:r>
          </w:p>
        </w:tc>
        <w:tc>
          <w:tcPr>
            <w:tcW w:w="1955"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b/>
                <w:bCs/>
                <w:color w:val="000000"/>
                <w:lang w:val="ro-RO"/>
              </w:rPr>
            </w:pPr>
            <w:r w:rsidRPr="00587B71">
              <w:rPr>
                <w:rFonts w:ascii="Arial" w:eastAsia="Times New Roman" w:hAnsi="Arial" w:cs="Arial"/>
                <w:b/>
                <w:bCs/>
                <w:color w:val="000000"/>
                <w:lang w:val="ro-RO"/>
              </w:rPr>
              <w:t>Media</w:t>
            </w:r>
          </w:p>
          <w:p w:rsidR="00587B71" w:rsidRPr="00587B71" w:rsidRDefault="00587B71" w:rsidP="00587B71">
            <w:pPr>
              <w:autoSpaceDE w:val="0"/>
              <w:autoSpaceDN w:val="0"/>
              <w:adjustRightInd w:val="0"/>
              <w:spacing w:after="0" w:line="240" w:lineRule="auto"/>
              <w:jc w:val="center"/>
              <w:rPr>
                <w:rFonts w:ascii="Arial" w:eastAsia="Times New Roman" w:hAnsi="Arial" w:cs="Arial"/>
                <w:b/>
                <w:bCs/>
                <w:color w:val="000000"/>
                <w:lang w:val="ro-RO"/>
              </w:rPr>
            </w:pPr>
            <w:r w:rsidRPr="00587B71">
              <w:rPr>
                <w:rFonts w:ascii="Arial" w:eastAsia="Times New Roman" w:hAnsi="Arial" w:cs="Arial"/>
                <w:b/>
                <w:bCs/>
                <w:color w:val="000000"/>
                <w:lang w:val="ro-RO"/>
              </w:rPr>
              <w:t>anuală (</w:t>
            </w:r>
            <w:r w:rsidRPr="00587B71">
              <w:rPr>
                <w:rFonts w:ascii="Arial" w:eastAsia="Times New Roman" w:hAnsi="Arial" w:cs="Arial"/>
                <w:b/>
                <w:iCs/>
                <w:color w:val="000000"/>
                <w:lang w:val="ro-RO"/>
              </w:rPr>
              <w:t>µg</w:t>
            </w:r>
            <w:r w:rsidRPr="00587B71">
              <w:rPr>
                <w:rFonts w:ascii="Arial" w:eastAsia="Times New Roman" w:hAnsi="Arial" w:cs="Arial"/>
                <w:b/>
                <w:bCs/>
                <w:color w:val="000000"/>
                <w:lang w:val="ro-RO"/>
              </w:rPr>
              <w:t>/mc)</w:t>
            </w:r>
          </w:p>
        </w:tc>
      </w:tr>
      <w:tr w:rsidR="00587B71" w:rsidRPr="00587B71" w:rsidTr="00587B71">
        <w:trPr>
          <w:jc w:val="center"/>
        </w:trPr>
        <w:tc>
          <w:tcPr>
            <w:tcW w:w="1440" w:type="dxa"/>
          </w:tcPr>
          <w:p w:rsidR="00587B71" w:rsidRPr="00587B71" w:rsidRDefault="00587B71" w:rsidP="00587B71">
            <w:pPr>
              <w:spacing w:after="0" w:line="240" w:lineRule="auto"/>
              <w:jc w:val="center"/>
              <w:rPr>
                <w:rFonts w:ascii="Arial" w:eastAsia="Times New Roman" w:hAnsi="Arial" w:cs="Arial"/>
                <w:iCs/>
                <w:color w:val="000000"/>
                <w:lang w:val="ro-RO"/>
              </w:rPr>
            </w:pPr>
            <w:r w:rsidRPr="00587B71">
              <w:rPr>
                <w:rFonts w:ascii="Arial" w:eastAsia="Times New Roman" w:hAnsi="Arial" w:cs="Arial"/>
                <w:iCs/>
                <w:color w:val="000000"/>
                <w:lang w:val="ro-RO"/>
              </w:rPr>
              <w:t>VS-2</w:t>
            </w:r>
          </w:p>
        </w:tc>
        <w:tc>
          <w:tcPr>
            <w:tcW w:w="1600" w:type="dxa"/>
          </w:tcPr>
          <w:p w:rsidR="00587B71" w:rsidRPr="00587B71" w:rsidRDefault="00587B71" w:rsidP="00587B71">
            <w:pPr>
              <w:spacing w:after="0" w:line="240" w:lineRule="auto"/>
              <w:jc w:val="center"/>
              <w:rPr>
                <w:rFonts w:ascii="Arial" w:eastAsia="Times New Roman" w:hAnsi="Arial" w:cs="Arial"/>
                <w:iCs/>
                <w:color w:val="000000"/>
                <w:lang w:val="ro-RO"/>
              </w:rPr>
            </w:pPr>
            <w:r w:rsidRPr="00587B71">
              <w:rPr>
                <w:rFonts w:ascii="Arial" w:eastAsia="Times New Roman" w:hAnsi="Arial" w:cs="Arial"/>
                <w:iCs/>
                <w:color w:val="000000"/>
                <w:lang w:val="ro-RO"/>
              </w:rPr>
              <w:t>331</w:t>
            </w:r>
          </w:p>
        </w:tc>
        <w:tc>
          <w:tcPr>
            <w:tcW w:w="1719" w:type="dxa"/>
          </w:tcPr>
          <w:p w:rsidR="00587B71" w:rsidRPr="00587B71" w:rsidRDefault="00587B71" w:rsidP="00587B71">
            <w:pPr>
              <w:spacing w:after="0" w:line="240" w:lineRule="auto"/>
              <w:jc w:val="center"/>
              <w:rPr>
                <w:rFonts w:ascii="Arial" w:eastAsia="Times New Roman" w:hAnsi="Arial" w:cs="Arial"/>
                <w:iCs/>
                <w:color w:val="000000"/>
                <w:lang w:val="ro-RO"/>
              </w:rPr>
            </w:pPr>
            <w:r w:rsidRPr="00587B71">
              <w:rPr>
                <w:rFonts w:ascii="Arial" w:eastAsia="Times New Roman" w:hAnsi="Arial" w:cs="Arial"/>
                <w:iCs/>
                <w:color w:val="000000"/>
                <w:lang w:val="ro-RO"/>
              </w:rPr>
              <w:t>0</w:t>
            </w:r>
          </w:p>
        </w:tc>
        <w:tc>
          <w:tcPr>
            <w:tcW w:w="1381" w:type="dxa"/>
          </w:tcPr>
          <w:p w:rsidR="00587B71" w:rsidRPr="00587B71" w:rsidRDefault="00587B71" w:rsidP="00587B71">
            <w:pPr>
              <w:spacing w:after="0" w:line="240" w:lineRule="auto"/>
              <w:jc w:val="center"/>
              <w:rPr>
                <w:rFonts w:ascii="Arial" w:eastAsia="Times New Roman" w:hAnsi="Arial" w:cs="Arial"/>
                <w:iCs/>
                <w:color w:val="000000"/>
                <w:lang w:val="ro-RO"/>
              </w:rPr>
            </w:pPr>
            <w:r w:rsidRPr="00587B71">
              <w:rPr>
                <w:rFonts w:ascii="Arial" w:eastAsia="Times New Roman" w:hAnsi="Arial" w:cs="Arial"/>
                <w:iCs/>
                <w:color w:val="000000"/>
                <w:lang w:val="ro-RO"/>
              </w:rPr>
              <w:t>0</w:t>
            </w:r>
          </w:p>
        </w:tc>
        <w:tc>
          <w:tcPr>
            <w:tcW w:w="1955" w:type="dxa"/>
            <w:vAlign w:val="center"/>
          </w:tcPr>
          <w:p w:rsidR="00587B71" w:rsidRPr="00587B71" w:rsidRDefault="00587B71" w:rsidP="00587B71">
            <w:pPr>
              <w:autoSpaceDE w:val="0"/>
              <w:autoSpaceDN w:val="0"/>
              <w:adjustRightInd w:val="0"/>
              <w:spacing w:after="12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26,30</w:t>
            </w:r>
          </w:p>
        </w:tc>
      </w:tr>
    </w:tbl>
    <w:p w:rsidR="00587B71" w:rsidRPr="00587B71" w:rsidRDefault="00587B71" w:rsidP="00587B71">
      <w:pPr>
        <w:widowControl w:val="0"/>
        <w:spacing w:after="0" w:line="240" w:lineRule="auto"/>
        <w:ind w:firstLine="720"/>
        <w:jc w:val="both"/>
        <w:rPr>
          <w:rFonts w:ascii="Arial" w:eastAsia="Times New Roman" w:hAnsi="Arial" w:cs="Arial"/>
          <w:bCs/>
          <w:color w:val="000000"/>
          <w:sz w:val="24"/>
          <w:szCs w:val="24"/>
        </w:rPr>
      </w:pPr>
    </w:p>
    <w:p w:rsidR="00587B71" w:rsidRPr="00587B71" w:rsidRDefault="00587B71" w:rsidP="00587B71">
      <w:pPr>
        <w:widowControl w:val="0"/>
        <w:spacing w:after="0" w:line="240" w:lineRule="auto"/>
        <w:ind w:firstLine="720"/>
        <w:jc w:val="both"/>
        <w:rPr>
          <w:rFonts w:ascii="Arial" w:eastAsia="Times New Roman" w:hAnsi="Arial" w:cs="Arial"/>
          <w:color w:val="000000"/>
          <w:sz w:val="24"/>
          <w:szCs w:val="24"/>
        </w:rPr>
      </w:pPr>
      <w:r w:rsidRPr="00587B71">
        <w:rPr>
          <w:rFonts w:ascii="Arial" w:eastAsia="Times New Roman" w:hAnsi="Arial" w:cs="Arial"/>
          <w:bCs/>
          <w:color w:val="000000"/>
          <w:sz w:val="24"/>
          <w:szCs w:val="24"/>
        </w:rPr>
        <w:t xml:space="preserve">Valoarea limită anuală pentru protecţia sănătăţii umane pentru pulberile în suspensie PM10 </w:t>
      </w:r>
      <w:r w:rsidRPr="00587B71">
        <w:rPr>
          <w:rFonts w:ascii="Arial" w:eastAsia="Times New Roman" w:hAnsi="Arial" w:cs="Arial"/>
          <w:color w:val="000000"/>
          <w:sz w:val="24"/>
          <w:szCs w:val="24"/>
        </w:rPr>
        <w:t xml:space="preserve">(40 </w:t>
      </w:r>
      <w:r w:rsidRPr="00587B71">
        <w:rPr>
          <w:rFonts w:ascii="Arial" w:eastAsia="Times New Roman" w:hAnsi="Arial" w:cs="Arial"/>
          <w:color w:val="000000"/>
          <w:sz w:val="24"/>
          <w:szCs w:val="24"/>
        </w:rPr>
        <w:sym w:font="Symbol" w:char="F06D"/>
      </w:r>
      <w:r w:rsidRPr="00587B71">
        <w:rPr>
          <w:rFonts w:ascii="Arial" w:eastAsia="Times New Roman" w:hAnsi="Arial" w:cs="Arial"/>
          <w:color w:val="000000"/>
          <w:sz w:val="24"/>
          <w:szCs w:val="24"/>
        </w:rPr>
        <w:t>g/m</w:t>
      </w:r>
      <w:r w:rsidRPr="00587B71">
        <w:rPr>
          <w:rFonts w:ascii="Arial" w:eastAsia="Times New Roman" w:hAnsi="Arial" w:cs="Arial"/>
          <w:color w:val="000000"/>
          <w:sz w:val="24"/>
          <w:szCs w:val="24"/>
          <w:vertAlign w:val="superscript"/>
        </w:rPr>
        <w:t>3</w:t>
      </w:r>
      <w:r w:rsidRPr="00587B71">
        <w:rPr>
          <w:rFonts w:ascii="Arial" w:eastAsia="Times New Roman" w:hAnsi="Arial" w:cs="Arial"/>
          <w:color w:val="000000"/>
          <w:sz w:val="24"/>
          <w:szCs w:val="24"/>
        </w:rPr>
        <w:t xml:space="preserve">) </w:t>
      </w:r>
      <w:r w:rsidRPr="00587B71">
        <w:rPr>
          <w:rFonts w:ascii="Arial" w:eastAsia="Times New Roman" w:hAnsi="Arial" w:cs="Arial"/>
          <w:bCs/>
          <w:color w:val="000000"/>
          <w:sz w:val="24"/>
          <w:szCs w:val="24"/>
        </w:rPr>
        <w:t xml:space="preserve">nu a fost depăşită în anul 2015. </w:t>
      </w:r>
    </w:p>
    <w:p w:rsidR="00587B71" w:rsidRPr="00587B71" w:rsidRDefault="00587B71" w:rsidP="00587B71">
      <w:pPr>
        <w:spacing w:after="0" w:line="240" w:lineRule="auto"/>
        <w:jc w:val="both"/>
        <w:rPr>
          <w:rFonts w:ascii="Arial" w:eastAsia="Times New Roman" w:hAnsi="Arial" w:cs="Arial"/>
          <w:b/>
          <w:iCs/>
          <w:color w:val="FF0000"/>
          <w:sz w:val="24"/>
          <w:szCs w:val="24"/>
          <w:lang w:val="ro-RO"/>
        </w:rPr>
      </w:pPr>
    </w:p>
    <w:p w:rsidR="00587B71" w:rsidRPr="00587B71" w:rsidRDefault="00587B71" w:rsidP="00587B71">
      <w:pPr>
        <w:spacing w:after="0" w:line="240" w:lineRule="auto"/>
        <w:jc w:val="both"/>
        <w:rPr>
          <w:rFonts w:ascii="Arial" w:eastAsia="Times New Roman" w:hAnsi="Arial" w:cs="Arial"/>
          <w:iCs/>
          <w:color w:val="000000"/>
          <w:sz w:val="24"/>
          <w:szCs w:val="24"/>
          <w:lang w:val="ro-RO"/>
        </w:rPr>
      </w:pPr>
      <w:r w:rsidRPr="00587B71">
        <w:rPr>
          <w:rFonts w:ascii="Arial" w:eastAsia="Times New Roman" w:hAnsi="Arial" w:cs="Arial"/>
          <w:b/>
          <w:i/>
          <w:iCs/>
          <w:color w:val="000000"/>
          <w:sz w:val="24"/>
          <w:szCs w:val="24"/>
          <w:lang w:val="ro-RO"/>
        </w:rPr>
        <w:t>Metale grele</w:t>
      </w:r>
      <w:r w:rsidRPr="00587B71">
        <w:rPr>
          <w:rFonts w:ascii="Arial" w:eastAsia="Times New Roman" w:hAnsi="Arial" w:cs="Arial"/>
          <w:b/>
          <w:iCs/>
          <w:color w:val="000000"/>
          <w:sz w:val="24"/>
          <w:szCs w:val="24"/>
          <w:lang w:val="ro-RO"/>
        </w:rPr>
        <w:t xml:space="preserve"> </w:t>
      </w:r>
      <w:r w:rsidRPr="00587B71">
        <w:rPr>
          <w:rFonts w:ascii="Arial" w:eastAsia="Times New Roman" w:hAnsi="Arial" w:cs="Arial"/>
          <w:iCs/>
          <w:color w:val="000000"/>
          <w:sz w:val="24"/>
          <w:szCs w:val="24"/>
          <w:lang w:val="ro-RO"/>
        </w:rPr>
        <w:t xml:space="preserve">–nu s-au făcut determinări de metale grele din filtrele de la staţiile automate de monitorizare a calităţii aerului. </w:t>
      </w:r>
    </w:p>
    <w:p w:rsidR="00587B71" w:rsidRPr="00587B71" w:rsidRDefault="00587B71" w:rsidP="00587B71">
      <w:pPr>
        <w:spacing w:after="0" w:line="240" w:lineRule="auto"/>
        <w:jc w:val="both"/>
        <w:rPr>
          <w:rFonts w:ascii="Arial" w:eastAsia="Times New Roman" w:hAnsi="Arial" w:cs="Arial"/>
          <w:b/>
          <w:iCs/>
          <w:color w:val="FF0000"/>
          <w:sz w:val="24"/>
          <w:szCs w:val="24"/>
          <w:lang w:val="ro-RO"/>
        </w:rPr>
      </w:pPr>
    </w:p>
    <w:p w:rsidR="00587B71" w:rsidRPr="00587B71" w:rsidRDefault="00587B71" w:rsidP="00587B71">
      <w:pPr>
        <w:spacing w:after="0" w:line="240" w:lineRule="auto"/>
        <w:jc w:val="both"/>
        <w:rPr>
          <w:rFonts w:ascii="Arial" w:eastAsia="Times New Roman" w:hAnsi="Arial" w:cs="Arial"/>
          <w:b/>
          <w:i/>
          <w:iCs/>
          <w:color w:val="000000"/>
          <w:sz w:val="24"/>
          <w:szCs w:val="24"/>
          <w:lang w:val="ro-RO"/>
        </w:rPr>
      </w:pPr>
      <w:r w:rsidRPr="00587B71">
        <w:rPr>
          <w:rFonts w:ascii="Arial" w:eastAsia="Times New Roman" w:hAnsi="Arial" w:cs="Arial"/>
          <w:b/>
          <w:i/>
          <w:iCs/>
          <w:color w:val="000000"/>
          <w:sz w:val="24"/>
          <w:szCs w:val="24"/>
          <w:lang w:val="ro-RO"/>
        </w:rPr>
        <w:t>Monoxidul de carbon</w:t>
      </w:r>
    </w:p>
    <w:p w:rsidR="00587B71" w:rsidRPr="00587B71" w:rsidRDefault="00587B71" w:rsidP="00587B71">
      <w:pPr>
        <w:autoSpaceDE w:val="0"/>
        <w:autoSpaceDN w:val="0"/>
        <w:adjustRightInd w:val="0"/>
        <w:spacing w:after="0" w:line="240" w:lineRule="auto"/>
        <w:ind w:firstLine="720"/>
        <w:rPr>
          <w:rFonts w:ascii="Arial" w:eastAsia="Times New Roman" w:hAnsi="Arial" w:cs="Arial"/>
          <w:color w:val="FF0000"/>
          <w:sz w:val="24"/>
          <w:szCs w:val="24"/>
          <w:lang w:val="ro-RO"/>
        </w:rPr>
      </w:pPr>
    </w:p>
    <w:p w:rsidR="00587B71" w:rsidRPr="00587B71" w:rsidRDefault="00587B71" w:rsidP="00587B71">
      <w:pPr>
        <w:autoSpaceDE w:val="0"/>
        <w:autoSpaceDN w:val="0"/>
        <w:adjustRightInd w:val="0"/>
        <w:spacing w:after="0" w:line="240" w:lineRule="auto"/>
        <w:ind w:firstLine="720"/>
        <w:jc w:val="both"/>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Monoxidul de carbon provine din surse naturale sau antropice, ca rezultat al arderilor incomplete ale oricărui tip de materie combustibilă.</w:t>
      </w:r>
      <w:r w:rsidRPr="00587B71">
        <w:rPr>
          <w:rFonts w:ascii="Arial" w:eastAsia="Times New Roman" w:hAnsi="Arial" w:cs="Arial"/>
          <w:color w:val="FF0000"/>
          <w:sz w:val="24"/>
          <w:szCs w:val="24"/>
          <w:lang w:val="ro-RO"/>
        </w:rPr>
        <w:t xml:space="preserve"> </w:t>
      </w:r>
      <w:r w:rsidRPr="00587B71">
        <w:rPr>
          <w:rFonts w:ascii="Arial" w:eastAsia="Times New Roman" w:hAnsi="Arial" w:cs="Arial"/>
          <w:color w:val="000000"/>
          <w:sz w:val="24"/>
          <w:szCs w:val="24"/>
          <w:lang w:val="ro-RO"/>
        </w:rPr>
        <w:t>Monoxidul de carbon face parte din categoria poluanţilor specifici rezultaţi din trafic. Valoarea limită este de 10 mg/mc pentru maxima mediilor pe 8 ore (medii mobile), în cursul anului 2015 neînregistrându-se nicio depăşire.</w:t>
      </w:r>
    </w:p>
    <w:p w:rsidR="00587B71" w:rsidRPr="00587B71" w:rsidRDefault="00587B71" w:rsidP="00587B71">
      <w:pPr>
        <w:spacing w:after="0" w:line="240" w:lineRule="auto"/>
        <w:ind w:firstLine="720"/>
        <w:jc w:val="both"/>
        <w:rPr>
          <w:rFonts w:ascii="Arial" w:eastAsia="Times New Roman" w:hAnsi="Arial" w:cs="Arial"/>
          <w:b/>
          <w:i/>
          <w:iCs/>
          <w:color w:val="000000"/>
          <w:sz w:val="24"/>
          <w:szCs w:val="24"/>
          <w:lang w:val="ro-RO"/>
        </w:rPr>
      </w:pPr>
      <w:r w:rsidRPr="00587B71">
        <w:rPr>
          <w:rFonts w:ascii="Arial" w:eastAsia="Times New Roman" w:hAnsi="Arial" w:cs="Arial"/>
          <w:i/>
          <w:sz w:val="24"/>
          <w:szCs w:val="24"/>
        </w:rPr>
        <w:t>Din motive tehnice pentru acest poluant datele colectate sunt insuficiente pentru a respecta criteriile de calitate conform Legii 104/2011.</w:t>
      </w:r>
    </w:p>
    <w:p w:rsidR="00587B71" w:rsidRPr="00587B71" w:rsidRDefault="00587B71" w:rsidP="00587B71">
      <w:pPr>
        <w:spacing w:after="0" w:line="240" w:lineRule="auto"/>
        <w:jc w:val="both"/>
        <w:rPr>
          <w:rFonts w:ascii="Arial" w:eastAsia="Times New Roman" w:hAnsi="Arial" w:cs="Arial"/>
          <w:b/>
          <w:i/>
          <w:iCs/>
          <w:color w:val="000000"/>
          <w:sz w:val="24"/>
          <w:szCs w:val="24"/>
          <w:lang w:val="ro-RO"/>
        </w:rPr>
      </w:pPr>
    </w:p>
    <w:p w:rsidR="00587B71" w:rsidRPr="00587B71" w:rsidRDefault="00587B71" w:rsidP="00587B71">
      <w:pPr>
        <w:spacing w:after="0" w:line="240" w:lineRule="auto"/>
        <w:jc w:val="both"/>
        <w:rPr>
          <w:rFonts w:ascii="Arial" w:eastAsia="Times New Roman" w:hAnsi="Arial" w:cs="Arial"/>
          <w:b/>
          <w:i/>
          <w:iCs/>
          <w:color w:val="000000"/>
          <w:sz w:val="24"/>
          <w:szCs w:val="24"/>
          <w:lang w:val="ro-RO"/>
        </w:rPr>
      </w:pPr>
      <w:r w:rsidRPr="00587B71">
        <w:rPr>
          <w:rFonts w:ascii="Arial" w:eastAsia="Times New Roman" w:hAnsi="Arial" w:cs="Arial"/>
          <w:b/>
          <w:i/>
          <w:iCs/>
          <w:color w:val="000000"/>
          <w:sz w:val="24"/>
          <w:szCs w:val="24"/>
          <w:lang w:val="ro-RO"/>
        </w:rPr>
        <w:t>Benzen</w:t>
      </w:r>
    </w:p>
    <w:p w:rsidR="00587B71" w:rsidRPr="00587B71" w:rsidRDefault="00587B71" w:rsidP="00587B71">
      <w:pPr>
        <w:spacing w:after="0" w:line="240" w:lineRule="auto"/>
        <w:jc w:val="both"/>
        <w:rPr>
          <w:rFonts w:ascii="Arial" w:eastAsia="Times New Roman" w:hAnsi="Arial" w:cs="Arial"/>
          <w:color w:val="000000"/>
          <w:sz w:val="24"/>
          <w:szCs w:val="24"/>
        </w:rPr>
      </w:pPr>
    </w:p>
    <w:p w:rsidR="00587B71" w:rsidRPr="00587B71" w:rsidRDefault="00587B71" w:rsidP="00587B71">
      <w:pPr>
        <w:spacing w:after="0" w:line="240" w:lineRule="auto"/>
        <w:ind w:firstLine="720"/>
        <w:jc w:val="both"/>
        <w:rPr>
          <w:rFonts w:ascii="Arial" w:eastAsia="Times New Roman" w:hAnsi="Arial" w:cs="Arial"/>
          <w:b/>
          <w:i/>
          <w:iCs/>
          <w:color w:val="000000"/>
          <w:sz w:val="24"/>
          <w:szCs w:val="24"/>
          <w:lang w:val="ro-RO"/>
        </w:rPr>
      </w:pPr>
      <w:r w:rsidRPr="00587B71">
        <w:rPr>
          <w:rFonts w:ascii="Arial" w:eastAsia="Times New Roman" w:hAnsi="Arial" w:cs="Arial"/>
          <w:color w:val="000000"/>
          <w:sz w:val="24"/>
          <w:szCs w:val="24"/>
        </w:rPr>
        <w:t>Benzenul este o substanță rezultată cu precădere din traficul rutier și din depozitarea, încărcarea/descărcarea benzinei (depozite, terminale, stații de distribuție carburanți), dar și din diferite alte activități cu produse pe bază de solvenți (lacuri, vopsele etc.), arderea combustibililor fosili, a lemnului și deşeurilor lemnoase, controlată sau în aer liber.</w:t>
      </w:r>
      <w:r w:rsidRPr="00587B71">
        <w:rPr>
          <w:rFonts w:ascii="Arial" w:eastAsia="Times New Roman" w:hAnsi="Arial" w:cs="Arial"/>
          <w:b/>
          <w:i/>
          <w:iCs/>
          <w:color w:val="000000"/>
          <w:sz w:val="24"/>
          <w:szCs w:val="24"/>
          <w:lang w:val="ro-RO"/>
        </w:rPr>
        <w:t xml:space="preserve"> </w:t>
      </w:r>
      <w:r w:rsidRPr="00587B71">
        <w:rPr>
          <w:rFonts w:ascii="Arial" w:eastAsia="Times New Roman" w:hAnsi="Arial" w:cs="Arial"/>
          <w:color w:val="000000"/>
          <w:sz w:val="24"/>
          <w:szCs w:val="24"/>
          <w:lang w:val="ro-RO"/>
        </w:rPr>
        <w:t>Este un poluant cu o stabilitate chimică puternică şi de aceea are tendinţă de acumulare în mediu. Efectele asupra sănătăţiii pot fi de natură mutagenă şi cancerigenă, disconfort olfactiv, iritaţii şi diminuarea capacităţii respiratorii.</w:t>
      </w:r>
    </w:p>
    <w:p w:rsidR="00587B71" w:rsidRPr="00587B71" w:rsidRDefault="00587B71" w:rsidP="00587B71">
      <w:pPr>
        <w:tabs>
          <w:tab w:val="left" w:pos="2295"/>
        </w:tabs>
        <w:spacing w:after="0" w:line="240" w:lineRule="auto"/>
        <w:jc w:val="both"/>
        <w:rPr>
          <w:rFonts w:ascii="Arial" w:eastAsia="Times New Roman" w:hAnsi="Arial" w:cs="Arial"/>
          <w:i/>
          <w:iCs/>
          <w:color w:val="FF0000"/>
          <w:sz w:val="24"/>
          <w:szCs w:val="24"/>
          <w:lang w:val="ro-RO"/>
        </w:rPr>
      </w:pPr>
    </w:p>
    <w:p w:rsidR="00587B71" w:rsidRPr="00587B71" w:rsidRDefault="00587B71" w:rsidP="00587B71">
      <w:pPr>
        <w:spacing w:after="0" w:line="240" w:lineRule="auto"/>
        <w:ind w:firstLine="720"/>
        <w:jc w:val="both"/>
        <w:rPr>
          <w:rFonts w:ascii="Arial" w:eastAsia="Times New Roman" w:hAnsi="Arial" w:cs="Arial"/>
          <w:b/>
          <w:i/>
          <w:iCs/>
          <w:color w:val="000000"/>
          <w:sz w:val="24"/>
          <w:szCs w:val="24"/>
          <w:lang w:val="ro-RO"/>
        </w:rPr>
      </w:pPr>
      <w:r w:rsidRPr="00587B71">
        <w:rPr>
          <w:rFonts w:ascii="Arial" w:eastAsia="Times New Roman" w:hAnsi="Arial" w:cs="Arial"/>
          <w:i/>
          <w:sz w:val="24"/>
          <w:szCs w:val="24"/>
        </w:rPr>
        <w:t>Din motive tehnice pentru acest poluant nu există date colectate pentru a respecta criteriile de calitate conform Legii 104/2011.</w:t>
      </w:r>
    </w:p>
    <w:p w:rsidR="00587B71" w:rsidRPr="00587B71" w:rsidRDefault="00587B71" w:rsidP="00587B71">
      <w:pPr>
        <w:tabs>
          <w:tab w:val="left" w:pos="2295"/>
        </w:tabs>
        <w:spacing w:after="0" w:line="240" w:lineRule="auto"/>
        <w:jc w:val="both"/>
        <w:rPr>
          <w:rFonts w:ascii="Arial" w:eastAsia="Times New Roman" w:hAnsi="Arial" w:cs="Arial"/>
          <w:i/>
          <w:iCs/>
          <w:color w:val="FF0000"/>
          <w:sz w:val="24"/>
          <w:szCs w:val="24"/>
          <w:lang w:val="ro-RO"/>
        </w:rPr>
      </w:pPr>
    </w:p>
    <w:p w:rsidR="00587B71" w:rsidRPr="00587B71" w:rsidRDefault="00587B71" w:rsidP="00587B71">
      <w:pPr>
        <w:spacing w:after="0" w:line="240" w:lineRule="auto"/>
        <w:jc w:val="both"/>
        <w:rPr>
          <w:rFonts w:ascii="Arial" w:eastAsia="Times New Roman" w:hAnsi="Arial" w:cs="Arial"/>
          <w:iCs/>
          <w:color w:val="000000"/>
          <w:sz w:val="24"/>
          <w:szCs w:val="24"/>
          <w:lang w:val="ro-RO"/>
        </w:rPr>
      </w:pPr>
      <w:r w:rsidRPr="00587B71">
        <w:rPr>
          <w:rFonts w:ascii="Arial" w:eastAsia="Times New Roman" w:hAnsi="Arial" w:cs="Arial"/>
          <w:b/>
          <w:i/>
          <w:iCs/>
          <w:color w:val="000000"/>
          <w:sz w:val="24"/>
          <w:szCs w:val="24"/>
          <w:lang w:val="ro-RO"/>
        </w:rPr>
        <w:t>Amoniacul</w:t>
      </w:r>
      <w:r w:rsidRPr="00587B71">
        <w:rPr>
          <w:rFonts w:ascii="Arial" w:eastAsia="Times New Roman" w:hAnsi="Arial" w:cs="Arial"/>
          <w:b/>
          <w:iCs/>
          <w:color w:val="000000"/>
          <w:sz w:val="24"/>
          <w:szCs w:val="24"/>
          <w:lang w:val="ro-RO"/>
        </w:rPr>
        <w:t xml:space="preserve"> </w:t>
      </w:r>
      <w:r w:rsidRPr="00587B71">
        <w:rPr>
          <w:rFonts w:ascii="Arial" w:eastAsia="Times New Roman" w:hAnsi="Arial" w:cs="Arial"/>
          <w:iCs/>
          <w:color w:val="000000"/>
          <w:sz w:val="24"/>
          <w:szCs w:val="24"/>
          <w:lang w:val="ro-RO"/>
        </w:rPr>
        <w:t>–</w:t>
      </w:r>
      <w:r w:rsidRPr="00587B71">
        <w:rPr>
          <w:rFonts w:ascii="Arial" w:eastAsia="Times New Roman" w:hAnsi="Arial" w:cs="Arial"/>
          <w:b/>
          <w:iCs/>
          <w:color w:val="000000"/>
          <w:sz w:val="24"/>
          <w:szCs w:val="24"/>
          <w:lang w:val="ro-RO"/>
        </w:rPr>
        <w:t xml:space="preserve"> </w:t>
      </w:r>
      <w:r w:rsidRPr="00587B71">
        <w:rPr>
          <w:rFonts w:ascii="Arial" w:eastAsia="Times New Roman" w:hAnsi="Arial" w:cs="Arial"/>
          <w:iCs/>
          <w:color w:val="000000"/>
          <w:sz w:val="24"/>
          <w:szCs w:val="24"/>
          <w:lang w:val="ro-RO"/>
        </w:rPr>
        <w:t>monitorizarea amoniacului se realizează numai discontinuu.</w:t>
      </w:r>
    </w:p>
    <w:p w:rsidR="00587B71" w:rsidRPr="00587B71" w:rsidRDefault="00587B71" w:rsidP="00587B71">
      <w:pPr>
        <w:spacing w:after="120" w:line="240" w:lineRule="auto"/>
        <w:ind w:firstLine="708"/>
        <w:jc w:val="both"/>
        <w:rPr>
          <w:rFonts w:ascii="Arial" w:eastAsia="Times New Roman" w:hAnsi="Arial" w:cs="Arial"/>
          <w:color w:val="000000"/>
          <w:sz w:val="24"/>
          <w:szCs w:val="24"/>
          <w:lang w:eastAsia="ro-RO"/>
        </w:rPr>
      </w:pPr>
    </w:p>
    <w:p w:rsidR="00587B71" w:rsidRPr="00587B71" w:rsidRDefault="00587B71" w:rsidP="00587B71">
      <w:pPr>
        <w:spacing w:after="120" w:line="240" w:lineRule="auto"/>
        <w:ind w:firstLine="708"/>
        <w:jc w:val="both"/>
        <w:rPr>
          <w:rFonts w:ascii="Arial" w:eastAsia="Times New Roman" w:hAnsi="Arial" w:cs="Arial"/>
          <w:color w:val="000000"/>
          <w:sz w:val="24"/>
          <w:szCs w:val="24"/>
          <w:lang w:eastAsia="ro-RO"/>
        </w:rPr>
      </w:pPr>
      <w:r w:rsidRPr="00587B71">
        <w:rPr>
          <w:rFonts w:ascii="Arial" w:eastAsia="Times New Roman" w:hAnsi="Arial" w:cs="Arial"/>
          <w:color w:val="000000"/>
          <w:sz w:val="24"/>
          <w:szCs w:val="24"/>
          <w:lang w:eastAsia="ro-RO"/>
        </w:rPr>
        <w:t xml:space="preserve">Cele mai semnificative surse de amoniac provin din agricultură, zootehnia având un aport substanţial. Ponderea agriculturii în generarea emisiilor de amoniac este de peste 80%. </w:t>
      </w:r>
      <w:r w:rsidRPr="00587B71">
        <w:rPr>
          <w:rFonts w:ascii="Arial" w:eastAsia="Times New Roman" w:hAnsi="Arial" w:cs="Arial"/>
          <w:color w:val="000000"/>
          <w:sz w:val="24"/>
          <w:szCs w:val="24"/>
        </w:rPr>
        <w:t>În cursul anului 2015, acest indicator nu a înregistrat depăşiri.</w:t>
      </w:r>
    </w:p>
    <w:p w:rsidR="00587B71" w:rsidRPr="00587B71" w:rsidRDefault="00587B71" w:rsidP="00587B71">
      <w:pPr>
        <w:spacing w:after="0" w:line="240" w:lineRule="auto"/>
        <w:jc w:val="both"/>
        <w:rPr>
          <w:rFonts w:ascii="Arial" w:eastAsia="Times New Roman" w:hAnsi="Arial" w:cs="Arial"/>
          <w:color w:val="FF0000"/>
          <w:sz w:val="24"/>
          <w:szCs w:val="24"/>
          <w:lang w:val="ro-RO"/>
        </w:rPr>
      </w:pPr>
    </w:p>
    <w:p w:rsidR="00587B71" w:rsidRPr="00587B71" w:rsidRDefault="00587B71" w:rsidP="00587B71">
      <w:pPr>
        <w:spacing w:after="0" w:line="240" w:lineRule="auto"/>
        <w:jc w:val="both"/>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Tabelul I.8. Evoluţia calităţii aerului- indicatorul amoniac NH</w:t>
      </w:r>
      <w:r w:rsidRPr="00587B71">
        <w:rPr>
          <w:rFonts w:ascii="Arial" w:eastAsia="Times New Roman" w:hAnsi="Arial" w:cs="Arial"/>
          <w:color w:val="000000"/>
          <w:sz w:val="24"/>
          <w:szCs w:val="24"/>
          <w:vertAlign w:val="subscript"/>
          <w:lang w:val="ro-RO"/>
        </w:rPr>
        <w:t>3</w:t>
      </w:r>
      <w:r w:rsidRPr="00587B71">
        <w:rPr>
          <w:rFonts w:ascii="Arial" w:eastAsia="Times New Roman" w:hAnsi="Arial" w:cs="Arial"/>
          <w:color w:val="000000"/>
          <w:sz w:val="24"/>
          <w:szCs w:val="24"/>
          <w:lang w:val="ro-RO"/>
        </w:rPr>
        <w:t xml:space="preserve">, (μg/mc)  </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1"/>
        <w:gridCol w:w="717"/>
        <w:gridCol w:w="659"/>
        <w:gridCol w:w="850"/>
        <w:gridCol w:w="851"/>
        <w:gridCol w:w="717"/>
        <w:gridCol w:w="717"/>
        <w:gridCol w:w="717"/>
        <w:gridCol w:w="717"/>
        <w:gridCol w:w="717"/>
        <w:gridCol w:w="717"/>
        <w:gridCol w:w="717"/>
        <w:gridCol w:w="793"/>
      </w:tblGrid>
      <w:tr w:rsidR="00587B71" w:rsidRPr="00587B71" w:rsidTr="00587B71">
        <w:tc>
          <w:tcPr>
            <w:tcW w:w="1521" w:type="dxa"/>
            <w:vMerge w:val="restart"/>
            <w:vAlign w:val="center"/>
          </w:tcPr>
          <w:p w:rsidR="00587B71" w:rsidRPr="00587B71" w:rsidRDefault="00587B71" w:rsidP="00587B71">
            <w:pPr>
              <w:autoSpaceDE w:val="0"/>
              <w:autoSpaceDN w:val="0"/>
              <w:adjustRightInd w:val="0"/>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Punct de prelevare</w:t>
            </w:r>
          </w:p>
        </w:tc>
        <w:tc>
          <w:tcPr>
            <w:tcW w:w="8889" w:type="dxa"/>
            <w:gridSpan w:val="12"/>
          </w:tcPr>
          <w:p w:rsidR="00587B71" w:rsidRPr="00587B71" w:rsidRDefault="00587B71" w:rsidP="00587B71">
            <w:pPr>
              <w:autoSpaceDE w:val="0"/>
              <w:autoSpaceDN w:val="0"/>
              <w:adjustRightInd w:val="0"/>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 xml:space="preserve">Concentraţia medie lunară  </w:t>
            </w:r>
            <w:r w:rsidRPr="00587B71">
              <w:rPr>
                <w:rFonts w:ascii="Arial" w:eastAsia="Times New Roman" w:hAnsi="Arial" w:cs="Arial"/>
                <w:b/>
                <w:iCs/>
                <w:color w:val="000000"/>
                <w:sz w:val="24"/>
                <w:szCs w:val="24"/>
              </w:rPr>
              <w:t>NH3, (µg/mc)</w:t>
            </w:r>
          </w:p>
        </w:tc>
      </w:tr>
      <w:tr w:rsidR="00587B71" w:rsidRPr="00587B71" w:rsidTr="00587B71">
        <w:trPr>
          <w:trHeight w:val="247"/>
        </w:trPr>
        <w:tc>
          <w:tcPr>
            <w:tcW w:w="1521" w:type="dxa"/>
            <w:vMerge/>
          </w:tcPr>
          <w:p w:rsidR="00587B71" w:rsidRPr="00587B71" w:rsidRDefault="00587B71" w:rsidP="00587B71">
            <w:pPr>
              <w:autoSpaceDE w:val="0"/>
              <w:autoSpaceDN w:val="0"/>
              <w:adjustRightInd w:val="0"/>
              <w:spacing w:after="0" w:line="240" w:lineRule="auto"/>
              <w:jc w:val="both"/>
              <w:rPr>
                <w:rFonts w:ascii="Arial" w:eastAsia="Times New Roman" w:hAnsi="Arial" w:cs="Arial"/>
                <w:color w:val="000000"/>
                <w:sz w:val="24"/>
                <w:szCs w:val="24"/>
                <w:lang w:val="pt-BR"/>
              </w:rPr>
            </w:pPr>
          </w:p>
        </w:tc>
        <w:tc>
          <w:tcPr>
            <w:tcW w:w="717" w:type="dxa"/>
          </w:tcPr>
          <w:p w:rsidR="00587B71" w:rsidRPr="00587B71" w:rsidRDefault="00587B71" w:rsidP="00587B71">
            <w:pPr>
              <w:spacing w:after="0" w:line="240" w:lineRule="auto"/>
              <w:jc w:val="center"/>
              <w:rPr>
                <w:rFonts w:ascii="Arial" w:eastAsia="Times New Roman" w:hAnsi="Arial" w:cs="Arial"/>
                <w:b/>
                <w:color w:val="000000"/>
                <w:sz w:val="20"/>
                <w:szCs w:val="20"/>
                <w:lang w:val="pt-BR"/>
              </w:rPr>
            </w:pPr>
            <w:r w:rsidRPr="00587B71">
              <w:rPr>
                <w:rFonts w:ascii="Arial" w:eastAsia="Times New Roman" w:hAnsi="Arial" w:cs="Arial"/>
                <w:b/>
                <w:color w:val="000000"/>
                <w:sz w:val="20"/>
                <w:szCs w:val="20"/>
                <w:lang w:val="pt-BR"/>
              </w:rPr>
              <w:t>ian</w:t>
            </w:r>
          </w:p>
        </w:tc>
        <w:tc>
          <w:tcPr>
            <w:tcW w:w="659"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b/>
                <w:color w:val="000000"/>
                <w:sz w:val="20"/>
                <w:szCs w:val="20"/>
                <w:lang w:val="pt-BR"/>
              </w:rPr>
            </w:pPr>
            <w:r w:rsidRPr="00587B71">
              <w:rPr>
                <w:rFonts w:ascii="Arial" w:eastAsia="Times New Roman" w:hAnsi="Arial" w:cs="Arial"/>
                <w:b/>
                <w:color w:val="000000"/>
                <w:sz w:val="20"/>
                <w:szCs w:val="20"/>
                <w:lang w:val="pt-BR"/>
              </w:rPr>
              <w:t>feb</w:t>
            </w:r>
          </w:p>
        </w:tc>
        <w:tc>
          <w:tcPr>
            <w:tcW w:w="850"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b/>
                <w:color w:val="000000"/>
                <w:sz w:val="20"/>
                <w:szCs w:val="20"/>
                <w:lang w:val="pt-BR"/>
              </w:rPr>
            </w:pPr>
            <w:r w:rsidRPr="00587B71">
              <w:rPr>
                <w:rFonts w:ascii="Arial" w:eastAsia="Times New Roman" w:hAnsi="Arial" w:cs="Arial"/>
                <w:b/>
                <w:color w:val="000000"/>
                <w:sz w:val="20"/>
                <w:szCs w:val="20"/>
                <w:lang w:val="pt-BR"/>
              </w:rPr>
              <w:t>martie</w:t>
            </w:r>
          </w:p>
        </w:tc>
        <w:tc>
          <w:tcPr>
            <w:tcW w:w="851"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b/>
                <w:color w:val="000000"/>
                <w:sz w:val="20"/>
                <w:szCs w:val="20"/>
                <w:lang w:val="pt-BR"/>
              </w:rPr>
            </w:pPr>
            <w:r w:rsidRPr="00587B71">
              <w:rPr>
                <w:rFonts w:ascii="Arial" w:eastAsia="Times New Roman" w:hAnsi="Arial" w:cs="Arial"/>
                <w:b/>
                <w:color w:val="000000"/>
                <w:sz w:val="20"/>
                <w:szCs w:val="20"/>
                <w:lang w:val="pt-BR"/>
              </w:rPr>
              <w:t>apr</w:t>
            </w:r>
          </w:p>
        </w:tc>
        <w:tc>
          <w:tcPr>
            <w:tcW w:w="717"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b/>
                <w:color w:val="000000"/>
                <w:sz w:val="20"/>
                <w:szCs w:val="20"/>
                <w:lang w:val="pt-BR"/>
              </w:rPr>
            </w:pPr>
            <w:r w:rsidRPr="00587B71">
              <w:rPr>
                <w:rFonts w:ascii="Arial" w:eastAsia="Times New Roman" w:hAnsi="Arial" w:cs="Arial"/>
                <w:b/>
                <w:color w:val="000000"/>
                <w:sz w:val="20"/>
                <w:szCs w:val="20"/>
                <w:lang w:val="pt-BR"/>
              </w:rPr>
              <w:t>mai</w:t>
            </w:r>
          </w:p>
        </w:tc>
        <w:tc>
          <w:tcPr>
            <w:tcW w:w="717"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b/>
                <w:color w:val="000000"/>
                <w:sz w:val="20"/>
                <w:szCs w:val="20"/>
                <w:lang w:val="pt-BR"/>
              </w:rPr>
            </w:pPr>
            <w:r w:rsidRPr="00587B71">
              <w:rPr>
                <w:rFonts w:ascii="Arial" w:eastAsia="Times New Roman" w:hAnsi="Arial" w:cs="Arial"/>
                <w:b/>
                <w:color w:val="000000"/>
                <w:sz w:val="20"/>
                <w:szCs w:val="20"/>
                <w:lang w:val="pt-BR"/>
              </w:rPr>
              <w:t>iunie</w:t>
            </w:r>
          </w:p>
        </w:tc>
        <w:tc>
          <w:tcPr>
            <w:tcW w:w="717"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b/>
                <w:color w:val="000000"/>
                <w:sz w:val="20"/>
                <w:szCs w:val="20"/>
                <w:lang w:val="pt-BR"/>
              </w:rPr>
            </w:pPr>
            <w:r w:rsidRPr="00587B71">
              <w:rPr>
                <w:rFonts w:ascii="Arial" w:eastAsia="Times New Roman" w:hAnsi="Arial" w:cs="Arial"/>
                <w:b/>
                <w:color w:val="000000"/>
                <w:sz w:val="20"/>
                <w:szCs w:val="20"/>
                <w:lang w:val="pt-BR"/>
              </w:rPr>
              <w:t>iulie</w:t>
            </w:r>
          </w:p>
        </w:tc>
        <w:tc>
          <w:tcPr>
            <w:tcW w:w="717"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b/>
                <w:color w:val="000000"/>
                <w:sz w:val="20"/>
                <w:szCs w:val="20"/>
                <w:lang w:val="pt-BR"/>
              </w:rPr>
            </w:pPr>
            <w:r w:rsidRPr="00587B71">
              <w:rPr>
                <w:rFonts w:ascii="Arial" w:eastAsia="Times New Roman" w:hAnsi="Arial" w:cs="Arial"/>
                <w:b/>
                <w:color w:val="000000"/>
                <w:sz w:val="20"/>
                <w:szCs w:val="20"/>
                <w:lang w:val="pt-BR"/>
              </w:rPr>
              <w:t>aug</w:t>
            </w:r>
          </w:p>
        </w:tc>
        <w:tc>
          <w:tcPr>
            <w:tcW w:w="717"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b/>
                <w:color w:val="000000"/>
                <w:sz w:val="20"/>
                <w:szCs w:val="20"/>
                <w:lang w:val="pt-BR"/>
              </w:rPr>
            </w:pPr>
            <w:r w:rsidRPr="00587B71">
              <w:rPr>
                <w:rFonts w:ascii="Arial" w:eastAsia="Times New Roman" w:hAnsi="Arial" w:cs="Arial"/>
                <w:b/>
                <w:color w:val="000000"/>
                <w:sz w:val="20"/>
                <w:szCs w:val="20"/>
                <w:lang w:val="pt-BR"/>
              </w:rPr>
              <w:t>sept</w:t>
            </w:r>
          </w:p>
        </w:tc>
        <w:tc>
          <w:tcPr>
            <w:tcW w:w="717"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b/>
                <w:color w:val="000000"/>
                <w:sz w:val="20"/>
                <w:szCs w:val="20"/>
                <w:lang w:val="pt-BR"/>
              </w:rPr>
            </w:pPr>
            <w:r w:rsidRPr="00587B71">
              <w:rPr>
                <w:rFonts w:ascii="Arial" w:eastAsia="Times New Roman" w:hAnsi="Arial" w:cs="Arial"/>
                <w:b/>
                <w:color w:val="000000"/>
                <w:sz w:val="20"/>
                <w:szCs w:val="20"/>
                <w:lang w:val="pt-BR"/>
              </w:rPr>
              <w:t>oct</w:t>
            </w:r>
          </w:p>
        </w:tc>
        <w:tc>
          <w:tcPr>
            <w:tcW w:w="717"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b/>
                <w:color w:val="000000"/>
                <w:sz w:val="20"/>
                <w:szCs w:val="20"/>
                <w:lang w:val="pt-BR"/>
              </w:rPr>
            </w:pPr>
            <w:r w:rsidRPr="00587B71">
              <w:rPr>
                <w:rFonts w:ascii="Arial" w:eastAsia="Times New Roman" w:hAnsi="Arial" w:cs="Arial"/>
                <w:b/>
                <w:color w:val="000000"/>
                <w:sz w:val="20"/>
                <w:szCs w:val="20"/>
                <w:lang w:val="pt-BR"/>
              </w:rPr>
              <w:t>nov</w:t>
            </w:r>
          </w:p>
        </w:tc>
        <w:tc>
          <w:tcPr>
            <w:tcW w:w="793"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b/>
                <w:color w:val="000000"/>
                <w:sz w:val="20"/>
                <w:szCs w:val="20"/>
                <w:lang w:val="pt-BR"/>
              </w:rPr>
            </w:pPr>
            <w:r w:rsidRPr="00587B71">
              <w:rPr>
                <w:rFonts w:ascii="Arial" w:eastAsia="Times New Roman" w:hAnsi="Arial" w:cs="Arial"/>
                <w:b/>
                <w:color w:val="000000"/>
                <w:sz w:val="20"/>
                <w:szCs w:val="20"/>
                <w:lang w:val="pt-BR"/>
              </w:rPr>
              <w:t>dec</w:t>
            </w:r>
          </w:p>
        </w:tc>
      </w:tr>
      <w:tr w:rsidR="00587B71" w:rsidRPr="00587B71" w:rsidTr="00587B71">
        <w:tc>
          <w:tcPr>
            <w:tcW w:w="1521" w:type="dxa"/>
          </w:tcPr>
          <w:p w:rsidR="00587B71" w:rsidRPr="00587B71" w:rsidRDefault="00587B71" w:rsidP="00587B71">
            <w:pPr>
              <w:autoSpaceDE w:val="0"/>
              <w:autoSpaceDN w:val="0"/>
              <w:adjustRightInd w:val="0"/>
              <w:spacing w:after="0" w:line="240" w:lineRule="auto"/>
              <w:rPr>
                <w:rFonts w:ascii="Arial" w:eastAsia="Times New Roman" w:hAnsi="Arial" w:cs="Arial"/>
                <w:color w:val="000000"/>
                <w:sz w:val="20"/>
                <w:szCs w:val="20"/>
                <w:lang w:val="pt-BR"/>
              </w:rPr>
            </w:pPr>
            <w:r w:rsidRPr="00587B71">
              <w:rPr>
                <w:rFonts w:ascii="Arial" w:eastAsia="Times New Roman" w:hAnsi="Arial" w:cs="Arial"/>
                <w:color w:val="000000"/>
                <w:sz w:val="20"/>
                <w:szCs w:val="20"/>
                <w:lang w:val="pt-BR"/>
              </w:rPr>
              <w:t>Sediul APM</w:t>
            </w:r>
          </w:p>
        </w:tc>
        <w:tc>
          <w:tcPr>
            <w:tcW w:w="717" w:type="dxa"/>
          </w:tcPr>
          <w:p w:rsidR="00587B71" w:rsidRPr="00587B71" w:rsidRDefault="00587B71" w:rsidP="00587B71">
            <w:pPr>
              <w:spacing w:after="0" w:line="240" w:lineRule="auto"/>
              <w:ind w:right="-119"/>
              <w:jc w:val="center"/>
              <w:rPr>
                <w:rFonts w:ascii="Arial" w:eastAsia="Times New Roman" w:hAnsi="Arial" w:cs="Arial"/>
                <w:color w:val="000000"/>
                <w:sz w:val="20"/>
                <w:szCs w:val="20"/>
                <w:lang w:val="ro-RO"/>
              </w:rPr>
            </w:pPr>
            <w:r w:rsidRPr="00587B71">
              <w:rPr>
                <w:rFonts w:ascii="Arial" w:eastAsia="Times New Roman" w:hAnsi="Arial" w:cs="Arial"/>
                <w:color w:val="000000"/>
                <w:sz w:val="20"/>
                <w:szCs w:val="20"/>
                <w:lang w:val="ro-RO"/>
              </w:rPr>
              <w:t>9,6</w:t>
            </w:r>
          </w:p>
        </w:tc>
        <w:tc>
          <w:tcPr>
            <w:tcW w:w="659" w:type="dxa"/>
          </w:tcPr>
          <w:p w:rsidR="00587B71" w:rsidRPr="00587B71" w:rsidRDefault="00587B71" w:rsidP="00587B71">
            <w:pPr>
              <w:spacing w:after="0" w:line="240" w:lineRule="auto"/>
              <w:ind w:right="-119"/>
              <w:jc w:val="center"/>
              <w:rPr>
                <w:rFonts w:ascii="Arial" w:eastAsia="Times New Roman" w:hAnsi="Arial" w:cs="Arial"/>
                <w:color w:val="000000"/>
                <w:sz w:val="20"/>
                <w:szCs w:val="20"/>
                <w:lang w:val="ro-RO"/>
              </w:rPr>
            </w:pPr>
            <w:r w:rsidRPr="00587B71">
              <w:rPr>
                <w:rFonts w:ascii="Arial" w:eastAsia="Times New Roman" w:hAnsi="Arial" w:cs="Arial"/>
                <w:color w:val="000000"/>
                <w:sz w:val="20"/>
                <w:szCs w:val="20"/>
                <w:lang w:val="ro-RO"/>
              </w:rPr>
              <w:t>9,7</w:t>
            </w:r>
          </w:p>
        </w:tc>
        <w:tc>
          <w:tcPr>
            <w:tcW w:w="850" w:type="dxa"/>
          </w:tcPr>
          <w:p w:rsidR="00587B71" w:rsidRPr="00587B71" w:rsidRDefault="00587B71" w:rsidP="00587B71">
            <w:pPr>
              <w:spacing w:after="0" w:line="240" w:lineRule="auto"/>
              <w:ind w:right="-119"/>
              <w:jc w:val="center"/>
              <w:rPr>
                <w:rFonts w:ascii="Arial" w:eastAsia="Times New Roman" w:hAnsi="Arial" w:cs="Arial"/>
                <w:color w:val="000000"/>
                <w:sz w:val="20"/>
                <w:szCs w:val="20"/>
                <w:lang w:val="ro-RO"/>
              </w:rPr>
            </w:pPr>
            <w:r w:rsidRPr="00587B71">
              <w:rPr>
                <w:rFonts w:ascii="Arial" w:eastAsia="Times New Roman" w:hAnsi="Arial" w:cs="Arial"/>
                <w:color w:val="000000"/>
                <w:sz w:val="20"/>
                <w:szCs w:val="20"/>
                <w:lang w:val="ro-RO"/>
              </w:rPr>
              <w:t>9,2</w:t>
            </w:r>
          </w:p>
        </w:tc>
        <w:tc>
          <w:tcPr>
            <w:tcW w:w="851" w:type="dxa"/>
          </w:tcPr>
          <w:p w:rsidR="00587B71" w:rsidRPr="00587B71" w:rsidRDefault="00587B71" w:rsidP="00587B71">
            <w:pPr>
              <w:spacing w:after="0" w:line="240" w:lineRule="auto"/>
              <w:jc w:val="center"/>
              <w:rPr>
                <w:rFonts w:ascii="Arial" w:eastAsia="Times New Roman" w:hAnsi="Arial" w:cs="Arial"/>
                <w:color w:val="000000"/>
                <w:sz w:val="20"/>
                <w:szCs w:val="20"/>
                <w:lang w:val="ro-RO"/>
              </w:rPr>
            </w:pPr>
            <w:r w:rsidRPr="00587B71">
              <w:rPr>
                <w:rFonts w:ascii="Arial" w:eastAsia="Times New Roman" w:hAnsi="Arial" w:cs="Arial"/>
                <w:color w:val="000000"/>
                <w:sz w:val="20"/>
                <w:szCs w:val="20"/>
                <w:lang w:val="ro-RO"/>
              </w:rPr>
              <w:t>9,1</w:t>
            </w:r>
          </w:p>
        </w:tc>
        <w:tc>
          <w:tcPr>
            <w:tcW w:w="717"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0"/>
                <w:szCs w:val="20"/>
              </w:rPr>
            </w:pPr>
            <w:r w:rsidRPr="00587B71">
              <w:rPr>
                <w:rFonts w:ascii="Arial" w:eastAsia="Times New Roman" w:hAnsi="Arial" w:cs="Arial"/>
                <w:color w:val="000000"/>
                <w:sz w:val="20"/>
                <w:szCs w:val="20"/>
              </w:rPr>
              <w:t>9,8</w:t>
            </w:r>
          </w:p>
        </w:tc>
        <w:tc>
          <w:tcPr>
            <w:tcW w:w="717"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0"/>
                <w:szCs w:val="20"/>
              </w:rPr>
            </w:pPr>
            <w:r w:rsidRPr="00587B71">
              <w:rPr>
                <w:rFonts w:ascii="Arial" w:eastAsia="Times New Roman" w:hAnsi="Arial" w:cs="Arial"/>
                <w:color w:val="000000"/>
                <w:sz w:val="20"/>
                <w:szCs w:val="20"/>
              </w:rPr>
              <w:t>9,6</w:t>
            </w:r>
          </w:p>
        </w:tc>
        <w:tc>
          <w:tcPr>
            <w:tcW w:w="717"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0"/>
                <w:szCs w:val="20"/>
              </w:rPr>
            </w:pPr>
            <w:r w:rsidRPr="00587B71">
              <w:rPr>
                <w:rFonts w:ascii="Arial" w:eastAsia="Times New Roman" w:hAnsi="Arial" w:cs="Arial"/>
                <w:color w:val="000000"/>
                <w:sz w:val="20"/>
                <w:szCs w:val="20"/>
              </w:rPr>
              <w:t>10,2</w:t>
            </w:r>
          </w:p>
        </w:tc>
        <w:tc>
          <w:tcPr>
            <w:tcW w:w="717"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0"/>
                <w:szCs w:val="20"/>
              </w:rPr>
            </w:pPr>
            <w:r w:rsidRPr="00587B71">
              <w:rPr>
                <w:rFonts w:ascii="Arial" w:eastAsia="Times New Roman" w:hAnsi="Arial" w:cs="Arial"/>
                <w:color w:val="000000"/>
                <w:sz w:val="20"/>
                <w:szCs w:val="20"/>
              </w:rPr>
              <w:t>9,4</w:t>
            </w:r>
          </w:p>
        </w:tc>
        <w:tc>
          <w:tcPr>
            <w:tcW w:w="717"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0"/>
                <w:szCs w:val="20"/>
              </w:rPr>
            </w:pPr>
            <w:r w:rsidRPr="00587B71">
              <w:rPr>
                <w:rFonts w:ascii="Arial" w:eastAsia="Times New Roman" w:hAnsi="Arial" w:cs="Arial"/>
                <w:color w:val="000000"/>
                <w:sz w:val="20"/>
                <w:szCs w:val="20"/>
              </w:rPr>
              <w:t>9,9</w:t>
            </w:r>
          </w:p>
        </w:tc>
        <w:tc>
          <w:tcPr>
            <w:tcW w:w="717"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0"/>
                <w:szCs w:val="20"/>
              </w:rPr>
            </w:pPr>
            <w:r w:rsidRPr="00587B71">
              <w:rPr>
                <w:rFonts w:ascii="Arial" w:eastAsia="Times New Roman" w:hAnsi="Arial" w:cs="Arial"/>
                <w:color w:val="000000"/>
                <w:sz w:val="20"/>
                <w:szCs w:val="20"/>
              </w:rPr>
              <w:t>10,2</w:t>
            </w:r>
          </w:p>
        </w:tc>
        <w:tc>
          <w:tcPr>
            <w:tcW w:w="717"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0"/>
                <w:szCs w:val="20"/>
              </w:rPr>
            </w:pPr>
            <w:r w:rsidRPr="00587B71">
              <w:rPr>
                <w:rFonts w:ascii="Arial" w:eastAsia="Times New Roman" w:hAnsi="Arial" w:cs="Arial"/>
                <w:color w:val="000000"/>
                <w:sz w:val="20"/>
                <w:szCs w:val="20"/>
              </w:rPr>
              <w:t>9,7</w:t>
            </w:r>
          </w:p>
        </w:tc>
        <w:tc>
          <w:tcPr>
            <w:tcW w:w="793"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0"/>
                <w:szCs w:val="20"/>
              </w:rPr>
            </w:pPr>
            <w:r w:rsidRPr="00587B71">
              <w:rPr>
                <w:rFonts w:ascii="Arial" w:eastAsia="Times New Roman" w:hAnsi="Arial" w:cs="Arial"/>
                <w:color w:val="000000"/>
                <w:sz w:val="20"/>
                <w:szCs w:val="20"/>
              </w:rPr>
              <w:t>9,6</w:t>
            </w:r>
          </w:p>
        </w:tc>
      </w:tr>
      <w:tr w:rsidR="00587B71" w:rsidRPr="00587B71" w:rsidTr="00587B71">
        <w:tc>
          <w:tcPr>
            <w:tcW w:w="1521" w:type="dxa"/>
          </w:tcPr>
          <w:p w:rsidR="00587B71" w:rsidRPr="00587B71" w:rsidRDefault="00587B71" w:rsidP="00587B71">
            <w:pPr>
              <w:autoSpaceDE w:val="0"/>
              <w:autoSpaceDN w:val="0"/>
              <w:adjustRightInd w:val="0"/>
              <w:spacing w:after="0" w:line="240" w:lineRule="auto"/>
              <w:rPr>
                <w:rFonts w:ascii="Arial" w:eastAsia="Times New Roman" w:hAnsi="Arial" w:cs="Arial"/>
                <w:color w:val="000000"/>
                <w:sz w:val="20"/>
                <w:szCs w:val="20"/>
                <w:lang w:val="pt-BR"/>
              </w:rPr>
            </w:pPr>
            <w:r w:rsidRPr="00587B71">
              <w:rPr>
                <w:rFonts w:ascii="Arial" w:eastAsia="Times New Roman" w:hAnsi="Arial" w:cs="Arial"/>
                <w:color w:val="000000"/>
                <w:sz w:val="20"/>
                <w:szCs w:val="20"/>
                <w:lang w:val="pt-BR"/>
              </w:rPr>
              <w:t>Spital Judetean</w:t>
            </w:r>
          </w:p>
        </w:tc>
        <w:tc>
          <w:tcPr>
            <w:tcW w:w="717" w:type="dxa"/>
          </w:tcPr>
          <w:p w:rsidR="00587B71" w:rsidRPr="00587B71" w:rsidRDefault="00587B71" w:rsidP="00587B71">
            <w:pPr>
              <w:spacing w:after="0" w:line="240" w:lineRule="auto"/>
              <w:jc w:val="center"/>
              <w:rPr>
                <w:rFonts w:ascii="Arial" w:eastAsia="Times New Roman" w:hAnsi="Arial" w:cs="Arial"/>
                <w:color w:val="000000"/>
                <w:sz w:val="20"/>
                <w:szCs w:val="20"/>
                <w:lang w:val="pt-BR"/>
              </w:rPr>
            </w:pPr>
            <w:r w:rsidRPr="00587B71">
              <w:rPr>
                <w:rFonts w:ascii="Arial" w:eastAsia="Times New Roman" w:hAnsi="Arial" w:cs="Arial"/>
                <w:color w:val="000000"/>
                <w:sz w:val="20"/>
                <w:szCs w:val="20"/>
                <w:lang w:val="pt-BR"/>
              </w:rPr>
              <w:t>12,2</w:t>
            </w:r>
          </w:p>
        </w:tc>
        <w:tc>
          <w:tcPr>
            <w:tcW w:w="659" w:type="dxa"/>
          </w:tcPr>
          <w:p w:rsidR="00587B71" w:rsidRPr="00587B71" w:rsidRDefault="00587B71" w:rsidP="00587B71">
            <w:pPr>
              <w:spacing w:after="0" w:line="240" w:lineRule="auto"/>
              <w:jc w:val="center"/>
              <w:rPr>
                <w:rFonts w:ascii="Arial" w:eastAsia="Times New Roman" w:hAnsi="Arial" w:cs="Arial"/>
                <w:color w:val="000000"/>
                <w:sz w:val="20"/>
                <w:szCs w:val="20"/>
                <w:lang w:val="pt-BR"/>
              </w:rPr>
            </w:pPr>
            <w:r w:rsidRPr="00587B71">
              <w:rPr>
                <w:rFonts w:ascii="Arial" w:eastAsia="Times New Roman" w:hAnsi="Arial" w:cs="Arial"/>
                <w:color w:val="000000"/>
                <w:sz w:val="20"/>
                <w:szCs w:val="20"/>
                <w:lang w:val="pt-BR"/>
              </w:rPr>
              <w:t>11,6</w:t>
            </w:r>
          </w:p>
        </w:tc>
        <w:tc>
          <w:tcPr>
            <w:tcW w:w="850"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0"/>
                <w:szCs w:val="20"/>
                <w:lang w:val="pt-BR"/>
              </w:rPr>
            </w:pPr>
            <w:r w:rsidRPr="00587B71">
              <w:rPr>
                <w:rFonts w:ascii="Arial" w:eastAsia="Times New Roman" w:hAnsi="Arial" w:cs="Arial"/>
                <w:color w:val="000000"/>
                <w:sz w:val="20"/>
                <w:szCs w:val="20"/>
                <w:lang w:val="pt-BR"/>
              </w:rPr>
              <w:t>11,5</w:t>
            </w:r>
          </w:p>
        </w:tc>
        <w:tc>
          <w:tcPr>
            <w:tcW w:w="851"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0"/>
                <w:szCs w:val="20"/>
              </w:rPr>
            </w:pPr>
            <w:r w:rsidRPr="00587B71">
              <w:rPr>
                <w:rFonts w:ascii="Arial" w:eastAsia="Times New Roman" w:hAnsi="Arial" w:cs="Arial"/>
                <w:color w:val="000000"/>
                <w:sz w:val="20"/>
                <w:szCs w:val="20"/>
              </w:rPr>
              <w:t>12,5</w:t>
            </w:r>
          </w:p>
        </w:tc>
        <w:tc>
          <w:tcPr>
            <w:tcW w:w="717"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0"/>
                <w:szCs w:val="20"/>
              </w:rPr>
            </w:pPr>
            <w:r w:rsidRPr="00587B71">
              <w:rPr>
                <w:rFonts w:ascii="Arial" w:eastAsia="Times New Roman" w:hAnsi="Arial" w:cs="Arial"/>
                <w:color w:val="000000"/>
                <w:sz w:val="20"/>
                <w:szCs w:val="20"/>
              </w:rPr>
              <w:t>12,9</w:t>
            </w:r>
          </w:p>
        </w:tc>
        <w:tc>
          <w:tcPr>
            <w:tcW w:w="717"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0"/>
                <w:szCs w:val="20"/>
              </w:rPr>
            </w:pPr>
            <w:r w:rsidRPr="00587B71">
              <w:rPr>
                <w:rFonts w:ascii="Arial" w:eastAsia="Times New Roman" w:hAnsi="Arial" w:cs="Arial"/>
                <w:color w:val="000000"/>
                <w:sz w:val="20"/>
                <w:szCs w:val="20"/>
              </w:rPr>
              <w:t>12,5</w:t>
            </w:r>
          </w:p>
        </w:tc>
        <w:tc>
          <w:tcPr>
            <w:tcW w:w="717"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0"/>
                <w:szCs w:val="20"/>
              </w:rPr>
            </w:pPr>
            <w:r w:rsidRPr="00587B71">
              <w:rPr>
                <w:rFonts w:ascii="Arial" w:eastAsia="Times New Roman" w:hAnsi="Arial" w:cs="Arial"/>
                <w:color w:val="000000"/>
                <w:sz w:val="20"/>
                <w:szCs w:val="20"/>
              </w:rPr>
              <w:t>12,8</w:t>
            </w:r>
          </w:p>
        </w:tc>
        <w:tc>
          <w:tcPr>
            <w:tcW w:w="717"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0"/>
                <w:szCs w:val="20"/>
              </w:rPr>
            </w:pPr>
            <w:r w:rsidRPr="00587B71">
              <w:rPr>
                <w:rFonts w:ascii="Arial" w:eastAsia="Times New Roman" w:hAnsi="Arial" w:cs="Arial"/>
                <w:color w:val="000000"/>
                <w:sz w:val="20"/>
                <w:szCs w:val="20"/>
              </w:rPr>
              <w:t>12,8</w:t>
            </w:r>
          </w:p>
        </w:tc>
        <w:tc>
          <w:tcPr>
            <w:tcW w:w="717"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0"/>
                <w:szCs w:val="20"/>
              </w:rPr>
            </w:pPr>
            <w:r w:rsidRPr="00587B71">
              <w:rPr>
                <w:rFonts w:ascii="Arial" w:eastAsia="Times New Roman" w:hAnsi="Arial" w:cs="Arial"/>
                <w:color w:val="000000"/>
                <w:sz w:val="20"/>
                <w:szCs w:val="20"/>
              </w:rPr>
              <w:t>12,8</w:t>
            </w:r>
          </w:p>
        </w:tc>
        <w:tc>
          <w:tcPr>
            <w:tcW w:w="717"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0"/>
                <w:szCs w:val="20"/>
              </w:rPr>
            </w:pPr>
            <w:r w:rsidRPr="00587B71">
              <w:rPr>
                <w:rFonts w:ascii="Arial" w:eastAsia="Times New Roman" w:hAnsi="Arial" w:cs="Arial"/>
                <w:color w:val="000000"/>
                <w:sz w:val="20"/>
                <w:szCs w:val="20"/>
              </w:rPr>
              <w:t>13,5</w:t>
            </w:r>
          </w:p>
        </w:tc>
        <w:tc>
          <w:tcPr>
            <w:tcW w:w="717"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0"/>
                <w:szCs w:val="20"/>
              </w:rPr>
            </w:pPr>
            <w:r w:rsidRPr="00587B71">
              <w:rPr>
                <w:rFonts w:ascii="Arial" w:eastAsia="Times New Roman" w:hAnsi="Arial" w:cs="Arial"/>
                <w:color w:val="000000"/>
                <w:sz w:val="20"/>
                <w:szCs w:val="20"/>
              </w:rPr>
              <w:t>13,2</w:t>
            </w:r>
          </w:p>
        </w:tc>
        <w:tc>
          <w:tcPr>
            <w:tcW w:w="793"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0"/>
                <w:szCs w:val="20"/>
              </w:rPr>
            </w:pPr>
            <w:r w:rsidRPr="00587B71">
              <w:rPr>
                <w:rFonts w:ascii="Arial" w:eastAsia="Times New Roman" w:hAnsi="Arial" w:cs="Arial"/>
                <w:color w:val="000000"/>
                <w:sz w:val="20"/>
                <w:szCs w:val="20"/>
              </w:rPr>
              <w:t>12,8</w:t>
            </w:r>
          </w:p>
        </w:tc>
      </w:tr>
      <w:tr w:rsidR="00587B71" w:rsidRPr="00587B71" w:rsidTr="00587B71">
        <w:tc>
          <w:tcPr>
            <w:tcW w:w="1521" w:type="dxa"/>
          </w:tcPr>
          <w:p w:rsidR="00587B71" w:rsidRPr="00587B71" w:rsidRDefault="00587B71" w:rsidP="00587B71">
            <w:pPr>
              <w:autoSpaceDE w:val="0"/>
              <w:autoSpaceDN w:val="0"/>
              <w:adjustRightInd w:val="0"/>
              <w:spacing w:after="0" w:line="240" w:lineRule="auto"/>
              <w:rPr>
                <w:rFonts w:ascii="Arial" w:eastAsia="Times New Roman" w:hAnsi="Arial" w:cs="Arial"/>
                <w:color w:val="000000"/>
                <w:sz w:val="20"/>
                <w:szCs w:val="20"/>
                <w:lang w:val="pt-BR"/>
              </w:rPr>
            </w:pPr>
            <w:r w:rsidRPr="00587B71">
              <w:rPr>
                <w:rFonts w:ascii="Arial" w:eastAsia="Times New Roman" w:hAnsi="Arial" w:cs="Arial"/>
                <w:color w:val="000000"/>
                <w:sz w:val="20"/>
                <w:szCs w:val="20"/>
                <w:lang w:val="pt-BR"/>
              </w:rPr>
              <w:t>Statia de epurare Vaslui</w:t>
            </w:r>
          </w:p>
        </w:tc>
        <w:tc>
          <w:tcPr>
            <w:tcW w:w="717" w:type="dxa"/>
          </w:tcPr>
          <w:p w:rsidR="00587B71" w:rsidRPr="00587B71" w:rsidRDefault="00587B71" w:rsidP="00587B71">
            <w:pPr>
              <w:spacing w:after="0" w:line="240" w:lineRule="auto"/>
              <w:jc w:val="center"/>
              <w:rPr>
                <w:rFonts w:ascii="Arial" w:eastAsia="Times New Roman" w:hAnsi="Arial" w:cs="Arial"/>
                <w:color w:val="000000"/>
                <w:sz w:val="20"/>
                <w:szCs w:val="20"/>
                <w:lang w:val="pt-BR"/>
              </w:rPr>
            </w:pPr>
            <w:r w:rsidRPr="00587B71">
              <w:rPr>
                <w:rFonts w:ascii="Arial" w:eastAsia="Times New Roman" w:hAnsi="Arial" w:cs="Arial"/>
                <w:color w:val="000000"/>
                <w:sz w:val="20"/>
                <w:szCs w:val="20"/>
                <w:lang w:val="pt-BR"/>
              </w:rPr>
              <w:t>12,3</w:t>
            </w:r>
          </w:p>
        </w:tc>
        <w:tc>
          <w:tcPr>
            <w:tcW w:w="659" w:type="dxa"/>
          </w:tcPr>
          <w:p w:rsidR="00587B71" w:rsidRPr="00587B71" w:rsidRDefault="00587B71" w:rsidP="00587B71">
            <w:pPr>
              <w:spacing w:after="0" w:line="240" w:lineRule="auto"/>
              <w:jc w:val="center"/>
              <w:rPr>
                <w:rFonts w:ascii="Arial" w:eastAsia="Times New Roman" w:hAnsi="Arial" w:cs="Arial"/>
                <w:color w:val="000000"/>
                <w:sz w:val="20"/>
                <w:szCs w:val="20"/>
                <w:lang w:val="pt-BR"/>
              </w:rPr>
            </w:pPr>
            <w:r w:rsidRPr="00587B71">
              <w:rPr>
                <w:rFonts w:ascii="Arial" w:eastAsia="Times New Roman" w:hAnsi="Arial" w:cs="Arial"/>
                <w:color w:val="000000"/>
                <w:sz w:val="20"/>
                <w:szCs w:val="20"/>
                <w:lang w:val="pt-BR"/>
              </w:rPr>
              <w:t>11,6</w:t>
            </w:r>
          </w:p>
        </w:tc>
        <w:tc>
          <w:tcPr>
            <w:tcW w:w="850"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0"/>
                <w:szCs w:val="20"/>
                <w:lang w:val="pt-BR"/>
              </w:rPr>
            </w:pPr>
            <w:r w:rsidRPr="00587B71">
              <w:rPr>
                <w:rFonts w:ascii="Arial" w:eastAsia="Times New Roman" w:hAnsi="Arial" w:cs="Arial"/>
                <w:color w:val="000000"/>
                <w:sz w:val="20"/>
                <w:szCs w:val="20"/>
                <w:lang w:val="pt-BR"/>
              </w:rPr>
              <w:t>11,4</w:t>
            </w:r>
          </w:p>
        </w:tc>
        <w:tc>
          <w:tcPr>
            <w:tcW w:w="851"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0"/>
                <w:szCs w:val="20"/>
              </w:rPr>
            </w:pPr>
            <w:r w:rsidRPr="00587B71">
              <w:rPr>
                <w:rFonts w:ascii="Arial" w:eastAsia="Times New Roman" w:hAnsi="Arial" w:cs="Arial"/>
                <w:color w:val="000000"/>
                <w:sz w:val="20"/>
                <w:szCs w:val="20"/>
              </w:rPr>
              <w:t>11,9</w:t>
            </w:r>
          </w:p>
        </w:tc>
        <w:tc>
          <w:tcPr>
            <w:tcW w:w="717"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0"/>
                <w:szCs w:val="20"/>
              </w:rPr>
            </w:pPr>
            <w:r w:rsidRPr="00587B71">
              <w:rPr>
                <w:rFonts w:ascii="Arial" w:eastAsia="Times New Roman" w:hAnsi="Arial" w:cs="Arial"/>
                <w:color w:val="000000"/>
                <w:sz w:val="20"/>
                <w:szCs w:val="20"/>
              </w:rPr>
              <w:t>12,1</w:t>
            </w:r>
          </w:p>
        </w:tc>
        <w:tc>
          <w:tcPr>
            <w:tcW w:w="717"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0"/>
                <w:szCs w:val="20"/>
              </w:rPr>
            </w:pPr>
            <w:r w:rsidRPr="00587B71">
              <w:rPr>
                <w:rFonts w:ascii="Arial" w:eastAsia="Times New Roman" w:hAnsi="Arial" w:cs="Arial"/>
                <w:color w:val="000000"/>
                <w:sz w:val="20"/>
                <w:szCs w:val="20"/>
              </w:rPr>
              <w:t>12,5</w:t>
            </w:r>
          </w:p>
        </w:tc>
        <w:tc>
          <w:tcPr>
            <w:tcW w:w="717"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0"/>
                <w:szCs w:val="20"/>
              </w:rPr>
            </w:pPr>
            <w:r w:rsidRPr="00587B71">
              <w:rPr>
                <w:rFonts w:ascii="Arial" w:eastAsia="Times New Roman" w:hAnsi="Arial" w:cs="Arial"/>
                <w:color w:val="000000"/>
                <w:sz w:val="20"/>
                <w:szCs w:val="20"/>
              </w:rPr>
              <w:t>12,5</w:t>
            </w:r>
          </w:p>
        </w:tc>
        <w:tc>
          <w:tcPr>
            <w:tcW w:w="717"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0"/>
                <w:szCs w:val="20"/>
              </w:rPr>
            </w:pPr>
            <w:r w:rsidRPr="00587B71">
              <w:rPr>
                <w:rFonts w:ascii="Arial" w:eastAsia="Times New Roman" w:hAnsi="Arial" w:cs="Arial"/>
                <w:color w:val="000000"/>
                <w:sz w:val="20"/>
                <w:szCs w:val="20"/>
              </w:rPr>
              <w:t>11,4</w:t>
            </w:r>
          </w:p>
        </w:tc>
        <w:tc>
          <w:tcPr>
            <w:tcW w:w="717"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0"/>
                <w:szCs w:val="20"/>
              </w:rPr>
            </w:pPr>
            <w:r w:rsidRPr="00587B71">
              <w:rPr>
                <w:rFonts w:ascii="Arial" w:eastAsia="Times New Roman" w:hAnsi="Arial" w:cs="Arial"/>
                <w:color w:val="000000"/>
                <w:sz w:val="20"/>
                <w:szCs w:val="20"/>
              </w:rPr>
              <w:t>12,8</w:t>
            </w:r>
          </w:p>
        </w:tc>
        <w:tc>
          <w:tcPr>
            <w:tcW w:w="717"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0"/>
                <w:szCs w:val="20"/>
              </w:rPr>
            </w:pPr>
            <w:r w:rsidRPr="00587B71">
              <w:rPr>
                <w:rFonts w:ascii="Arial" w:eastAsia="Times New Roman" w:hAnsi="Arial" w:cs="Arial"/>
                <w:color w:val="000000"/>
                <w:sz w:val="20"/>
                <w:szCs w:val="20"/>
              </w:rPr>
              <w:t>12,9</w:t>
            </w:r>
          </w:p>
        </w:tc>
        <w:tc>
          <w:tcPr>
            <w:tcW w:w="717"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0"/>
                <w:szCs w:val="20"/>
              </w:rPr>
            </w:pPr>
            <w:r w:rsidRPr="00587B71">
              <w:rPr>
                <w:rFonts w:ascii="Arial" w:eastAsia="Times New Roman" w:hAnsi="Arial" w:cs="Arial"/>
                <w:color w:val="000000"/>
                <w:sz w:val="20"/>
                <w:szCs w:val="20"/>
              </w:rPr>
              <w:t>13,0</w:t>
            </w:r>
          </w:p>
        </w:tc>
        <w:tc>
          <w:tcPr>
            <w:tcW w:w="793"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0"/>
                <w:szCs w:val="20"/>
              </w:rPr>
            </w:pPr>
            <w:r w:rsidRPr="00587B71">
              <w:rPr>
                <w:rFonts w:ascii="Arial" w:eastAsia="Times New Roman" w:hAnsi="Arial" w:cs="Arial"/>
                <w:color w:val="000000"/>
                <w:sz w:val="20"/>
                <w:szCs w:val="20"/>
              </w:rPr>
              <w:t>12,7</w:t>
            </w:r>
          </w:p>
        </w:tc>
      </w:tr>
    </w:tbl>
    <w:p w:rsidR="00587B71" w:rsidRPr="00587B71" w:rsidRDefault="00587B71" w:rsidP="00587B71">
      <w:pPr>
        <w:spacing w:after="0" w:line="240" w:lineRule="auto"/>
        <w:jc w:val="both"/>
        <w:rPr>
          <w:rFonts w:ascii="Arial" w:eastAsia="Times New Roman" w:hAnsi="Arial" w:cs="Arial"/>
          <w:color w:val="000000"/>
          <w:sz w:val="24"/>
          <w:szCs w:val="24"/>
          <w:lang w:val="ro-RO"/>
        </w:rPr>
      </w:pPr>
    </w:p>
    <w:p w:rsidR="00587B71" w:rsidRPr="00587B71" w:rsidRDefault="00587B71" w:rsidP="00587B71">
      <w:pPr>
        <w:spacing w:after="0" w:line="240" w:lineRule="auto"/>
        <w:jc w:val="center"/>
        <w:rPr>
          <w:rFonts w:ascii="Arial" w:eastAsia="Times New Roman" w:hAnsi="Arial" w:cs="Arial"/>
          <w:b/>
          <w:i/>
          <w:iCs/>
          <w:color w:val="000000"/>
          <w:sz w:val="24"/>
          <w:szCs w:val="24"/>
          <w:lang w:val="ro-RO"/>
        </w:rPr>
      </w:pPr>
      <w:r>
        <w:rPr>
          <w:rFonts w:ascii="Arial" w:eastAsia="Times New Roman" w:hAnsi="Arial" w:cs="Arial"/>
          <w:b/>
          <w:i/>
          <w:iCs/>
          <w:noProof/>
          <w:color w:val="000000"/>
          <w:sz w:val="24"/>
          <w:szCs w:val="24"/>
        </w:rPr>
        <w:lastRenderedPageBreak/>
        <w:drawing>
          <wp:inline distT="0" distB="0" distL="0" distR="0">
            <wp:extent cx="6448425" cy="2314575"/>
            <wp:effectExtent l="0" t="0" r="0" b="0"/>
            <wp:docPr id="186" name="Chart 18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Figura I. 2. Evoluţia lunară a concentraţiei de amoniac, NH3</w:t>
      </w:r>
    </w:p>
    <w:p w:rsidR="00587B71" w:rsidRPr="00587B71" w:rsidRDefault="00587B71" w:rsidP="00587B71">
      <w:pPr>
        <w:spacing w:after="0" w:line="240" w:lineRule="auto"/>
        <w:jc w:val="both"/>
        <w:rPr>
          <w:rFonts w:ascii="Arial" w:eastAsia="Times New Roman" w:hAnsi="Arial" w:cs="Arial"/>
          <w:b/>
          <w:i/>
          <w:iCs/>
          <w:color w:val="000000"/>
          <w:sz w:val="24"/>
          <w:szCs w:val="24"/>
          <w:lang w:val="ro-RO"/>
        </w:rPr>
      </w:pPr>
    </w:p>
    <w:p w:rsidR="00587B71" w:rsidRPr="00587B71" w:rsidRDefault="00587B71" w:rsidP="00587B71">
      <w:pPr>
        <w:spacing w:after="0" w:line="240" w:lineRule="auto"/>
        <w:jc w:val="both"/>
        <w:rPr>
          <w:rFonts w:ascii="Arial" w:eastAsia="Times New Roman" w:hAnsi="Arial" w:cs="Arial"/>
          <w:b/>
          <w:i/>
          <w:iCs/>
          <w:color w:val="000000"/>
          <w:sz w:val="24"/>
          <w:szCs w:val="24"/>
          <w:lang w:val="ro-RO"/>
        </w:rPr>
      </w:pPr>
      <w:r w:rsidRPr="00587B71">
        <w:rPr>
          <w:rFonts w:ascii="Arial" w:eastAsia="Times New Roman" w:hAnsi="Arial" w:cs="Arial"/>
          <w:b/>
          <w:i/>
          <w:iCs/>
          <w:color w:val="000000"/>
          <w:sz w:val="24"/>
          <w:szCs w:val="24"/>
          <w:lang w:val="ro-RO"/>
        </w:rPr>
        <w:t>Ozonul</w:t>
      </w:r>
    </w:p>
    <w:p w:rsidR="00587B71" w:rsidRPr="00587B71" w:rsidRDefault="00587B71" w:rsidP="00587B71">
      <w:pPr>
        <w:spacing w:after="0" w:line="240" w:lineRule="auto"/>
        <w:jc w:val="both"/>
        <w:rPr>
          <w:rFonts w:ascii="Arial" w:eastAsia="Times New Roman" w:hAnsi="Arial" w:cs="Arial"/>
          <w:b/>
          <w:i/>
          <w:iCs/>
          <w:color w:val="FF0000"/>
          <w:sz w:val="24"/>
          <w:szCs w:val="24"/>
          <w:lang w:val="ro-RO"/>
        </w:rPr>
      </w:pPr>
    </w:p>
    <w:p w:rsidR="00587B71" w:rsidRPr="00587B71" w:rsidRDefault="00587B71" w:rsidP="00587B71">
      <w:pPr>
        <w:spacing w:after="0" w:line="240" w:lineRule="auto"/>
        <w:ind w:firstLine="720"/>
        <w:jc w:val="both"/>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 xml:space="preserve">Ca urmare a complexităţii proceselor fizico-chimice din atmosferă şi a strânsei lor dependenţe de condiţiile meteorologice, a variabilităţii spaţiale şi temporale a emisiilor de precursori, a creşterii transportului ozonului şi precursorilor săi la mare distanţă, inclusiv la scară inter-continentală în emisfera nordică, precum şi a variabilităţii schimburilor dintre stratosferă şi troposferă, concentraţiile de ozon în atmosfera joasă au o variabilitate foarte mare în timp şi spaţiu, fiind totodată dificil de controlat. </w:t>
      </w:r>
    </w:p>
    <w:p w:rsidR="00587B71" w:rsidRPr="00587B71" w:rsidRDefault="00587B71" w:rsidP="00587B71">
      <w:pPr>
        <w:autoSpaceDE w:val="0"/>
        <w:autoSpaceDN w:val="0"/>
        <w:adjustRightInd w:val="0"/>
        <w:spacing w:after="0" w:line="240" w:lineRule="auto"/>
        <w:ind w:firstLine="720"/>
        <w:jc w:val="both"/>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 xml:space="preserve">Nu s-au înregistrat valori care să depăşească pragul de informare de 180 </w:t>
      </w:r>
      <w:r w:rsidRPr="00587B71">
        <w:rPr>
          <w:rFonts w:ascii="Arial" w:eastAsia="Times New Roman" w:hAnsi="Arial" w:cs="Arial"/>
          <w:color w:val="000000"/>
          <w:sz w:val="24"/>
          <w:szCs w:val="24"/>
        </w:rPr>
        <w:t>μ</w:t>
      </w:r>
      <w:r w:rsidRPr="00587B71">
        <w:rPr>
          <w:rFonts w:ascii="Arial" w:eastAsia="Times New Roman" w:hAnsi="Arial" w:cs="Arial"/>
          <w:color w:val="000000"/>
          <w:sz w:val="24"/>
          <w:szCs w:val="24"/>
          <w:lang w:val="ro-RO"/>
        </w:rPr>
        <w:t xml:space="preserve">g/mc şi nici pe cel de alertă de 240 </w:t>
      </w:r>
      <w:r w:rsidRPr="00587B71">
        <w:rPr>
          <w:rFonts w:ascii="Arial" w:eastAsia="Times New Roman" w:hAnsi="Arial" w:cs="Arial"/>
          <w:color w:val="000000"/>
          <w:sz w:val="24"/>
          <w:szCs w:val="24"/>
        </w:rPr>
        <w:t>μ</w:t>
      </w:r>
      <w:r w:rsidRPr="00587B71">
        <w:rPr>
          <w:rFonts w:ascii="Arial" w:eastAsia="Times New Roman" w:hAnsi="Arial" w:cs="Arial"/>
          <w:color w:val="000000"/>
          <w:sz w:val="24"/>
          <w:szCs w:val="24"/>
          <w:lang w:val="ro-RO"/>
        </w:rPr>
        <w:t xml:space="preserve">g/mc. </w:t>
      </w:r>
    </w:p>
    <w:p w:rsidR="00587B71" w:rsidRPr="00587B71" w:rsidRDefault="00587B71" w:rsidP="00587B71">
      <w:pPr>
        <w:spacing w:after="0" w:line="240" w:lineRule="auto"/>
        <w:jc w:val="both"/>
        <w:rPr>
          <w:rFonts w:ascii="Arial" w:eastAsia="Times New Roman" w:hAnsi="Arial" w:cs="Arial"/>
          <w:i/>
          <w:sz w:val="24"/>
          <w:szCs w:val="24"/>
        </w:rPr>
      </w:pPr>
    </w:p>
    <w:p w:rsidR="00587B71" w:rsidRPr="00587B71" w:rsidRDefault="00587B71" w:rsidP="00587B71">
      <w:pPr>
        <w:spacing w:after="0" w:line="240" w:lineRule="auto"/>
        <w:jc w:val="both"/>
        <w:rPr>
          <w:rFonts w:ascii="Arial" w:eastAsia="Times New Roman" w:hAnsi="Arial" w:cs="Arial"/>
          <w:b/>
          <w:i/>
          <w:iCs/>
          <w:color w:val="000000"/>
          <w:sz w:val="24"/>
          <w:szCs w:val="24"/>
          <w:lang w:val="ro-RO"/>
        </w:rPr>
      </w:pPr>
      <w:r w:rsidRPr="00587B71">
        <w:rPr>
          <w:rFonts w:ascii="Arial" w:eastAsia="Times New Roman" w:hAnsi="Arial" w:cs="Arial"/>
          <w:i/>
          <w:sz w:val="24"/>
          <w:szCs w:val="24"/>
        </w:rPr>
        <w:t xml:space="preserve"> </w:t>
      </w:r>
      <w:r w:rsidRPr="00587B71">
        <w:rPr>
          <w:rFonts w:ascii="Arial" w:eastAsia="Times New Roman" w:hAnsi="Arial" w:cs="Arial"/>
          <w:i/>
          <w:sz w:val="24"/>
          <w:szCs w:val="24"/>
        </w:rPr>
        <w:tab/>
        <w:t>Din motive tehnice pentru acest poluant datele colectate sunt insuficiente pentru a respecta criteriile de calitate conform Legii 104/2011.</w:t>
      </w:r>
    </w:p>
    <w:p w:rsidR="00587B71" w:rsidRPr="00587B71" w:rsidRDefault="00587B71" w:rsidP="00587B71">
      <w:pPr>
        <w:spacing w:after="0" w:line="240" w:lineRule="auto"/>
        <w:rPr>
          <w:rFonts w:ascii="Arial" w:eastAsia="Times New Roman" w:hAnsi="Arial" w:cs="Arial"/>
          <w:b/>
          <w:iCs/>
          <w:color w:val="FF0000"/>
          <w:sz w:val="24"/>
          <w:szCs w:val="24"/>
          <w:lang w:val="ro-RO"/>
        </w:rPr>
      </w:pPr>
    </w:p>
    <w:p w:rsidR="00587B71" w:rsidRPr="00587B71" w:rsidRDefault="00587B71" w:rsidP="00587B71">
      <w:pPr>
        <w:spacing w:after="0" w:line="240" w:lineRule="auto"/>
        <w:rPr>
          <w:rFonts w:ascii="Arial" w:eastAsia="Times New Roman" w:hAnsi="Arial" w:cs="Arial"/>
          <w:b/>
          <w:iCs/>
          <w:color w:val="FF0000"/>
          <w:sz w:val="24"/>
          <w:szCs w:val="24"/>
          <w:lang w:val="ro-RO"/>
        </w:rPr>
      </w:pPr>
    </w:p>
    <w:p w:rsidR="00587B71" w:rsidRPr="00587B71" w:rsidRDefault="00587B71" w:rsidP="00587B71">
      <w:pPr>
        <w:spacing w:after="0" w:line="240" w:lineRule="auto"/>
        <w:rPr>
          <w:rFonts w:ascii="Arial" w:eastAsia="Times New Roman" w:hAnsi="Arial" w:cs="Arial"/>
          <w:b/>
          <w:iCs/>
          <w:color w:val="000000"/>
          <w:sz w:val="24"/>
          <w:szCs w:val="24"/>
          <w:lang w:val="ro-RO"/>
        </w:rPr>
      </w:pPr>
      <w:r w:rsidRPr="00587B71">
        <w:rPr>
          <w:rFonts w:ascii="Arial" w:eastAsia="Times New Roman" w:hAnsi="Arial" w:cs="Arial"/>
          <w:sz w:val="24"/>
          <w:szCs w:val="24"/>
          <w:lang w:val="ro-RO"/>
        </w:rPr>
        <w:t>I.1.1.2. Tendinţe privind concentraţiile medii anuale ale anumitor poluanţi atmosferici</w:t>
      </w:r>
    </w:p>
    <w:p w:rsidR="00587B71" w:rsidRPr="00587B71" w:rsidRDefault="00587B71" w:rsidP="00587B71">
      <w:pPr>
        <w:spacing w:after="0" w:line="240" w:lineRule="auto"/>
        <w:rPr>
          <w:rFonts w:ascii="Arial" w:eastAsia="Times New Roman" w:hAnsi="Arial" w:cs="Arial"/>
          <w:b/>
          <w:iCs/>
          <w:color w:val="000000"/>
          <w:sz w:val="24"/>
          <w:szCs w:val="24"/>
          <w:lang w:val="ro-RO"/>
        </w:rPr>
      </w:pPr>
    </w:p>
    <w:p w:rsidR="00587B71" w:rsidRPr="00587B71" w:rsidRDefault="00587B71" w:rsidP="00587B71">
      <w:pPr>
        <w:spacing w:after="0" w:line="240" w:lineRule="auto"/>
        <w:ind w:firstLine="720"/>
        <w:jc w:val="both"/>
        <w:rPr>
          <w:rFonts w:ascii="Arial" w:eastAsia="Times New Roman" w:hAnsi="Arial" w:cs="Arial"/>
          <w:color w:val="000000"/>
          <w:sz w:val="24"/>
          <w:szCs w:val="24"/>
          <w:lang w:val="ro-RO"/>
        </w:rPr>
      </w:pPr>
      <w:r w:rsidRPr="00587B71">
        <w:rPr>
          <w:rFonts w:ascii="Arial" w:eastAsia="Times New Roman" w:hAnsi="Arial" w:cs="Arial"/>
          <w:sz w:val="24"/>
          <w:szCs w:val="24"/>
        </w:rPr>
        <w:t>Protecţia sănătăţii popula</w:t>
      </w:r>
      <w:r w:rsidRPr="00587B71">
        <w:rPr>
          <w:rFonts w:ascii="Arial" w:eastAsia="Times New Roman" w:hAnsi="Arial" w:cs="Arial"/>
          <w:sz w:val="24"/>
          <w:szCs w:val="24"/>
          <w:lang w:val="ro-RO"/>
        </w:rPr>
        <w:t>ţiei</w:t>
      </w:r>
      <w:r w:rsidRPr="00587B71">
        <w:rPr>
          <w:rFonts w:ascii="Arial" w:eastAsia="Times New Roman" w:hAnsi="Arial" w:cs="Arial"/>
          <w:sz w:val="24"/>
          <w:szCs w:val="24"/>
        </w:rPr>
        <w:t xml:space="preserve"> este un principiu de bază al politicilor din domeniul protecţiei mediului, acestea conducând, în general, la un mediu mai curat şi mai sănătos. </w:t>
      </w:r>
      <w:r w:rsidRPr="00587B71">
        <w:rPr>
          <w:rFonts w:ascii="Arial" w:eastAsia="Times New Roman" w:hAnsi="Arial" w:cs="Arial"/>
          <w:color w:val="000000"/>
          <w:sz w:val="24"/>
          <w:szCs w:val="24"/>
          <w:lang w:val="ro-RO"/>
        </w:rPr>
        <w:t xml:space="preserve">Deşi s-au înregistrat reduceri semnificative ale concentraţiilor emisiile din trafic şi din sectorul energetic, în mediul urban, gazele de eşapament, resuspensia prafului de pe partea carosabilă şi arderea combustibililor fosili pentru încălzirea domestică rămân surse locale semnificative. </w:t>
      </w:r>
      <w:r w:rsidRPr="00587B71">
        <w:rPr>
          <w:rFonts w:ascii="Arial" w:eastAsia="Times New Roman" w:hAnsi="Arial" w:cs="Arial"/>
          <w:color w:val="000000"/>
          <w:sz w:val="24"/>
          <w:szCs w:val="24"/>
          <w:lang w:val="ro-RO"/>
        </w:rPr>
        <w:cr/>
      </w:r>
      <w:r w:rsidRPr="00587B71">
        <w:rPr>
          <w:rFonts w:ascii="Arial" w:eastAsia="Times New Roman" w:hAnsi="Arial" w:cs="Arial"/>
          <w:color w:val="FF0000"/>
          <w:sz w:val="24"/>
          <w:szCs w:val="24"/>
          <w:lang w:val="ro-RO"/>
        </w:rPr>
        <w:tab/>
      </w:r>
      <w:r w:rsidRPr="00587B71">
        <w:rPr>
          <w:rFonts w:ascii="Arial" w:eastAsia="Times New Roman" w:hAnsi="Arial" w:cs="Arial"/>
          <w:color w:val="000000"/>
          <w:sz w:val="24"/>
          <w:szCs w:val="24"/>
          <w:lang w:val="ro-RO"/>
        </w:rPr>
        <w:t>Tendinţele concentraţiilor medii anuale pentru principalii poluanţi din aerul înconjurător (imisii din aerul înconjurător) NO</w:t>
      </w:r>
      <w:r w:rsidRPr="00587B71">
        <w:rPr>
          <w:rFonts w:ascii="Arial" w:eastAsia="Times New Roman" w:hAnsi="Arial" w:cs="Arial"/>
          <w:color w:val="000000"/>
          <w:sz w:val="24"/>
          <w:szCs w:val="24"/>
          <w:vertAlign w:val="subscript"/>
          <w:lang w:val="ro-RO"/>
        </w:rPr>
        <w:t>2</w:t>
      </w:r>
      <w:r w:rsidRPr="00587B71">
        <w:rPr>
          <w:rFonts w:ascii="Arial" w:eastAsia="Times New Roman" w:hAnsi="Arial" w:cs="Arial"/>
          <w:color w:val="000000"/>
          <w:sz w:val="24"/>
          <w:szCs w:val="24"/>
          <w:lang w:val="ro-RO"/>
        </w:rPr>
        <w:t>, SO</w:t>
      </w:r>
      <w:r w:rsidRPr="00587B71">
        <w:rPr>
          <w:rFonts w:ascii="Arial" w:eastAsia="Times New Roman" w:hAnsi="Arial" w:cs="Arial"/>
          <w:color w:val="000000"/>
          <w:sz w:val="24"/>
          <w:szCs w:val="24"/>
          <w:vertAlign w:val="subscript"/>
          <w:lang w:val="ro-RO"/>
        </w:rPr>
        <w:t>2</w:t>
      </w:r>
      <w:r w:rsidRPr="00587B71">
        <w:rPr>
          <w:rFonts w:ascii="Arial" w:eastAsia="Times New Roman" w:hAnsi="Arial" w:cs="Arial"/>
          <w:color w:val="000000"/>
          <w:sz w:val="24"/>
          <w:szCs w:val="24"/>
          <w:lang w:val="ro-RO"/>
        </w:rPr>
        <w:t>, CO, O</w:t>
      </w:r>
      <w:r w:rsidRPr="00587B71">
        <w:rPr>
          <w:rFonts w:ascii="Arial" w:eastAsia="Times New Roman" w:hAnsi="Arial" w:cs="Arial"/>
          <w:color w:val="000000"/>
          <w:sz w:val="24"/>
          <w:szCs w:val="24"/>
          <w:vertAlign w:val="subscript"/>
          <w:lang w:val="ro-RO"/>
        </w:rPr>
        <w:t>3</w:t>
      </w:r>
      <w:r w:rsidRPr="00587B71">
        <w:rPr>
          <w:rFonts w:ascii="Arial" w:eastAsia="Times New Roman" w:hAnsi="Arial" w:cs="Arial"/>
          <w:color w:val="000000"/>
          <w:sz w:val="24"/>
          <w:szCs w:val="24"/>
          <w:lang w:val="ro-RO"/>
        </w:rPr>
        <w:t>, pulberi în suspensie şi benzen în perioada 2008-2014 sunt reprezentate mai jos:</w:t>
      </w:r>
    </w:p>
    <w:p w:rsidR="00587B71" w:rsidRPr="00587B71" w:rsidRDefault="00587B71" w:rsidP="00587B71">
      <w:pPr>
        <w:spacing w:after="0" w:line="240" w:lineRule="auto"/>
        <w:jc w:val="both"/>
        <w:rPr>
          <w:rFonts w:ascii="Arial" w:eastAsia="Times New Roman" w:hAnsi="Arial" w:cs="Arial"/>
          <w:color w:val="FF0000"/>
          <w:sz w:val="24"/>
          <w:szCs w:val="24"/>
          <w:lang w:val="ro-RO"/>
        </w:rPr>
      </w:pPr>
    </w:p>
    <w:p w:rsidR="00587B71" w:rsidRPr="00587B71" w:rsidRDefault="00587B71" w:rsidP="00587B71">
      <w:pPr>
        <w:tabs>
          <w:tab w:val="left" w:pos="-952"/>
        </w:tabs>
        <w:spacing w:after="0" w:line="240" w:lineRule="auto"/>
        <w:ind w:right="-341"/>
        <w:rPr>
          <w:rFonts w:ascii="Arial" w:eastAsia="Times New Roman" w:hAnsi="Arial" w:cs="Arial"/>
          <w:color w:val="000000"/>
          <w:sz w:val="24"/>
          <w:szCs w:val="24"/>
          <w:lang w:val="ro-RO"/>
        </w:rPr>
      </w:pPr>
      <w:r w:rsidRPr="00587B71">
        <w:rPr>
          <w:rFonts w:ascii="Times New Roman" w:eastAsia="Times New Roman" w:hAnsi="Times New Roman" w:cs="Times New Roman"/>
          <w:color w:val="FF0000"/>
          <w:sz w:val="24"/>
          <w:szCs w:val="24"/>
          <w:lang w:val="ro-RO"/>
        </w:rPr>
        <w:t xml:space="preserve"> </w:t>
      </w:r>
      <w:r w:rsidRPr="00587B71">
        <w:rPr>
          <w:rFonts w:ascii="Arial" w:eastAsia="Times New Roman" w:hAnsi="Arial" w:cs="Arial"/>
          <w:color w:val="FF0000"/>
          <w:sz w:val="24"/>
          <w:szCs w:val="24"/>
          <w:lang w:val="ro-RO"/>
        </w:rPr>
        <w:t xml:space="preserve">         </w:t>
      </w:r>
      <w:r w:rsidRPr="00587B71">
        <w:rPr>
          <w:rFonts w:ascii="Arial" w:eastAsia="Times New Roman" w:hAnsi="Arial" w:cs="Arial"/>
          <w:color w:val="000000"/>
          <w:sz w:val="24"/>
          <w:szCs w:val="24"/>
          <w:lang w:val="ro-RO"/>
        </w:rPr>
        <w:t xml:space="preserve">Tabelul I.9. Evoluţia </w:t>
      </w:r>
      <w:r w:rsidRPr="00587B71">
        <w:rPr>
          <w:rFonts w:ascii="Arial" w:eastAsia="Times New Roman" w:hAnsi="Arial" w:cs="Arial"/>
          <w:bCs/>
          <w:color w:val="000000"/>
          <w:sz w:val="24"/>
          <w:szCs w:val="24"/>
          <w:lang w:val="ro-RO"/>
        </w:rPr>
        <w:t>calităţii aerului la indicatorul</w:t>
      </w:r>
      <w:r w:rsidRPr="00587B71">
        <w:rPr>
          <w:rFonts w:ascii="Arial" w:eastAsia="Times New Roman" w:hAnsi="Arial" w:cs="Arial"/>
          <w:bCs/>
          <w:i/>
          <w:color w:val="000000"/>
          <w:sz w:val="24"/>
          <w:szCs w:val="24"/>
          <w:lang w:val="ro-RO"/>
        </w:rPr>
        <w:t xml:space="preserve"> </w:t>
      </w:r>
      <w:r w:rsidRPr="00587B71">
        <w:rPr>
          <w:rFonts w:ascii="Arial" w:eastAsia="Times New Roman" w:hAnsi="Arial" w:cs="Arial"/>
          <w:bCs/>
          <w:color w:val="000000"/>
          <w:sz w:val="24"/>
          <w:szCs w:val="24"/>
          <w:lang w:val="ro-RO"/>
        </w:rPr>
        <w:t>dioxid de azot</w:t>
      </w:r>
      <w:r w:rsidRPr="00587B71">
        <w:rPr>
          <w:rFonts w:ascii="Arial" w:eastAsia="Times New Roman" w:hAnsi="Arial" w:cs="Arial"/>
          <w:bCs/>
          <w:i/>
          <w:color w:val="000000"/>
          <w:sz w:val="24"/>
          <w:szCs w:val="24"/>
          <w:lang w:val="ro-RO"/>
        </w:rPr>
        <w:t xml:space="preserve"> -</w:t>
      </w:r>
      <w:r w:rsidRPr="00587B71">
        <w:rPr>
          <w:rFonts w:ascii="Arial" w:eastAsia="Times New Roman" w:hAnsi="Arial" w:cs="Arial"/>
          <w:bCs/>
          <w:color w:val="000000"/>
          <w:sz w:val="24"/>
          <w:szCs w:val="24"/>
          <w:lang w:val="ro-RO"/>
        </w:rPr>
        <w:t>NO</w:t>
      </w:r>
      <w:r w:rsidRPr="00587B71">
        <w:rPr>
          <w:rFonts w:ascii="Arial" w:eastAsia="Times New Roman" w:hAnsi="Arial" w:cs="Arial"/>
          <w:color w:val="000000"/>
          <w:sz w:val="24"/>
          <w:szCs w:val="24"/>
          <w:vertAlign w:val="subscript"/>
          <w:lang w:val="ro-RO"/>
        </w:rPr>
        <w:t>2</w:t>
      </w:r>
      <w:r w:rsidRPr="00587B71">
        <w:rPr>
          <w:rFonts w:ascii="Arial" w:eastAsia="Times New Roman" w:hAnsi="Arial" w:cs="Arial"/>
          <w:color w:val="000000"/>
          <w:sz w:val="24"/>
          <w:szCs w:val="24"/>
          <w:lang w:val="ro-RO"/>
        </w:rPr>
        <w:t xml:space="preserve">    </w:t>
      </w:r>
    </w:p>
    <w:tbl>
      <w:tblPr>
        <w:tblW w:w="0" w:type="auto"/>
        <w:jc w:val="center"/>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0"/>
        <w:gridCol w:w="1596"/>
        <w:gridCol w:w="1033"/>
        <w:gridCol w:w="1059"/>
        <w:gridCol w:w="1058"/>
        <w:gridCol w:w="1029"/>
        <w:gridCol w:w="1052"/>
        <w:gridCol w:w="1052"/>
        <w:gridCol w:w="1047"/>
        <w:gridCol w:w="10"/>
      </w:tblGrid>
      <w:tr w:rsidR="00587B71" w:rsidRPr="00587B71" w:rsidTr="00587B71">
        <w:trPr>
          <w:gridAfter w:val="1"/>
          <w:wAfter w:w="10" w:type="dxa"/>
          <w:trHeight w:val="261"/>
          <w:jc w:val="center"/>
        </w:trPr>
        <w:tc>
          <w:tcPr>
            <w:tcW w:w="1160" w:type="dxa"/>
            <w:vMerge w:val="restart"/>
            <w:vAlign w:val="center"/>
          </w:tcPr>
          <w:p w:rsidR="00587B71" w:rsidRPr="00587B71" w:rsidRDefault="00587B71" w:rsidP="00587B71">
            <w:pPr>
              <w:autoSpaceDE w:val="0"/>
              <w:autoSpaceDN w:val="0"/>
              <w:adjustRightInd w:val="0"/>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Staţia</w:t>
            </w:r>
          </w:p>
        </w:tc>
        <w:tc>
          <w:tcPr>
            <w:tcW w:w="9122" w:type="dxa"/>
            <w:gridSpan w:val="8"/>
          </w:tcPr>
          <w:p w:rsidR="00587B71" w:rsidRPr="00587B71" w:rsidRDefault="00587B71" w:rsidP="00587B71">
            <w:pPr>
              <w:autoSpaceDE w:val="0"/>
              <w:autoSpaceDN w:val="0"/>
              <w:adjustRightInd w:val="0"/>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Concentraţia medie anuală  NO</w:t>
            </w:r>
            <w:r w:rsidRPr="00587B71">
              <w:rPr>
                <w:rFonts w:ascii="Arial" w:eastAsia="Times New Roman" w:hAnsi="Arial" w:cs="Arial"/>
                <w:b/>
                <w:color w:val="000000"/>
                <w:sz w:val="24"/>
                <w:szCs w:val="24"/>
                <w:vertAlign w:val="subscript"/>
                <w:lang w:val="pt-BR"/>
              </w:rPr>
              <w:t>2</w:t>
            </w:r>
            <w:r w:rsidRPr="00587B71">
              <w:rPr>
                <w:rFonts w:ascii="Arial" w:eastAsia="Times New Roman" w:hAnsi="Arial" w:cs="Arial"/>
                <w:b/>
                <w:color w:val="000000"/>
                <w:sz w:val="24"/>
                <w:szCs w:val="24"/>
                <w:lang w:val="pt-BR"/>
              </w:rPr>
              <w:t xml:space="preserve"> ( </w:t>
            </w:r>
            <w:r w:rsidRPr="00587B71">
              <w:rPr>
                <w:rFonts w:ascii="Arial" w:eastAsia="Times New Roman" w:hAnsi="Arial" w:cs="Arial"/>
                <w:b/>
                <w:color w:val="000000"/>
                <w:sz w:val="24"/>
                <w:szCs w:val="24"/>
                <w:lang w:val="it-IT"/>
              </w:rPr>
              <w:t>μ</w:t>
            </w:r>
            <w:r w:rsidRPr="00587B71">
              <w:rPr>
                <w:rFonts w:ascii="Arial" w:eastAsia="Times New Roman" w:hAnsi="Arial" w:cs="Arial"/>
                <w:b/>
                <w:color w:val="000000"/>
                <w:sz w:val="24"/>
                <w:szCs w:val="24"/>
                <w:lang w:val="pt-BR"/>
              </w:rPr>
              <w:t>g/mc )</w:t>
            </w:r>
          </w:p>
        </w:tc>
      </w:tr>
      <w:tr w:rsidR="00587B71" w:rsidRPr="00587B71" w:rsidTr="00587B71">
        <w:trPr>
          <w:trHeight w:val="346"/>
          <w:jc w:val="center"/>
        </w:trPr>
        <w:tc>
          <w:tcPr>
            <w:tcW w:w="1160" w:type="dxa"/>
            <w:vMerge/>
          </w:tcPr>
          <w:p w:rsidR="00587B71" w:rsidRPr="00587B71" w:rsidRDefault="00587B71" w:rsidP="00587B71">
            <w:pPr>
              <w:autoSpaceDE w:val="0"/>
              <w:autoSpaceDN w:val="0"/>
              <w:adjustRightInd w:val="0"/>
              <w:spacing w:after="0" w:line="240" w:lineRule="auto"/>
              <w:jc w:val="both"/>
              <w:rPr>
                <w:rFonts w:ascii="Arial" w:eastAsia="Times New Roman" w:hAnsi="Arial" w:cs="Arial"/>
                <w:color w:val="000000"/>
                <w:sz w:val="24"/>
                <w:szCs w:val="24"/>
                <w:lang w:val="pt-BR"/>
              </w:rPr>
            </w:pPr>
          </w:p>
        </w:tc>
        <w:tc>
          <w:tcPr>
            <w:tcW w:w="1652" w:type="dxa"/>
            <w:vAlign w:val="center"/>
          </w:tcPr>
          <w:p w:rsidR="00587B71" w:rsidRPr="00587B71" w:rsidRDefault="00587B71" w:rsidP="00587B71">
            <w:pPr>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2008</w:t>
            </w:r>
          </w:p>
        </w:tc>
        <w:tc>
          <w:tcPr>
            <w:tcW w:w="1053" w:type="dxa"/>
            <w:vAlign w:val="center"/>
          </w:tcPr>
          <w:p w:rsidR="00587B71" w:rsidRPr="00587B71" w:rsidRDefault="00587B71" w:rsidP="00587B71">
            <w:pPr>
              <w:autoSpaceDE w:val="0"/>
              <w:autoSpaceDN w:val="0"/>
              <w:adjustRightInd w:val="0"/>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2009</w:t>
            </w:r>
          </w:p>
        </w:tc>
        <w:tc>
          <w:tcPr>
            <w:tcW w:w="1081" w:type="dxa"/>
            <w:vAlign w:val="center"/>
          </w:tcPr>
          <w:p w:rsidR="00587B71" w:rsidRPr="00587B71" w:rsidRDefault="00587B71" w:rsidP="00587B71">
            <w:pPr>
              <w:autoSpaceDE w:val="0"/>
              <w:autoSpaceDN w:val="0"/>
              <w:adjustRightInd w:val="0"/>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2010</w:t>
            </w:r>
          </w:p>
        </w:tc>
        <w:tc>
          <w:tcPr>
            <w:tcW w:w="1075" w:type="dxa"/>
            <w:vAlign w:val="center"/>
          </w:tcPr>
          <w:p w:rsidR="00587B71" w:rsidRPr="00587B71" w:rsidRDefault="00587B71" w:rsidP="00587B71">
            <w:pPr>
              <w:autoSpaceDE w:val="0"/>
              <w:autoSpaceDN w:val="0"/>
              <w:adjustRightInd w:val="0"/>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2011</w:t>
            </w:r>
          </w:p>
        </w:tc>
        <w:tc>
          <w:tcPr>
            <w:tcW w:w="1049" w:type="dxa"/>
            <w:vAlign w:val="center"/>
          </w:tcPr>
          <w:p w:rsidR="00587B71" w:rsidRPr="00587B71" w:rsidRDefault="00587B71" w:rsidP="00587B71">
            <w:pPr>
              <w:autoSpaceDE w:val="0"/>
              <w:autoSpaceDN w:val="0"/>
              <w:adjustRightInd w:val="0"/>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2012</w:t>
            </w:r>
          </w:p>
        </w:tc>
        <w:tc>
          <w:tcPr>
            <w:tcW w:w="1074" w:type="dxa"/>
            <w:vAlign w:val="center"/>
          </w:tcPr>
          <w:p w:rsidR="00587B71" w:rsidRPr="00587B71" w:rsidRDefault="00587B71" w:rsidP="00587B71">
            <w:pPr>
              <w:autoSpaceDE w:val="0"/>
              <w:autoSpaceDN w:val="0"/>
              <w:adjustRightInd w:val="0"/>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2013</w:t>
            </w:r>
          </w:p>
        </w:tc>
        <w:tc>
          <w:tcPr>
            <w:tcW w:w="1074"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2014</w:t>
            </w:r>
          </w:p>
        </w:tc>
        <w:tc>
          <w:tcPr>
            <w:tcW w:w="1074" w:type="dxa"/>
            <w:gridSpan w:val="2"/>
          </w:tcPr>
          <w:p w:rsidR="00587B71" w:rsidRPr="00587B71" w:rsidRDefault="00587B71" w:rsidP="00587B71">
            <w:pPr>
              <w:autoSpaceDE w:val="0"/>
              <w:autoSpaceDN w:val="0"/>
              <w:adjustRightInd w:val="0"/>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2015</w:t>
            </w:r>
          </w:p>
        </w:tc>
      </w:tr>
      <w:tr w:rsidR="00587B71" w:rsidRPr="00587B71" w:rsidTr="00587B71">
        <w:trPr>
          <w:jc w:val="center"/>
        </w:trPr>
        <w:tc>
          <w:tcPr>
            <w:tcW w:w="1160" w:type="dxa"/>
          </w:tcPr>
          <w:p w:rsidR="00587B71" w:rsidRPr="00587B71" w:rsidRDefault="00587B71" w:rsidP="00587B71">
            <w:pPr>
              <w:autoSpaceDE w:val="0"/>
              <w:autoSpaceDN w:val="0"/>
              <w:adjustRightInd w:val="0"/>
              <w:spacing w:after="0" w:line="240" w:lineRule="auto"/>
              <w:jc w:val="both"/>
              <w:rPr>
                <w:rFonts w:ascii="Arial" w:eastAsia="Times New Roman" w:hAnsi="Arial" w:cs="Arial"/>
                <w:color w:val="000000"/>
                <w:sz w:val="24"/>
                <w:szCs w:val="24"/>
                <w:lang w:val="pt-BR"/>
              </w:rPr>
            </w:pPr>
            <w:r w:rsidRPr="00587B71">
              <w:rPr>
                <w:rFonts w:ascii="Arial" w:eastAsia="Times New Roman" w:hAnsi="Arial" w:cs="Arial"/>
                <w:color w:val="000000"/>
                <w:sz w:val="24"/>
                <w:szCs w:val="24"/>
                <w:lang w:val="pt-BR"/>
              </w:rPr>
              <w:t>VS1</w:t>
            </w:r>
          </w:p>
        </w:tc>
        <w:tc>
          <w:tcPr>
            <w:tcW w:w="1652" w:type="dxa"/>
            <w:vAlign w:val="center"/>
          </w:tcPr>
          <w:p w:rsidR="00587B71" w:rsidRPr="00587B71" w:rsidRDefault="00587B71" w:rsidP="00587B71">
            <w:pPr>
              <w:spacing w:after="0" w:line="240" w:lineRule="auto"/>
              <w:jc w:val="center"/>
              <w:rPr>
                <w:rFonts w:ascii="Arial" w:eastAsia="Times New Roman" w:hAnsi="Arial" w:cs="Arial"/>
                <w:color w:val="000000"/>
                <w:sz w:val="24"/>
                <w:szCs w:val="24"/>
                <w:lang w:val="pt-BR"/>
              </w:rPr>
            </w:pPr>
            <w:r w:rsidRPr="00587B71">
              <w:rPr>
                <w:rFonts w:ascii="Arial" w:eastAsia="Times New Roman" w:hAnsi="Arial" w:cs="Arial"/>
                <w:color w:val="000000"/>
                <w:sz w:val="24"/>
                <w:szCs w:val="24"/>
                <w:lang w:val="pt-BR"/>
              </w:rPr>
              <w:t>11,08</w:t>
            </w:r>
          </w:p>
        </w:tc>
        <w:tc>
          <w:tcPr>
            <w:tcW w:w="1053" w:type="dxa"/>
            <w:vAlign w:val="center"/>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4"/>
                <w:szCs w:val="24"/>
                <w:lang w:val="pt-BR"/>
              </w:rPr>
            </w:pPr>
            <w:r w:rsidRPr="00587B71">
              <w:rPr>
                <w:rFonts w:ascii="Arial" w:eastAsia="Times New Roman" w:hAnsi="Arial" w:cs="Arial"/>
                <w:color w:val="000000"/>
                <w:sz w:val="24"/>
                <w:szCs w:val="24"/>
                <w:lang w:val="pt-BR"/>
              </w:rPr>
              <w:t>15</w:t>
            </w:r>
          </w:p>
        </w:tc>
        <w:tc>
          <w:tcPr>
            <w:tcW w:w="1081" w:type="dxa"/>
            <w:vAlign w:val="center"/>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w:t>
            </w:r>
          </w:p>
        </w:tc>
        <w:tc>
          <w:tcPr>
            <w:tcW w:w="1075" w:type="dxa"/>
            <w:vAlign w:val="center"/>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20,32</w:t>
            </w:r>
          </w:p>
        </w:tc>
        <w:tc>
          <w:tcPr>
            <w:tcW w:w="1049" w:type="dxa"/>
            <w:vAlign w:val="center"/>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w:t>
            </w:r>
          </w:p>
        </w:tc>
        <w:tc>
          <w:tcPr>
            <w:tcW w:w="1074"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w:t>
            </w:r>
          </w:p>
        </w:tc>
        <w:tc>
          <w:tcPr>
            <w:tcW w:w="1074"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w:t>
            </w:r>
          </w:p>
        </w:tc>
        <w:tc>
          <w:tcPr>
            <w:tcW w:w="1074" w:type="dxa"/>
            <w:gridSpan w:val="2"/>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14,43</w:t>
            </w:r>
          </w:p>
        </w:tc>
      </w:tr>
      <w:tr w:rsidR="00587B71" w:rsidRPr="00587B71" w:rsidTr="00587B71">
        <w:trPr>
          <w:jc w:val="center"/>
        </w:trPr>
        <w:tc>
          <w:tcPr>
            <w:tcW w:w="1160" w:type="dxa"/>
          </w:tcPr>
          <w:p w:rsidR="00587B71" w:rsidRPr="00587B71" w:rsidRDefault="00587B71" w:rsidP="00587B71">
            <w:pPr>
              <w:autoSpaceDE w:val="0"/>
              <w:autoSpaceDN w:val="0"/>
              <w:adjustRightInd w:val="0"/>
              <w:spacing w:after="0" w:line="240" w:lineRule="auto"/>
              <w:jc w:val="both"/>
              <w:rPr>
                <w:rFonts w:ascii="Arial" w:eastAsia="Times New Roman" w:hAnsi="Arial" w:cs="Arial"/>
                <w:color w:val="000000"/>
                <w:sz w:val="24"/>
                <w:szCs w:val="24"/>
                <w:lang w:val="pt-BR"/>
              </w:rPr>
            </w:pPr>
            <w:r w:rsidRPr="00587B71">
              <w:rPr>
                <w:rFonts w:ascii="Arial" w:eastAsia="Times New Roman" w:hAnsi="Arial" w:cs="Arial"/>
                <w:color w:val="000000"/>
                <w:sz w:val="24"/>
                <w:szCs w:val="24"/>
                <w:lang w:val="pt-BR"/>
              </w:rPr>
              <w:t>VS2</w:t>
            </w:r>
          </w:p>
        </w:tc>
        <w:tc>
          <w:tcPr>
            <w:tcW w:w="1652" w:type="dxa"/>
            <w:vAlign w:val="center"/>
          </w:tcPr>
          <w:p w:rsidR="00587B71" w:rsidRPr="00587B71" w:rsidRDefault="00587B71" w:rsidP="00587B71">
            <w:pPr>
              <w:spacing w:after="0" w:line="240" w:lineRule="auto"/>
              <w:jc w:val="center"/>
              <w:rPr>
                <w:rFonts w:ascii="Arial" w:eastAsia="Times New Roman" w:hAnsi="Arial" w:cs="Arial"/>
                <w:color w:val="000000"/>
                <w:sz w:val="24"/>
                <w:szCs w:val="24"/>
                <w:lang w:val="pt-BR"/>
              </w:rPr>
            </w:pPr>
            <w:r w:rsidRPr="00587B71">
              <w:rPr>
                <w:rFonts w:ascii="Arial" w:eastAsia="Times New Roman" w:hAnsi="Arial" w:cs="Arial"/>
                <w:color w:val="000000"/>
                <w:sz w:val="24"/>
                <w:szCs w:val="24"/>
                <w:lang w:val="pt-BR"/>
              </w:rPr>
              <w:t>-</w:t>
            </w:r>
          </w:p>
        </w:tc>
        <w:tc>
          <w:tcPr>
            <w:tcW w:w="1053" w:type="dxa"/>
            <w:vAlign w:val="center"/>
          </w:tcPr>
          <w:p w:rsidR="00587B71" w:rsidRPr="00587B71" w:rsidRDefault="00587B71" w:rsidP="00587B71">
            <w:pPr>
              <w:spacing w:after="0" w:line="240" w:lineRule="auto"/>
              <w:jc w:val="center"/>
              <w:rPr>
                <w:rFonts w:ascii="Arial" w:eastAsia="Times New Roman" w:hAnsi="Arial" w:cs="Arial"/>
                <w:color w:val="000000"/>
                <w:sz w:val="24"/>
                <w:szCs w:val="24"/>
                <w:lang w:val="pt-BR"/>
              </w:rPr>
            </w:pPr>
            <w:r w:rsidRPr="00587B71">
              <w:rPr>
                <w:rFonts w:ascii="Arial" w:eastAsia="Times New Roman" w:hAnsi="Arial" w:cs="Arial"/>
                <w:color w:val="000000"/>
                <w:sz w:val="24"/>
                <w:szCs w:val="24"/>
                <w:lang w:val="pt-BR"/>
              </w:rPr>
              <w:t>-</w:t>
            </w:r>
          </w:p>
        </w:tc>
        <w:tc>
          <w:tcPr>
            <w:tcW w:w="1081" w:type="dxa"/>
            <w:vAlign w:val="center"/>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4"/>
                <w:szCs w:val="24"/>
                <w:lang w:val="pt-BR"/>
              </w:rPr>
            </w:pPr>
            <w:r w:rsidRPr="00587B71">
              <w:rPr>
                <w:rFonts w:ascii="Arial" w:eastAsia="Times New Roman" w:hAnsi="Arial" w:cs="Arial"/>
                <w:color w:val="000000"/>
                <w:sz w:val="24"/>
                <w:szCs w:val="24"/>
                <w:lang w:val="pt-BR"/>
              </w:rPr>
              <w:t>-</w:t>
            </w:r>
          </w:p>
        </w:tc>
        <w:tc>
          <w:tcPr>
            <w:tcW w:w="1075" w:type="dxa"/>
            <w:vAlign w:val="center"/>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w:t>
            </w:r>
          </w:p>
        </w:tc>
        <w:tc>
          <w:tcPr>
            <w:tcW w:w="1049" w:type="dxa"/>
            <w:vAlign w:val="center"/>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w:t>
            </w:r>
          </w:p>
        </w:tc>
        <w:tc>
          <w:tcPr>
            <w:tcW w:w="1074"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w:t>
            </w:r>
          </w:p>
        </w:tc>
        <w:tc>
          <w:tcPr>
            <w:tcW w:w="1074"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w:t>
            </w:r>
          </w:p>
        </w:tc>
        <w:tc>
          <w:tcPr>
            <w:tcW w:w="1074" w:type="dxa"/>
            <w:gridSpan w:val="2"/>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w:t>
            </w:r>
          </w:p>
        </w:tc>
      </w:tr>
    </w:tbl>
    <w:p w:rsidR="00587B71" w:rsidRPr="00587B71" w:rsidRDefault="00587B71" w:rsidP="00587B71">
      <w:pPr>
        <w:tabs>
          <w:tab w:val="left" w:pos="2295"/>
        </w:tabs>
        <w:spacing w:after="0" w:line="240" w:lineRule="auto"/>
        <w:jc w:val="center"/>
        <w:rPr>
          <w:rFonts w:ascii="Arial" w:eastAsia="Times New Roman" w:hAnsi="Arial" w:cs="Arial"/>
          <w:i/>
          <w:iCs/>
          <w:color w:val="FF0000"/>
          <w:sz w:val="24"/>
          <w:szCs w:val="24"/>
          <w:lang w:val="ro-RO"/>
        </w:rPr>
      </w:pPr>
      <w:r>
        <w:rPr>
          <w:rFonts w:ascii="Arial" w:eastAsia="Times New Roman" w:hAnsi="Arial" w:cs="Arial"/>
          <w:i/>
          <w:iCs/>
          <w:noProof/>
          <w:color w:val="FF0000"/>
          <w:sz w:val="24"/>
          <w:szCs w:val="24"/>
        </w:rPr>
        <w:lastRenderedPageBreak/>
        <w:drawing>
          <wp:inline distT="0" distB="0" distL="0" distR="0">
            <wp:extent cx="5067300" cy="2295525"/>
            <wp:effectExtent l="0" t="0" r="0" b="0"/>
            <wp:docPr id="185" name="Chart 18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87B71" w:rsidRPr="00587B71" w:rsidRDefault="00587B71" w:rsidP="00587B71">
      <w:pPr>
        <w:spacing w:after="12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Figura I.3.- Evoluţia anuală a concentraţiei de NO</w:t>
      </w:r>
      <w:r w:rsidRPr="00587B71">
        <w:rPr>
          <w:rFonts w:ascii="Arial" w:eastAsia="Times New Roman" w:hAnsi="Arial" w:cs="Arial"/>
          <w:color w:val="000000"/>
          <w:sz w:val="24"/>
          <w:szCs w:val="24"/>
          <w:vertAlign w:val="subscript"/>
        </w:rPr>
        <w:t>2</w:t>
      </w:r>
      <w:r w:rsidRPr="00587B71">
        <w:rPr>
          <w:rFonts w:ascii="Arial" w:eastAsia="Times New Roman" w:hAnsi="Arial" w:cs="Arial"/>
          <w:color w:val="000000"/>
          <w:sz w:val="24"/>
          <w:szCs w:val="24"/>
        </w:rPr>
        <w:t>, în perioada 2008 – 2015.</w:t>
      </w:r>
    </w:p>
    <w:p w:rsidR="00587B71" w:rsidRPr="00587B71" w:rsidRDefault="00587B71" w:rsidP="00587B71">
      <w:pPr>
        <w:tabs>
          <w:tab w:val="left" w:pos="2295"/>
        </w:tabs>
        <w:spacing w:after="0" w:line="240" w:lineRule="auto"/>
        <w:jc w:val="both"/>
        <w:rPr>
          <w:rFonts w:ascii="Arial" w:eastAsia="Times New Roman" w:hAnsi="Arial" w:cs="Arial"/>
          <w:iCs/>
          <w:color w:val="FF0000"/>
          <w:sz w:val="24"/>
          <w:szCs w:val="24"/>
          <w:lang w:val="ro-RO"/>
        </w:rPr>
      </w:pPr>
    </w:p>
    <w:p w:rsidR="00587B71" w:rsidRPr="00587B71" w:rsidRDefault="00587B71" w:rsidP="00587B71">
      <w:pPr>
        <w:tabs>
          <w:tab w:val="left" w:pos="540"/>
        </w:tabs>
        <w:spacing w:after="0" w:line="240" w:lineRule="auto"/>
        <w:ind w:right="-143"/>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 xml:space="preserve">         Tabelul I.10. Evoluţia </w:t>
      </w:r>
      <w:r w:rsidRPr="00587B71">
        <w:rPr>
          <w:rFonts w:ascii="Arial" w:eastAsia="Times New Roman" w:hAnsi="Arial" w:cs="Arial"/>
          <w:bCs/>
          <w:color w:val="000000"/>
          <w:sz w:val="24"/>
          <w:szCs w:val="24"/>
          <w:lang w:val="ro-RO"/>
        </w:rPr>
        <w:t>calităţii aerului la indicatorul</w:t>
      </w:r>
      <w:r w:rsidRPr="00587B71">
        <w:rPr>
          <w:rFonts w:ascii="Arial" w:eastAsia="Times New Roman" w:hAnsi="Arial" w:cs="Arial"/>
          <w:bCs/>
          <w:i/>
          <w:color w:val="000000"/>
          <w:sz w:val="24"/>
          <w:szCs w:val="24"/>
          <w:lang w:val="ro-RO"/>
        </w:rPr>
        <w:t xml:space="preserve"> </w:t>
      </w:r>
      <w:r w:rsidRPr="00587B71">
        <w:rPr>
          <w:rFonts w:ascii="Arial" w:eastAsia="Times New Roman" w:hAnsi="Arial" w:cs="Arial"/>
          <w:bCs/>
          <w:color w:val="000000"/>
          <w:sz w:val="24"/>
          <w:szCs w:val="24"/>
          <w:lang w:val="ro-RO"/>
        </w:rPr>
        <w:t>dioxid de sulf-</w:t>
      </w:r>
      <w:r w:rsidRPr="00587B71">
        <w:rPr>
          <w:rFonts w:ascii="Arial" w:eastAsia="Times New Roman" w:hAnsi="Arial" w:cs="Arial"/>
          <w:bCs/>
          <w:i/>
          <w:color w:val="000000"/>
          <w:sz w:val="24"/>
          <w:szCs w:val="24"/>
          <w:lang w:val="ro-RO"/>
        </w:rPr>
        <w:t xml:space="preserve"> </w:t>
      </w:r>
      <w:r w:rsidRPr="00587B71">
        <w:rPr>
          <w:rFonts w:ascii="Arial" w:eastAsia="Times New Roman" w:hAnsi="Arial" w:cs="Arial"/>
          <w:color w:val="000000"/>
          <w:sz w:val="24"/>
          <w:szCs w:val="24"/>
          <w:lang w:val="ro-RO"/>
        </w:rPr>
        <w:t>SO</w:t>
      </w:r>
      <w:r w:rsidRPr="00587B71">
        <w:rPr>
          <w:rFonts w:ascii="Arial" w:eastAsia="Times New Roman" w:hAnsi="Arial" w:cs="Arial"/>
          <w:color w:val="000000"/>
          <w:sz w:val="24"/>
          <w:szCs w:val="24"/>
          <w:vertAlign w:val="subscript"/>
          <w:lang w:val="ro-RO"/>
        </w:rPr>
        <w:t>2</w:t>
      </w:r>
      <w:r w:rsidRPr="00587B71">
        <w:rPr>
          <w:rFonts w:ascii="Arial" w:eastAsia="Times New Roman" w:hAnsi="Arial" w:cs="Arial"/>
          <w:color w:val="000000"/>
          <w:sz w:val="24"/>
          <w:szCs w:val="24"/>
          <w:lang w:val="ro-RO"/>
        </w:rPr>
        <w:t xml:space="preserve">     </w:t>
      </w:r>
    </w:p>
    <w:tbl>
      <w:tblPr>
        <w:tblW w:w="8262" w:type="dxa"/>
        <w:jc w:val="center"/>
        <w:tblInd w:w="2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
        <w:gridCol w:w="1357"/>
        <w:gridCol w:w="843"/>
        <w:gridCol w:w="843"/>
        <w:gridCol w:w="854"/>
        <w:gridCol w:w="850"/>
        <w:gridCol w:w="899"/>
        <w:gridCol w:w="867"/>
        <w:gridCol w:w="740"/>
        <w:gridCol w:w="10"/>
      </w:tblGrid>
      <w:tr w:rsidR="00587B71" w:rsidRPr="00587B71" w:rsidTr="00587B71">
        <w:trPr>
          <w:gridAfter w:val="1"/>
          <w:wAfter w:w="10" w:type="dxa"/>
          <w:jc w:val="center"/>
        </w:trPr>
        <w:tc>
          <w:tcPr>
            <w:tcW w:w="999" w:type="dxa"/>
            <w:vMerge w:val="restart"/>
            <w:vAlign w:val="center"/>
          </w:tcPr>
          <w:p w:rsidR="00587B71" w:rsidRPr="00587B71" w:rsidRDefault="00587B71" w:rsidP="00587B71">
            <w:pPr>
              <w:autoSpaceDE w:val="0"/>
              <w:autoSpaceDN w:val="0"/>
              <w:adjustRightInd w:val="0"/>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Staţia</w:t>
            </w:r>
          </w:p>
        </w:tc>
        <w:tc>
          <w:tcPr>
            <w:tcW w:w="7253" w:type="dxa"/>
            <w:gridSpan w:val="8"/>
          </w:tcPr>
          <w:p w:rsidR="00587B71" w:rsidRPr="00587B71" w:rsidRDefault="00587B71" w:rsidP="00587B71">
            <w:pPr>
              <w:autoSpaceDE w:val="0"/>
              <w:autoSpaceDN w:val="0"/>
              <w:adjustRightInd w:val="0"/>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Concentraţia medie anuală  SO</w:t>
            </w:r>
            <w:r w:rsidRPr="00587B71">
              <w:rPr>
                <w:rFonts w:ascii="Arial" w:eastAsia="Times New Roman" w:hAnsi="Arial" w:cs="Arial"/>
                <w:b/>
                <w:color w:val="000000"/>
                <w:sz w:val="24"/>
                <w:szCs w:val="24"/>
                <w:vertAlign w:val="subscript"/>
                <w:lang w:val="pt-BR"/>
              </w:rPr>
              <w:t>2</w:t>
            </w:r>
            <w:r w:rsidRPr="00587B71">
              <w:rPr>
                <w:rFonts w:ascii="Arial" w:eastAsia="Times New Roman" w:hAnsi="Arial" w:cs="Arial"/>
                <w:b/>
                <w:color w:val="000000"/>
                <w:sz w:val="24"/>
                <w:szCs w:val="24"/>
                <w:lang w:val="pt-BR"/>
              </w:rPr>
              <w:t xml:space="preserve"> ( </w:t>
            </w:r>
            <w:r w:rsidRPr="00587B71">
              <w:rPr>
                <w:rFonts w:ascii="Arial" w:eastAsia="Times New Roman" w:hAnsi="Arial" w:cs="Arial"/>
                <w:b/>
                <w:color w:val="000000"/>
                <w:sz w:val="24"/>
                <w:szCs w:val="24"/>
                <w:lang w:val="it-IT"/>
              </w:rPr>
              <w:t>μ</w:t>
            </w:r>
            <w:r w:rsidRPr="00587B71">
              <w:rPr>
                <w:rFonts w:ascii="Arial" w:eastAsia="Times New Roman" w:hAnsi="Arial" w:cs="Arial"/>
                <w:b/>
                <w:color w:val="000000"/>
                <w:sz w:val="24"/>
                <w:szCs w:val="24"/>
                <w:lang w:val="pt-BR"/>
              </w:rPr>
              <w:t>g/mc )</w:t>
            </w:r>
          </w:p>
        </w:tc>
      </w:tr>
      <w:tr w:rsidR="00587B71" w:rsidRPr="00587B71" w:rsidTr="00587B71">
        <w:trPr>
          <w:trHeight w:val="361"/>
          <w:jc w:val="center"/>
        </w:trPr>
        <w:tc>
          <w:tcPr>
            <w:tcW w:w="999" w:type="dxa"/>
            <w:vMerge/>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4"/>
                <w:szCs w:val="24"/>
                <w:lang w:val="pt-BR"/>
              </w:rPr>
            </w:pPr>
          </w:p>
        </w:tc>
        <w:tc>
          <w:tcPr>
            <w:tcW w:w="1357" w:type="dxa"/>
            <w:vAlign w:val="center"/>
          </w:tcPr>
          <w:p w:rsidR="00587B71" w:rsidRPr="00587B71" w:rsidRDefault="00587B71" w:rsidP="00587B71">
            <w:pPr>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2008</w:t>
            </w:r>
          </w:p>
        </w:tc>
        <w:tc>
          <w:tcPr>
            <w:tcW w:w="843" w:type="dxa"/>
            <w:vAlign w:val="center"/>
          </w:tcPr>
          <w:p w:rsidR="00587B71" w:rsidRPr="00587B71" w:rsidRDefault="00587B71" w:rsidP="00587B71">
            <w:pPr>
              <w:autoSpaceDE w:val="0"/>
              <w:autoSpaceDN w:val="0"/>
              <w:adjustRightInd w:val="0"/>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2009</w:t>
            </w:r>
          </w:p>
        </w:tc>
        <w:tc>
          <w:tcPr>
            <w:tcW w:w="843" w:type="dxa"/>
            <w:vAlign w:val="center"/>
          </w:tcPr>
          <w:p w:rsidR="00587B71" w:rsidRPr="00587B71" w:rsidRDefault="00587B71" w:rsidP="00587B71">
            <w:pPr>
              <w:autoSpaceDE w:val="0"/>
              <w:autoSpaceDN w:val="0"/>
              <w:adjustRightInd w:val="0"/>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2010</w:t>
            </w:r>
          </w:p>
        </w:tc>
        <w:tc>
          <w:tcPr>
            <w:tcW w:w="854" w:type="dxa"/>
            <w:vAlign w:val="center"/>
          </w:tcPr>
          <w:p w:rsidR="00587B71" w:rsidRPr="00587B71" w:rsidRDefault="00587B71" w:rsidP="00587B71">
            <w:pPr>
              <w:autoSpaceDE w:val="0"/>
              <w:autoSpaceDN w:val="0"/>
              <w:adjustRightInd w:val="0"/>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2011</w:t>
            </w:r>
          </w:p>
        </w:tc>
        <w:tc>
          <w:tcPr>
            <w:tcW w:w="850" w:type="dxa"/>
            <w:vAlign w:val="center"/>
          </w:tcPr>
          <w:p w:rsidR="00587B71" w:rsidRPr="00587B71" w:rsidRDefault="00587B71" w:rsidP="00587B71">
            <w:pPr>
              <w:autoSpaceDE w:val="0"/>
              <w:autoSpaceDN w:val="0"/>
              <w:adjustRightInd w:val="0"/>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2012</w:t>
            </w:r>
          </w:p>
        </w:tc>
        <w:tc>
          <w:tcPr>
            <w:tcW w:w="899" w:type="dxa"/>
            <w:vAlign w:val="center"/>
          </w:tcPr>
          <w:p w:rsidR="00587B71" w:rsidRPr="00587B71" w:rsidRDefault="00587B71" w:rsidP="00587B71">
            <w:pPr>
              <w:autoSpaceDE w:val="0"/>
              <w:autoSpaceDN w:val="0"/>
              <w:adjustRightInd w:val="0"/>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2013</w:t>
            </w:r>
          </w:p>
        </w:tc>
        <w:tc>
          <w:tcPr>
            <w:tcW w:w="867" w:type="dxa"/>
            <w:vAlign w:val="center"/>
          </w:tcPr>
          <w:p w:rsidR="00587B71" w:rsidRPr="00587B71" w:rsidRDefault="00587B71" w:rsidP="00587B71">
            <w:pPr>
              <w:autoSpaceDE w:val="0"/>
              <w:autoSpaceDN w:val="0"/>
              <w:adjustRightInd w:val="0"/>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2014</w:t>
            </w:r>
          </w:p>
        </w:tc>
        <w:tc>
          <w:tcPr>
            <w:tcW w:w="750" w:type="dxa"/>
            <w:gridSpan w:val="2"/>
          </w:tcPr>
          <w:p w:rsidR="00587B71" w:rsidRPr="00587B71" w:rsidRDefault="00587B71" w:rsidP="00587B71">
            <w:pPr>
              <w:autoSpaceDE w:val="0"/>
              <w:autoSpaceDN w:val="0"/>
              <w:adjustRightInd w:val="0"/>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2015</w:t>
            </w:r>
          </w:p>
        </w:tc>
      </w:tr>
      <w:tr w:rsidR="00587B71" w:rsidRPr="00587B71" w:rsidTr="00587B71">
        <w:trPr>
          <w:jc w:val="center"/>
        </w:trPr>
        <w:tc>
          <w:tcPr>
            <w:tcW w:w="999"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4"/>
                <w:szCs w:val="24"/>
                <w:lang w:val="pt-BR"/>
              </w:rPr>
            </w:pPr>
            <w:r w:rsidRPr="00587B71">
              <w:rPr>
                <w:rFonts w:ascii="Arial" w:eastAsia="Times New Roman" w:hAnsi="Arial" w:cs="Arial"/>
                <w:color w:val="000000"/>
                <w:sz w:val="24"/>
                <w:szCs w:val="24"/>
                <w:lang w:val="pt-BR"/>
              </w:rPr>
              <w:t>VS1</w:t>
            </w:r>
          </w:p>
        </w:tc>
        <w:tc>
          <w:tcPr>
            <w:tcW w:w="1357" w:type="dxa"/>
          </w:tcPr>
          <w:p w:rsidR="00587B71" w:rsidRPr="00587B71" w:rsidRDefault="00587B71" w:rsidP="00587B71">
            <w:pPr>
              <w:spacing w:after="0" w:line="240" w:lineRule="auto"/>
              <w:ind w:left="-194" w:right="-80"/>
              <w:jc w:val="center"/>
              <w:rPr>
                <w:rFonts w:ascii="Arial" w:eastAsia="Times New Roman" w:hAnsi="Arial" w:cs="Arial"/>
                <w:color w:val="000000"/>
                <w:sz w:val="24"/>
                <w:szCs w:val="24"/>
              </w:rPr>
            </w:pPr>
            <w:r w:rsidRPr="00587B71">
              <w:rPr>
                <w:rFonts w:ascii="Arial" w:eastAsia="Times New Roman" w:hAnsi="Arial" w:cs="Arial"/>
                <w:color w:val="000000"/>
                <w:sz w:val="24"/>
                <w:szCs w:val="24"/>
              </w:rPr>
              <w:t>3,86</w:t>
            </w:r>
          </w:p>
        </w:tc>
        <w:tc>
          <w:tcPr>
            <w:tcW w:w="843" w:type="dxa"/>
          </w:tcPr>
          <w:p w:rsidR="00587B71" w:rsidRPr="00587B71" w:rsidRDefault="00587B71" w:rsidP="00587B71">
            <w:pPr>
              <w:spacing w:after="0" w:line="240" w:lineRule="auto"/>
              <w:ind w:right="-119"/>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6,24</w:t>
            </w:r>
          </w:p>
        </w:tc>
        <w:tc>
          <w:tcPr>
            <w:tcW w:w="843" w:type="dxa"/>
          </w:tcPr>
          <w:p w:rsidR="00587B71" w:rsidRPr="00587B71" w:rsidRDefault="00587B71" w:rsidP="00587B71">
            <w:pPr>
              <w:spacing w:after="0" w:line="240" w:lineRule="auto"/>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5,08</w:t>
            </w:r>
          </w:p>
        </w:tc>
        <w:tc>
          <w:tcPr>
            <w:tcW w:w="854" w:type="dxa"/>
            <w:vAlign w:val="center"/>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5,17</w:t>
            </w:r>
          </w:p>
        </w:tc>
        <w:tc>
          <w:tcPr>
            <w:tcW w:w="850" w:type="dxa"/>
            <w:vAlign w:val="center"/>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w:t>
            </w:r>
          </w:p>
        </w:tc>
        <w:tc>
          <w:tcPr>
            <w:tcW w:w="899"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w:t>
            </w:r>
          </w:p>
        </w:tc>
        <w:tc>
          <w:tcPr>
            <w:tcW w:w="867"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w:t>
            </w:r>
          </w:p>
        </w:tc>
        <w:tc>
          <w:tcPr>
            <w:tcW w:w="750" w:type="dxa"/>
            <w:gridSpan w:val="2"/>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w:t>
            </w:r>
          </w:p>
        </w:tc>
      </w:tr>
      <w:tr w:rsidR="00587B71" w:rsidRPr="00587B71" w:rsidTr="00587B71">
        <w:trPr>
          <w:jc w:val="center"/>
        </w:trPr>
        <w:tc>
          <w:tcPr>
            <w:tcW w:w="999"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4"/>
                <w:szCs w:val="24"/>
                <w:lang w:val="pt-BR"/>
              </w:rPr>
            </w:pPr>
            <w:r w:rsidRPr="00587B71">
              <w:rPr>
                <w:rFonts w:ascii="Arial" w:eastAsia="Times New Roman" w:hAnsi="Arial" w:cs="Arial"/>
                <w:color w:val="000000"/>
                <w:sz w:val="24"/>
                <w:szCs w:val="24"/>
                <w:lang w:val="pt-BR"/>
              </w:rPr>
              <w:t>VS2</w:t>
            </w:r>
          </w:p>
        </w:tc>
        <w:tc>
          <w:tcPr>
            <w:tcW w:w="1357" w:type="dxa"/>
            <w:vAlign w:val="center"/>
          </w:tcPr>
          <w:p w:rsidR="00587B71" w:rsidRPr="00587B71" w:rsidRDefault="00587B71" w:rsidP="00587B71">
            <w:pPr>
              <w:spacing w:after="0" w:line="240" w:lineRule="auto"/>
              <w:jc w:val="center"/>
              <w:rPr>
                <w:rFonts w:ascii="Arial" w:eastAsia="Times New Roman" w:hAnsi="Arial" w:cs="Arial"/>
                <w:color w:val="000000"/>
                <w:sz w:val="24"/>
                <w:szCs w:val="24"/>
                <w:lang w:val="pt-BR"/>
              </w:rPr>
            </w:pPr>
            <w:r w:rsidRPr="00587B71">
              <w:rPr>
                <w:rFonts w:ascii="Arial" w:eastAsia="Times New Roman" w:hAnsi="Arial" w:cs="Arial"/>
                <w:color w:val="000000"/>
                <w:sz w:val="24"/>
                <w:szCs w:val="24"/>
                <w:lang w:val="pt-BR"/>
              </w:rPr>
              <w:t>-</w:t>
            </w:r>
          </w:p>
        </w:tc>
        <w:tc>
          <w:tcPr>
            <w:tcW w:w="843" w:type="dxa"/>
            <w:vAlign w:val="center"/>
          </w:tcPr>
          <w:p w:rsidR="00587B71" w:rsidRPr="00587B71" w:rsidRDefault="00587B71" w:rsidP="00587B71">
            <w:pPr>
              <w:spacing w:after="0" w:line="240" w:lineRule="auto"/>
              <w:jc w:val="center"/>
              <w:rPr>
                <w:rFonts w:ascii="Arial" w:eastAsia="Times New Roman" w:hAnsi="Arial" w:cs="Arial"/>
                <w:color w:val="000000"/>
                <w:sz w:val="24"/>
                <w:szCs w:val="24"/>
                <w:lang w:val="pt-BR"/>
              </w:rPr>
            </w:pPr>
            <w:r w:rsidRPr="00587B71">
              <w:rPr>
                <w:rFonts w:ascii="Arial" w:eastAsia="Times New Roman" w:hAnsi="Arial" w:cs="Arial"/>
                <w:color w:val="000000"/>
                <w:sz w:val="24"/>
                <w:szCs w:val="24"/>
                <w:lang w:val="pt-BR"/>
              </w:rPr>
              <w:t>-</w:t>
            </w:r>
          </w:p>
        </w:tc>
        <w:tc>
          <w:tcPr>
            <w:tcW w:w="843" w:type="dxa"/>
            <w:vAlign w:val="center"/>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4"/>
                <w:szCs w:val="24"/>
                <w:lang w:val="pt-BR"/>
              </w:rPr>
            </w:pPr>
            <w:r w:rsidRPr="00587B71">
              <w:rPr>
                <w:rFonts w:ascii="Arial" w:eastAsia="Times New Roman" w:hAnsi="Arial" w:cs="Arial"/>
                <w:color w:val="000000"/>
                <w:sz w:val="24"/>
                <w:szCs w:val="24"/>
                <w:lang w:val="pt-BR"/>
              </w:rPr>
              <w:t>-</w:t>
            </w:r>
          </w:p>
        </w:tc>
        <w:tc>
          <w:tcPr>
            <w:tcW w:w="854" w:type="dxa"/>
            <w:vAlign w:val="center"/>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w:t>
            </w:r>
          </w:p>
        </w:tc>
        <w:tc>
          <w:tcPr>
            <w:tcW w:w="850" w:type="dxa"/>
            <w:vAlign w:val="center"/>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5,43</w:t>
            </w:r>
          </w:p>
        </w:tc>
        <w:tc>
          <w:tcPr>
            <w:tcW w:w="899"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w:t>
            </w:r>
          </w:p>
        </w:tc>
        <w:tc>
          <w:tcPr>
            <w:tcW w:w="867"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w:t>
            </w:r>
          </w:p>
        </w:tc>
        <w:tc>
          <w:tcPr>
            <w:tcW w:w="750" w:type="dxa"/>
            <w:gridSpan w:val="2"/>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w:t>
            </w:r>
          </w:p>
        </w:tc>
      </w:tr>
    </w:tbl>
    <w:p w:rsidR="00587B71" w:rsidRPr="00587B71" w:rsidRDefault="00587B71" w:rsidP="00587B71">
      <w:pPr>
        <w:autoSpaceDE w:val="0"/>
        <w:autoSpaceDN w:val="0"/>
        <w:adjustRightInd w:val="0"/>
        <w:spacing w:after="120" w:line="240" w:lineRule="auto"/>
        <w:ind w:firstLine="720"/>
        <w:jc w:val="both"/>
        <w:rPr>
          <w:rFonts w:ascii="Arial" w:eastAsia="Times New Roman" w:hAnsi="Arial" w:cs="Arial"/>
          <w:i/>
          <w:color w:val="000000"/>
          <w:sz w:val="20"/>
          <w:szCs w:val="20"/>
          <w:lang w:val="it-IT"/>
        </w:rPr>
      </w:pPr>
      <w:r w:rsidRPr="00587B71">
        <w:rPr>
          <w:rFonts w:ascii="Arial" w:eastAsia="Times New Roman" w:hAnsi="Arial" w:cs="Arial"/>
          <w:i/>
          <w:color w:val="000000"/>
          <w:sz w:val="20"/>
          <w:szCs w:val="20"/>
          <w:lang w:val="it-IT"/>
        </w:rPr>
        <w:t xml:space="preserve"> *staţie pusă în funcţiune la data de  01.04.2011</w:t>
      </w:r>
    </w:p>
    <w:p w:rsidR="00587B71" w:rsidRPr="00587B71" w:rsidRDefault="00587B71" w:rsidP="00587B71">
      <w:pPr>
        <w:tabs>
          <w:tab w:val="left" w:pos="2295"/>
        </w:tabs>
        <w:spacing w:after="0" w:line="240" w:lineRule="auto"/>
        <w:jc w:val="center"/>
        <w:rPr>
          <w:rFonts w:ascii="Arial" w:eastAsia="Times New Roman" w:hAnsi="Arial" w:cs="Arial"/>
          <w:i/>
          <w:iCs/>
          <w:color w:val="FF0000"/>
          <w:sz w:val="24"/>
          <w:szCs w:val="24"/>
          <w:lang w:val="ro-RO"/>
        </w:rPr>
      </w:pPr>
      <w:r>
        <w:rPr>
          <w:rFonts w:ascii="Arial" w:eastAsia="Times New Roman" w:hAnsi="Arial" w:cs="Arial"/>
          <w:i/>
          <w:iCs/>
          <w:noProof/>
          <w:color w:val="FF0000"/>
          <w:sz w:val="24"/>
          <w:szCs w:val="24"/>
        </w:rPr>
        <w:drawing>
          <wp:inline distT="0" distB="0" distL="0" distR="0">
            <wp:extent cx="5057775" cy="2009775"/>
            <wp:effectExtent l="0" t="0" r="0" b="0"/>
            <wp:docPr id="184" name="Chart 1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87B71" w:rsidRPr="00587B71" w:rsidRDefault="00587B71" w:rsidP="00587B71">
      <w:pPr>
        <w:spacing w:after="12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Figura I.4.- Evoluţia anuală a concentraţiei de SO</w:t>
      </w:r>
      <w:r w:rsidRPr="00587B71">
        <w:rPr>
          <w:rFonts w:ascii="Arial" w:eastAsia="Times New Roman" w:hAnsi="Arial" w:cs="Arial"/>
          <w:color w:val="000000"/>
          <w:sz w:val="24"/>
          <w:szCs w:val="24"/>
          <w:vertAlign w:val="subscript"/>
        </w:rPr>
        <w:t>2</w:t>
      </w:r>
      <w:r w:rsidRPr="00587B71">
        <w:rPr>
          <w:rFonts w:ascii="Arial" w:eastAsia="Times New Roman" w:hAnsi="Arial" w:cs="Arial"/>
          <w:color w:val="000000"/>
          <w:sz w:val="24"/>
          <w:szCs w:val="24"/>
        </w:rPr>
        <w:t>, în perioada 2008 – 2015.</w:t>
      </w:r>
    </w:p>
    <w:p w:rsidR="00587B71" w:rsidRPr="00587B71" w:rsidRDefault="00587B71" w:rsidP="00587B71">
      <w:pPr>
        <w:tabs>
          <w:tab w:val="left" w:pos="540"/>
        </w:tabs>
        <w:spacing w:after="0" w:line="240" w:lineRule="auto"/>
        <w:ind w:right="-143"/>
        <w:rPr>
          <w:rFonts w:ascii="Arial" w:eastAsia="Times New Roman" w:hAnsi="Arial" w:cs="Arial"/>
          <w:iCs/>
          <w:color w:val="000000"/>
          <w:spacing w:val="-3"/>
          <w:sz w:val="24"/>
          <w:szCs w:val="24"/>
          <w:lang w:val="ro-RO"/>
        </w:rPr>
      </w:pPr>
      <w:r w:rsidRPr="00587B71">
        <w:rPr>
          <w:rFonts w:ascii="Arial" w:eastAsia="Times New Roman" w:hAnsi="Arial" w:cs="Arial"/>
          <w:color w:val="000000"/>
          <w:sz w:val="24"/>
          <w:szCs w:val="24"/>
          <w:lang w:val="ro-RO"/>
        </w:rPr>
        <w:t xml:space="preserve">         Tabelul I.11. Evoluţia </w:t>
      </w:r>
      <w:r w:rsidRPr="00587B71">
        <w:rPr>
          <w:rFonts w:ascii="Arial" w:eastAsia="Times New Roman" w:hAnsi="Arial" w:cs="Arial"/>
          <w:bCs/>
          <w:color w:val="000000"/>
          <w:sz w:val="24"/>
          <w:szCs w:val="24"/>
          <w:lang w:val="ro-RO"/>
        </w:rPr>
        <w:t>calităţii aerului la indicatorul</w:t>
      </w:r>
      <w:r w:rsidRPr="00587B71">
        <w:rPr>
          <w:rFonts w:ascii="Arial" w:eastAsia="Times New Roman" w:hAnsi="Arial" w:cs="Arial"/>
          <w:iCs/>
          <w:color w:val="000000"/>
          <w:spacing w:val="-3"/>
          <w:sz w:val="24"/>
          <w:szCs w:val="24"/>
          <w:lang w:val="ro-RO"/>
        </w:rPr>
        <w:t xml:space="preserve"> pulberi în suspensie  </w:t>
      </w:r>
    </w:p>
    <w:tbl>
      <w:tblPr>
        <w:tblW w:w="7690" w:type="dxa"/>
        <w:jc w:val="center"/>
        <w:tblInd w:w="2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
        <w:gridCol w:w="925"/>
        <w:gridCol w:w="867"/>
        <w:gridCol w:w="817"/>
        <w:gridCol w:w="864"/>
        <w:gridCol w:w="903"/>
        <w:gridCol w:w="876"/>
        <w:gridCol w:w="817"/>
        <w:gridCol w:w="817"/>
      </w:tblGrid>
      <w:tr w:rsidR="00587B71" w:rsidRPr="00587B71" w:rsidTr="00587B71">
        <w:trPr>
          <w:jc w:val="center"/>
        </w:trPr>
        <w:tc>
          <w:tcPr>
            <w:tcW w:w="804" w:type="dxa"/>
            <w:vMerge w:val="restart"/>
            <w:vAlign w:val="center"/>
          </w:tcPr>
          <w:p w:rsidR="00587B71" w:rsidRPr="00587B71" w:rsidRDefault="00587B71" w:rsidP="00587B71">
            <w:pPr>
              <w:autoSpaceDE w:val="0"/>
              <w:autoSpaceDN w:val="0"/>
              <w:adjustRightInd w:val="0"/>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Staţii</w:t>
            </w:r>
          </w:p>
        </w:tc>
        <w:tc>
          <w:tcPr>
            <w:tcW w:w="6886" w:type="dxa"/>
            <w:gridSpan w:val="8"/>
          </w:tcPr>
          <w:p w:rsidR="00587B71" w:rsidRPr="00587B71" w:rsidRDefault="00587B71" w:rsidP="00587B71">
            <w:pPr>
              <w:autoSpaceDE w:val="0"/>
              <w:autoSpaceDN w:val="0"/>
              <w:adjustRightInd w:val="0"/>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 xml:space="preserve">Concentraţia medie anuală  </w:t>
            </w:r>
            <w:r w:rsidRPr="00587B71">
              <w:rPr>
                <w:rFonts w:ascii="Arial" w:eastAsia="Times New Roman" w:hAnsi="Arial" w:cs="Arial"/>
                <w:b/>
                <w:iCs/>
                <w:color w:val="000000"/>
                <w:sz w:val="24"/>
                <w:szCs w:val="24"/>
              </w:rPr>
              <w:t>PM</w:t>
            </w:r>
            <w:r w:rsidRPr="00587B71">
              <w:rPr>
                <w:rFonts w:ascii="Arial" w:eastAsia="Times New Roman" w:hAnsi="Arial" w:cs="Arial"/>
                <w:b/>
                <w:iCs/>
                <w:color w:val="000000"/>
                <w:sz w:val="24"/>
                <w:szCs w:val="24"/>
                <w:vertAlign w:val="subscript"/>
              </w:rPr>
              <w:t>10</w:t>
            </w:r>
            <w:r w:rsidRPr="00587B71">
              <w:rPr>
                <w:rFonts w:ascii="Arial" w:eastAsia="Times New Roman" w:hAnsi="Arial" w:cs="Arial"/>
                <w:b/>
                <w:iCs/>
                <w:color w:val="000000"/>
                <w:sz w:val="24"/>
                <w:szCs w:val="24"/>
              </w:rPr>
              <w:t>, (µg/mc)</w:t>
            </w:r>
          </w:p>
        </w:tc>
      </w:tr>
      <w:tr w:rsidR="00587B71" w:rsidRPr="00587B71" w:rsidTr="00587B71">
        <w:trPr>
          <w:trHeight w:val="247"/>
          <w:jc w:val="center"/>
        </w:trPr>
        <w:tc>
          <w:tcPr>
            <w:tcW w:w="804" w:type="dxa"/>
            <w:vMerge/>
          </w:tcPr>
          <w:p w:rsidR="00587B71" w:rsidRPr="00587B71" w:rsidRDefault="00587B71" w:rsidP="00587B71">
            <w:pPr>
              <w:autoSpaceDE w:val="0"/>
              <w:autoSpaceDN w:val="0"/>
              <w:adjustRightInd w:val="0"/>
              <w:spacing w:after="0" w:line="240" w:lineRule="auto"/>
              <w:jc w:val="both"/>
              <w:rPr>
                <w:rFonts w:ascii="Arial" w:eastAsia="Times New Roman" w:hAnsi="Arial" w:cs="Arial"/>
                <w:color w:val="000000"/>
                <w:sz w:val="24"/>
                <w:szCs w:val="24"/>
                <w:lang w:val="pt-BR"/>
              </w:rPr>
            </w:pPr>
          </w:p>
        </w:tc>
        <w:tc>
          <w:tcPr>
            <w:tcW w:w="925" w:type="dxa"/>
          </w:tcPr>
          <w:p w:rsidR="00587B71" w:rsidRPr="00587B71" w:rsidRDefault="00587B71" w:rsidP="00587B71">
            <w:pPr>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2008</w:t>
            </w:r>
          </w:p>
        </w:tc>
        <w:tc>
          <w:tcPr>
            <w:tcW w:w="867"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2009</w:t>
            </w:r>
          </w:p>
        </w:tc>
        <w:tc>
          <w:tcPr>
            <w:tcW w:w="817"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2010</w:t>
            </w:r>
          </w:p>
        </w:tc>
        <w:tc>
          <w:tcPr>
            <w:tcW w:w="864"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2011</w:t>
            </w:r>
          </w:p>
        </w:tc>
        <w:tc>
          <w:tcPr>
            <w:tcW w:w="903"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2012</w:t>
            </w:r>
          </w:p>
        </w:tc>
        <w:tc>
          <w:tcPr>
            <w:tcW w:w="876"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2013</w:t>
            </w:r>
          </w:p>
        </w:tc>
        <w:tc>
          <w:tcPr>
            <w:tcW w:w="817"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2014</w:t>
            </w:r>
          </w:p>
        </w:tc>
        <w:tc>
          <w:tcPr>
            <w:tcW w:w="817"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2015</w:t>
            </w:r>
          </w:p>
        </w:tc>
      </w:tr>
      <w:tr w:rsidR="00587B71" w:rsidRPr="00587B71" w:rsidTr="00587B71">
        <w:trPr>
          <w:jc w:val="center"/>
        </w:trPr>
        <w:tc>
          <w:tcPr>
            <w:tcW w:w="804" w:type="dxa"/>
          </w:tcPr>
          <w:p w:rsidR="00587B71" w:rsidRPr="00587B71" w:rsidRDefault="00587B71" w:rsidP="00587B71">
            <w:pPr>
              <w:autoSpaceDE w:val="0"/>
              <w:autoSpaceDN w:val="0"/>
              <w:adjustRightInd w:val="0"/>
              <w:spacing w:after="0" w:line="240" w:lineRule="auto"/>
              <w:jc w:val="both"/>
              <w:rPr>
                <w:rFonts w:ascii="Arial" w:eastAsia="Times New Roman" w:hAnsi="Arial" w:cs="Arial"/>
                <w:color w:val="000000"/>
                <w:sz w:val="24"/>
                <w:szCs w:val="24"/>
                <w:lang w:val="pt-BR"/>
              </w:rPr>
            </w:pPr>
            <w:r w:rsidRPr="00587B71">
              <w:rPr>
                <w:rFonts w:ascii="Arial" w:eastAsia="Times New Roman" w:hAnsi="Arial" w:cs="Arial"/>
                <w:color w:val="000000"/>
                <w:sz w:val="24"/>
                <w:szCs w:val="24"/>
                <w:lang w:val="pt-BR"/>
              </w:rPr>
              <w:t>VS1</w:t>
            </w:r>
          </w:p>
        </w:tc>
        <w:tc>
          <w:tcPr>
            <w:tcW w:w="925" w:type="dxa"/>
          </w:tcPr>
          <w:p w:rsidR="00587B71" w:rsidRPr="00587B71" w:rsidRDefault="00587B71" w:rsidP="00587B71">
            <w:pPr>
              <w:spacing w:after="0" w:line="240" w:lineRule="auto"/>
              <w:ind w:left="-194" w:right="-80"/>
              <w:jc w:val="center"/>
              <w:rPr>
                <w:rFonts w:ascii="Arial" w:eastAsia="Times New Roman" w:hAnsi="Arial" w:cs="Arial"/>
                <w:color w:val="000000"/>
                <w:sz w:val="24"/>
                <w:szCs w:val="24"/>
              </w:rPr>
            </w:pPr>
            <w:r w:rsidRPr="00587B71">
              <w:rPr>
                <w:rFonts w:ascii="Arial" w:eastAsia="Times New Roman" w:hAnsi="Arial" w:cs="Arial"/>
                <w:color w:val="000000"/>
                <w:sz w:val="24"/>
                <w:szCs w:val="24"/>
              </w:rPr>
              <w:t>19</w:t>
            </w:r>
          </w:p>
        </w:tc>
        <w:tc>
          <w:tcPr>
            <w:tcW w:w="867" w:type="dxa"/>
          </w:tcPr>
          <w:p w:rsidR="00587B71" w:rsidRPr="00587B71" w:rsidRDefault="00587B71" w:rsidP="00587B71">
            <w:pPr>
              <w:spacing w:after="0" w:line="240" w:lineRule="auto"/>
              <w:ind w:right="-119"/>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19</w:t>
            </w:r>
          </w:p>
        </w:tc>
        <w:tc>
          <w:tcPr>
            <w:tcW w:w="817" w:type="dxa"/>
          </w:tcPr>
          <w:p w:rsidR="00587B71" w:rsidRPr="00587B71" w:rsidRDefault="00587B71" w:rsidP="00587B71">
            <w:pPr>
              <w:spacing w:after="0" w:line="240" w:lineRule="auto"/>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22,25</w:t>
            </w:r>
          </w:p>
        </w:tc>
        <w:tc>
          <w:tcPr>
            <w:tcW w:w="864" w:type="dxa"/>
            <w:vAlign w:val="center"/>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17,40</w:t>
            </w:r>
          </w:p>
        </w:tc>
        <w:tc>
          <w:tcPr>
            <w:tcW w:w="903" w:type="dxa"/>
            <w:vAlign w:val="center"/>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w:t>
            </w:r>
          </w:p>
        </w:tc>
        <w:tc>
          <w:tcPr>
            <w:tcW w:w="876"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w:t>
            </w:r>
          </w:p>
        </w:tc>
        <w:tc>
          <w:tcPr>
            <w:tcW w:w="817"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w:t>
            </w:r>
          </w:p>
        </w:tc>
        <w:tc>
          <w:tcPr>
            <w:tcW w:w="817"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w:t>
            </w:r>
          </w:p>
        </w:tc>
      </w:tr>
      <w:tr w:rsidR="00587B71" w:rsidRPr="00587B71" w:rsidTr="00587B71">
        <w:trPr>
          <w:jc w:val="center"/>
        </w:trPr>
        <w:tc>
          <w:tcPr>
            <w:tcW w:w="804" w:type="dxa"/>
          </w:tcPr>
          <w:p w:rsidR="00587B71" w:rsidRPr="00587B71" w:rsidRDefault="00587B71" w:rsidP="00587B71">
            <w:pPr>
              <w:autoSpaceDE w:val="0"/>
              <w:autoSpaceDN w:val="0"/>
              <w:adjustRightInd w:val="0"/>
              <w:spacing w:after="0" w:line="240" w:lineRule="auto"/>
              <w:jc w:val="both"/>
              <w:rPr>
                <w:rFonts w:ascii="Arial" w:eastAsia="Times New Roman" w:hAnsi="Arial" w:cs="Arial"/>
                <w:color w:val="000000"/>
                <w:sz w:val="24"/>
                <w:szCs w:val="24"/>
                <w:lang w:val="pt-BR"/>
              </w:rPr>
            </w:pPr>
            <w:r w:rsidRPr="00587B71">
              <w:rPr>
                <w:rFonts w:ascii="Arial" w:eastAsia="Times New Roman" w:hAnsi="Arial" w:cs="Arial"/>
                <w:color w:val="000000"/>
                <w:sz w:val="24"/>
                <w:szCs w:val="24"/>
                <w:lang w:val="pt-BR"/>
              </w:rPr>
              <w:t>VS2</w:t>
            </w:r>
          </w:p>
        </w:tc>
        <w:tc>
          <w:tcPr>
            <w:tcW w:w="925" w:type="dxa"/>
            <w:vAlign w:val="center"/>
          </w:tcPr>
          <w:p w:rsidR="00587B71" w:rsidRPr="00587B71" w:rsidRDefault="00587B71" w:rsidP="00587B71">
            <w:pPr>
              <w:spacing w:after="0" w:line="240" w:lineRule="auto"/>
              <w:jc w:val="center"/>
              <w:rPr>
                <w:rFonts w:ascii="Arial" w:eastAsia="Times New Roman" w:hAnsi="Arial" w:cs="Arial"/>
                <w:color w:val="000000"/>
                <w:sz w:val="24"/>
                <w:szCs w:val="24"/>
                <w:lang w:val="pt-BR"/>
              </w:rPr>
            </w:pPr>
            <w:r w:rsidRPr="00587B71">
              <w:rPr>
                <w:rFonts w:ascii="Arial" w:eastAsia="Times New Roman" w:hAnsi="Arial" w:cs="Arial"/>
                <w:color w:val="000000"/>
                <w:sz w:val="24"/>
                <w:szCs w:val="24"/>
                <w:lang w:val="pt-BR"/>
              </w:rPr>
              <w:t>-</w:t>
            </w:r>
          </w:p>
        </w:tc>
        <w:tc>
          <w:tcPr>
            <w:tcW w:w="867" w:type="dxa"/>
            <w:vAlign w:val="center"/>
          </w:tcPr>
          <w:p w:rsidR="00587B71" w:rsidRPr="00587B71" w:rsidRDefault="00587B71" w:rsidP="00587B71">
            <w:pPr>
              <w:spacing w:after="0" w:line="240" w:lineRule="auto"/>
              <w:jc w:val="center"/>
              <w:rPr>
                <w:rFonts w:ascii="Arial" w:eastAsia="Times New Roman" w:hAnsi="Arial" w:cs="Arial"/>
                <w:color w:val="000000"/>
                <w:sz w:val="24"/>
                <w:szCs w:val="24"/>
                <w:lang w:val="pt-BR"/>
              </w:rPr>
            </w:pPr>
            <w:r w:rsidRPr="00587B71">
              <w:rPr>
                <w:rFonts w:ascii="Arial" w:eastAsia="Times New Roman" w:hAnsi="Arial" w:cs="Arial"/>
                <w:color w:val="000000"/>
                <w:sz w:val="24"/>
                <w:szCs w:val="24"/>
                <w:lang w:val="pt-BR"/>
              </w:rPr>
              <w:t>-</w:t>
            </w:r>
          </w:p>
        </w:tc>
        <w:tc>
          <w:tcPr>
            <w:tcW w:w="817" w:type="dxa"/>
            <w:vAlign w:val="center"/>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4"/>
                <w:szCs w:val="24"/>
                <w:lang w:val="pt-BR"/>
              </w:rPr>
            </w:pPr>
            <w:r w:rsidRPr="00587B71">
              <w:rPr>
                <w:rFonts w:ascii="Arial" w:eastAsia="Times New Roman" w:hAnsi="Arial" w:cs="Arial"/>
                <w:color w:val="000000"/>
                <w:sz w:val="24"/>
                <w:szCs w:val="24"/>
                <w:lang w:val="pt-BR"/>
              </w:rPr>
              <w:t>-</w:t>
            </w:r>
          </w:p>
        </w:tc>
        <w:tc>
          <w:tcPr>
            <w:tcW w:w="864" w:type="dxa"/>
            <w:vAlign w:val="center"/>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w:t>
            </w:r>
          </w:p>
        </w:tc>
        <w:tc>
          <w:tcPr>
            <w:tcW w:w="903" w:type="dxa"/>
            <w:vAlign w:val="center"/>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26,27</w:t>
            </w:r>
          </w:p>
        </w:tc>
        <w:tc>
          <w:tcPr>
            <w:tcW w:w="876"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24,42</w:t>
            </w:r>
          </w:p>
        </w:tc>
        <w:tc>
          <w:tcPr>
            <w:tcW w:w="817"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25,68</w:t>
            </w:r>
          </w:p>
        </w:tc>
        <w:tc>
          <w:tcPr>
            <w:tcW w:w="817"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26,30</w:t>
            </w:r>
          </w:p>
        </w:tc>
      </w:tr>
    </w:tbl>
    <w:p w:rsidR="00587B71" w:rsidRPr="00587B71" w:rsidRDefault="00587B71" w:rsidP="00587B71">
      <w:pPr>
        <w:autoSpaceDE w:val="0"/>
        <w:autoSpaceDN w:val="0"/>
        <w:adjustRightInd w:val="0"/>
        <w:spacing w:after="120" w:line="240" w:lineRule="auto"/>
        <w:ind w:firstLine="720"/>
        <w:jc w:val="both"/>
        <w:rPr>
          <w:rFonts w:ascii="Arial" w:eastAsia="Times New Roman" w:hAnsi="Arial" w:cs="Arial"/>
          <w:i/>
          <w:color w:val="000000"/>
          <w:sz w:val="20"/>
          <w:szCs w:val="20"/>
          <w:lang w:val="it-IT"/>
        </w:rPr>
      </w:pPr>
      <w:r w:rsidRPr="00587B71">
        <w:rPr>
          <w:rFonts w:ascii="Arial" w:eastAsia="Times New Roman" w:hAnsi="Arial" w:cs="Arial"/>
          <w:i/>
          <w:color w:val="000000"/>
          <w:sz w:val="20"/>
          <w:szCs w:val="20"/>
          <w:lang w:val="it-IT"/>
        </w:rPr>
        <w:t xml:space="preserve">   *staţie pusă în funcţiune la data de  01.04.2011</w:t>
      </w:r>
    </w:p>
    <w:p w:rsidR="00587B71" w:rsidRPr="00587B71" w:rsidRDefault="00587B71" w:rsidP="00587B71">
      <w:pPr>
        <w:tabs>
          <w:tab w:val="left" w:pos="2295"/>
        </w:tabs>
        <w:spacing w:after="0" w:line="240" w:lineRule="auto"/>
        <w:jc w:val="center"/>
        <w:rPr>
          <w:rFonts w:ascii="Arial" w:eastAsia="Times New Roman" w:hAnsi="Arial" w:cs="Arial"/>
          <w:i/>
          <w:iCs/>
          <w:color w:val="FF0000"/>
          <w:sz w:val="24"/>
          <w:szCs w:val="24"/>
          <w:lang w:val="ro-RO"/>
        </w:rPr>
      </w:pPr>
      <w:r>
        <w:rPr>
          <w:rFonts w:ascii="Arial" w:eastAsia="Times New Roman" w:hAnsi="Arial" w:cs="Arial"/>
          <w:i/>
          <w:iCs/>
          <w:noProof/>
          <w:color w:val="FF0000"/>
          <w:sz w:val="24"/>
          <w:szCs w:val="24"/>
        </w:rPr>
        <w:lastRenderedPageBreak/>
        <w:drawing>
          <wp:inline distT="0" distB="0" distL="0" distR="0">
            <wp:extent cx="5037826" cy="1587261"/>
            <wp:effectExtent l="0" t="0" r="0" b="0"/>
            <wp:docPr id="183" name="Chart 1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87B71" w:rsidRPr="00587B71" w:rsidRDefault="00587B71" w:rsidP="00587B71">
      <w:pPr>
        <w:spacing w:after="12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Figura I.5.- Evoluţia anuală a concentraţiei de PM</w:t>
      </w:r>
      <w:r w:rsidRPr="00587B71">
        <w:rPr>
          <w:rFonts w:ascii="Arial" w:eastAsia="Times New Roman" w:hAnsi="Arial" w:cs="Arial"/>
          <w:color w:val="000000"/>
          <w:sz w:val="24"/>
          <w:szCs w:val="24"/>
          <w:vertAlign w:val="subscript"/>
        </w:rPr>
        <w:t>10</w:t>
      </w:r>
      <w:r w:rsidRPr="00587B71">
        <w:rPr>
          <w:rFonts w:ascii="Arial" w:eastAsia="Times New Roman" w:hAnsi="Arial" w:cs="Arial"/>
          <w:color w:val="000000"/>
          <w:sz w:val="24"/>
          <w:szCs w:val="24"/>
        </w:rPr>
        <w:t>, în perioada 2008 – 2015.</w:t>
      </w:r>
    </w:p>
    <w:p w:rsidR="00587B71" w:rsidRPr="00587B71" w:rsidRDefault="00587B71" w:rsidP="00587B71">
      <w:pPr>
        <w:spacing w:after="0" w:line="240" w:lineRule="auto"/>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 xml:space="preserve">        Tabelul I.12. Evoluţia </w:t>
      </w:r>
      <w:r w:rsidRPr="00587B71">
        <w:rPr>
          <w:rFonts w:ascii="Arial" w:eastAsia="Times New Roman" w:hAnsi="Arial" w:cs="Arial"/>
          <w:bCs/>
          <w:color w:val="000000"/>
          <w:sz w:val="24"/>
          <w:szCs w:val="24"/>
          <w:lang w:val="ro-RO"/>
        </w:rPr>
        <w:t>calităţii aerului la indicatorul</w:t>
      </w:r>
      <w:r w:rsidRPr="00587B71">
        <w:rPr>
          <w:rFonts w:ascii="Arial" w:eastAsia="Times New Roman" w:hAnsi="Arial" w:cs="Arial"/>
          <w:iCs/>
          <w:color w:val="000000"/>
          <w:spacing w:val="-3"/>
          <w:sz w:val="24"/>
          <w:szCs w:val="24"/>
          <w:lang w:val="ro-RO"/>
        </w:rPr>
        <w:t xml:space="preserve"> </w:t>
      </w:r>
      <w:r w:rsidRPr="00587B71">
        <w:rPr>
          <w:rFonts w:ascii="Arial" w:eastAsia="Times New Roman" w:hAnsi="Arial" w:cs="Arial"/>
          <w:color w:val="000000"/>
          <w:sz w:val="24"/>
          <w:szCs w:val="24"/>
          <w:lang w:val="ro-RO"/>
        </w:rPr>
        <w:t xml:space="preserve">monoxid de carbon, CO </w:t>
      </w:r>
    </w:p>
    <w:tbl>
      <w:tblPr>
        <w:tblW w:w="9084" w:type="dxa"/>
        <w:jc w:val="center"/>
        <w:tblInd w:w="2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6"/>
        <w:gridCol w:w="1296"/>
        <w:gridCol w:w="885"/>
        <w:gridCol w:w="881"/>
        <w:gridCol w:w="900"/>
        <w:gridCol w:w="889"/>
        <w:gridCol w:w="1019"/>
        <w:gridCol w:w="930"/>
        <w:gridCol w:w="930"/>
        <w:gridCol w:w="8"/>
      </w:tblGrid>
      <w:tr w:rsidR="00587B71" w:rsidRPr="00587B71" w:rsidTr="00587B71">
        <w:trPr>
          <w:jc w:val="center"/>
        </w:trPr>
        <w:tc>
          <w:tcPr>
            <w:tcW w:w="1346" w:type="dxa"/>
            <w:vMerge w:val="restart"/>
            <w:vAlign w:val="center"/>
          </w:tcPr>
          <w:p w:rsidR="00587B71" w:rsidRPr="00587B71" w:rsidRDefault="00587B71" w:rsidP="00587B71">
            <w:pPr>
              <w:autoSpaceDE w:val="0"/>
              <w:autoSpaceDN w:val="0"/>
              <w:adjustRightInd w:val="0"/>
              <w:spacing w:after="12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Staţii</w:t>
            </w:r>
          </w:p>
        </w:tc>
        <w:tc>
          <w:tcPr>
            <w:tcW w:w="7738" w:type="dxa"/>
            <w:gridSpan w:val="9"/>
          </w:tcPr>
          <w:p w:rsidR="00587B71" w:rsidRPr="00587B71" w:rsidRDefault="00587B71" w:rsidP="00587B71">
            <w:pPr>
              <w:autoSpaceDE w:val="0"/>
              <w:autoSpaceDN w:val="0"/>
              <w:adjustRightInd w:val="0"/>
              <w:spacing w:after="12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 xml:space="preserve">Concentraţia medie anuală  </w:t>
            </w:r>
            <w:r w:rsidRPr="00587B71">
              <w:rPr>
                <w:rFonts w:ascii="Arial" w:eastAsia="Times New Roman" w:hAnsi="Arial" w:cs="Arial"/>
                <w:b/>
                <w:iCs/>
                <w:color w:val="000000"/>
                <w:sz w:val="24"/>
                <w:szCs w:val="24"/>
              </w:rPr>
              <w:t>CO, (mg/mc)</w:t>
            </w:r>
          </w:p>
        </w:tc>
      </w:tr>
      <w:tr w:rsidR="00587B71" w:rsidRPr="00587B71" w:rsidTr="00587B71">
        <w:trPr>
          <w:gridAfter w:val="1"/>
          <w:wAfter w:w="8" w:type="dxa"/>
          <w:trHeight w:val="247"/>
          <w:jc w:val="center"/>
        </w:trPr>
        <w:tc>
          <w:tcPr>
            <w:tcW w:w="1346" w:type="dxa"/>
            <w:vMerge/>
          </w:tcPr>
          <w:p w:rsidR="00587B71" w:rsidRPr="00587B71" w:rsidRDefault="00587B71" w:rsidP="00587B71">
            <w:pPr>
              <w:autoSpaceDE w:val="0"/>
              <w:autoSpaceDN w:val="0"/>
              <w:adjustRightInd w:val="0"/>
              <w:spacing w:after="120" w:line="240" w:lineRule="auto"/>
              <w:jc w:val="both"/>
              <w:rPr>
                <w:rFonts w:ascii="Arial" w:eastAsia="Times New Roman" w:hAnsi="Arial" w:cs="Arial"/>
                <w:color w:val="000000"/>
                <w:sz w:val="24"/>
                <w:szCs w:val="24"/>
                <w:lang w:val="pt-BR"/>
              </w:rPr>
            </w:pPr>
          </w:p>
        </w:tc>
        <w:tc>
          <w:tcPr>
            <w:tcW w:w="1296" w:type="dxa"/>
          </w:tcPr>
          <w:p w:rsidR="00587B71" w:rsidRPr="00587B71" w:rsidRDefault="00587B71" w:rsidP="00587B71">
            <w:pPr>
              <w:spacing w:after="12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2008</w:t>
            </w:r>
          </w:p>
        </w:tc>
        <w:tc>
          <w:tcPr>
            <w:tcW w:w="885"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2009</w:t>
            </w:r>
          </w:p>
        </w:tc>
        <w:tc>
          <w:tcPr>
            <w:tcW w:w="881"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2010</w:t>
            </w:r>
          </w:p>
        </w:tc>
        <w:tc>
          <w:tcPr>
            <w:tcW w:w="900"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2011</w:t>
            </w:r>
          </w:p>
        </w:tc>
        <w:tc>
          <w:tcPr>
            <w:tcW w:w="889"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2012</w:t>
            </w:r>
          </w:p>
        </w:tc>
        <w:tc>
          <w:tcPr>
            <w:tcW w:w="1019"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2013</w:t>
            </w:r>
          </w:p>
        </w:tc>
        <w:tc>
          <w:tcPr>
            <w:tcW w:w="930"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2014</w:t>
            </w:r>
          </w:p>
        </w:tc>
        <w:tc>
          <w:tcPr>
            <w:tcW w:w="930"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2015</w:t>
            </w:r>
          </w:p>
        </w:tc>
      </w:tr>
      <w:tr w:rsidR="00587B71" w:rsidRPr="00587B71" w:rsidTr="00587B71">
        <w:trPr>
          <w:gridAfter w:val="1"/>
          <w:wAfter w:w="8" w:type="dxa"/>
          <w:jc w:val="center"/>
        </w:trPr>
        <w:tc>
          <w:tcPr>
            <w:tcW w:w="1346" w:type="dxa"/>
          </w:tcPr>
          <w:p w:rsidR="00587B71" w:rsidRPr="00587B71" w:rsidRDefault="00587B71" w:rsidP="00587B71">
            <w:pPr>
              <w:autoSpaceDE w:val="0"/>
              <w:autoSpaceDN w:val="0"/>
              <w:adjustRightInd w:val="0"/>
              <w:spacing w:after="120" w:line="240" w:lineRule="auto"/>
              <w:jc w:val="both"/>
              <w:rPr>
                <w:rFonts w:ascii="Arial" w:eastAsia="Times New Roman" w:hAnsi="Arial" w:cs="Arial"/>
                <w:color w:val="000000"/>
                <w:sz w:val="24"/>
                <w:szCs w:val="24"/>
                <w:lang w:val="pt-BR"/>
              </w:rPr>
            </w:pPr>
            <w:r w:rsidRPr="00587B71">
              <w:rPr>
                <w:rFonts w:ascii="Arial" w:eastAsia="Times New Roman" w:hAnsi="Arial" w:cs="Arial"/>
                <w:color w:val="000000"/>
                <w:sz w:val="24"/>
                <w:szCs w:val="24"/>
                <w:lang w:val="pt-BR"/>
              </w:rPr>
              <w:t>VS1</w:t>
            </w:r>
          </w:p>
        </w:tc>
        <w:tc>
          <w:tcPr>
            <w:tcW w:w="1296" w:type="dxa"/>
          </w:tcPr>
          <w:p w:rsidR="00587B71" w:rsidRPr="00587B71" w:rsidRDefault="00587B71" w:rsidP="00587B71">
            <w:pPr>
              <w:spacing w:after="0" w:line="240" w:lineRule="auto"/>
              <w:ind w:right="-119"/>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0,29</w:t>
            </w:r>
          </w:p>
        </w:tc>
        <w:tc>
          <w:tcPr>
            <w:tcW w:w="885" w:type="dxa"/>
          </w:tcPr>
          <w:p w:rsidR="00587B71" w:rsidRPr="00587B71" w:rsidRDefault="00587B71" w:rsidP="00587B71">
            <w:pPr>
              <w:spacing w:after="0" w:line="240" w:lineRule="auto"/>
              <w:ind w:right="-119"/>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0,17</w:t>
            </w:r>
          </w:p>
        </w:tc>
        <w:tc>
          <w:tcPr>
            <w:tcW w:w="881" w:type="dxa"/>
          </w:tcPr>
          <w:p w:rsidR="00587B71" w:rsidRPr="00587B71" w:rsidRDefault="00587B71" w:rsidP="00587B71">
            <w:pPr>
              <w:spacing w:after="0" w:line="240" w:lineRule="auto"/>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0,19</w:t>
            </w:r>
          </w:p>
        </w:tc>
        <w:tc>
          <w:tcPr>
            <w:tcW w:w="900" w:type="dxa"/>
            <w:vAlign w:val="center"/>
          </w:tcPr>
          <w:p w:rsidR="00587B71" w:rsidRPr="00587B71" w:rsidRDefault="00587B71" w:rsidP="00587B71">
            <w:pPr>
              <w:autoSpaceDE w:val="0"/>
              <w:autoSpaceDN w:val="0"/>
              <w:adjustRightInd w:val="0"/>
              <w:spacing w:after="12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0,28</w:t>
            </w:r>
          </w:p>
        </w:tc>
        <w:tc>
          <w:tcPr>
            <w:tcW w:w="889" w:type="dxa"/>
            <w:vAlign w:val="center"/>
          </w:tcPr>
          <w:p w:rsidR="00587B71" w:rsidRPr="00587B71" w:rsidRDefault="00587B71" w:rsidP="00587B71">
            <w:pPr>
              <w:autoSpaceDE w:val="0"/>
              <w:autoSpaceDN w:val="0"/>
              <w:adjustRightInd w:val="0"/>
              <w:spacing w:after="12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w:t>
            </w:r>
          </w:p>
        </w:tc>
        <w:tc>
          <w:tcPr>
            <w:tcW w:w="1019"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0,14</w:t>
            </w:r>
          </w:p>
        </w:tc>
        <w:tc>
          <w:tcPr>
            <w:tcW w:w="930"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0,13</w:t>
            </w:r>
          </w:p>
        </w:tc>
        <w:tc>
          <w:tcPr>
            <w:tcW w:w="930"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w:t>
            </w:r>
          </w:p>
        </w:tc>
      </w:tr>
      <w:tr w:rsidR="00587B71" w:rsidRPr="00587B71" w:rsidTr="00587B71">
        <w:trPr>
          <w:gridAfter w:val="1"/>
          <w:wAfter w:w="8" w:type="dxa"/>
          <w:jc w:val="center"/>
        </w:trPr>
        <w:tc>
          <w:tcPr>
            <w:tcW w:w="1346" w:type="dxa"/>
          </w:tcPr>
          <w:p w:rsidR="00587B71" w:rsidRPr="00587B71" w:rsidRDefault="00587B71" w:rsidP="00587B71">
            <w:pPr>
              <w:autoSpaceDE w:val="0"/>
              <w:autoSpaceDN w:val="0"/>
              <w:adjustRightInd w:val="0"/>
              <w:spacing w:after="120" w:line="240" w:lineRule="auto"/>
              <w:jc w:val="both"/>
              <w:rPr>
                <w:rFonts w:ascii="Arial" w:eastAsia="Times New Roman" w:hAnsi="Arial" w:cs="Arial"/>
                <w:color w:val="000000"/>
                <w:sz w:val="24"/>
                <w:szCs w:val="24"/>
                <w:lang w:val="pt-BR"/>
              </w:rPr>
            </w:pPr>
            <w:r w:rsidRPr="00587B71">
              <w:rPr>
                <w:rFonts w:ascii="Arial" w:eastAsia="Times New Roman" w:hAnsi="Arial" w:cs="Arial"/>
                <w:color w:val="000000"/>
                <w:sz w:val="24"/>
                <w:szCs w:val="24"/>
                <w:lang w:val="pt-BR"/>
              </w:rPr>
              <w:t>VS2</w:t>
            </w:r>
          </w:p>
        </w:tc>
        <w:tc>
          <w:tcPr>
            <w:tcW w:w="1296" w:type="dxa"/>
            <w:vAlign w:val="center"/>
          </w:tcPr>
          <w:p w:rsidR="00587B71" w:rsidRPr="00587B71" w:rsidRDefault="00587B71" w:rsidP="00587B71">
            <w:pPr>
              <w:spacing w:after="120" w:line="240" w:lineRule="auto"/>
              <w:jc w:val="center"/>
              <w:rPr>
                <w:rFonts w:ascii="Arial" w:eastAsia="Times New Roman" w:hAnsi="Arial" w:cs="Arial"/>
                <w:color w:val="000000"/>
                <w:sz w:val="24"/>
                <w:szCs w:val="24"/>
                <w:lang w:val="pt-BR"/>
              </w:rPr>
            </w:pPr>
            <w:r w:rsidRPr="00587B71">
              <w:rPr>
                <w:rFonts w:ascii="Arial" w:eastAsia="Times New Roman" w:hAnsi="Arial" w:cs="Arial"/>
                <w:color w:val="000000"/>
                <w:sz w:val="24"/>
                <w:szCs w:val="24"/>
                <w:lang w:val="pt-BR"/>
              </w:rPr>
              <w:t>-</w:t>
            </w:r>
          </w:p>
        </w:tc>
        <w:tc>
          <w:tcPr>
            <w:tcW w:w="885" w:type="dxa"/>
            <w:vAlign w:val="center"/>
          </w:tcPr>
          <w:p w:rsidR="00587B71" w:rsidRPr="00587B71" w:rsidRDefault="00587B71" w:rsidP="00587B71">
            <w:pPr>
              <w:spacing w:after="120" w:line="240" w:lineRule="auto"/>
              <w:jc w:val="center"/>
              <w:rPr>
                <w:rFonts w:ascii="Arial" w:eastAsia="Times New Roman" w:hAnsi="Arial" w:cs="Arial"/>
                <w:color w:val="000000"/>
                <w:sz w:val="24"/>
                <w:szCs w:val="24"/>
                <w:lang w:val="pt-BR"/>
              </w:rPr>
            </w:pPr>
            <w:r w:rsidRPr="00587B71">
              <w:rPr>
                <w:rFonts w:ascii="Arial" w:eastAsia="Times New Roman" w:hAnsi="Arial" w:cs="Arial"/>
                <w:color w:val="000000"/>
                <w:sz w:val="24"/>
                <w:szCs w:val="24"/>
                <w:lang w:val="pt-BR"/>
              </w:rPr>
              <w:t>-</w:t>
            </w:r>
          </w:p>
        </w:tc>
        <w:tc>
          <w:tcPr>
            <w:tcW w:w="881" w:type="dxa"/>
            <w:vAlign w:val="center"/>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4"/>
                <w:szCs w:val="24"/>
                <w:lang w:val="pt-BR"/>
              </w:rPr>
            </w:pPr>
            <w:r w:rsidRPr="00587B71">
              <w:rPr>
                <w:rFonts w:ascii="Arial" w:eastAsia="Times New Roman" w:hAnsi="Arial" w:cs="Arial"/>
                <w:color w:val="000000"/>
                <w:sz w:val="24"/>
                <w:szCs w:val="24"/>
                <w:lang w:val="pt-BR"/>
              </w:rPr>
              <w:t>-</w:t>
            </w:r>
          </w:p>
        </w:tc>
        <w:tc>
          <w:tcPr>
            <w:tcW w:w="900" w:type="dxa"/>
            <w:vAlign w:val="center"/>
          </w:tcPr>
          <w:p w:rsidR="00587B71" w:rsidRPr="00587B71" w:rsidRDefault="00587B71" w:rsidP="00587B71">
            <w:pPr>
              <w:autoSpaceDE w:val="0"/>
              <w:autoSpaceDN w:val="0"/>
              <w:adjustRightInd w:val="0"/>
              <w:spacing w:after="12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w:t>
            </w:r>
          </w:p>
        </w:tc>
        <w:tc>
          <w:tcPr>
            <w:tcW w:w="889" w:type="dxa"/>
            <w:vAlign w:val="center"/>
          </w:tcPr>
          <w:p w:rsidR="00587B71" w:rsidRPr="00587B71" w:rsidRDefault="00587B71" w:rsidP="00587B71">
            <w:pPr>
              <w:autoSpaceDE w:val="0"/>
              <w:autoSpaceDN w:val="0"/>
              <w:adjustRightInd w:val="0"/>
              <w:spacing w:after="12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0,87</w:t>
            </w:r>
          </w:p>
        </w:tc>
        <w:tc>
          <w:tcPr>
            <w:tcW w:w="1019"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w:t>
            </w:r>
          </w:p>
        </w:tc>
        <w:tc>
          <w:tcPr>
            <w:tcW w:w="930"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w:t>
            </w:r>
          </w:p>
        </w:tc>
        <w:tc>
          <w:tcPr>
            <w:tcW w:w="930"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w:t>
            </w:r>
          </w:p>
        </w:tc>
      </w:tr>
    </w:tbl>
    <w:p w:rsidR="00587B71" w:rsidRPr="00587B71" w:rsidRDefault="00587B71" w:rsidP="00587B71">
      <w:pPr>
        <w:autoSpaceDE w:val="0"/>
        <w:autoSpaceDN w:val="0"/>
        <w:adjustRightInd w:val="0"/>
        <w:spacing w:after="120" w:line="240" w:lineRule="auto"/>
        <w:ind w:firstLine="720"/>
        <w:jc w:val="both"/>
        <w:rPr>
          <w:rFonts w:ascii="Arial" w:eastAsia="Times New Roman" w:hAnsi="Arial" w:cs="Arial"/>
          <w:i/>
          <w:color w:val="000000"/>
          <w:sz w:val="20"/>
          <w:szCs w:val="20"/>
          <w:lang w:val="it-IT"/>
        </w:rPr>
      </w:pPr>
      <w:r w:rsidRPr="00587B71">
        <w:rPr>
          <w:rFonts w:ascii="Arial" w:eastAsia="Times New Roman" w:hAnsi="Arial" w:cs="Arial"/>
          <w:i/>
          <w:color w:val="000000"/>
          <w:sz w:val="20"/>
          <w:szCs w:val="20"/>
          <w:lang w:val="it-IT"/>
        </w:rPr>
        <w:t>*staţie pusă în funcţiune la data de  01.04.2011</w:t>
      </w:r>
    </w:p>
    <w:p w:rsidR="00587B71" w:rsidRPr="00587B71" w:rsidRDefault="00587B71" w:rsidP="00587B71">
      <w:pPr>
        <w:tabs>
          <w:tab w:val="left" w:pos="2295"/>
        </w:tabs>
        <w:spacing w:after="0" w:line="240" w:lineRule="auto"/>
        <w:jc w:val="center"/>
        <w:rPr>
          <w:rFonts w:ascii="Arial" w:eastAsia="Times New Roman" w:hAnsi="Arial" w:cs="Arial"/>
          <w:i/>
          <w:iCs/>
          <w:color w:val="FF0000"/>
          <w:sz w:val="24"/>
          <w:szCs w:val="24"/>
          <w:lang w:val="ro-RO"/>
        </w:rPr>
      </w:pPr>
      <w:r>
        <w:rPr>
          <w:rFonts w:ascii="Arial" w:eastAsia="Times New Roman" w:hAnsi="Arial" w:cs="Arial"/>
          <w:i/>
          <w:iCs/>
          <w:noProof/>
          <w:color w:val="FF0000"/>
          <w:sz w:val="24"/>
          <w:szCs w:val="24"/>
        </w:rPr>
        <w:drawing>
          <wp:inline distT="0" distB="0" distL="0" distR="0">
            <wp:extent cx="5038725" cy="1781175"/>
            <wp:effectExtent l="0" t="0" r="0" b="0"/>
            <wp:docPr id="182" name="Chart 18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87B71" w:rsidRPr="00587B71" w:rsidRDefault="00587B71" w:rsidP="00587B71">
      <w:pPr>
        <w:spacing w:after="12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Figura I.6.- Evoluţia anuală a concentraţiei de CO, în perioada 2008 – 2015.</w:t>
      </w:r>
    </w:p>
    <w:p w:rsidR="00587B71" w:rsidRPr="00587B71" w:rsidRDefault="00587B71" w:rsidP="00587B71">
      <w:pPr>
        <w:spacing w:after="120" w:line="240" w:lineRule="auto"/>
        <w:jc w:val="center"/>
        <w:rPr>
          <w:rFonts w:ascii="Arial" w:eastAsia="Times New Roman" w:hAnsi="Arial" w:cs="Arial"/>
          <w:color w:val="000000"/>
          <w:sz w:val="24"/>
          <w:szCs w:val="24"/>
        </w:rPr>
      </w:pPr>
    </w:p>
    <w:p w:rsidR="00587B71" w:rsidRPr="00587B71" w:rsidRDefault="00587B71" w:rsidP="00587B71">
      <w:pPr>
        <w:spacing w:after="0" w:line="240" w:lineRule="auto"/>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Tabelul I.13. Evoluţia</w:t>
      </w:r>
      <w:r w:rsidRPr="00587B71">
        <w:rPr>
          <w:rFonts w:ascii="Arial" w:eastAsia="Times New Roman" w:hAnsi="Arial" w:cs="Arial"/>
          <w:bCs/>
          <w:i/>
          <w:color w:val="000000"/>
          <w:sz w:val="24"/>
          <w:szCs w:val="24"/>
          <w:lang w:val="it-IT"/>
        </w:rPr>
        <w:t xml:space="preserve"> </w:t>
      </w:r>
      <w:r w:rsidRPr="00587B71">
        <w:rPr>
          <w:rFonts w:ascii="Arial" w:eastAsia="Times New Roman" w:hAnsi="Arial" w:cs="Arial"/>
          <w:bCs/>
          <w:color w:val="000000"/>
          <w:sz w:val="24"/>
          <w:szCs w:val="24"/>
          <w:lang w:val="it-IT"/>
        </w:rPr>
        <w:t>calităţii aerului la indicatorul</w:t>
      </w:r>
      <w:r w:rsidRPr="00587B71">
        <w:rPr>
          <w:rFonts w:ascii="Arial" w:eastAsia="Times New Roman" w:hAnsi="Arial" w:cs="Arial"/>
          <w:bCs/>
          <w:i/>
          <w:color w:val="000000"/>
          <w:sz w:val="24"/>
          <w:szCs w:val="24"/>
          <w:lang w:val="it-IT"/>
        </w:rPr>
        <w:t xml:space="preserve"> amoniac - </w:t>
      </w:r>
      <w:r w:rsidRPr="00587B71">
        <w:rPr>
          <w:rFonts w:ascii="Arial" w:eastAsia="Times New Roman" w:hAnsi="Arial" w:cs="Arial"/>
          <w:color w:val="000000"/>
          <w:sz w:val="24"/>
          <w:szCs w:val="24"/>
          <w:lang w:val="ro-RO"/>
        </w:rPr>
        <w:t>NH</w:t>
      </w:r>
      <w:r w:rsidRPr="00587B71">
        <w:rPr>
          <w:rFonts w:ascii="Arial" w:eastAsia="Times New Roman" w:hAnsi="Arial" w:cs="Arial"/>
          <w:color w:val="000000"/>
          <w:sz w:val="24"/>
          <w:szCs w:val="24"/>
          <w:vertAlign w:val="subscript"/>
          <w:lang w:val="ro-RO"/>
        </w:rPr>
        <w:t>3</w:t>
      </w:r>
    </w:p>
    <w:tbl>
      <w:tblPr>
        <w:tblpPr w:leftFromText="180" w:rightFromText="180" w:vertAnchor="text" w:tblpXSpec="center" w:tblpY="1"/>
        <w:tblOverlap w:val="never"/>
        <w:tblW w:w="8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
        <w:gridCol w:w="1323"/>
        <w:gridCol w:w="944"/>
        <w:gridCol w:w="954"/>
        <w:gridCol w:w="858"/>
        <w:gridCol w:w="855"/>
        <w:gridCol w:w="886"/>
        <w:gridCol w:w="817"/>
        <w:gridCol w:w="817"/>
      </w:tblGrid>
      <w:tr w:rsidR="00587B71" w:rsidRPr="00587B71" w:rsidTr="00587B71">
        <w:tc>
          <w:tcPr>
            <w:tcW w:w="1283" w:type="dxa"/>
            <w:vMerge w:val="restart"/>
            <w:vAlign w:val="center"/>
          </w:tcPr>
          <w:p w:rsidR="00587B71" w:rsidRPr="00587B71" w:rsidRDefault="00587B71" w:rsidP="00587B71">
            <w:pPr>
              <w:spacing w:after="0" w:line="240" w:lineRule="auto"/>
              <w:ind w:left="360"/>
              <w:jc w:val="center"/>
              <w:rPr>
                <w:rFonts w:ascii="Arial" w:eastAsia="Times New Roman" w:hAnsi="Arial" w:cs="Arial"/>
                <w:b/>
                <w:color w:val="000000"/>
                <w:sz w:val="24"/>
                <w:szCs w:val="24"/>
                <w:lang w:val="ro-RO"/>
              </w:rPr>
            </w:pPr>
            <w:r w:rsidRPr="00587B71">
              <w:rPr>
                <w:rFonts w:ascii="Arial" w:eastAsia="Times New Roman" w:hAnsi="Arial" w:cs="Arial"/>
                <w:b/>
                <w:color w:val="000000"/>
                <w:sz w:val="24"/>
                <w:szCs w:val="24"/>
                <w:lang w:val="ro-RO"/>
              </w:rPr>
              <w:t>Judeţ</w:t>
            </w:r>
          </w:p>
        </w:tc>
        <w:tc>
          <w:tcPr>
            <w:tcW w:w="7454" w:type="dxa"/>
            <w:gridSpan w:val="8"/>
            <w:vAlign w:val="center"/>
          </w:tcPr>
          <w:p w:rsidR="00587B71" w:rsidRPr="00587B71" w:rsidRDefault="00587B71" w:rsidP="00587B71">
            <w:pPr>
              <w:spacing w:after="0" w:line="240" w:lineRule="auto"/>
              <w:ind w:left="360"/>
              <w:jc w:val="center"/>
              <w:rPr>
                <w:rFonts w:ascii="Arial" w:eastAsia="Times New Roman" w:hAnsi="Arial" w:cs="Arial"/>
                <w:b/>
                <w:color w:val="000000"/>
                <w:sz w:val="24"/>
                <w:szCs w:val="24"/>
                <w:lang w:val="ro-RO"/>
              </w:rPr>
            </w:pPr>
            <w:r w:rsidRPr="00587B71">
              <w:rPr>
                <w:rFonts w:ascii="Arial" w:eastAsia="Times New Roman" w:hAnsi="Arial" w:cs="Arial"/>
                <w:b/>
                <w:color w:val="000000"/>
                <w:sz w:val="24"/>
                <w:szCs w:val="24"/>
                <w:lang w:val="ro-RO"/>
              </w:rPr>
              <w:t>Concentraţia medie anuală(μg/mc)</w:t>
            </w:r>
          </w:p>
        </w:tc>
      </w:tr>
      <w:tr w:rsidR="00587B71" w:rsidRPr="00587B71" w:rsidTr="00587B71">
        <w:tc>
          <w:tcPr>
            <w:tcW w:w="1283" w:type="dxa"/>
            <w:vMerge/>
            <w:vAlign w:val="center"/>
          </w:tcPr>
          <w:p w:rsidR="00587B71" w:rsidRPr="00587B71" w:rsidRDefault="00587B71" w:rsidP="00587B71">
            <w:pPr>
              <w:spacing w:after="0" w:line="240" w:lineRule="auto"/>
              <w:ind w:left="360"/>
              <w:jc w:val="center"/>
              <w:rPr>
                <w:rFonts w:ascii="Arial" w:eastAsia="Times New Roman" w:hAnsi="Arial" w:cs="Arial"/>
                <w:b/>
                <w:color w:val="000000"/>
                <w:sz w:val="24"/>
                <w:szCs w:val="24"/>
                <w:lang w:val="ro-RO"/>
              </w:rPr>
            </w:pPr>
          </w:p>
        </w:tc>
        <w:tc>
          <w:tcPr>
            <w:tcW w:w="1323" w:type="dxa"/>
            <w:vAlign w:val="center"/>
          </w:tcPr>
          <w:p w:rsidR="00587B71" w:rsidRPr="00587B71" w:rsidRDefault="00587B71" w:rsidP="00587B71">
            <w:pPr>
              <w:spacing w:after="0" w:line="240" w:lineRule="auto"/>
              <w:ind w:right="-119"/>
              <w:jc w:val="center"/>
              <w:rPr>
                <w:rFonts w:ascii="Arial" w:eastAsia="Times New Roman" w:hAnsi="Arial" w:cs="Arial"/>
                <w:b/>
                <w:color w:val="000000"/>
                <w:sz w:val="24"/>
                <w:szCs w:val="24"/>
                <w:lang w:val="ro-RO"/>
              </w:rPr>
            </w:pPr>
            <w:r w:rsidRPr="00587B71">
              <w:rPr>
                <w:rFonts w:ascii="Arial" w:eastAsia="Times New Roman" w:hAnsi="Arial" w:cs="Arial"/>
                <w:b/>
                <w:color w:val="000000"/>
                <w:sz w:val="24"/>
                <w:szCs w:val="24"/>
                <w:lang w:val="ro-RO"/>
              </w:rPr>
              <w:t>2008</w:t>
            </w:r>
          </w:p>
        </w:tc>
        <w:tc>
          <w:tcPr>
            <w:tcW w:w="944" w:type="dxa"/>
            <w:vAlign w:val="center"/>
          </w:tcPr>
          <w:p w:rsidR="00587B71" w:rsidRPr="00587B71" w:rsidRDefault="00587B71" w:rsidP="00587B71">
            <w:pPr>
              <w:spacing w:after="0" w:line="240" w:lineRule="auto"/>
              <w:ind w:right="-119"/>
              <w:jc w:val="center"/>
              <w:rPr>
                <w:rFonts w:ascii="Arial" w:eastAsia="Times New Roman" w:hAnsi="Arial" w:cs="Arial"/>
                <w:b/>
                <w:color w:val="000000"/>
                <w:sz w:val="24"/>
                <w:szCs w:val="24"/>
                <w:lang w:val="ro-RO"/>
              </w:rPr>
            </w:pPr>
            <w:r w:rsidRPr="00587B71">
              <w:rPr>
                <w:rFonts w:ascii="Arial" w:eastAsia="Times New Roman" w:hAnsi="Arial" w:cs="Arial"/>
                <w:b/>
                <w:color w:val="000000"/>
                <w:sz w:val="24"/>
                <w:szCs w:val="24"/>
                <w:lang w:val="ro-RO"/>
              </w:rPr>
              <w:t>2009</w:t>
            </w:r>
          </w:p>
        </w:tc>
        <w:tc>
          <w:tcPr>
            <w:tcW w:w="954" w:type="dxa"/>
            <w:vAlign w:val="center"/>
          </w:tcPr>
          <w:p w:rsidR="00587B71" w:rsidRPr="00587B71" w:rsidRDefault="00587B71" w:rsidP="00587B71">
            <w:pPr>
              <w:spacing w:after="0" w:line="240" w:lineRule="auto"/>
              <w:jc w:val="center"/>
              <w:rPr>
                <w:rFonts w:ascii="Arial" w:eastAsia="Times New Roman" w:hAnsi="Arial" w:cs="Arial"/>
                <w:b/>
                <w:color w:val="000000"/>
                <w:sz w:val="24"/>
                <w:szCs w:val="24"/>
                <w:lang w:val="ro-RO"/>
              </w:rPr>
            </w:pPr>
            <w:r w:rsidRPr="00587B71">
              <w:rPr>
                <w:rFonts w:ascii="Arial" w:eastAsia="Times New Roman" w:hAnsi="Arial" w:cs="Arial"/>
                <w:b/>
                <w:color w:val="000000"/>
                <w:sz w:val="24"/>
                <w:szCs w:val="24"/>
                <w:lang w:val="ro-RO"/>
              </w:rPr>
              <w:t>2010</w:t>
            </w:r>
          </w:p>
        </w:tc>
        <w:tc>
          <w:tcPr>
            <w:tcW w:w="858" w:type="dxa"/>
            <w:vAlign w:val="center"/>
          </w:tcPr>
          <w:p w:rsidR="00587B71" w:rsidRPr="00587B71" w:rsidRDefault="00587B71" w:rsidP="00587B71">
            <w:pPr>
              <w:spacing w:after="0" w:line="240" w:lineRule="auto"/>
              <w:jc w:val="center"/>
              <w:rPr>
                <w:rFonts w:ascii="Arial" w:eastAsia="Times New Roman" w:hAnsi="Arial" w:cs="Arial"/>
                <w:b/>
                <w:color w:val="000000"/>
                <w:sz w:val="24"/>
                <w:szCs w:val="24"/>
                <w:lang w:val="ro-RO"/>
              </w:rPr>
            </w:pPr>
            <w:r w:rsidRPr="00587B71">
              <w:rPr>
                <w:rFonts w:ascii="Arial" w:eastAsia="Times New Roman" w:hAnsi="Arial" w:cs="Arial"/>
                <w:b/>
                <w:color w:val="000000"/>
                <w:sz w:val="24"/>
                <w:szCs w:val="24"/>
                <w:lang w:val="ro-RO"/>
              </w:rPr>
              <w:t>2011</w:t>
            </w:r>
          </w:p>
        </w:tc>
        <w:tc>
          <w:tcPr>
            <w:tcW w:w="855" w:type="dxa"/>
            <w:vAlign w:val="center"/>
          </w:tcPr>
          <w:p w:rsidR="00587B71" w:rsidRPr="00587B71" w:rsidRDefault="00587B71" w:rsidP="00587B71">
            <w:pPr>
              <w:spacing w:after="0" w:line="240" w:lineRule="auto"/>
              <w:jc w:val="center"/>
              <w:rPr>
                <w:rFonts w:ascii="Arial" w:eastAsia="Times New Roman" w:hAnsi="Arial" w:cs="Arial"/>
                <w:b/>
                <w:color w:val="000000"/>
                <w:sz w:val="24"/>
                <w:szCs w:val="24"/>
                <w:lang w:val="ro-RO"/>
              </w:rPr>
            </w:pPr>
            <w:r w:rsidRPr="00587B71">
              <w:rPr>
                <w:rFonts w:ascii="Arial" w:eastAsia="Times New Roman" w:hAnsi="Arial" w:cs="Arial"/>
                <w:b/>
                <w:color w:val="000000"/>
                <w:sz w:val="24"/>
                <w:szCs w:val="24"/>
                <w:lang w:val="ro-RO"/>
              </w:rPr>
              <w:t>2012</w:t>
            </w:r>
          </w:p>
        </w:tc>
        <w:tc>
          <w:tcPr>
            <w:tcW w:w="886" w:type="dxa"/>
            <w:vAlign w:val="center"/>
          </w:tcPr>
          <w:p w:rsidR="00587B71" w:rsidRPr="00587B71" w:rsidRDefault="00587B71" w:rsidP="00587B71">
            <w:pPr>
              <w:spacing w:after="0" w:line="240" w:lineRule="auto"/>
              <w:jc w:val="center"/>
              <w:rPr>
                <w:rFonts w:ascii="Arial" w:eastAsia="Times New Roman" w:hAnsi="Arial" w:cs="Arial"/>
                <w:b/>
                <w:color w:val="000000"/>
                <w:sz w:val="24"/>
                <w:szCs w:val="24"/>
                <w:lang w:val="ro-RO"/>
              </w:rPr>
            </w:pPr>
            <w:r w:rsidRPr="00587B71">
              <w:rPr>
                <w:rFonts w:ascii="Arial" w:eastAsia="Times New Roman" w:hAnsi="Arial" w:cs="Arial"/>
                <w:b/>
                <w:color w:val="000000"/>
                <w:sz w:val="24"/>
                <w:szCs w:val="24"/>
                <w:lang w:val="ro-RO"/>
              </w:rPr>
              <w:t>2013</w:t>
            </w:r>
          </w:p>
        </w:tc>
        <w:tc>
          <w:tcPr>
            <w:tcW w:w="817" w:type="dxa"/>
          </w:tcPr>
          <w:p w:rsidR="00587B71" w:rsidRPr="00587B71" w:rsidRDefault="00587B71" w:rsidP="00587B71">
            <w:pPr>
              <w:spacing w:after="0" w:line="240" w:lineRule="auto"/>
              <w:jc w:val="center"/>
              <w:rPr>
                <w:rFonts w:ascii="Arial" w:eastAsia="Times New Roman" w:hAnsi="Arial" w:cs="Arial"/>
                <w:b/>
                <w:color w:val="000000"/>
                <w:sz w:val="24"/>
                <w:szCs w:val="24"/>
                <w:lang w:val="ro-RO"/>
              </w:rPr>
            </w:pPr>
            <w:r w:rsidRPr="00587B71">
              <w:rPr>
                <w:rFonts w:ascii="Arial" w:eastAsia="Times New Roman" w:hAnsi="Arial" w:cs="Arial"/>
                <w:b/>
                <w:color w:val="000000"/>
                <w:sz w:val="24"/>
                <w:szCs w:val="24"/>
                <w:lang w:val="ro-RO"/>
              </w:rPr>
              <w:t>2014</w:t>
            </w:r>
          </w:p>
        </w:tc>
        <w:tc>
          <w:tcPr>
            <w:tcW w:w="817" w:type="dxa"/>
          </w:tcPr>
          <w:p w:rsidR="00587B71" w:rsidRPr="00587B71" w:rsidRDefault="00587B71" w:rsidP="00587B71">
            <w:pPr>
              <w:spacing w:after="0" w:line="240" w:lineRule="auto"/>
              <w:jc w:val="center"/>
              <w:rPr>
                <w:rFonts w:ascii="Arial" w:eastAsia="Times New Roman" w:hAnsi="Arial" w:cs="Arial"/>
                <w:b/>
                <w:color w:val="000000"/>
                <w:sz w:val="24"/>
                <w:szCs w:val="24"/>
                <w:lang w:val="ro-RO"/>
              </w:rPr>
            </w:pPr>
            <w:r w:rsidRPr="00587B71">
              <w:rPr>
                <w:rFonts w:ascii="Arial" w:eastAsia="Times New Roman" w:hAnsi="Arial" w:cs="Arial"/>
                <w:b/>
                <w:color w:val="000000"/>
                <w:sz w:val="24"/>
                <w:szCs w:val="24"/>
                <w:lang w:val="ro-RO"/>
              </w:rPr>
              <w:t>2015</w:t>
            </w:r>
          </w:p>
        </w:tc>
      </w:tr>
      <w:tr w:rsidR="00587B71" w:rsidRPr="00587B71" w:rsidTr="00587B71">
        <w:tc>
          <w:tcPr>
            <w:tcW w:w="1283" w:type="dxa"/>
            <w:vAlign w:val="center"/>
          </w:tcPr>
          <w:p w:rsidR="00587B71" w:rsidRPr="00587B71" w:rsidRDefault="00587B71" w:rsidP="00587B71">
            <w:pPr>
              <w:spacing w:after="0" w:line="240" w:lineRule="auto"/>
              <w:ind w:left="360"/>
              <w:jc w:val="center"/>
              <w:rPr>
                <w:rFonts w:ascii="Arial" w:eastAsia="Times New Roman" w:hAnsi="Arial" w:cs="Arial"/>
                <w:b/>
                <w:color w:val="000000"/>
                <w:sz w:val="24"/>
                <w:szCs w:val="24"/>
                <w:lang w:val="ro-RO"/>
              </w:rPr>
            </w:pPr>
            <w:r w:rsidRPr="00587B71">
              <w:rPr>
                <w:rFonts w:ascii="Arial" w:eastAsia="Times New Roman" w:hAnsi="Arial" w:cs="Arial"/>
                <w:b/>
                <w:color w:val="000000"/>
                <w:sz w:val="24"/>
                <w:szCs w:val="24"/>
                <w:lang w:val="ro-RO"/>
              </w:rPr>
              <w:t>Vaslui</w:t>
            </w:r>
          </w:p>
        </w:tc>
        <w:tc>
          <w:tcPr>
            <w:tcW w:w="1323" w:type="dxa"/>
            <w:vAlign w:val="center"/>
          </w:tcPr>
          <w:p w:rsidR="00587B71" w:rsidRPr="00587B71" w:rsidRDefault="00587B71" w:rsidP="00587B71">
            <w:pPr>
              <w:spacing w:after="0" w:line="240" w:lineRule="auto"/>
              <w:ind w:left="-75" w:right="-119"/>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6.07</w:t>
            </w:r>
          </w:p>
        </w:tc>
        <w:tc>
          <w:tcPr>
            <w:tcW w:w="944" w:type="dxa"/>
            <w:vAlign w:val="center"/>
          </w:tcPr>
          <w:p w:rsidR="00587B71" w:rsidRPr="00587B71" w:rsidRDefault="00587B71" w:rsidP="00587B71">
            <w:pPr>
              <w:spacing w:after="0" w:line="240" w:lineRule="auto"/>
              <w:ind w:right="-119"/>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25.6</w:t>
            </w:r>
          </w:p>
        </w:tc>
        <w:tc>
          <w:tcPr>
            <w:tcW w:w="954" w:type="dxa"/>
            <w:vAlign w:val="center"/>
          </w:tcPr>
          <w:p w:rsidR="00587B71" w:rsidRPr="00587B71" w:rsidRDefault="00587B71" w:rsidP="00587B71">
            <w:pPr>
              <w:spacing w:after="0" w:line="240" w:lineRule="auto"/>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28.12</w:t>
            </w:r>
          </w:p>
        </w:tc>
        <w:tc>
          <w:tcPr>
            <w:tcW w:w="858" w:type="dxa"/>
            <w:vAlign w:val="center"/>
          </w:tcPr>
          <w:p w:rsidR="00587B71" w:rsidRPr="00587B71" w:rsidRDefault="00587B71" w:rsidP="00587B71">
            <w:pPr>
              <w:spacing w:after="0" w:line="240" w:lineRule="auto"/>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22,07</w:t>
            </w:r>
          </w:p>
        </w:tc>
        <w:tc>
          <w:tcPr>
            <w:tcW w:w="855" w:type="dxa"/>
            <w:vAlign w:val="center"/>
          </w:tcPr>
          <w:p w:rsidR="00587B71" w:rsidRPr="00587B71" w:rsidRDefault="00587B71" w:rsidP="00587B71">
            <w:pPr>
              <w:spacing w:after="0" w:line="240" w:lineRule="auto"/>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14,36</w:t>
            </w:r>
          </w:p>
        </w:tc>
        <w:tc>
          <w:tcPr>
            <w:tcW w:w="886" w:type="dxa"/>
            <w:vAlign w:val="center"/>
          </w:tcPr>
          <w:p w:rsidR="00587B71" w:rsidRPr="00587B71" w:rsidRDefault="00587B71" w:rsidP="00587B71">
            <w:pPr>
              <w:spacing w:after="0" w:line="240" w:lineRule="auto"/>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17.04</w:t>
            </w:r>
          </w:p>
        </w:tc>
        <w:tc>
          <w:tcPr>
            <w:tcW w:w="817" w:type="dxa"/>
          </w:tcPr>
          <w:p w:rsidR="00587B71" w:rsidRPr="00587B71" w:rsidRDefault="00587B71" w:rsidP="00587B71">
            <w:pPr>
              <w:spacing w:after="0" w:line="240" w:lineRule="auto"/>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12,43</w:t>
            </w:r>
          </w:p>
        </w:tc>
        <w:tc>
          <w:tcPr>
            <w:tcW w:w="817" w:type="dxa"/>
          </w:tcPr>
          <w:p w:rsidR="00587B71" w:rsidRPr="00587B71" w:rsidRDefault="00587B71" w:rsidP="00587B71">
            <w:pPr>
              <w:spacing w:after="0" w:line="240" w:lineRule="auto"/>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11,94</w:t>
            </w:r>
          </w:p>
        </w:tc>
      </w:tr>
    </w:tbl>
    <w:p w:rsidR="00587B71" w:rsidRPr="00587B71" w:rsidRDefault="00587B71" w:rsidP="00587B71">
      <w:pPr>
        <w:spacing w:after="0" w:line="240" w:lineRule="auto"/>
        <w:jc w:val="center"/>
        <w:rPr>
          <w:rFonts w:ascii="Arial" w:eastAsia="Times New Roman" w:hAnsi="Arial" w:cs="Arial"/>
          <w:color w:val="000000"/>
          <w:sz w:val="24"/>
          <w:szCs w:val="24"/>
          <w:lang w:val="ro-RO"/>
        </w:rPr>
      </w:pPr>
    </w:p>
    <w:p w:rsidR="00587B71" w:rsidRPr="00587B71" w:rsidRDefault="00587B71" w:rsidP="00587B71">
      <w:pPr>
        <w:spacing w:after="0" w:line="240" w:lineRule="auto"/>
        <w:jc w:val="center"/>
        <w:rPr>
          <w:rFonts w:ascii="Arial" w:eastAsia="Times New Roman" w:hAnsi="Arial" w:cs="Arial"/>
          <w:iCs/>
          <w:color w:val="FF0000"/>
          <w:sz w:val="24"/>
          <w:szCs w:val="24"/>
          <w:lang w:val="ro-RO"/>
        </w:rPr>
      </w:pPr>
      <w:r>
        <w:rPr>
          <w:rFonts w:ascii="Arial" w:eastAsia="Times New Roman" w:hAnsi="Arial" w:cs="Arial"/>
          <w:i/>
          <w:iCs/>
          <w:noProof/>
          <w:color w:val="FF0000"/>
          <w:sz w:val="24"/>
          <w:szCs w:val="24"/>
        </w:rPr>
        <w:drawing>
          <wp:inline distT="0" distB="0" distL="0" distR="0">
            <wp:extent cx="4641011" cy="1708030"/>
            <wp:effectExtent l="0" t="0" r="0" b="0"/>
            <wp:docPr id="181" name="Chart 1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87B71" w:rsidRPr="00587B71" w:rsidRDefault="00587B71" w:rsidP="00587B71">
      <w:pPr>
        <w:spacing w:after="0" w:line="240" w:lineRule="auto"/>
        <w:jc w:val="center"/>
        <w:rPr>
          <w:rFonts w:ascii="Arial" w:eastAsia="Times New Roman" w:hAnsi="Arial" w:cs="Arial"/>
          <w:i/>
          <w:iCs/>
          <w:color w:val="000000"/>
          <w:sz w:val="24"/>
          <w:szCs w:val="24"/>
          <w:lang w:val="ro-RO"/>
        </w:rPr>
      </w:pPr>
      <w:r w:rsidRPr="00587B71">
        <w:rPr>
          <w:rFonts w:ascii="Arial" w:eastAsia="Times New Roman" w:hAnsi="Arial" w:cs="Arial"/>
          <w:iCs/>
          <w:color w:val="000000"/>
          <w:sz w:val="24"/>
          <w:szCs w:val="24"/>
          <w:lang w:val="ro-RO"/>
        </w:rPr>
        <w:t>Figura. I.7. Evoluţia concentraţiei NH</w:t>
      </w:r>
      <w:r w:rsidRPr="00587B71">
        <w:rPr>
          <w:rFonts w:ascii="Arial" w:eastAsia="Times New Roman" w:hAnsi="Arial" w:cs="Arial"/>
          <w:iCs/>
          <w:color w:val="000000"/>
          <w:sz w:val="24"/>
          <w:szCs w:val="24"/>
          <w:vertAlign w:val="subscript"/>
          <w:lang w:val="ro-RO"/>
        </w:rPr>
        <w:t>3</w:t>
      </w:r>
      <w:r w:rsidRPr="00587B71">
        <w:rPr>
          <w:rFonts w:ascii="Arial" w:eastAsia="Times New Roman" w:hAnsi="Arial" w:cs="Arial"/>
          <w:iCs/>
          <w:color w:val="000000"/>
          <w:sz w:val="24"/>
          <w:szCs w:val="24"/>
          <w:lang w:val="ro-RO"/>
        </w:rPr>
        <w:t>, concentraţii medii anuale, (µg/mc)</w:t>
      </w:r>
    </w:p>
    <w:p w:rsidR="00587B71" w:rsidRPr="00587B71" w:rsidRDefault="00587B71" w:rsidP="00587B71">
      <w:pPr>
        <w:spacing w:after="0" w:line="240" w:lineRule="auto"/>
        <w:ind w:right="-143" w:firstLine="720"/>
        <w:jc w:val="center"/>
        <w:rPr>
          <w:rFonts w:ascii="Arial" w:eastAsia="Times New Roman" w:hAnsi="Arial" w:cs="Arial"/>
          <w:b/>
          <w:color w:val="FF0000"/>
          <w:sz w:val="24"/>
          <w:szCs w:val="24"/>
          <w:lang w:val="ro-RO"/>
        </w:rPr>
      </w:pPr>
    </w:p>
    <w:p w:rsidR="00587B71" w:rsidRPr="00587B71" w:rsidRDefault="00587B71" w:rsidP="00587B71">
      <w:pPr>
        <w:spacing w:after="0" w:line="240" w:lineRule="auto"/>
        <w:ind w:right="-143"/>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 xml:space="preserve">            Tabelul I.14. Evoluţia </w:t>
      </w:r>
      <w:r w:rsidRPr="00587B71">
        <w:rPr>
          <w:rFonts w:ascii="Arial" w:eastAsia="Times New Roman" w:hAnsi="Arial" w:cs="Arial"/>
          <w:bCs/>
          <w:color w:val="000000"/>
          <w:sz w:val="24"/>
          <w:szCs w:val="24"/>
          <w:lang w:val="ro-RO"/>
        </w:rPr>
        <w:t>calităţii aerului la indicatorul</w:t>
      </w:r>
      <w:r w:rsidRPr="00587B71">
        <w:rPr>
          <w:rFonts w:ascii="Arial" w:eastAsia="Times New Roman" w:hAnsi="Arial" w:cs="Arial"/>
          <w:iCs/>
          <w:color w:val="000000"/>
          <w:spacing w:val="-3"/>
          <w:sz w:val="24"/>
          <w:szCs w:val="24"/>
          <w:lang w:val="ro-RO"/>
        </w:rPr>
        <w:t xml:space="preserve"> </w:t>
      </w:r>
      <w:r w:rsidRPr="00587B71">
        <w:rPr>
          <w:rFonts w:ascii="Arial" w:eastAsia="Times New Roman" w:hAnsi="Arial" w:cs="Arial"/>
          <w:color w:val="000000"/>
          <w:sz w:val="24"/>
          <w:szCs w:val="24"/>
          <w:lang w:val="ro-RO"/>
        </w:rPr>
        <w:t>ozon</w:t>
      </w:r>
    </w:p>
    <w:tbl>
      <w:tblPr>
        <w:tblW w:w="8382" w:type="dxa"/>
        <w:jc w:val="center"/>
        <w:tblInd w:w="2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7"/>
        <w:gridCol w:w="969"/>
        <w:gridCol w:w="833"/>
        <w:gridCol w:w="888"/>
        <w:gridCol w:w="937"/>
        <w:gridCol w:w="901"/>
        <w:gridCol w:w="947"/>
        <w:gridCol w:w="868"/>
        <w:gridCol w:w="932"/>
      </w:tblGrid>
      <w:tr w:rsidR="00587B71" w:rsidRPr="00587B71" w:rsidTr="00587B71">
        <w:trPr>
          <w:jc w:val="center"/>
        </w:trPr>
        <w:tc>
          <w:tcPr>
            <w:tcW w:w="1107" w:type="dxa"/>
            <w:vMerge w:val="restart"/>
            <w:vAlign w:val="center"/>
          </w:tcPr>
          <w:p w:rsidR="00587B71" w:rsidRPr="00587B71" w:rsidRDefault="00587B71" w:rsidP="00587B71">
            <w:pPr>
              <w:autoSpaceDE w:val="0"/>
              <w:autoSpaceDN w:val="0"/>
              <w:adjustRightInd w:val="0"/>
              <w:spacing w:after="12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Staţii</w:t>
            </w:r>
          </w:p>
        </w:tc>
        <w:tc>
          <w:tcPr>
            <w:tcW w:w="7275" w:type="dxa"/>
            <w:gridSpan w:val="8"/>
          </w:tcPr>
          <w:p w:rsidR="00587B71" w:rsidRPr="00587B71" w:rsidRDefault="00587B71" w:rsidP="00587B71">
            <w:pPr>
              <w:autoSpaceDE w:val="0"/>
              <w:autoSpaceDN w:val="0"/>
              <w:adjustRightInd w:val="0"/>
              <w:spacing w:after="12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 xml:space="preserve">Concentraţia medie anuală  </w:t>
            </w:r>
            <w:r w:rsidRPr="00587B71">
              <w:rPr>
                <w:rFonts w:ascii="Arial" w:eastAsia="Times New Roman" w:hAnsi="Arial" w:cs="Arial"/>
                <w:b/>
                <w:iCs/>
                <w:color w:val="000000"/>
                <w:sz w:val="24"/>
                <w:szCs w:val="24"/>
              </w:rPr>
              <w:t>ozon- O</w:t>
            </w:r>
            <w:r w:rsidRPr="00587B71">
              <w:rPr>
                <w:rFonts w:ascii="Arial" w:eastAsia="Times New Roman" w:hAnsi="Arial" w:cs="Arial"/>
                <w:b/>
                <w:iCs/>
                <w:color w:val="000000"/>
                <w:sz w:val="24"/>
                <w:szCs w:val="24"/>
                <w:vertAlign w:val="subscript"/>
              </w:rPr>
              <w:t>3</w:t>
            </w:r>
            <w:r w:rsidRPr="00587B71">
              <w:rPr>
                <w:rFonts w:ascii="Arial" w:eastAsia="Times New Roman" w:hAnsi="Arial" w:cs="Arial"/>
                <w:b/>
                <w:iCs/>
                <w:color w:val="000000"/>
                <w:sz w:val="24"/>
                <w:szCs w:val="24"/>
              </w:rPr>
              <w:t>, (µg/mc)</w:t>
            </w:r>
          </w:p>
        </w:tc>
      </w:tr>
      <w:tr w:rsidR="00587B71" w:rsidRPr="00587B71" w:rsidTr="00587B71">
        <w:trPr>
          <w:trHeight w:val="247"/>
          <w:jc w:val="center"/>
        </w:trPr>
        <w:tc>
          <w:tcPr>
            <w:tcW w:w="1107" w:type="dxa"/>
            <w:vMerge/>
          </w:tcPr>
          <w:p w:rsidR="00587B71" w:rsidRPr="00587B71" w:rsidRDefault="00587B71" w:rsidP="00587B71">
            <w:pPr>
              <w:autoSpaceDE w:val="0"/>
              <w:autoSpaceDN w:val="0"/>
              <w:adjustRightInd w:val="0"/>
              <w:spacing w:after="120" w:line="240" w:lineRule="auto"/>
              <w:jc w:val="center"/>
              <w:rPr>
                <w:rFonts w:ascii="Arial" w:eastAsia="Times New Roman" w:hAnsi="Arial" w:cs="Arial"/>
                <w:color w:val="000000"/>
                <w:sz w:val="24"/>
                <w:szCs w:val="24"/>
                <w:lang w:val="pt-BR"/>
              </w:rPr>
            </w:pPr>
          </w:p>
        </w:tc>
        <w:tc>
          <w:tcPr>
            <w:tcW w:w="969" w:type="dxa"/>
          </w:tcPr>
          <w:p w:rsidR="00587B71" w:rsidRPr="00587B71" w:rsidRDefault="00587B71" w:rsidP="00587B71">
            <w:pPr>
              <w:spacing w:after="12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2008</w:t>
            </w:r>
          </w:p>
        </w:tc>
        <w:tc>
          <w:tcPr>
            <w:tcW w:w="833"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2009</w:t>
            </w:r>
          </w:p>
        </w:tc>
        <w:tc>
          <w:tcPr>
            <w:tcW w:w="888"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2010</w:t>
            </w:r>
          </w:p>
        </w:tc>
        <w:tc>
          <w:tcPr>
            <w:tcW w:w="937"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2011</w:t>
            </w:r>
          </w:p>
        </w:tc>
        <w:tc>
          <w:tcPr>
            <w:tcW w:w="901"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2012</w:t>
            </w:r>
          </w:p>
        </w:tc>
        <w:tc>
          <w:tcPr>
            <w:tcW w:w="947"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2013</w:t>
            </w:r>
          </w:p>
        </w:tc>
        <w:tc>
          <w:tcPr>
            <w:tcW w:w="868"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2014</w:t>
            </w:r>
          </w:p>
        </w:tc>
        <w:tc>
          <w:tcPr>
            <w:tcW w:w="932"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2015</w:t>
            </w:r>
          </w:p>
        </w:tc>
      </w:tr>
      <w:tr w:rsidR="00587B71" w:rsidRPr="00587B71" w:rsidTr="00587B71">
        <w:trPr>
          <w:jc w:val="center"/>
        </w:trPr>
        <w:tc>
          <w:tcPr>
            <w:tcW w:w="1107"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color w:val="000000"/>
                <w:sz w:val="24"/>
                <w:szCs w:val="24"/>
                <w:lang w:val="pt-BR"/>
              </w:rPr>
            </w:pPr>
            <w:r w:rsidRPr="00587B71">
              <w:rPr>
                <w:rFonts w:ascii="Arial" w:eastAsia="Times New Roman" w:hAnsi="Arial" w:cs="Arial"/>
                <w:color w:val="000000"/>
                <w:sz w:val="24"/>
                <w:szCs w:val="24"/>
                <w:lang w:val="pt-BR"/>
              </w:rPr>
              <w:t>VS1</w:t>
            </w:r>
          </w:p>
        </w:tc>
        <w:tc>
          <w:tcPr>
            <w:tcW w:w="969" w:type="dxa"/>
          </w:tcPr>
          <w:p w:rsidR="00587B71" w:rsidRPr="00587B71" w:rsidRDefault="00587B71" w:rsidP="00587B71">
            <w:pPr>
              <w:spacing w:after="0" w:line="240" w:lineRule="auto"/>
              <w:ind w:right="-119"/>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39.38</w:t>
            </w:r>
          </w:p>
        </w:tc>
        <w:tc>
          <w:tcPr>
            <w:tcW w:w="833" w:type="dxa"/>
          </w:tcPr>
          <w:p w:rsidR="00587B71" w:rsidRPr="00587B71" w:rsidRDefault="00587B71" w:rsidP="00587B71">
            <w:pPr>
              <w:spacing w:after="0" w:line="240" w:lineRule="auto"/>
              <w:ind w:right="-119"/>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40</w:t>
            </w:r>
          </w:p>
        </w:tc>
        <w:tc>
          <w:tcPr>
            <w:tcW w:w="888" w:type="dxa"/>
          </w:tcPr>
          <w:p w:rsidR="00587B71" w:rsidRPr="00587B71" w:rsidRDefault="00587B71" w:rsidP="00587B71">
            <w:pPr>
              <w:spacing w:after="0" w:line="240" w:lineRule="auto"/>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36.03</w:t>
            </w:r>
          </w:p>
        </w:tc>
        <w:tc>
          <w:tcPr>
            <w:tcW w:w="937" w:type="dxa"/>
            <w:vAlign w:val="center"/>
          </w:tcPr>
          <w:p w:rsidR="00587B71" w:rsidRPr="00587B71" w:rsidRDefault="00587B71" w:rsidP="00587B71">
            <w:pPr>
              <w:autoSpaceDE w:val="0"/>
              <w:autoSpaceDN w:val="0"/>
              <w:adjustRightInd w:val="0"/>
              <w:spacing w:after="12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33,66</w:t>
            </w:r>
          </w:p>
        </w:tc>
        <w:tc>
          <w:tcPr>
            <w:tcW w:w="901" w:type="dxa"/>
            <w:vAlign w:val="center"/>
          </w:tcPr>
          <w:p w:rsidR="00587B71" w:rsidRPr="00587B71" w:rsidRDefault="00587B71" w:rsidP="00587B71">
            <w:pPr>
              <w:autoSpaceDE w:val="0"/>
              <w:autoSpaceDN w:val="0"/>
              <w:adjustRightInd w:val="0"/>
              <w:spacing w:after="12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w:t>
            </w:r>
          </w:p>
        </w:tc>
        <w:tc>
          <w:tcPr>
            <w:tcW w:w="947"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w:t>
            </w:r>
          </w:p>
        </w:tc>
        <w:tc>
          <w:tcPr>
            <w:tcW w:w="868"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w:t>
            </w:r>
          </w:p>
        </w:tc>
        <w:tc>
          <w:tcPr>
            <w:tcW w:w="932"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w:t>
            </w:r>
          </w:p>
        </w:tc>
      </w:tr>
      <w:tr w:rsidR="00587B71" w:rsidRPr="00587B71" w:rsidTr="00587B71">
        <w:trPr>
          <w:jc w:val="center"/>
        </w:trPr>
        <w:tc>
          <w:tcPr>
            <w:tcW w:w="1107"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color w:val="000000"/>
                <w:sz w:val="24"/>
                <w:szCs w:val="24"/>
                <w:lang w:val="pt-BR"/>
              </w:rPr>
            </w:pPr>
            <w:r w:rsidRPr="00587B71">
              <w:rPr>
                <w:rFonts w:ascii="Arial" w:eastAsia="Times New Roman" w:hAnsi="Arial" w:cs="Arial"/>
                <w:color w:val="000000"/>
                <w:sz w:val="24"/>
                <w:szCs w:val="24"/>
                <w:lang w:val="pt-BR"/>
              </w:rPr>
              <w:t>VS2</w:t>
            </w:r>
          </w:p>
        </w:tc>
        <w:tc>
          <w:tcPr>
            <w:tcW w:w="969" w:type="dxa"/>
            <w:vAlign w:val="center"/>
          </w:tcPr>
          <w:p w:rsidR="00587B71" w:rsidRPr="00587B71" w:rsidRDefault="00587B71" w:rsidP="00587B71">
            <w:pPr>
              <w:spacing w:after="120" w:line="240" w:lineRule="auto"/>
              <w:jc w:val="center"/>
              <w:rPr>
                <w:rFonts w:ascii="Arial" w:eastAsia="Times New Roman" w:hAnsi="Arial" w:cs="Arial"/>
                <w:color w:val="000000"/>
                <w:sz w:val="24"/>
                <w:szCs w:val="24"/>
                <w:lang w:val="pt-BR"/>
              </w:rPr>
            </w:pPr>
            <w:r w:rsidRPr="00587B71">
              <w:rPr>
                <w:rFonts w:ascii="Arial" w:eastAsia="Times New Roman" w:hAnsi="Arial" w:cs="Arial"/>
                <w:color w:val="000000"/>
                <w:sz w:val="24"/>
                <w:szCs w:val="24"/>
                <w:lang w:val="pt-BR"/>
              </w:rPr>
              <w:t>-</w:t>
            </w:r>
          </w:p>
        </w:tc>
        <w:tc>
          <w:tcPr>
            <w:tcW w:w="833" w:type="dxa"/>
            <w:vAlign w:val="center"/>
          </w:tcPr>
          <w:p w:rsidR="00587B71" w:rsidRPr="00587B71" w:rsidRDefault="00587B71" w:rsidP="00587B71">
            <w:pPr>
              <w:spacing w:after="120" w:line="240" w:lineRule="auto"/>
              <w:jc w:val="center"/>
              <w:rPr>
                <w:rFonts w:ascii="Arial" w:eastAsia="Times New Roman" w:hAnsi="Arial" w:cs="Arial"/>
                <w:color w:val="000000"/>
                <w:sz w:val="24"/>
                <w:szCs w:val="24"/>
                <w:lang w:val="pt-BR"/>
              </w:rPr>
            </w:pPr>
            <w:r w:rsidRPr="00587B71">
              <w:rPr>
                <w:rFonts w:ascii="Arial" w:eastAsia="Times New Roman" w:hAnsi="Arial" w:cs="Arial"/>
                <w:color w:val="000000"/>
                <w:sz w:val="24"/>
                <w:szCs w:val="24"/>
                <w:lang w:val="pt-BR"/>
              </w:rPr>
              <w:t>-</w:t>
            </w:r>
          </w:p>
        </w:tc>
        <w:tc>
          <w:tcPr>
            <w:tcW w:w="888" w:type="dxa"/>
            <w:vAlign w:val="center"/>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4"/>
                <w:szCs w:val="24"/>
                <w:lang w:val="pt-BR"/>
              </w:rPr>
            </w:pPr>
            <w:r w:rsidRPr="00587B71">
              <w:rPr>
                <w:rFonts w:ascii="Arial" w:eastAsia="Times New Roman" w:hAnsi="Arial" w:cs="Arial"/>
                <w:color w:val="000000"/>
                <w:sz w:val="24"/>
                <w:szCs w:val="24"/>
                <w:lang w:val="pt-BR"/>
              </w:rPr>
              <w:t>-</w:t>
            </w:r>
          </w:p>
        </w:tc>
        <w:tc>
          <w:tcPr>
            <w:tcW w:w="937" w:type="dxa"/>
            <w:vAlign w:val="center"/>
          </w:tcPr>
          <w:p w:rsidR="00587B71" w:rsidRPr="00587B71" w:rsidRDefault="00587B71" w:rsidP="00587B71">
            <w:pPr>
              <w:autoSpaceDE w:val="0"/>
              <w:autoSpaceDN w:val="0"/>
              <w:adjustRightInd w:val="0"/>
              <w:spacing w:after="12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w:t>
            </w:r>
          </w:p>
        </w:tc>
        <w:tc>
          <w:tcPr>
            <w:tcW w:w="901" w:type="dxa"/>
            <w:vAlign w:val="center"/>
          </w:tcPr>
          <w:p w:rsidR="00587B71" w:rsidRPr="00587B71" w:rsidRDefault="00587B71" w:rsidP="00587B71">
            <w:pPr>
              <w:autoSpaceDE w:val="0"/>
              <w:autoSpaceDN w:val="0"/>
              <w:adjustRightInd w:val="0"/>
              <w:spacing w:after="12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60,22</w:t>
            </w:r>
          </w:p>
        </w:tc>
        <w:tc>
          <w:tcPr>
            <w:tcW w:w="947"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w:t>
            </w:r>
          </w:p>
        </w:tc>
        <w:tc>
          <w:tcPr>
            <w:tcW w:w="868"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w:t>
            </w:r>
          </w:p>
        </w:tc>
        <w:tc>
          <w:tcPr>
            <w:tcW w:w="932" w:type="dxa"/>
          </w:tcPr>
          <w:p w:rsidR="00587B71" w:rsidRPr="00587B71" w:rsidRDefault="00587B71" w:rsidP="00587B71">
            <w:pPr>
              <w:autoSpaceDE w:val="0"/>
              <w:autoSpaceDN w:val="0"/>
              <w:adjustRightInd w:val="0"/>
              <w:spacing w:after="12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w:t>
            </w:r>
          </w:p>
        </w:tc>
      </w:tr>
    </w:tbl>
    <w:p w:rsidR="00587B71" w:rsidRPr="00587B71" w:rsidRDefault="00587B71" w:rsidP="00587B71">
      <w:pPr>
        <w:autoSpaceDE w:val="0"/>
        <w:autoSpaceDN w:val="0"/>
        <w:adjustRightInd w:val="0"/>
        <w:spacing w:after="120" w:line="240" w:lineRule="auto"/>
        <w:ind w:firstLine="720"/>
        <w:jc w:val="both"/>
        <w:rPr>
          <w:rFonts w:ascii="Arial" w:eastAsia="Times New Roman" w:hAnsi="Arial" w:cs="Arial"/>
          <w:i/>
          <w:color w:val="000000"/>
          <w:sz w:val="20"/>
          <w:szCs w:val="20"/>
          <w:lang w:val="it-IT"/>
        </w:rPr>
      </w:pPr>
      <w:r w:rsidRPr="00587B71">
        <w:rPr>
          <w:rFonts w:ascii="Arial" w:eastAsia="Times New Roman" w:hAnsi="Arial" w:cs="Arial"/>
          <w:i/>
          <w:color w:val="000000"/>
          <w:sz w:val="20"/>
          <w:szCs w:val="20"/>
          <w:lang w:val="it-IT"/>
        </w:rPr>
        <w:t>*staţie pusă în funcţiune la data de  01.04.2011</w:t>
      </w:r>
    </w:p>
    <w:p w:rsidR="00587B71" w:rsidRPr="00587B71" w:rsidRDefault="00587B71" w:rsidP="00587B71">
      <w:pPr>
        <w:tabs>
          <w:tab w:val="left" w:pos="2295"/>
        </w:tabs>
        <w:spacing w:after="0" w:line="240" w:lineRule="auto"/>
        <w:jc w:val="center"/>
        <w:rPr>
          <w:rFonts w:ascii="Arial" w:eastAsia="Times New Roman" w:hAnsi="Arial" w:cs="Arial"/>
          <w:i/>
          <w:iCs/>
          <w:color w:val="FF0000"/>
          <w:sz w:val="24"/>
          <w:szCs w:val="24"/>
          <w:lang w:val="ro-RO"/>
        </w:rPr>
      </w:pPr>
      <w:r>
        <w:rPr>
          <w:rFonts w:ascii="Arial" w:eastAsia="Times New Roman" w:hAnsi="Arial" w:cs="Arial"/>
          <w:i/>
          <w:iCs/>
          <w:noProof/>
          <w:color w:val="FF0000"/>
          <w:sz w:val="24"/>
          <w:szCs w:val="24"/>
        </w:rPr>
        <w:drawing>
          <wp:inline distT="0" distB="0" distL="0" distR="0">
            <wp:extent cx="5038725" cy="2200275"/>
            <wp:effectExtent l="0" t="0" r="0" b="0"/>
            <wp:docPr id="180" name="Chart 1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87B71" w:rsidRPr="00587B71" w:rsidRDefault="00587B71" w:rsidP="00587B71">
      <w:pPr>
        <w:spacing w:after="12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Figura I.8.- Evoluţia anuală a concentraţiei de O</w:t>
      </w:r>
      <w:r w:rsidRPr="00587B71">
        <w:rPr>
          <w:rFonts w:ascii="Arial" w:eastAsia="Times New Roman" w:hAnsi="Arial" w:cs="Arial"/>
          <w:color w:val="000000"/>
          <w:sz w:val="24"/>
          <w:szCs w:val="24"/>
          <w:vertAlign w:val="subscript"/>
        </w:rPr>
        <w:t>3</w:t>
      </w:r>
      <w:r w:rsidRPr="00587B71">
        <w:rPr>
          <w:rFonts w:ascii="Arial" w:eastAsia="Times New Roman" w:hAnsi="Arial" w:cs="Arial"/>
          <w:color w:val="000000"/>
          <w:sz w:val="24"/>
          <w:szCs w:val="24"/>
        </w:rPr>
        <w:t>, în perioada 2008 – 2015.</w:t>
      </w:r>
    </w:p>
    <w:p w:rsidR="00587B71" w:rsidRPr="00587B71" w:rsidRDefault="00587B71" w:rsidP="00587B71">
      <w:pPr>
        <w:spacing w:after="0" w:line="240" w:lineRule="auto"/>
        <w:ind w:right="-143"/>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 xml:space="preserve">         Tabelul I.15. Evoluţia </w:t>
      </w:r>
      <w:r w:rsidRPr="00587B71">
        <w:rPr>
          <w:rFonts w:ascii="Arial" w:eastAsia="Times New Roman" w:hAnsi="Arial" w:cs="Arial"/>
          <w:bCs/>
          <w:color w:val="000000"/>
          <w:sz w:val="24"/>
          <w:szCs w:val="24"/>
          <w:lang w:val="ro-RO"/>
        </w:rPr>
        <w:t>calităţii aerului la indicatorul</w:t>
      </w:r>
      <w:r w:rsidRPr="00587B71">
        <w:rPr>
          <w:rFonts w:ascii="Arial" w:eastAsia="Times New Roman" w:hAnsi="Arial" w:cs="Arial"/>
          <w:iCs/>
          <w:color w:val="000000"/>
          <w:spacing w:val="-3"/>
          <w:sz w:val="24"/>
          <w:szCs w:val="24"/>
          <w:lang w:val="ro-RO"/>
        </w:rPr>
        <w:t xml:space="preserve"> </w:t>
      </w:r>
      <w:r w:rsidRPr="00587B71">
        <w:rPr>
          <w:rFonts w:ascii="Arial" w:eastAsia="Times New Roman" w:hAnsi="Arial" w:cs="Arial"/>
          <w:color w:val="000000"/>
          <w:sz w:val="24"/>
          <w:szCs w:val="24"/>
          <w:lang w:val="ro-RO"/>
        </w:rPr>
        <w:t>benzen</w:t>
      </w:r>
    </w:p>
    <w:tbl>
      <w:tblPr>
        <w:tblpPr w:leftFromText="180" w:rightFromText="180" w:vertAnchor="text" w:horzAnchor="margin"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8"/>
        <w:gridCol w:w="1076"/>
        <w:gridCol w:w="1074"/>
        <w:gridCol w:w="991"/>
        <w:gridCol w:w="1041"/>
        <w:gridCol w:w="918"/>
        <w:gridCol w:w="837"/>
        <w:gridCol w:w="837"/>
        <w:gridCol w:w="765"/>
      </w:tblGrid>
      <w:tr w:rsidR="00587B71" w:rsidRPr="00587B71" w:rsidTr="00587B71">
        <w:tc>
          <w:tcPr>
            <w:tcW w:w="2118" w:type="dxa"/>
            <w:vMerge w:val="restart"/>
            <w:vAlign w:val="center"/>
          </w:tcPr>
          <w:p w:rsidR="00587B71" w:rsidRPr="00587B71" w:rsidRDefault="00587B71" w:rsidP="00587B71">
            <w:pPr>
              <w:autoSpaceDE w:val="0"/>
              <w:autoSpaceDN w:val="0"/>
              <w:adjustRightInd w:val="0"/>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Staţie</w:t>
            </w:r>
          </w:p>
        </w:tc>
        <w:tc>
          <w:tcPr>
            <w:tcW w:w="7539" w:type="dxa"/>
            <w:gridSpan w:val="8"/>
          </w:tcPr>
          <w:p w:rsidR="00587B71" w:rsidRPr="00587B71" w:rsidRDefault="00587B71" w:rsidP="00587B71">
            <w:pPr>
              <w:autoSpaceDE w:val="0"/>
              <w:autoSpaceDN w:val="0"/>
              <w:adjustRightInd w:val="0"/>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 xml:space="preserve">Concentraţia medie anuală  </w:t>
            </w:r>
            <w:r w:rsidRPr="00587B71">
              <w:rPr>
                <w:rFonts w:ascii="Arial" w:eastAsia="Times New Roman" w:hAnsi="Arial" w:cs="Arial"/>
                <w:b/>
                <w:iCs/>
                <w:color w:val="000000"/>
                <w:sz w:val="24"/>
                <w:szCs w:val="24"/>
              </w:rPr>
              <w:t>Benzen, (µg/mc)</w:t>
            </w:r>
          </w:p>
        </w:tc>
      </w:tr>
      <w:tr w:rsidR="00587B71" w:rsidRPr="00587B71" w:rsidTr="00587B71">
        <w:trPr>
          <w:trHeight w:val="247"/>
        </w:trPr>
        <w:tc>
          <w:tcPr>
            <w:tcW w:w="2118" w:type="dxa"/>
            <w:vMerge/>
          </w:tcPr>
          <w:p w:rsidR="00587B71" w:rsidRPr="00587B71" w:rsidRDefault="00587B71" w:rsidP="00587B71">
            <w:pPr>
              <w:autoSpaceDE w:val="0"/>
              <w:autoSpaceDN w:val="0"/>
              <w:adjustRightInd w:val="0"/>
              <w:spacing w:after="0" w:line="240" w:lineRule="auto"/>
              <w:jc w:val="both"/>
              <w:rPr>
                <w:rFonts w:ascii="Arial" w:eastAsia="Times New Roman" w:hAnsi="Arial" w:cs="Arial"/>
                <w:color w:val="000000"/>
                <w:sz w:val="24"/>
                <w:szCs w:val="24"/>
                <w:lang w:val="pt-BR"/>
              </w:rPr>
            </w:pPr>
          </w:p>
        </w:tc>
        <w:tc>
          <w:tcPr>
            <w:tcW w:w="1076" w:type="dxa"/>
          </w:tcPr>
          <w:p w:rsidR="00587B71" w:rsidRPr="00587B71" w:rsidRDefault="00587B71" w:rsidP="00587B71">
            <w:pPr>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2008</w:t>
            </w:r>
          </w:p>
        </w:tc>
        <w:tc>
          <w:tcPr>
            <w:tcW w:w="1074"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2009</w:t>
            </w:r>
          </w:p>
        </w:tc>
        <w:tc>
          <w:tcPr>
            <w:tcW w:w="991"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2010</w:t>
            </w:r>
          </w:p>
        </w:tc>
        <w:tc>
          <w:tcPr>
            <w:tcW w:w="1041"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2011</w:t>
            </w:r>
          </w:p>
        </w:tc>
        <w:tc>
          <w:tcPr>
            <w:tcW w:w="918"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2012</w:t>
            </w:r>
          </w:p>
        </w:tc>
        <w:tc>
          <w:tcPr>
            <w:tcW w:w="837"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2013</w:t>
            </w:r>
          </w:p>
        </w:tc>
        <w:tc>
          <w:tcPr>
            <w:tcW w:w="837"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2014</w:t>
            </w:r>
          </w:p>
        </w:tc>
        <w:tc>
          <w:tcPr>
            <w:tcW w:w="765"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2015</w:t>
            </w:r>
          </w:p>
        </w:tc>
      </w:tr>
      <w:tr w:rsidR="00587B71" w:rsidRPr="00587B71" w:rsidTr="00587B71">
        <w:tc>
          <w:tcPr>
            <w:tcW w:w="2118" w:type="dxa"/>
          </w:tcPr>
          <w:p w:rsidR="00587B71" w:rsidRPr="00587B71" w:rsidRDefault="00587B71" w:rsidP="00587B71">
            <w:pPr>
              <w:autoSpaceDE w:val="0"/>
              <w:autoSpaceDN w:val="0"/>
              <w:adjustRightInd w:val="0"/>
              <w:spacing w:after="0" w:line="240" w:lineRule="auto"/>
              <w:jc w:val="both"/>
              <w:rPr>
                <w:rFonts w:ascii="Arial" w:eastAsia="Times New Roman" w:hAnsi="Arial" w:cs="Arial"/>
                <w:color w:val="000000"/>
                <w:sz w:val="24"/>
                <w:szCs w:val="24"/>
                <w:lang w:val="pt-BR"/>
              </w:rPr>
            </w:pPr>
            <w:r w:rsidRPr="00587B71">
              <w:rPr>
                <w:rFonts w:ascii="Arial" w:eastAsia="Times New Roman" w:hAnsi="Arial" w:cs="Arial"/>
                <w:color w:val="000000"/>
                <w:sz w:val="24"/>
                <w:szCs w:val="24"/>
                <w:lang w:val="pt-BR"/>
              </w:rPr>
              <w:t>VS1</w:t>
            </w:r>
          </w:p>
        </w:tc>
        <w:tc>
          <w:tcPr>
            <w:tcW w:w="1076" w:type="dxa"/>
          </w:tcPr>
          <w:p w:rsidR="00587B71" w:rsidRPr="00587B71" w:rsidRDefault="00587B71" w:rsidP="00587B71">
            <w:pPr>
              <w:spacing w:after="0" w:line="240" w:lineRule="auto"/>
              <w:ind w:right="-119"/>
              <w:jc w:val="center"/>
              <w:rPr>
                <w:rFonts w:ascii="Arial" w:eastAsia="Times New Roman" w:hAnsi="Arial" w:cs="Arial"/>
                <w:color w:val="000000"/>
                <w:lang w:val="ro-RO"/>
              </w:rPr>
            </w:pPr>
            <w:r w:rsidRPr="00587B71">
              <w:rPr>
                <w:rFonts w:ascii="Arial" w:eastAsia="Times New Roman" w:hAnsi="Arial" w:cs="Arial"/>
                <w:color w:val="000000"/>
                <w:lang w:val="ro-RO"/>
              </w:rPr>
              <w:t>2,5</w:t>
            </w:r>
          </w:p>
        </w:tc>
        <w:tc>
          <w:tcPr>
            <w:tcW w:w="1074" w:type="dxa"/>
          </w:tcPr>
          <w:p w:rsidR="00587B71" w:rsidRPr="00587B71" w:rsidRDefault="00587B71" w:rsidP="00587B71">
            <w:pPr>
              <w:spacing w:after="0" w:line="240" w:lineRule="auto"/>
              <w:ind w:right="-119"/>
              <w:jc w:val="center"/>
              <w:rPr>
                <w:rFonts w:ascii="Arial" w:eastAsia="Times New Roman" w:hAnsi="Arial" w:cs="Arial"/>
                <w:color w:val="000000"/>
                <w:lang w:val="ro-RO"/>
              </w:rPr>
            </w:pPr>
            <w:r w:rsidRPr="00587B71">
              <w:rPr>
                <w:rFonts w:ascii="Arial" w:eastAsia="Times New Roman" w:hAnsi="Arial" w:cs="Arial"/>
                <w:color w:val="000000"/>
                <w:lang w:val="ro-RO"/>
              </w:rPr>
              <w:t>2,3</w:t>
            </w:r>
          </w:p>
        </w:tc>
        <w:tc>
          <w:tcPr>
            <w:tcW w:w="991" w:type="dxa"/>
          </w:tcPr>
          <w:p w:rsidR="00587B71" w:rsidRPr="00587B71" w:rsidRDefault="00587B71" w:rsidP="00587B71">
            <w:pPr>
              <w:spacing w:after="0" w:line="240" w:lineRule="auto"/>
              <w:jc w:val="center"/>
              <w:rPr>
                <w:rFonts w:ascii="Arial" w:eastAsia="Times New Roman" w:hAnsi="Arial" w:cs="Arial"/>
                <w:color w:val="000000"/>
                <w:lang w:val="ro-RO"/>
              </w:rPr>
            </w:pPr>
            <w:r w:rsidRPr="00587B71">
              <w:rPr>
                <w:rFonts w:ascii="Arial" w:eastAsia="Times New Roman" w:hAnsi="Arial" w:cs="Arial"/>
                <w:color w:val="000000"/>
                <w:lang w:val="ro-RO"/>
              </w:rPr>
              <w:t>-</w:t>
            </w:r>
          </w:p>
        </w:tc>
        <w:tc>
          <w:tcPr>
            <w:tcW w:w="1041" w:type="dxa"/>
            <w:vAlign w:val="center"/>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rPr>
            </w:pPr>
            <w:r w:rsidRPr="00587B71">
              <w:rPr>
                <w:rFonts w:ascii="Arial" w:eastAsia="Times New Roman" w:hAnsi="Arial" w:cs="Arial"/>
                <w:color w:val="000000"/>
              </w:rPr>
              <w:t>-</w:t>
            </w:r>
          </w:p>
        </w:tc>
        <w:tc>
          <w:tcPr>
            <w:tcW w:w="918" w:type="dxa"/>
            <w:vAlign w:val="center"/>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rPr>
            </w:pPr>
            <w:r w:rsidRPr="00587B71">
              <w:rPr>
                <w:rFonts w:ascii="Arial" w:eastAsia="Times New Roman" w:hAnsi="Arial" w:cs="Arial"/>
                <w:color w:val="000000"/>
              </w:rPr>
              <w:t>-</w:t>
            </w:r>
          </w:p>
        </w:tc>
        <w:tc>
          <w:tcPr>
            <w:tcW w:w="837"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rPr>
            </w:pPr>
            <w:r w:rsidRPr="00587B71">
              <w:rPr>
                <w:rFonts w:ascii="Arial" w:eastAsia="Times New Roman" w:hAnsi="Arial" w:cs="Arial"/>
                <w:color w:val="000000"/>
              </w:rPr>
              <w:t>-</w:t>
            </w:r>
          </w:p>
        </w:tc>
        <w:tc>
          <w:tcPr>
            <w:tcW w:w="837" w:type="dxa"/>
            <w:vAlign w:val="center"/>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rPr>
            </w:pPr>
            <w:r w:rsidRPr="00587B71">
              <w:rPr>
                <w:rFonts w:ascii="Arial" w:eastAsia="Times New Roman" w:hAnsi="Arial" w:cs="Arial"/>
                <w:color w:val="000000"/>
              </w:rPr>
              <w:t>-</w:t>
            </w:r>
          </w:p>
        </w:tc>
        <w:tc>
          <w:tcPr>
            <w:tcW w:w="765"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rPr>
            </w:pPr>
            <w:r w:rsidRPr="00587B71">
              <w:rPr>
                <w:rFonts w:ascii="Arial" w:eastAsia="Times New Roman" w:hAnsi="Arial" w:cs="Arial"/>
                <w:color w:val="000000"/>
              </w:rPr>
              <w:t>-</w:t>
            </w:r>
          </w:p>
        </w:tc>
      </w:tr>
      <w:tr w:rsidR="00587B71" w:rsidRPr="00587B71" w:rsidTr="00587B71">
        <w:tc>
          <w:tcPr>
            <w:tcW w:w="2118" w:type="dxa"/>
          </w:tcPr>
          <w:p w:rsidR="00587B71" w:rsidRPr="00587B71" w:rsidRDefault="00587B71" w:rsidP="00587B71">
            <w:pPr>
              <w:autoSpaceDE w:val="0"/>
              <w:autoSpaceDN w:val="0"/>
              <w:adjustRightInd w:val="0"/>
              <w:spacing w:after="0" w:line="240" w:lineRule="auto"/>
              <w:jc w:val="both"/>
              <w:rPr>
                <w:rFonts w:ascii="Arial" w:eastAsia="Times New Roman" w:hAnsi="Arial" w:cs="Arial"/>
                <w:color w:val="000000"/>
                <w:sz w:val="24"/>
                <w:szCs w:val="24"/>
                <w:lang w:val="pt-BR"/>
              </w:rPr>
            </w:pPr>
            <w:r w:rsidRPr="00587B71">
              <w:rPr>
                <w:rFonts w:ascii="Arial" w:eastAsia="Times New Roman" w:hAnsi="Arial" w:cs="Arial"/>
                <w:color w:val="000000"/>
                <w:sz w:val="24"/>
                <w:szCs w:val="24"/>
                <w:lang w:val="pt-BR"/>
              </w:rPr>
              <w:t>VS2</w:t>
            </w:r>
          </w:p>
        </w:tc>
        <w:tc>
          <w:tcPr>
            <w:tcW w:w="1076" w:type="dxa"/>
            <w:vAlign w:val="center"/>
          </w:tcPr>
          <w:p w:rsidR="00587B71" w:rsidRPr="00587B71" w:rsidRDefault="00587B71" w:rsidP="00587B71">
            <w:pPr>
              <w:spacing w:after="0" w:line="240" w:lineRule="auto"/>
              <w:jc w:val="center"/>
              <w:rPr>
                <w:rFonts w:ascii="Arial" w:eastAsia="Times New Roman" w:hAnsi="Arial" w:cs="Arial"/>
                <w:color w:val="000000"/>
                <w:sz w:val="24"/>
                <w:szCs w:val="24"/>
                <w:lang w:val="pt-BR"/>
              </w:rPr>
            </w:pPr>
            <w:r w:rsidRPr="00587B71">
              <w:rPr>
                <w:rFonts w:ascii="Arial" w:eastAsia="Times New Roman" w:hAnsi="Arial" w:cs="Arial"/>
                <w:color w:val="000000"/>
                <w:sz w:val="24"/>
                <w:szCs w:val="24"/>
                <w:lang w:val="pt-BR"/>
              </w:rPr>
              <w:t>-</w:t>
            </w:r>
          </w:p>
        </w:tc>
        <w:tc>
          <w:tcPr>
            <w:tcW w:w="1074" w:type="dxa"/>
            <w:vAlign w:val="center"/>
          </w:tcPr>
          <w:p w:rsidR="00587B71" w:rsidRPr="00587B71" w:rsidRDefault="00587B71" w:rsidP="00587B71">
            <w:pPr>
              <w:spacing w:after="0" w:line="240" w:lineRule="auto"/>
              <w:jc w:val="center"/>
              <w:rPr>
                <w:rFonts w:ascii="Arial" w:eastAsia="Times New Roman" w:hAnsi="Arial" w:cs="Arial"/>
                <w:color w:val="000000"/>
                <w:sz w:val="24"/>
                <w:szCs w:val="24"/>
                <w:lang w:val="pt-BR"/>
              </w:rPr>
            </w:pPr>
            <w:r w:rsidRPr="00587B71">
              <w:rPr>
                <w:rFonts w:ascii="Arial" w:eastAsia="Times New Roman" w:hAnsi="Arial" w:cs="Arial"/>
                <w:color w:val="000000"/>
                <w:sz w:val="24"/>
                <w:szCs w:val="24"/>
                <w:lang w:val="pt-BR"/>
              </w:rPr>
              <w:t>-</w:t>
            </w:r>
          </w:p>
        </w:tc>
        <w:tc>
          <w:tcPr>
            <w:tcW w:w="991" w:type="dxa"/>
            <w:vAlign w:val="center"/>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sz w:val="24"/>
                <w:szCs w:val="24"/>
                <w:lang w:val="pt-BR"/>
              </w:rPr>
            </w:pPr>
            <w:r w:rsidRPr="00587B71">
              <w:rPr>
                <w:rFonts w:ascii="Arial" w:eastAsia="Times New Roman" w:hAnsi="Arial" w:cs="Arial"/>
                <w:color w:val="000000"/>
                <w:sz w:val="24"/>
                <w:szCs w:val="24"/>
                <w:lang w:val="pt-BR"/>
              </w:rPr>
              <w:t>-</w:t>
            </w:r>
          </w:p>
        </w:tc>
        <w:tc>
          <w:tcPr>
            <w:tcW w:w="1041" w:type="dxa"/>
            <w:vAlign w:val="center"/>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rPr>
            </w:pPr>
            <w:r w:rsidRPr="00587B71">
              <w:rPr>
                <w:rFonts w:ascii="Arial" w:eastAsia="Times New Roman" w:hAnsi="Arial" w:cs="Arial"/>
                <w:color w:val="000000"/>
              </w:rPr>
              <w:t>-*</w:t>
            </w:r>
          </w:p>
        </w:tc>
        <w:tc>
          <w:tcPr>
            <w:tcW w:w="918" w:type="dxa"/>
            <w:vAlign w:val="center"/>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rPr>
            </w:pPr>
            <w:r w:rsidRPr="00587B71">
              <w:rPr>
                <w:rFonts w:ascii="Arial" w:eastAsia="Times New Roman" w:hAnsi="Arial" w:cs="Arial"/>
                <w:color w:val="000000"/>
              </w:rPr>
              <w:t>-</w:t>
            </w:r>
          </w:p>
        </w:tc>
        <w:tc>
          <w:tcPr>
            <w:tcW w:w="837"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rPr>
            </w:pPr>
            <w:r w:rsidRPr="00587B71">
              <w:rPr>
                <w:rFonts w:ascii="Arial" w:eastAsia="Times New Roman" w:hAnsi="Arial" w:cs="Arial"/>
                <w:color w:val="000000"/>
              </w:rPr>
              <w:t>-</w:t>
            </w:r>
          </w:p>
        </w:tc>
        <w:tc>
          <w:tcPr>
            <w:tcW w:w="837" w:type="dxa"/>
            <w:vAlign w:val="center"/>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rPr>
            </w:pPr>
            <w:r w:rsidRPr="00587B71">
              <w:rPr>
                <w:rFonts w:ascii="Arial" w:eastAsia="Times New Roman" w:hAnsi="Arial" w:cs="Arial"/>
                <w:color w:val="000000"/>
              </w:rPr>
              <w:t>-</w:t>
            </w:r>
          </w:p>
        </w:tc>
        <w:tc>
          <w:tcPr>
            <w:tcW w:w="765"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color w:val="000000"/>
              </w:rPr>
            </w:pPr>
            <w:r w:rsidRPr="00587B71">
              <w:rPr>
                <w:rFonts w:ascii="Arial" w:eastAsia="Times New Roman" w:hAnsi="Arial" w:cs="Arial"/>
                <w:color w:val="000000"/>
              </w:rPr>
              <w:t>-</w:t>
            </w:r>
          </w:p>
        </w:tc>
      </w:tr>
    </w:tbl>
    <w:p w:rsidR="00587B71" w:rsidRPr="00587B71" w:rsidRDefault="00587B71" w:rsidP="00587B71">
      <w:pPr>
        <w:autoSpaceDE w:val="0"/>
        <w:autoSpaceDN w:val="0"/>
        <w:adjustRightInd w:val="0"/>
        <w:spacing w:after="120" w:line="240" w:lineRule="auto"/>
        <w:ind w:firstLine="720"/>
        <w:jc w:val="both"/>
        <w:rPr>
          <w:rFonts w:ascii="Arial" w:eastAsia="Times New Roman" w:hAnsi="Arial" w:cs="Arial"/>
          <w:i/>
          <w:color w:val="000000"/>
          <w:sz w:val="20"/>
          <w:szCs w:val="20"/>
          <w:lang w:val="it-IT"/>
        </w:rPr>
      </w:pPr>
      <w:r w:rsidRPr="00587B71">
        <w:rPr>
          <w:rFonts w:ascii="Arial" w:eastAsia="Times New Roman" w:hAnsi="Arial" w:cs="Arial"/>
          <w:i/>
          <w:color w:val="000000"/>
          <w:sz w:val="20"/>
          <w:szCs w:val="20"/>
          <w:lang w:val="it-IT"/>
        </w:rPr>
        <w:t>*staţie pusă în funcţiune la data de  01.04.2011</w:t>
      </w:r>
    </w:p>
    <w:p w:rsidR="00587B71" w:rsidRPr="00587B71" w:rsidRDefault="00587B71" w:rsidP="00587B71">
      <w:pPr>
        <w:tabs>
          <w:tab w:val="left" w:pos="2295"/>
        </w:tabs>
        <w:spacing w:after="0" w:line="240" w:lineRule="auto"/>
        <w:jc w:val="center"/>
        <w:rPr>
          <w:rFonts w:ascii="Arial" w:eastAsia="Times New Roman" w:hAnsi="Arial" w:cs="Arial"/>
          <w:i/>
          <w:iCs/>
          <w:color w:val="FF0000"/>
          <w:sz w:val="24"/>
          <w:szCs w:val="24"/>
          <w:lang w:val="ro-RO"/>
        </w:rPr>
      </w:pPr>
      <w:r>
        <w:rPr>
          <w:rFonts w:ascii="Arial" w:eastAsia="Times New Roman" w:hAnsi="Arial" w:cs="Arial"/>
          <w:i/>
          <w:iCs/>
          <w:noProof/>
          <w:color w:val="FF0000"/>
          <w:sz w:val="24"/>
          <w:szCs w:val="24"/>
        </w:rPr>
        <w:drawing>
          <wp:inline distT="0" distB="0" distL="0" distR="0">
            <wp:extent cx="5486400" cy="2867025"/>
            <wp:effectExtent l="0" t="0" r="0" b="0"/>
            <wp:docPr id="179" name="Chart 17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87B71" w:rsidRPr="00587B71" w:rsidRDefault="00587B71" w:rsidP="00587B71">
      <w:pPr>
        <w:spacing w:after="12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Figura I.9.- Evoluţia anuală a concentraţiei de benzen, în perioada 2008 – 2015.</w:t>
      </w:r>
    </w:p>
    <w:p w:rsidR="00587B71" w:rsidRPr="00587B71" w:rsidRDefault="00587B71" w:rsidP="00587B71">
      <w:pPr>
        <w:widowControl w:val="0"/>
        <w:spacing w:after="0" w:line="240" w:lineRule="auto"/>
        <w:jc w:val="both"/>
        <w:rPr>
          <w:rFonts w:ascii="Arial" w:eastAsia="Times New Roman" w:hAnsi="Arial" w:cs="Arial"/>
          <w:bCs/>
          <w:i/>
          <w:color w:val="000000"/>
          <w:sz w:val="24"/>
          <w:szCs w:val="24"/>
          <w:u w:val="single"/>
          <w:lang w:val="ro-RO"/>
        </w:rPr>
      </w:pPr>
      <w:r w:rsidRPr="00587B71">
        <w:rPr>
          <w:rFonts w:ascii="Arial" w:eastAsia="Times New Roman" w:hAnsi="Arial" w:cs="Arial"/>
          <w:bCs/>
          <w:i/>
          <w:color w:val="000000"/>
          <w:sz w:val="24"/>
          <w:szCs w:val="24"/>
          <w:u w:val="single"/>
          <w:lang w:val="ro-RO"/>
        </w:rPr>
        <w:lastRenderedPageBreak/>
        <w:t>În anul 2014 şi, respectiv anul 2015, nu s-a monitorizat acest indicator.</w:t>
      </w:r>
    </w:p>
    <w:p w:rsidR="00587B71" w:rsidRPr="00587B71" w:rsidRDefault="00587B71" w:rsidP="00587B71">
      <w:pPr>
        <w:widowControl w:val="0"/>
        <w:spacing w:after="0" w:line="240" w:lineRule="auto"/>
        <w:ind w:firstLine="720"/>
        <w:jc w:val="both"/>
        <w:rPr>
          <w:rFonts w:ascii="Arial" w:eastAsia="Times New Roman" w:hAnsi="Arial" w:cs="Arial"/>
          <w:bCs/>
          <w:i/>
          <w:color w:val="000000"/>
          <w:sz w:val="24"/>
          <w:szCs w:val="24"/>
          <w:u w:val="single"/>
          <w:lang w:val="ro-RO"/>
        </w:rPr>
      </w:pPr>
    </w:p>
    <w:p w:rsidR="00587B71" w:rsidRPr="00587B71" w:rsidRDefault="00587B71" w:rsidP="00587B71">
      <w:pPr>
        <w:tabs>
          <w:tab w:val="left" w:pos="9638"/>
          <w:tab w:val="left" w:pos="9720"/>
        </w:tabs>
        <w:spacing w:after="0" w:line="240" w:lineRule="auto"/>
        <w:ind w:right="-58"/>
        <w:jc w:val="both"/>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 xml:space="preserve">              În zonele cu importante surse de emisii provenite de la activităţi economice sau în zonele cu poluare istorică, calitatea aerului se evaluează suplimentar folosind rezultatele măsurărilor indicative în puncte de prelevare aflate în apropierea surselor de emisii.</w:t>
      </w:r>
    </w:p>
    <w:p w:rsidR="00587B71" w:rsidRPr="00587B71" w:rsidRDefault="00587B71" w:rsidP="00587B71">
      <w:pPr>
        <w:widowControl w:val="0"/>
        <w:spacing w:after="0" w:line="240" w:lineRule="auto"/>
        <w:ind w:firstLine="720"/>
        <w:jc w:val="both"/>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 xml:space="preserve">   Concentraţiile maxim admisibile ale substanţelor chimice poluante din aerul înconjurător sunt stabilite, în acest context, conform STAS 12574-87 „Aer din Zonele Protejate. Condiţii de calitate”, principalii poluanţi la care se referă acest normativ fiind: amoniac, hidrogen sulfurat, fluor şi formaldehidă ca poluanţi gazoşi şi cadmiu şi plumb metale grele prelevate din pulberi totale în suspensie depuse pe vegetaţie. Pentru concentraţia de amoniac în aerul ambiental, normativul prevede o concentraţie maxim admisibilă de 0,1 mg/mc pentru valoarea mediei zilnice şi o valoare de 0,3 mg/mc pentru media la 30 minute. În anul 2014, nu au fost înregistrate depăşiri ale concentraţiei maxime admisibile zilnice pentru amoniac, în punctele de monitorizare stabilite pentru judeţul Vaslui.   </w:t>
      </w:r>
    </w:p>
    <w:p w:rsidR="00587B71" w:rsidRPr="00587B71" w:rsidRDefault="00587B71" w:rsidP="00587B71">
      <w:pPr>
        <w:widowControl w:val="0"/>
        <w:spacing w:after="0" w:line="240" w:lineRule="auto"/>
        <w:ind w:firstLine="720"/>
        <w:jc w:val="both"/>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 xml:space="preserve"> </w:t>
      </w:r>
    </w:p>
    <w:p w:rsidR="00587B71" w:rsidRPr="00587B71" w:rsidRDefault="00587B71" w:rsidP="00587B71">
      <w:pPr>
        <w:widowControl w:val="0"/>
        <w:spacing w:after="0" w:line="240" w:lineRule="auto"/>
        <w:ind w:firstLine="720"/>
        <w:jc w:val="both"/>
        <w:rPr>
          <w:rFonts w:ascii="Arial" w:eastAsia="Times New Roman" w:hAnsi="Arial" w:cs="Arial"/>
          <w:bCs/>
          <w:i/>
          <w:color w:val="000000"/>
          <w:sz w:val="24"/>
          <w:szCs w:val="24"/>
          <w:u w:val="single"/>
          <w:lang w:val="ro-RO"/>
        </w:rPr>
      </w:pPr>
      <w:r w:rsidRPr="00587B71">
        <w:rPr>
          <w:rFonts w:ascii="Arial" w:eastAsia="Times New Roman" w:hAnsi="Arial" w:cs="Arial"/>
          <w:iCs/>
          <w:color w:val="000000"/>
          <w:sz w:val="24"/>
          <w:szCs w:val="24"/>
          <w:lang w:val="ro-RO"/>
        </w:rPr>
        <w:t xml:space="preserve">     Tabel nr. I.16. Evoluţia anuala a concentraţiei de amoniac, NH3</w:t>
      </w:r>
    </w:p>
    <w:tbl>
      <w:tblPr>
        <w:tblpPr w:leftFromText="180" w:rightFromText="180" w:vertAnchor="text" w:horzAnchor="margin" w:tblpXSpec="center" w:tblpY="6"/>
        <w:tblOverlap w:val="never"/>
        <w:tblW w:w="8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
        <w:gridCol w:w="1323"/>
        <w:gridCol w:w="944"/>
        <w:gridCol w:w="954"/>
        <w:gridCol w:w="858"/>
        <w:gridCol w:w="855"/>
        <w:gridCol w:w="886"/>
        <w:gridCol w:w="817"/>
        <w:gridCol w:w="817"/>
      </w:tblGrid>
      <w:tr w:rsidR="00587B71" w:rsidRPr="00587B71" w:rsidTr="00587B71">
        <w:tc>
          <w:tcPr>
            <w:tcW w:w="1283" w:type="dxa"/>
            <w:vMerge w:val="restart"/>
            <w:vAlign w:val="center"/>
          </w:tcPr>
          <w:p w:rsidR="00587B71" w:rsidRPr="00587B71" w:rsidRDefault="00587B71" w:rsidP="00587B71">
            <w:pPr>
              <w:spacing w:after="0" w:line="240" w:lineRule="auto"/>
              <w:ind w:left="360"/>
              <w:rPr>
                <w:rFonts w:ascii="Arial" w:eastAsia="Times New Roman" w:hAnsi="Arial" w:cs="Arial"/>
                <w:b/>
                <w:color w:val="000000"/>
                <w:sz w:val="24"/>
                <w:szCs w:val="24"/>
                <w:lang w:val="ro-RO"/>
              </w:rPr>
            </w:pPr>
            <w:r w:rsidRPr="00587B71">
              <w:rPr>
                <w:rFonts w:ascii="Arial" w:eastAsia="Times New Roman" w:hAnsi="Arial" w:cs="Arial"/>
                <w:b/>
                <w:color w:val="000000"/>
                <w:sz w:val="24"/>
                <w:szCs w:val="24"/>
                <w:lang w:val="ro-RO"/>
              </w:rPr>
              <w:t>Judeţ</w:t>
            </w:r>
          </w:p>
        </w:tc>
        <w:tc>
          <w:tcPr>
            <w:tcW w:w="7454" w:type="dxa"/>
            <w:gridSpan w:val="8"/>
            <w:vAlign w:val="center"/>
          </w:tcPr>
          <w:p w:rsidR="00587B71" w:rsidRPr="00587B71" w:rsidRDefault="00587B71" w:rsidP="00587B71">
            <w:pPr>
              <w:spacing w:after="0" w:line="240" w:lineRule="auto"/>
              <w:ind w:left="360"/>
              <w:rPr>
                <w:rFonts w:ascii="Arial" w:eastAsia="Times New Roman" w:hAnsi="Arial" w:cs="Arial"/>
                <w:b/>
                <w:color w:val="000000"/>
                <w:sz w:val="24"/>
                <w:szCs w:val="24"/>
                <w:lang w:val="ro-RO"/>
              </w:rPr>
            </w:pPr>
            <w:r w:rsidRPr="00587B71">
              <w:rPr>
                <w:rFonts w:ascii="Arial" w:eastAsia="Times New Roman" w:hAnsi="Arial" w:cs="Arial"/>
                <w:b/>
                <w:color w:val="000000"/>
                <w:sz w:val="24"/>
                <w:szCs w:val="24"/>
                <w:lang w:val="ro-RO"/>
              </w:rPr>
              <w:t>Concentraţia medie anuală NH3, (μg/mc)</w:t>
            </w:r>
          </w:p>
        </w:tc>
      </w:tr>
      <w:tr w:rsidR="00587B71" w:rsidRPr="00587B71" w:rsidTr="00587B71">
        <w:tc>
          <w:tcPr>
            <w:tcW w:w="1283" w:type="dxa"/>
            <w:vMerge/>
            <w:vAlign w:val="center"/>
          </w:tcPr>
          <w:p w:rsidR="00587B71" w:rsidRPr="00587B71" w:rsidRDefault="00587B71" w:rsidP="00587B71">
            <w:pPr>
              <w:spacing w:after="0" w:line="240" w:lineRule="auto"/>
              <w:ind w:left="360"/>
              <w:rPr>
                <w:rFonts w:ascii="Arial" w:eastAsia="Times New Roman" w:hAnsi="Arial" w:cs="Arial"/>
                <w:b/>
                <w:color w:val="000000"/>
                <w:sz w:val="24"/>
                <w:szCs w:val="24"/>
                <w:lang w:val="ro-RO"/>
              </w:rPr>
            </w:pPr>
          </w:p>
        </w:tc>
        <w:tc>
          <w:tcPr>
            <w:tcW w:w="1323" w:type="dxa"/>
            <w:vAlign w:val="center"/>
          </w:tcPr>
          <w:p w:rsidR="00587B71" w:rsidRPr="00587B71" w:rsidRDefault="00587B71" w:rsidP="00587B71">
            <w:pPr>
              <w:spacing w:after="0" w:line="240" w:lineRule="auto"/>
              <w:ind w:right="-119"/>
              <w:jc w:val="center"/>
              <w:rPr>
                <w:rFonts w:ascii="Arial" w:eastAsia="Times New Roman" w:hAnsi="Arial" w:cs="Arial"/>
                <w:b/>
                <w:color w:val="000000"/>
                <w:sz w:val="24"/>
                <w:szCs w:val="24"/>
                <w:lang w:val="ro-RO"/>
              </w:rPr>
            </w:pPr>
            <w:r w:rsidRPr="00587B71">
              <w:rPr>
                <w:rFonts w:ascii="Arial" w:eastAsia="Times New Roman" w:hAnsi="Arial" w:cs="Arial"/>
                <w:b/>
                <w:color w:val="000000"/>
                <w:sz w:val="24"/>
                <w:szCs w:val="24"/>
                <w:lang w:val="ro-RO"/>
              </w:rPr>
              <w:t>2008</w:t>
            </w:r>
          </w:p>
        </w:tc>
        <w:tc>
          <w:tcPr>
            <w:tcW w:w="944" w:type="dxa"/>
            <w:vAlign w:val="center"/>
          </w:tcPr>
          <w:p w:rsidR="00587B71" w:rsidRPr="00587B71" w:rsidRDefault="00587B71" w:rsidP="00587B71">
            <w:pPr>
              <w:spacing w:after="0" w:line="240" w:lineRule="auto"/>
              <w:ind w:right="-119"/>
              <w:rPr>
                <w:rFonts w:ascii="Arial" w:eastAsia="Times New Roman" w:hAnsi="Arial" w:cs="Arial"/>
                <w:b/>
                <w:color w:val="000000"/>
                <w:sz w:val="24"/>
                <w:szCs w:val="24"/>
                <w:lang w:val="ro-RO"/>
              </w:rPr>
            </w:pPr>
            <w:r w:rsidRPr="00587B71">
              <w:rPr>
                <w:rFonts w:ascii="Arial" w:eastAsia="Times New Roman" w:hAnsi="Arial" w:cs="Arial"/>
                <w:b/>
                <w:color w:val="000000"/>
                <w:sz w:val="24"/>
                <w:szCs w:val="24"/>
                <w:lang w:val="ro-RO"/>
              </w:rPr>
              <w:t>2009</w:t>
            </w:r>
          </w:p>
        </w:tc>
        <w:tc>
          <w:tcPr>
            <w:tcW w:w="954" w:type="dxa"/>
            <w:vAlign w:val="center"/>
          </w:tcPr>
          <w:p w:rsidR="00587B71" w:rsidRPr="00587B71" w:rsidRDefault="00587B71" w:rsidP="00587B71">
            <w:pPr>
              <w:spacing w:after="0" w:line="240" w:lineRule="auto"/>
              <w:rPr>
                <w:rFonts w:ascii="Arial" w:eastAsia="Times New Roman" w:hAnsi="Arial" w:cs="Arial"/>
                <w:b/>
                <w:color w:val="000000"/>
                <w:sz w:val="24"/>
                <w:szCs w:val="24"/>
                <w:lang w:val="ro-RO"/>
              </w:rPr>
            </w:pPr>
            <w:r w:rsidRPr="00587B71">
              <w:rPr>
                <w:rFonts w:ascii="Arial" w:eastAsia="Times New Roman" w:hAnsi="Arial" w:cs="Arial"/>
                <w:b/>
                <w:color w:val="000000"/>
                <w:sz w:val="24"/>
                <w:szCs w:val="24"/>
                <w:lang w:val="ro-RO"/>
              </w:rPr>
              <w:t>2010</w:t>
            </w:r>
          </w:p>
        </w:tc>
        <w:tc>
          <w:tcPr>
            <w:tcW w:w="858" w:type="dxa"/>
            <w:vAlign w:val="center"/>
          </w:tcPr>
          <w:p w:rsidR="00587B71" w:rsidRPr="00587B71" w:rsidRDefault="00587B71" w:rsidP="00587B71">
            <w:pPr>
              <w:spacing w:after="0" w:line="240" w:lineRule="auto"/>
              <w:rPr>
                <w:rFonts w:ascii="Arial" w:eastAsia="Times New Roman" w:hAnsi="Arial" w:cs="Arial"/>
                <w:b/>
                <w:color w:val="000000"/>
                <w:sz w:val="24"/>
                <w:szCs w:val="24"/>
                <w:lang w:val="ro-RO"/>
              </w:rPr>
            </w:pPr>
            <w:r w:rsidRPr="00587B71">
              <w:rPr>
                <w:rFonts w:ascii="Arial" w:eastAsia="Times New Roman" w:hAnsi="Arial" w:cs="Arial"/>
                <w:b/>
                <w:color w:val="000000"/>
                <w:sz w:val="24"/>
                <w:szCs w:val="24"/>
                <w:lang w:val="ro-RO"/>
              </w:rPr>
              <w:t>2011</w:t>
            </w:r>
          </w:p>
        </w:tc>
        <w:tc>
          <w:tcPr>
            <w:tcW w:w="855" w:type="dxa"/>
            <w:vAlign w:val="center"/>
          </w:tcPr>
          <w:p w:rsidR="00587B71" w:rsidRPr="00587B71" w:rsidRDefault="00587B71" w:rsidP="00587B71">
            <w:pPr>
              <w:spacing w:after="0" w:line="240" w:lineRule="auto"/>
              <w:rPr>
                <w:rFonts w:ascii="Arial" w:eastAsia="Times New Roman" w:hAnsi="Arial" w:cs="Arial"/>
                <w:b/>
                <w:color w:val="000000"/>
                <w:sz w:val="24"/>
                <w:szCs w:val="24"/>
                <w:lang w:val="ro-RO"/>
              </w:rPr>
            </w:pPr>
            <w:r w:rsidRPr="00587B71">
              <w:rPr>
                <w:rFonts w:ascii="Arial" w:eastAsia="Times New Roman" w:hAnsi="Arial" w:cs="Arial"/>
                <w:b/>
                <w:color w:val="000000"/>
                <w:sz w:val="24"/>
                <w:szCs w:val="24"/>
                <w:lang w:val="ro-RO"/>
              </w:rPr>
              <w:t>2012</w:t>
            </w:r>
          </w:p>
        </w:tc>
        <w:tc>
          <w:tcPr>
            <w:tcW w:w="886" w:type="dxa"/>
            <w:vAlign w:val="center"/>
          </w:tcPr>
          <w:p w:rsidR="00587B71" w:rsidRPr="00587B71" w:rsidRDefault="00587B71" w:rsidP="00587B71">
            <w:pPr>
              <w:spacing w:after="0" w:line="240" w:lineRule="auto"/>
              <w:rPr>
                <w:rFonts w:ascii="Arial" w:eastAsia="Times New Roman" w:hAnsi="Arial" w:cs="Arial"/>
                <w:b/>
                <w:color w:val="000000"/>
                <w:sz w:val="24"/>
                <w:szCs w:val="24"/>
                <w:lang w:val="ro-RO"/>
              </w:rPr>
            </w:pPr>
            <w:r w:rsidRPr="00587B71">
              <w:rPr>
                <w:rFonts w:ascii="Arial" w:eastAsia="Times New Roman" w:hAnsi="Arial" w:cs="Arial"/>
                <w:b/>
                <w:color w:val="000000"/>
                <w:sz w:val="24"/>
                <w:szCs w:val="24"/>
                <w:lang w:val="ro-RO"/>
              </w:rPr>
              <w:t>2013</w:t>
            </w:r>
          </w:p>
        </w:tc>
        <w:tc>
          <w:tcPr>
            <w:tcW w:w="817" w:type="dxa"/>
          </w:tcPr>
          <w:p w:rsidR="00587B71" w:rsidRPr="00587B71" w:rsidRDefault="00587B71" w:rsidP="00587B71">
            <w:pPr>
              <w:spacing w:after="0" w:line="240" w:lineRule="auto"/>
              <w:rPr>
                <w:rFonts w:ascii="Arial" w:eastAsia="Times New Roman" w:hAnsi="Arial" w:cs="Arial"/>
                <w:b/>
                <w:color w:val="000000"/>
                <w:sz w:val="24"/>
                <w:szCs w:val="24"/>
                <w:lang w:val="ro-RO"/>
              </w:rPr>
            </w:pPr>
            <w:r w:rsidRPr="00587B71">
              <w:rPr>
                <w:rFonts w:ascii="Arial" w:eastAsia="Times New Roman" w:hAnsi="Arial" w:cs="Arial"/>
                <w:b/>
                <w:color w:val="000000"/>
                <w:sz w:val="24"/>
                <w:szCs w:val="24"/>
                <w:lang w:val="ro-RO"/>
              </w:rPr>
              <w:t>2014</w:t>
            </w:r>
          </w:p>
        </w:tc>
        <w:tc>
          <w:tcPr>
            <w:tcW w:w="817" w:type="dxa"/>
          </w:tcPr>
          <w:p w:rsidR="00587B71" w:rsidRPr="00587B71" w:rsidRDefault="00587B71" w:rsidP="00587B71">
            <w:pPr>
              <w:spacing w:after="0" w:line="240" w:lineRule="auto"/>
              <w:rPr>
                <w:rFonts w:ascii="Arial" w:eastAsia="Times New Roman" w:hAnsi="Arial" w:cs="Arial"/>
                <w:b/>
                <w:color w:val="000000"/>
                <w:sz w:val="24"/>
                <w:szCs w:val="24"/>
                <w:lang w:val="ro-RO"/>
              </w:rPr>
            </w:pPr>
            <w:r w:rsidRPr="00587B71">
              <w:rPr>
                <w:rFonts w:ascii="Arial" w:eastAsia="Times New Roman" w:hAnsi="Arial" w:cs="Arial"/>
                <w:b/>
                <w:color w:val="000000"/>
                <w:sz w:val="24"/>
                <w:szCs w:val="24"/>
                <w:lang w:val="ro-RO"/>
              </w:rPr>
              <w:t>2015</w:t>
            </w:r>
          </w:p>
        </w:tc>
      </w:tr>
      <w:tr w:rsidR="00587B71" w:rsidRPr="00587B71" w:rsidTr="00587B71">
        <w:tc>
          <w:tcPr>
            <w:tcW w:w="1283" w:type="dxa"/>
            <w:vAlign w:val="center"/>
          </w:tcPr>
          <w:p w:rsidR="00587B71" w:rsidRPr="00587B71" w:rsidRDefault="00587B71" w:rsidP="00587B71">
            <w:pPr>
              <w:spacing w:after="0" w:line="240" w:lineRule="auto"/>
              <w:ind w:left="360"/>
              <w:rPr>
                <w:rFonts w:ascii="Arial" w:eastAsia="Times New Roman" w:hAnsi="Arial" w:cs="Arial"/>
                <w:b/>
                <w:color w:val="000000"/>
                <w:sz w:val="24"/>
                <w:szCs w:val="24"/>
                <w:lang w:val="ro-RO"/>
              </w:rPr>
            </w:pPr>
            <w:r w:rsidRPr="00587B71">
              <w:rPr>
                <w:rFonts w:ascii="Arial" w:eastAsia="Times New Roman" w:hAnsi="Arial" w:cs="Arial"/>
                <w:b/>
                <w:color w:val="000000"/>
                <w:sz w:val="24"/>
                <w:szCs w:val="24"/>
                <w:lang w:val="ro-RO"/>
              </w:rPr>
              <w:t>Vaslui</w:t>
            </w:r>
          </w:p>
        </w:tc>
        <w:tc>
          <w:tcPr>
            <w:tcW w:w="1323" w:type="dxa"/>
            <w:vAlign w:val="center"/>
          </w:tcPr>
          <w:p w:rsidR="00587B71" w:rsidRPr="00587B71" w:rsidRDefault="00587B71" w:rsidP="00587B71">
            <w:pPr>
              <w:spacing w:after="0" w:line="240" w:lineRule="auto"/>
              <w:ind w:left="-75" w:right="-119"/>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6.07</w:t>
            </w:r>
          </w:p>
        </w:tc>
        <w:tc>
          <w:tcPr>
            <w:tcW w:w="944" w:type="dxa"/>
            <w:vAlign w:val="center"/>
          </w:tcPr>
          <w:p w:rsidR="00587B71" w:rsidRPr="00587B71" w:rsidRDefault="00587B71" w:rsidP="00587B71">
            <w:pPr>
              <w:spacing w:after="0" w:line="240" w:lineRule="auto"/>
              <w:ind w:right="-119"/>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25.6</w:t>
            </w:r>
          </w:p>
        </w:tc>
        <w:tc>
          <w:tcPr>
            <w:tcW w:w="954" w:type="dxa"/>
            <w:vAlign w:val="center"/>
          </w:tcPr>
          <w:p w:rsidR="00587B71" w:rsidRPr="00587B71" w:rsidRDefault="00587B71" w:rsidP="00587B71">
            <w:pPr>
              <w:spacing w:after="0" w:line="240" w:lineRule="auto"/>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28.12</w:t>
            </w:r>
          </w:p>
        </w:tc>
        <w:tc>
          <w:tcPr>
            <w:tcW w:w="858" w:type="dxa"/>
            <w:vAlign w:val="center"/>
          </w:tcPr>
          <w:p w:rsidR="00587B71" w:rsidRPr="00587B71" w:rsidRDefault="00587B71" w:rsidP="00587B71">
            <w:pPr>
              <w:spacing w:after="0" w:line="240" w:lineRule="auto"/>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22,07</w:t>
            </w:r>
          </w:p>
        </w:tc>
        <w:tc>
          <w:tcPr>
            <w:tcW w:w="855" w:type="dxa"/>
            <w:vAlign w:val="center"/>
          </w:tcPr>
          <w:p w:rsidR="00587B71" w:rsidRPr="00587B71" w:rsidRDefault="00587B71" w:rsidP="00587B71">
            <w:pPr>
              <w:spacing w:after="0" w:line="240" w:lineRule="auto"/>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14,36</w:t>
            </w:r>
          </w:p>
        </w:tc>
        <w:tc>
          <w:tcPr>
            <w:tcW w:w="886" w:type="dxa"/>
            <w:vAlign w:val="center"/>
          </w:tcPr>
          <w:p w:rsidR="00587B71" w:rsidRPr="00587B71" w:rsidRDefault="00587B71" w:rsidP="00587B71">
            <w:pPr>
              <w:spacing w:after="0" w:line="240" w:lineRule="auto"/>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17.04</w:t>
            </w:r>
          </w:p>
        </w:tc>
        <w:tc>
          <w:tcPr>
            <w:tcW w:w="817" w:type="dxa"/>
          </w:tcPr>
          <w:p w:rsidR="00587B71" w:rsidRPr="00587B71" w:rsidRDefault="00587B71" w:rsidP="00587B71">
            <w:pPr>
              <w:spacing w:after="0" w:line="240" w:lineRule="auto"/>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12,43</w:t>
            </w:r>
          </w:p>
        </w:tc>
        <w:tc>
          <w:tcPr>
            <w:tcW w:w="817" w:type="dxa"/>
          </w:tcPr>
          <w:p w:rsidR="00587B71" w:rsidRPr="00587B71" w:rsidRDefault="00587B71" w:rsidP="00587B71">
            <w:pPr>
              <w:spacing w:after="0" w:line="240" w:lineRule="auto"/>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11,94</w:t>
            </w:r>
          </w:p>
        </w:tc>
      </w:tr>
    </w:tbl>
    <w:p w:rsidR="00587B71" w:rsidRPr="00587B71" w:rsidRDefault="00587B71" w:rsidP="00587B71">
      <w:pPr>
        <w:widowControl w:val="0"/>
        <w:spacing w:after="0" w:line="240" w:lineRule="auto"/>
        <w:ind w:firstLine="720"/>
        <w:jc w:val="both"/>
        <w:rPr>
          <w:rFonts w:ascii="Arial" w:eastAsia="Times New Roman" w:hAnsi="Arial" w:cs="Arial"/>
          <w:bCs/>
          <w:i/>
          <w:color w:val="000000"/>
          <w:sz w:val="24"/>
          <w:szCs w:val="24"/>
          <w:u w:val="single"/>
          <w:lang w:val="ro-RO"/>
        </w:rPr>
      </w:pPr>
      <w:r w:rsidRPr="00587B71">
        <w:rPr>
          <w:rFonts w:ascii="Arial" w:eastAsia="Times New Roman" w:hAnsi="Arial" w:cs="Arial"/>
          <w:bCs/>
          <w:i/>
          <w:color w:val="000000"/>
          <w:sz w:val="24"/>
          <w:szCs w:val="24"/>
          <w:u w:val="single"/>
          <w:lang w:val="ro-RO"/>
        </w:rPr>
        <w:t xml:space="preserve">                             </w:t>
      </w:r>
    </w:p>
    <w:p w:rsidR="00587B71" w:rsidRPr="00587B71" w:rsidRDefault="00587B71" w:rsidP="00587B71">
      <w:pPr>
        <w:spacing w:after="0" w:line="240" w:lineRule="auto"/>
        <w:rPr>
          <w:rFonts w:ascii="Arial" w:eastAsia="Times New Roman" w:hAnsi="Arial" w:cs="Arial"/>
          <w:b/>
          <w:iCs/>
          <w:color w:val="000000"/>
          <w:sz w:val="24"/>
          <w:szCs w:val="24"/>
          <w:lang w:val="ro-RO"/>
        </w:rPr>
      </w:pPr>
      <w:r>
        <w:rPr>
          <w:rFonts w:ascii="Arial" w:eastAsia="Times New Roman" w:hAnsi="Arial" w:cs="Arial"/>
          <w:b/>
          <w:iCs/>
          <w:noProof/>
          <w:color w:val="000000"/>
          <w:sz w:val="24"/>
          <w:szCs w:val="24"/>
        </w:rPr>
        <w:drawing>
          <wp:inline distT="0" distB="0" distL="0" distR="0">
            <wp:extent cx="6096000" cy="2114550"/>
            <wp:effectExtent l="0" t="0" r="0" b="0"/>
            <wp:docPr id="178" name="Chart 17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Figura I.10 Evoluţia anuală a concentraţiei de amoniac</w:t>
      </w:r>
    </w:p>
    <w:p w:rsidR="00587B71" w:rsidRPr="00587B71" w:rsidRDefault="00587B71" w:rsidP="00587B71">
      <w:pPr>
        <w:spacing w:after="0" w:line="240" w:lineRule="auto"/>
        <w:rPr>
          <w:rFonts w:ascii="Arial" w:eastAsia="Times New Roman" w:hAnsi="Arial" w:cs="Arial"/>
          <w:b/>
          <w:iCs/>
          <w:color w:val="000000"/>
          <w:sz w:val="24"/>
          <w:szCs w:val="24"/>
          <w:lang w:val="ro-RO"/>
        </w:rPr>
      </w:pPr>
      <w:r w:rsidRPr="00587B71">
        <w:rPr>
          <w:rFonts w:ascii="Arial" w:eastAsia="Times New Roman" w:hAnsi="Arial" w:cs="Arial"/>
          <w:sz w:val="24"/>
          <w:szCs w:val="24"/>
          <w:lang w:val="ro-RO"/>
        </w:rPr>
        <w:t>I.1.1.3.  Depăşiri ale valorilor limită şi valorilor ţintă privind calitatea aerului înconjurător în zonele urbane</w:t>
      </w:r>
    </w:p>
    <w:p w:rsidR="00587B71" w:rsidRPr="00587B71" w:rsidRDefault="00587B71" w:rsidP="00587B71">
      <w:pPr>
        <w:spacing w:after="0" w:line="240" w:lineRule="auto"/>
        <w:rPr>
          <w:rFonts w:ascii="Arial" w:eastAsia="Times New Roman" w:hAnsi="Arial" w:cs="Arial"/>
          <w:b/>
          <w:iCs/>
          <w:color w:val="000000"/>
          <w:sz w:val="24"/>
          <w:szCs w:val="24"/>
          <w:lang w:val="ro-RO"/>
        </w:rPr>
      </w:pPr>
    </w:p>
    <w:p w:rsidR="00587B71" w:rsidRPr="00587B71" w:rsidRDefault="00587B71" w:rsidP="00587B71">
      <w:pPr>
        <w:spacing w:after="0" w:line="240" w:lineRule="auto"/>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 xml:space="preserve">             În cursul anului 2015 nu s-au înregistrat depăşiri la niciun poluant monitorizat în cele două staţii automate de monitorizarea calităţii aerului existente în judeţul Vaslui.</w:t>
      </w:r>
    </w:p>
    <w:p w:rsidR="00587B71" w:rsidRPr="00587B71" w:rsidRDefault="00587B71" w:rsidP="00587B71">
      <w:pPr>
        <w:spacing w:after="0" w:line="240" w:lineRule="auto"/>
        <w:rPr>
          <w:rFonts w:ascii="Arial" w:eastAsia="Times New Roman" w:hAnsi="Arial" w:cs="Arial"/>
          <w:b/>
          <w:iCs/>
          <w:color w:val="FF0000"/>
          <w:sz w:val="24"/>
          <w:szCs w:val="24"/>
          <w:lang w:val="ro-RO"/>
        </w:rPr>
      </w:pPr>
    </w:p>
    <w:p w:rsidR="00587B71" w:rsidRPr="00587B71" w:rsidRDefault="00587B71" w:rsidP="00587B71">
      <w:pPr>
        <w:spacing w:after="0" w:line="240" w:lineRule="auto"/>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Tabelul I.17 Numărul depăşirilor pentru valorile limită/ţintă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4"/>
        <w:gridCol w:w="2062"/>
        <w:gridCol w:w="1102"/>
        <w:gridCol w:w="821"/>
        <w:gridCol w:w="821"/>
        <w:gridCol w:w="821"/>
        <w:gridCol w:w="821"/>
        <w:gridCol w:w="821"/>
        <w:gridCol w:w="821"/>
        <w:gridCol w:w="800"/>
      </w:tblGrid>
      <w:tr w:rsidR="00587B71" w:rsidRPr="00587B71" w:rsidTr="00587B71">
        <w:tc>
          <w:tcPr>
            <w:tcW w:w="1056" w:type="dxa"/>
          </w:tcPr>
          <w:p w:rsidR="00587B71" w:rsidRPr="00587B71" w:rsidRDefault="00587B71" w:rsidP="00587B71">
            <w:pPr>
              <w:spacing w:after="0" w:line="240" w:lineRule="auto"/>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Statia</w:t>
            </w:r>
          </w:p>
        </w:tc>
        <w:tc>
          <w:tcPr>
            <w:tcW w:w="2233" w:type="dxa"/>
          </w:tcPr>
          <w:p w:rsidR="00587B71" w:rsidRPr="00587B71" w:rsidRDefault="00587B71" w:rsidP="00587B71">
            <w:pPr>
              <w:spacing w:after="0" w:line="240" w:lineRule="auto"/>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Poluanţi care au înregistrat depăşiri</w:t>
            </w:r>
          </w:p>
        </w:tc>
        <w:tc>
          <w:tcPr>
            <w:tcW w:w="1179" w:type="dxa"/>
          </w:tcPr>
          <w:p w:rsidR="00587B71" w:rsidRPr="00587B71" w:rsidRDefault="00587B71" w:rsidP="00587B71">
            <w:pPr>
              <w:spacing w:after="0" w:line="240" w:lineRule="auto"/>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2008</w:t>
            </w:r>
          </w:p>
        </w:tc>
        <w:tc>
          <w:tcPr>
            <w:tcW w:w="836" w:type="dxa"/>
          </w:tcPr>
          <w:p w:rsidR="00587B71" w:rsidRPr="00587B71" w:rsidRDefault="00587B71" w:rsidP="00587B71">
            <w:pPr>
              <w:spacing w:after="0" w:line="240" w:lineRule="auto"/>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2009</w:t>
            </w:r>
          </w:p>
        </w:tc>
        <w:tc>
          <w:tcPr>
            <w:tcW w:w="836" w:type="dxa"/>
          </w:tcPr>
          <w:p w:rsidR="00587B71" w:rsidRPr="00587B71" w:rsidRDefault="00587B71" w:rsidP="00587B71">
            <w:pPr>
              <w:spacing w:after="0" w:line="240" w:lineRule="auto"/>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2010</w:t>
            </w:r>
          </w:p>
        </w:tc>
        <w:tc>
          <w:tcPr>
            <w:tcW w:w="836" w:type="dxa"/>
          </w:tcPr>
          <w:p w:rsidR="00587B71" w:rsidRPr="00587B71" w:rsidRDefault="00587B71" w:rsidP="00587B71">
            <w:pPr>
              <w:spacing w:after="0" w:line="240" w:lineRule="auto"/>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2011</w:t>
            </w:r>
          </w:p>
        </w:tc>
        <w:tc>
          <w:tcPr>
            <w:tcW w:w="836" w:type="dxa"/>
          </w:tcPr>
          <w:p w:rsidR="00587B71" w:rsidRPr="00587B71" w:rsidRDefault="00587B71" w:rsidP="00587B71">
            <w:pPr>
              <w:spacing w:after="0" w:line="240" w:lineRule="auto"/>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2012</w:t>
            </w:r>
          </w:p>
        </w:tc>
        <w:tc>
          <w:tcPr>
            <w:tcW w:w="836" w:type="dxa"/>
          </w:tcPr>
          <w:p w:rsidR="00587B71" w:rsidRPr="00587B71" w:rsidRDefault="00587B71" w:rsidP="00587B71">
            <w:pPr>
              <w:spacing w:after="0" w:line="240" w:lineRule="auto"/>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2013</w:t>
            </w:r>
          </w:p>
        </w:tc>
        <w:tc>
          <w:tcPr>
            <w:tcW w:w="836" w:type="dxa"/>
          </w:tcPr>
          <w:p w:rsidR="00587B71" w:rsidRPr="00587B71" w:rsidRDefault="00587B71" w:rsidP="00587B71">
            <w:pPr>
              <w:spacing w:after="0" w:line="240" w:lineRule="auto"/>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2014</w:t>
            </w:r>
          </w:p>
        </w:tc>
        <w:tc>
          <w:tcPr>
            <w:tcW w:w="811" w:type="dxa"/>
          </w:tcPr>
          <w:p w:rsidR="00587B71" w:rsidRPr="00587B71" w:rsidRDefault="00587B71" w:rsidP="00587B71">
            <w:pPr>
              <w:spacing w:after="0" w:line="240" w:lineRule="auto"/>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2015</w:t>
            </w:r>
          </w:p>
        </w:tc>
      </w:tr>
      <w:tr w:rsidR="00587B71" w:rsidRPr="00587B71" w:rsidTr="00587B71">
        <w:tc>
          <w:tcPr>
            <w:tcW w:w="1056" w:type="dxa"/>
            <w:vMerge w:val="restart"/>
          </w:tcPr>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VS-1</w:t>
            </w:r>
          </w:p>
        </w:tc>
        <w:tc>
          <w:tcPr>
            <w:tcW w:w="2233" w:type="dxa"/>
          </w:tcPr>
          <w:p w:rsidR="00587B71" w:rsidRPr="00587B71" w:rsidRDefault="00587B71" w:rsidP="00587B71">
            <w:pPr>
              <w:spacing w:after="0" w:line="240" w:lineRule="auto"/>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PM10</w:t>
            </w:r>
          </w:p>
        </w:tc>
        <w:tc>
          <w:tcPr>
            <w:tcW w:w="1179" w:type="dxa"/>
          </w:tcPr>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0</w:t>
            </w:r>
          </w:p>
        </w:tc>
        <w:tc>
          <w:tcPr>
            <w:tcW w:w="836" w:type="dxa"/>
          </w:tcPr>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19</w:t>
            </w:r>
          </w:p>
        </w:tc>
        <w:tc>
          <w:tcPr>
            <w:tcW w:w="836" w:type="dxa"/>
          </w:tcPr>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5</w:t>
            </w:r>
          </w:p>
        </w:tc>
        <w:tc>
          <w:tcPr>
            <w:tcW w:w="836" w:type="dxa"/>
          </w:tcPr>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0</w:t>
            </w:r>
          </w:p>
        </w:tc>
        <w:tc>
          <w:tcPr>
            <w:tcW w:w="836" w:type="dxa"/>
          </w:tcPr>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w:t>
            </w:r>
          </w:p>
        </w:tc>
        <w:tc>
          <w:tcPr>
            <w:tcW w:w="836" w:type="dxa"/>
          </w:tcPr>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w:t>
            </w:r>
          </w:p>
        </w:tc>
        <w:tc>
          <w:tcPr>
            <w:tcW w:w="836" w:type="dxa"/>
          </w:tcPr>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w:t>
            </w:r>
          </w:p>
        </w:tc>
        <w:tc>
          <w:tcPr>
            <w:tcW w:w="811" w:type="dxa"/>
          </w:tcPr>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w:t>
            </w:r>
          </w:p>
        </w:tc>
      </w:tr>
      <w:tr w:rsidR="00587B71" w:rsidRPr="00587B71" w:rsidTr="00587B71">
        <w:tc>
          <w:tcPr>
            <w:tcW w:w="1056" w:type="dxa"/>
            <w:vMerge/>
          </w:tcPr>
          <w:p w:rsidR="00587B71" w:rsidRPr="00587B71" w:rsidRDefault="00587B71" w:rsidP="00587B71">
            <w:pPr>
              <w:spacing w:after="0" w:line="240" w:lineRule="auto"/>
              <w:rPr>
                <w:rFonts w:ascii="Arial" w:eastAsia="Times New Roman" w:hAnsi="Arial" w:cs="Arial"/>
                <w:iCs/>
                <w:color w:val="000000"/>
                <w:sz w:val="24"/>
                <w:szCs w:val="24"/>
                <w:lang w:val="ro-RO"/>
              </w:rPr>
            </w:pPr>
          </w:p>
        </w:tc>
        <w:tc>
          <w:tcPr>
            <w:tcW w:w="2233" w:type="dxa"/>
          </w:tcPr>
          <w:p w:rsidR="00587B71" w:rsidRPr="00587B71" w:rsidRDefault="00587B71" w:rsidP="00587B71">
            <w:pPr>
              <w:spacing w:after="0" w:line="240" w:lineRule="auto"/>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O3</w:t>
            </w:r>
          </w:p>
        </w:tc>
        <w:tc>
          <w:tcPr>
            <w:tcW w:w="1179" w:type="dxa"/>
          </w:tcPr>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0</w:t>
            </w:r>
          </w:p>
        </w:tc>
        <w:tc>
          <w:tcPr>
            <w:tcW w:w="836" w:type="dxa"/>
          </w:tcPr>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0</w:t>
            </w:r>
          </w:p>
        </w:tc>
        <w:tc>
          <w:tcPr>
            <w:tcW w:w="836" w:type="dxa"/>
          </w:tcPr>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0</w:t>
            </w:r>
          </w:p>
        </w:tc>
        <w:tc>
          <w:tcPr>
            <w:tcW w:w="836" w:type="dxa"/>
          </w:tcPr>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0</w:t>
            </w:r>
          </w:p>
        </w:tc>
        <w:tc>
          <w:tcPr>
            <w:tcW w:w="836" w:type="dxa"/>
          </w:tcPr>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w:t>
            </w:r>
          </w:p>
        </w:tc>
        <w:tc>
          <w:tcPr>
            <w:tcW w:w="836" w:type="dxa"/>
          </w:tcPr>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w:t>
            </w:r>
          </w:p>
        </w:tc>
        <w:tc>
          <w:tcPr>
            <w:tcW w:w="836" w:type="dxa"/>
          </w:tcPr>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w:t>
            </w:r>
          </w:p>
        </w:tc>
        <w:tc>
          <w:tcPr>
            <w:tcW w:w="811" w:type="dxa"/>
          </w:tcPr>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w:t>
            </w:r>
          </w:p>
        </w:tc>
      </w:tr>
      <w:tr w:rsidR="00587B71" w:rsidRPr="00587B71" w:rsidTr="00587B71">
        <w:tc>
          <w:tcPr>
            <w:tcW w:w="1056" w:type="dxa"/>
            <w:vMerge w:val="restart"/>
          </w:tcPr>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VS-2</w:t>
            </w:r>
          </w:p>
        </w:tc>
        <w:tc>
          <w:tcPr>
            <w:tcW w:w="2233" w:type="dxa"/>
          </w:tcPr>
          <w:p w:rsidR="00587B71" w:rsidRPr="00587B71" w:rsidRDefault="00587B71" w:rsidP="00587B71">
            <w:pPr>
              <w:spacing w:after="0" w:line="240" w:lineRule="auto"/>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PM10</w:t>
            </w:r>
          </w:p>
        </w:tc>
        <w:tc>
          <w:tcPr>
            <w:tcW w:w="1179" w:type="dxa"/>
          </w:tcPr>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 xml:space="preserve">-  </w:t>
            </w:r>
          </w:p>
        </w:tc>
        <w:tc>
          <w:tcPr>
            <w:tcW w:w="836" w:type="dxa"/>
          </w:tcPr>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w:t>
            </w:r>
          </w:p>
        </w:tc>
        <w:tc>
          <w:tcPr>
            <w:tcW w:w="836" w:type="dxa"/>
          </w:tcPr>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w:t>
            </w:r>
          </w:p>
        </w:tc>
        <w:tc>
          <w:tcPr>
            <w:tcW w:w="836" w:type="dxa"/>
          </w:tcPr>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w:t>
            </w:r>
          </w:p>
        </w:tc>
        <w:tc>
          <w:tcPr>
            <w:tcW w:w="836" w:type="dxa"/>
          </w:tcPr>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0</w:t>
            </w:r>
          </w:p>
        </w:tc>
        <w:tc>
          <w:tcPr>
            <w:tcW w:w="836" w:type="dxa"/>
          </w:tcPr>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0</w:t>
            </w:r>
          </w:p>
        </w:tc>
        <w:tc>
          <w:tcPr>
            <w:tcW w:w="836" w:type="dxa"/>
          </w:tcPr>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0</w:t>
            </w:r>
          </w:p>
        </w:tc>
        <w:tc>
          <w:tcPr>
            <w:tcW w:w="811" w:type="dxa"/>
          </w:tcPr>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0</w:t>
            </w:r>
          </w:p>
        </w:tc>
      </w:tr>
      <w:tr w:rsidR="00587B71" w:rsidRPr="00587B71" w:rsidTr="00587B71">
        <w:tc>
          <w:tcPr>
            <w:tcW w:w="1056" w:type="dxa"/>
            <w:vMerge/>
          </w:tcPr>
          <w:p w:rsidR="00587B71" w:rsidRPr="00587B71" w:rsidRDefault="00587B71" w:rsidP="00587B71">
            <w:pPr>
              <w:spacing w:after="0" w:line="240" w:lineRule="auto"/>
              <w:rPr>
                <w:rFonts w:ascii="Arial" w:eastAsia="Times New Roman" w:hAnsi="Arial" w:cs="Arial"/>
                <w:iCs/>
                <w:color w:val="000000"/>
                <w:sz w:val="24"/>
                <w:szCs w:val="24"/>
                <w:lang w:val="ro-RO"/>
              </w:rPr>
            </w:pPr>
          </w:p>
        </w:tc>
        <w:tc>
          <w:tcPr>
            <w:tcW w:w="2233" w:type="dxa"/>
          </w:tcPr>
          <w:p w:rsidR="00587B71" w:rsidRPr="00587B71" w:rsidRDefault="00587B71" w:rsidP="00587B71">
            <w:pPr>
              <w:spacing w:after="0" w:line="240" w:lineRule="auto"/>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O3</w:t>
            </w:r>
          </w:p>
        </w:tc>
        <w:tc>
          <w:tcPr>
            <w:tcW w:w="1179" w:type="dxa"/>
          </w:tcPr>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 xml:space="preserve">-  </w:t>
            </w:r>
          </w:p>
        </w:tc>
        <w:tc>
          <w:tcPr>
            <w:tcW w:w="836" w:type="dxa"/>
          </w:tcPr>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w:t>
            </w:r>
          </w:p>
        </w:tc>
        <w:tc>
          <w:tcPr>
            <w:tcW w:w="836" w:type="dxa"/>
          </w:tcPr>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w:t>
            </w:r>
          </w:p>
        </w:tc>
        <w:tc>
          <w:tcPr>
            <w:tcW w:w="836" w:type="dxa"/>
          </w:tcPr>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w:t>
            </w:r>
          </w:p>
        </w:tc>
        <w:tc>
          <w:tcPr>
            <w:tcW w:w="836" w:type="dxa"/>
          </w:tcPr>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16</w:t>
            </w:r>
          </w:p>
        </w:tc>
        <w:tc>
          <w:tcPr>
            <w:tcW w:w="836" w:type="dxa"/>
          </w:tcPr>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w:t>
            </w:r>
          </w:p>
        </w:tc>
        <w:tc>
          <w:tcPr>
            <w:tcW w:w="836" w:type="dxa"/>
          </w:tcPr>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w:t>
            </w:r>
          </w:p>
        </w:tc>
        <w:tc>
          <w:tcPr>
            <w:tcW w:w="811" w:type="dxa"/>
          </w:tcPr>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w:t>
            </w:r>
          </w:p>
        </w:tc>
      </w:tr>
    </w:tbl>
    <w:p w:rsidR="00587B71" w:rsidRPr="00587B71" w:rsidRDefault="00587B71" w:rsidP="00587B71">
      <w:pPr>
        <w:spacing w:after="0" w:line="240" w:lineRule="auto"/>
        <w:rPr>
          <w:rFonts w:ascii="Arial" w:eastAsia="Times New Roman" w:hAnsi="Arial" w:cs="Arial"/>
          <w:b/>
          <w:iCs/>
          <w:color w:val="000000"/>
          <w:sz w:val="24"/>
          <w:szCs w:val="24"/>
          <w:lang w:val="ro-RO"/>
        </w:rPr>
      </w:pPr>
    </w:p>
    <w:p w:rsidR="00587B71" w:rsidRPr="007C45A1" w:rsidRDefault="00587B71" w:rsidP="00587B71">
      <w:pPr>
        <w:spacing w:after="0" w:line="240" w:lineRule="auto"/>
        <w:rPr>
          <w:rFonts w:ascii="Arial" w:eastAsia="Times New Roman" w:hAnsi="Arial" w:cs="Arial"/>
          <w:iCs/>
          <w:color w:val="000000"/>
          <w:sz w:val="24"/>
          <w:szCs w:val="24"/>
          <w:lang w:val="ro-RO"/>
        </w:rPr>
      </w:pPr>
      <w:r w:rsidRPr="007C45A1">
        <w:rPr>
          <w:rFonts w:ascii="Arial" w:eastAsia="Times New Roman" w:hAnsi="Arial" w:cs="Arial"/>
          <w:iCs/>
          <w:noProof/>
          <w:color w:val="000000"/>
          <w:sz w:val="24"/>
          <w:szCs w:val="24"/>
        </w:rPr>
        <w:drawing>
          <wp:inline distT="0" distB="0" distL="0" distR="0" wp14:anchorId="126168B9" wp14:editId="3DFB2E2A">
            <wp:extent cx="6107502" cy="2191110"/>
            <wp:effectExtent l="0" t="0" r="0" b="0"/>
            <wp:docPr id="177" name="Chart 17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87B71" w:rsidRPr="00587B71" w:rsidRDefault="00587B71" w:rsidP="00587B71">
      <w:pPr>
        <w:spacing w:after="0" w:line="240" w:lineRule="auto"/>
        <w:rPr>
          <w:rFonts w:ascii="Arial" w:eastAsia="Times New Roman" w:hAnsi="Arial" w:cs="Arial"/>
          <w:b/>
          <w:iCs/>
          <w:color w:val="000000"/>
          <w:sz w:val="24"/>
          <w:szCs w:val="24"/>
          <w:lang w:val="ro-RO"/>
        </w:rPr>
      </w:pPr>
    </w:p>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Figura I.11. Numărul de depăşiri ale valorii limită zilnice pentru PM10</w:t>
      </w:r>
    </w:p>
    <w:p w:rsidR="00587B71" w:rsidRPr="00587B71" w:rsidRDefault="00587B71" w:rsidP="00587B71">
      <w:pPr>
        <w:spacing w:after="0" w:line="240" w:lineRule="auto"/>
        <w:rPr>
          <w:rFonts w:ascii="Arial" w:eastAsia="Times New Roman" w:hAnsi="Arial" w:cs="Arial"/>
          <w:b/>
          <w:iCs/>
          <w:color w:val="000000"/>
          <w:sz w:val="24"/>
          <w:szCs w:val="24"/>
          <w:lang w:val="ro-RO"/>
        </w:rPr>
      </w:pPr>
      <w:r>
        <w:rPr>
          <w:rFonts w:ascii="Arial" w:eastAsia="Times New Roman" w:hAnsi="Arial" w:cs="Arial"/>
          <w:b/>
          <w:iCs/>
          <w:noProof/>
          <w:color w:val="000000"/>
          <w:sz w:val="24"/>
          <w:szCs w:val="24"/>
        </w:rPr>
        <w:drawing>
          <wp:inline distT="0" distB="0" distL="0" distR="0">
            <wp:extent cx="5781675" cy="2276475"/>
            <wp:effectExtent l="0" t="0" r="0" b="0"/>
            <wp:docPr id="176" name="Chart 17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Figura I.12. Numărul de depăşiri ale valorii ţintă pentru O3</w:t>
      </w:r>
    </w:p>
    <w:p w:rsidR="00587B71" w:rsidRPr="00587B71" w:rsidRDefault="00587B71" w:rsidP="00587B71">
      <w:pPr>
        <w:spacing w:after="0" w:line="240" w:lineRule="auto"/>
        <w:rPr>
          <w:rFonts w:ascii="Arial" w:eastAsia="Times New Roman" w:hAnsi="Arial" w:cs="Arial"/>
          <w:b/>
          <w:iCs/>
          <w:color w:val="000000"/>
          <w:sz w:val="24"/>
          <w:szCs w:val="24"/>
          <w:lang w:val="ro-RO"/>
        </w:rPr>
      </w:pPr>
    </w:p>
    <w:p w:rsidR="00587B71" w:rsidRPr="00587B71" w:rsidRDefault="00587B71" w:rsidP="00587B71">
      <w:pPr>
        <w:spacing w:after="0" w:line="240" w:lineRule="auto"/>
        <w:rPr>
          <w:rFonts w:ascii="Arial" w:eastAsia="Times New Roman" w:hAnsi="Arial" w:cs="Arial"/>
          <w:b/>
          <w:iCs/>
          <w:color w:val="000000"/>
          <w:sz w:val="24"/>
          <w:szCs w:val="24"/>
          <w:lang w:val="ro-RO"/>
        </w:rPr>
      </w:pPr>
    </w:p>
    <w:p w:rsidR="00587B71" w:rsidRPr="00587B71" w:rsidRDefault="00587B71" w:rsidP="00587B71">
      <w:pPr>
        <w:spacing w:after="0" w:line="240" w:lineRule="auto"/>
        <w:rPr>
          <w:rFonts w:ascii="Arial" w:eastAsia="Times New Roman" w:hAnsi="Arial" w:cs="Arial"/>
          <w:b/>
          <w:i/>
          <w:sz w:val="24"/>
          <w:szCs w:val="24"/>
          <w:lang w:val="ro-RO"/>
        </w:rPr>
      </w:pPr>
      <w:r w:rsidRPr="00587B71">
        <w:rPr>
          <w:rFonts w:ascii="Arial" w:eastAsia="Times New Roman" w:hAnsi="Arial" w:cs="Arial"/>
          <w:b/>
          <w:i/>
          <w:sz w:val="24"/>
          <w:szCs w:val="24"/>
          <w:lang w:val="ro-RO"/>
        </w:rPr>
        <w:t>I.1.2. Efectele poluării aerului înconjurător</w:t>
      </w:r>
    </w:p>
    <w:p w:rsidR="00587B71" w:rsidRPr="00587B71" w:rsidRDefault="00587B71" w:rsidP="00587B71">
      <w:pPr>
        <w:spacing w:after="0" w:line="240" w:lineRule="auto"/>
        <w:rPr>
          <w:rFonts w:ascii="Arial" w:eastAsia="Times New Roman" w:hAnsi="Arial" w:cs="Arial"/>
          <w:sz w:val="24"/>
          <w:szCs w:val="24"/>
          <w:lang w:val="ro-RO"/>
        </w:rPr>
      </w:pPr>
    </w:p>
    <w:p w:rsidR="00587B71" w:rsidRPr="00587B71" w:rsidRDefault="00587B71" w:rsidP="00587B71">
      <w:pPr>
        <w:spacing w:after="0" w:line="240" w:lineRule="auto"/>
        <w:rPr>
          <w:rFonts w:ascii="Arial" w:eastAsia="Times New Roman" w:hAnsi="Arial" w:cs="Arial"/>
          <w:sz w:val="24"/>
          <w:szCs w:val="24"/>
          <w:lang w:val="ro-RO"/>
        </w:rPr>
      </w:pPr>
      <w:r w:rsidRPr="00587B71">
        <w:rPr>
          <w:rFonts w:ascii="Arial" w:eastAsia="Times New Roman" w:hAnsi="Arial" w:cs="Arial"/>
          <w:sz w:val="24"/>
          <w:szCs w:val="24"/>
          <w:lang w:val="ro-RO"/>
        </w:rPr>
        <w:t>I.1.2.1. Efectele poluării aerului înconjurător asupra sănătăţii</w:t>
      </w:r>
    </w:p>
    <w:p w:rsidR="00587B71" w:rsidRPr="00587B71" w:rsidRDefault="00587B71" w:rsidP="00587B71">
      <w:pPr>
        <w:spacing w:after="0" w:line="240" w:lineRule="auto"/>
        <w:rPr>
          <w:rFonts w:ascii="Arial" w:eastAsia="Times New Roman" w:hAnsi="Arial" w:cs="Arial"/>
          <w:b/>
          <w:iCs/>
          <w:color w:val="000000"/>
          <w:sz w:val="24"/>
          <w:szCs w:val="24"/>
          <w:lang w:val="ro-RO"/>
        </w:rPr>
      </w:pPr>
    </w:p>
    <w:p w:rsidR="00587B71" w:rsidRPr="00587B71" w:rsidRDefault="00587B71" w:rsidP="00587B71">
      <w:pPr>
        <w:spacing w:after="0" w:line="240" w:lineRule="auto"/>
        <w:rPr>
          <w:rFonts w:ascii="Arial" w:eastAsia="Times New Roman" w:hAnsi="Arial" w:cs="Arial"/>
          <w:b/>
          <w:iCs/>
          <w:color w:val="000000"/>
          <w:sz w:val="24"/>
          <w:szCs w:val="24"/>
          <w:lang w:val="ro-RO"/>
        </w:rPr>
      </w:pPr>
      <w:r>
        <w:rPr>
          <w:rFonts w:ascii="Arial" w:eastAsia="Times New Roman" w:hAnsi="Arial" w:cs="Arial"/>
          <w:b/>
          <w:iCs/>
          <w:noProof/>
          <w:color w:val="000000"/>
          <w:sz w:val="24"/>
          <w:szCs w:val="24"/>
        </w:rPr>
        <w:drawing>
          <wp:inline distT="0" distB="0" distL="0" distR="0">
            <wp:extent cx="5952227" cy="2156604"/>
            <wp:effectExtent l="0" t="0" r="0" b="0"/>
            <wp:docPr id="175" name="Chart 17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87B71" w:rsidRPr="00587B71" w:rsidRDefault="00587B71" w:rsidP="00587B71">
      <w:pPr>
        <w:spacing w:after="0" w:line="240" w:lineRule="auto"/>
        <w:rPr>
          <w:rFonts w:ascii="Arial" w:eastAsia="Times New Roman" w:hAnsi="Arial" w:cs="Arial"/>
          <w:b/>
          <w:iCs/>
          <w:color w:val="000000"/>
          <w:sz w:val="24"/>
          <w:szCs w:val="24"/>
          <w:lang w:val="ro-RO"/>
        </w:rPr>
      </w:pPr>
    </w:p>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Figura I.13. Ponderea polutaţiei expusă la poluarea cu PM10</w:t>
      </w:r>
    </w:p>
    <w:p w:rsidR="00587B71" w:rsidRPr="00587B71" w:rsidRDefault="00587B71" w:rsidP="00587B71">
      <w:pPr>
        <w:spacing w:after="0" w:line="240" w:lineRule="auto"/>
        <w:rPr>
          <w:rFonts w:ascii="Arial" w:eastAsia="Times New Roman" w:hAnsi="Arial" w:cs="Arial"/>
          <w:b/>
          <w:iCs/>
          <w:color w:val="000000"/>
          <w:sz w:val="24"/>
          <w:szCs w:val="24"/>
          <w:lang w:val="ro-RO"/>
        </w:rPr>
      </w:pPr>
    </w:p>
    <w:p w:rsidR="00587B71" w:rsidRPr="00587B71" w:rsidRDefault="00587B71" w:rsidP="00587B71">
      <w:pPr>
        <w:spacing w:after="0" w:line="240" w:lineRule="auto"/>
        <w:jc w:val="center"/>
        <w:rPr>
          <w:rFonts w:ascii="Arial" w:eastAsia="Times New Roman" w:hAnsi="Arial" w:cs="Arial"/>
          <w:b/>
          <w:iCs/>
          <w:color w:val="000000"/>
          <w:sz w:val="24"/>
          <w:szCs w:val="24"/>
          <w:lang w:val="ro-RO"/>
        </w:rPr>
      </w:pPr>
      <w:r>
        <w:rPr>
          <w:rFonts w:ascii="Arial" w:eastAsia="Times New Roman" w:hAnsi="Arial" w:cs="Arial"/>
          <w:b/>
          <w:iCs/>
          <w:noProof/>
          <w:color w:val="000000"/>
          <w:sz w:val="24"/>
          <w:szCs w:val="24"/>
        </w:rPr>
        <w:drawing>
          <wp:inline distT="0" distB="0" distL="0" distR="0">
            <wp:extent cx="5867400" cy="2971800"/>
            <wp:effectExtent l="0" t="0" r="0" b="0"/>
            <wp:docPr id="174" name="Chart 17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87B71" w:rsidRPr="00587B71" w:rsidRDefault="00587B71" w:rsidP="00587B71">
      <w:pPr>
        <w:spacing w:after="0" w:line="240" w:lineRule="auto"/>
        <w:rPr>
          <w:rFonts w:ascii="Arial" w:eastAsia="Times New Roman" w:hAnsi="Arial" w:cs="Arial"/>
          <w:b/>
          <w:iCs/>
          <w:color w:val="000000"/>
          <w:sz w:val="24"/>
          <w:szCs w:val="24"/>
          <w:lang w:val="ro-RO"/>
        </w:rPr>
      </w:pPr>
    </w:p>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Figura I.14. Ponderea polutaţiei expusă la poluarea cu O3</w:t>
      </w:r>
    </w:p>
    <w:p w:rsidR="00587B71" w:rsidRPr="00587B71" w:rsidRDefault="00587B71" w:rsidP="00587B71">
      <w:pPr>
        <w:spacing w:after="0" w:line="240" w:lineRule="auto"/>
        <w:rPr>
          <w:rFonts w:ascii="Arial" w:eastAsia="Times New Roman" w:hAnsi="Arial" w:cs="Arial"/>
          <w:b/>
          <w:iCs/>
          <w:color w:val="000000"/>
          <w:sz w:val="24"/>
          <w:szCs w:val="24"/>
          <w:lang w:val="ro-RO"/>
        </w:rPr>
      </w:pPr>
      <w:r w:rsidRPr="00587B71">
        <w:rPr>
          <w:rFonts w:ascii="Arial" w:eastAsia="Times New Roman" w:hAnsi="Arial" w:cs="Arial"/>
          <w:b/>
          <w:iCs/>
          <w:color w:val="000000"/>
          <w:sz w:val="24"/>
          <w:szCs w:val="24"/>
          <w:lang w:val="ro-RO"/>
        </w:rPr>
        <w:t xml:space="preserve"> </w:t>
      </w:r>
    </w:p>
    <w:p w:rsidR="00587B71" w:rsidRPr="00587B71" w:rsidRDefault="00587B71" w:rsidP="00587B71">
      <w:pPr>
        <w:spacing w:after="0" w:line="240" w:lineRule="auto"/>
        <w:jc w:val="center"/>
        <w:rPr>
          <w:rFonts w:ascii="Arial" w:eastAsia="Times New Roman" w:hAnsi="Arial" w:cs="Arial"/>
          <w:b/>
          <w:iCs/>
          <w:color w:val="000000"/>
          <w:sz w:val="24"/>
          <w:szCs w:val="24"/>
          <w:lang w:val="ro-RO"/>
        </w:rPr>
      </w:pPr>
      <w:r>
        <w:rPr>
          <w:rFonts w:ascii="Arial" w:eastAsia="Times New Roman" w:hAnsi="Arial" w:cs="Arial"/>
          <w:b/>
          <w:iCs/>
          <w:noProof/>
          <w:color w:val="000000"/>
          <w:sz w:val="24"/>
          <w:szCs w:val="24"/>
        </w:rPr>
        <w:drawing>
          <wp:inline distT="0" distB="0" distL="0" distR="0">
            <wp:extent cx="6096000" cy="2790825"/>
            <wp:effectExtent l="0" t="0" r="0" b="0"/>
            <wp:docPr id="173" name="Chart 17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Figura I.15. Procentul de populaţie urbană potenţial expusă la concentraţii de poluanţi atmosferici ce depăşesc valorile limită/ţintă</w:t>
      </w:r>
    </w:p>
    <w:p w:rsidR="00587B71" w:rsidRPr="00587B71" w:rsidRDefault="00587B71" w:rsidP="00587B71">
      <w:pPr>
        <w:spacing w:after="0" w:line="240" w:lineRule="auto"/>
        <w:rPr>
          <w:rFonts w:ascii="Arial" w:eastAsia="Times New Roman" w:hAnsi="Arial" w:cs="Arial"/>
          <w:b/>
          <w:iCs/>
          <w:color w:val="000000"/>
          <w:sz w:val="24"/>
          <w:szCs w:val="24"/>
          <w:lang w:val="ro-RO"/>
        </w:rPr>
      </w:pPr>
    </w:p>
    <w:p w:rsidR="00587B71" w:rsidRPr="00587B71" w:rsidRDefault="00587B71" w:rsidP="00587B71">
      <w:pPr>
        <w:spacing w:after="0" w:line="240" w:lineRule="auto"/>
        <w:rPr>
          <w:rFonts w:ascii="Arial" w:eastAsia="Times New Roman" w:hAnsi="Arial" w:cs="Arial"/>
          <w:b/>
          <w:iCs/>
          <w:color w:val="000000"/>
          <w:sz w:val="24"/>
          <w:szCs w:val="24"/>
          <w:lang w:val="ro-RO"/>
        </w:rPr>
      </w:pPr>
    </w:p>
    <w:p w:rsidR="00587B71" w:rsidRPr="00587B71" w:rsidRDefault="00587B71" w:rsidP="00587B71">
      <w:pPr>
        <w:spacing w:after="0" w:line="240" w:lineRule="auto"/>
        <w:rPr>
          <w:rFonts w:ascii="Arial" w:eastAsia="Times New Roman" w:hAnsi="Arial" w:cs="Arial"/>
          <w:i/>
          <w:sz w:val="24"/>
          <w:szCs w:val="24"/>
          <w:u w:val="single"/>
          <w:lang w:val="ro-RO"/>
        </w:rPr>
      </w:pPr>
      <w:r w:rsidRPr="00587B71">
        <w:rPr>
          <w:rFonts w:ascii="Arial" w:eastAsia="Times New Roman" w:hAnsi="Arial" w:cs="Arial"/>
          <w:sz w:val="24"/>
          <w:szCs w:val="24"/>
          <w:lang w:val="ro-RO"/>
        </w:rPr>
        <w:t xml:space="preserve">I.1.1.2. Efectele poluării aerului înconjurător asupra ecosistemelor - </w:t>
      </w:r>
      <w:r w:rsidRPr="00587B71">
        <w:rPr>
          <w:rFonts w:ascii="Arial" w:eastAsia="Times New Roman" w:hAnsi="Arial" w:cs="Arial"/>
          <w:i/>
          <w:sz w:val="24"/>
          <w:szCs w:val="24"/>
          <w:u w:val="single"/>
          <w:lang w:val="ro-RO"/>
        </w:rPr>
        <w:t>vor fi tratate global, la nivel naţional, în Raportul naţional privind starea mediului, de oarece datele din RNMCA, nu acoperă fiecare judeţ cu valorile SO2, NOx si ozon pentru vegetaţie si ecosisteme.</w:t>
      </w:r>
    </w:p>
    <w:p w:rsidR="00587B71" w:rsidRPr="00587B71" w:rsidRDefault="00587B71" w:rsidP="00587B71">
      <w:pPr>
        <w:spacing w:after="0" w:line="240" w:lineRule="auto"/>
        <w:rPr>
          <w:rFonts w:ascii="Arial" w:eastAsia="Times New Roman" w:hAnsi="Arial" w:cs="Arial"/>
          <w:sz w:val="24"/>
          <w:szCs w:val="24"/>
          <w:lang w:val="ro-RO"/>
        </w:rPr>
      </w:pPr>
    </w:p>
    <w:p w:rsidR="00587B71" w:rsidRPr="00587B71" w:rsidRDefault="00587B71" w:rsidP="00587B71">
      <w:pPr>
        <w:spacing w:after="0" w:line="240" w:lineRule="auto"/>
        <w:rPr>
          <w:rFonts w:ascii="Arial" w:eastAsia="Times New Roman" w:hAnsi="Arial" w:cs="Arial"/>
          <w:i/>
          <w:sz w:val="24"/>
          <w:szCs w:val="24"/>
          <w:u w:val="single"/>
          <w:lang w:val="ro-RO"/>
        </w:rPr>
      </w:pPr>
      <w:r w:rsidRPr="00587B71">
        <w:rPr>
          <w:rFonts w:ascii="Arial" w:eastAsia="Times New Roman" w:hAnsi="Arial" w:cs="Arial"/>
          <w:sz w:val="24"/>
          <w:szCs w:val="24"/>
          <w:lang w:val="ro-RO"/>
        </w:rPr>
        <w:lastRenderedPageBreak/>
        <w:t xml:space="preserve">I.1.1.3. Efectele poluării aerului înconjurător asupra solului şi vegetaţiei -  </w:t>
      </w:r>
      <w:r w:rsidRPr="00587B71">
        <w:rPr>
          <w:rFonts w:ascii="Arial" w:eastAsia="Times New Roman" w:hAnsi="Arial" w:cs="Arial"/>
          <w:i/>
          <w:sz w:val="24"/>
          <w:szCs w:val="24"/>
          <w:u w:val="single"/>
          <w:lang w:val="ro-RO"/>
        </w:rPr>
        <w:t>vor fi tratate global, la nivel naţional, în Raportul naţional privind starea mediului, de oarece datele din RNMCA, nu acoperă fiecare judeţ cu valorile SO2, NOx si ozon pentru vegetaţie si ecosisteme.</w:t>
      </w:r>
    </w:p>
    <w:p w:rsidR="00587B71" w:rsidRPr="00587B71" w:rsidRDefault="00587B71" w:rsidP="007C45A1">
      <w:pPr>
        <w:spacing w:after="0" w:line="240" w:lineRule="auto"/>
        <w:rPr>
          <w:rFonts w:ascii="Arial" w:eastAsia="Times New Roman" w:hAnsi="Arial" w:cs="Arial"/>
          <w:b/>
          <w:color w:val="000000"/>
          <w:sz w:val="24"/>
          <w:szCs w:val="24"/>
          <w:lang w:val="ro-RO"/>
        </w:rPr>
      </w:pPr>
      <w:r w:rsidRPr="00587B71">
        <w:rPr>
          <w:rFonts w:ascii="Arial" w:eastAsia="Times New Roman" w:hAnsi="Arial" w:cs="Arial"/>
          <w:sz w:val="24"/>
          <w:szCs w:val="24"/>
          <w:lang w:val="ro-RO"/>
        </w:rPr>
        <w:t xml:space="preserve"> </w:t>
      </w:r>
      <w:r w:rsidRPr="00587B71">
        <w:rPr>
          <w:rFonts w:ascii="Arial" w:eastAsia="Times New Roman" w:hAnsi="Arial" w:cs="Arial"/>
          <w:b/>
          <w:color w:val="000000"/>
          <w:sz w:val="24"/>
          <w:szCs w:val="24"/>
          <w:lang w:val="ro-RO"/>
        </w:rPr>
        <w:t xml:space="preserve">I.2. Factorii determinanţi şi presiunile care afectează starea de calitate a aerului înconjurător                    </w:t>
      </w:r>
    </w:p>
    <w:p w:rsidR="00587B71" w:rsidRPr="00587B71" w:rsidRDefault="00587B71" w:rsidP="00587B71">
      <w:pPr>
        <w:autoSpaceDE w:val="0"/>
        <w:autoSpaceDN w:val="0"/>
        <w:adjustRightInd w:val="0"/>
        <w:spacing w:after="0" w:line="240" w:lineRule="auto"/>
        <w:ind w:firstLine="720"/>
        <w:jc w:val="both"/>
        <w:rPr>
          <w:rFonts w:ascii="Arial" w:eastAsia="Times New Roman" w:hAnsi="Arial" w:cs="Arial"/>
          <w:color w:val="000000"/>
          <w:sz w:val="24"/>
          <w:szCs w:val="24"/>
          <w:lang w:val="ro-RO"/>
        </w:rPr>
      </w:pPr>
    </w:p>
    <w:p w:rsidR="00587B71" w:rsidRPr="00587B71" w:rsidRDefault="00587B71" w:rsidP="00587B71">
      <w:pPr>
        <w:autoSpaceDE w:val="0"/>
        <w:autoSpaceDN w:val="0"/>
        <w:adjustRightInd w:val="0"/>
        <w:spacing w:after="0" w:line="240" w:lineRule="auto"/>
        <w:jc w:val="both"/>
        <w:rPr>
          <w:rFonts w:ascii="Arial" w:eastAsia="Times New Roman" w:hAnsi="Arial" w:cs="Arial"/>
          <w:b/>
          <w:i/>
          <w:color w:val="000000"/>
          <w:sz w:val="24"/>
          <w:szCs w:val="24"/>
          <w:lang w:val="ro-RO"/>
        </w:rPr>
      </w:pPr>
      <w:r w:rsidRPr="00587B71">
        <w:rPr>
          <w:rFonts w:ascii="Arial" w:eastAsia="Times New Roman" w:hAnsi="Arial" w:cs="Arial"/>
          <w:b/>
          <w:i/>
          <w:color w:val="000000"/>
          <w:sz w:val="24"/>
          <w:szCs w:val="24"/>
          <w:lang w:val="ro-RO"/>
        </w:rPr>
        <w:t>I.2.1 Emisiile de poluanţi atmosferici şi principalele surse de emisie</w:t>
      </w:r>
    </w:p>
    <w:p w:rsidR="00587B71" w:rsidRPr="00587B71" w:rsidRDefault="00587B71" w:rsidP="00587B71">
      <w:pPr>
        <w:autoSpaceDE w:val="0"/>
        <w:autoSpaceDN w:val="0"/>
        <w:adjustRightInd w:val="0"/>
        <w:spacing w:after="0" w:line="240" w:lineRule="auto"/>
        <w:jc w:val="both"/>
        <w:rPr>
          <w:rFonts w:ascii="Arial" w:eastAsia="Times New Roman" w:hAnsi="Arial" w:cs="Arial"/>
          <w:b/>
          <w:i/>
          <w:color w:val="000000"/>
          <w:sz w:val="24"/>
          <w:szCs w:val="24"/>
          <w:lang w:val="ro-RO"/>
        </w:rPr>
      </w:pPr>
    </w:p>
    <w:p w:rsidR="00587B71" w:rsidRPr="00587B71" w:rsidRDefault="00587B71" w:rsidP="00587B71">
      <w:pPr>
        <w:spacing w:after="0" w:line="240" w:lineRule="auto"/>
        <w:jc w:val="both"/>
        <w:rPr>
          <w:rFonts w:ascii="Arial" w:eastAsia="Times New Roman" w:hAnsi="Arial" w:cs="Arial"/>
          <w:b/>
          <w:i/>
          <w:iCs/>
          <w:color w:val="000000"/>
          <w:sz w:val="24"/>
          <w:szCs w:val="24"/>
          <w:lang w:val="ro-RO"/>
        </w:rPr>
      </w:pPr>
      <w:r w:rsidRPr="00587B71">
        <w:rPr>
          <w:rFonts w:ascii="Arial" w:eastAsia="Times New Roman" w:hAnsi="Arial" w:cs="Arial"/>
          <w:b/>
          <w:i/>
          <w:iCs/>
          <w:color w:val="000000"/>
          <w:sz w:val="24"/>
          <w:szCs w:val="24"/>
          <w:lang w:val="ro-RO"/>
        </w:rPr>
        <w:t xml:space="preserve"> Emisii anuale de dioxid de sulf (SO2)</w:t>
      </w:r>
    </w:p>
    <w:p w:rsidR="00587B71" w:rsidRPr="00587B71" w:rsidRDefault="00587B71" w:rsidP="00587B71">
      <w:pPr>
        <w:spacing w:after="0" w:line="240" w:lineRule="auto"/>
        <w:jc w:val="both"/>
        <w:rPr>
          <w:rFonts w:ascii="Arial" w:eastAsia="Times New Roman" w:hAnsi="Arial" w:cs="Arial"/>
          <w:i/>
          <w:iCs/>
          <w:color w:val="FF0000"/>
          <w:sz w:val="24"/>
          <w:szCs w:val="24"/>
          <w:lang w:val="ro-RO"/>
        </w:rPr>
      </w:pPr>
    </w:p>
    <w:p w:rsidR="00587B71" w:rsidRPr="00587B71" w:rsidRDefault="00587B71" w:rsidP="00587B71">
      <w:pPr>
        <w:spacing w:after="0" w:line="240" w:lineRule="auto"/>
        <w:ind w:firstLine="708"/>
        <w:jc w:val="both"/>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Oxizii de sulf (dioxidul şi trioxidul de sulf) rezultă în principal din surse staţionare şi mobile, prin arderea combustibililor fosili. Dioxidul de sulf este un gaz incolor, cu miros înăbuşitor şi pătrunzător. Acesta poate fi transportat la distanţe mari deoarece se fixează uşor pe particulele de praf. În atmosferă, în reacţie cu vaporii de apă, formează acid sulfuric sau sulfuros, care conferă ploilor caracterul acid. Valorile comparative pentru acest indicator, pe ani, sunt prezentate în tabelul de mai jos:</w:t>
      </w:r>
    </w:p>
    <w:p w:rsidR="00587B71" w:rsidRPr="00587B71" w:rsidRDefault="00587B71" w:rsidP="00587B71">
      <w:pPr>
        <w:spacing w:after="0" w:line="240" w:lineRule="auto"/>
        <w:ind w:firstLine="708"/>
        <w:jc w:val="both"/>
        <w:rPr>
          <w:rFonts w:ascii="Arial" w:eastAsia="Times New Roman" w:hAnsi="Arial" w:cs="Arial"/>
          <w:color w:val="000000"/>
          <w:sz w:val="24"/>
          <w:szCs w:val="24"/>
          <w:lang w:val="ro-RO"/>
        </w:rPr>
      </w:pPr>
    </w:p>
    <w:p w:rsidR="00587B71" w:rsidRPr="00587B71" w:rsidRDefault="00587B71" w:rsidP="00587B71">
      <w:pPr>
        <w:spacing w:after="0" w:line="240" w:lineRule="auto"/>
        <w:jc w:val="center"/>
        <w:rPr>
          <w:rFonts w:ascii="Arial" w:eastAsia="Times New Roman" w:hAnsi="Arial" w:cs="Arial"/>
          <w:bCs/>
          <w:color w:val="000000"/>
          <w:sz w:val="24"/>
          <w:szCs w:val="24"/>
          <w:lang w:val="ro-RO"/>
        </w:rPr>
      </w:pPr>
      <w:r w:rsidRPr="00587B71">
        <w:rPr>
          <w:rFonts w:ascii="Arial" w:eastAsia="Times New Roman" w:hAnsi="Arial" w:cs="Arial"/>
          <w:iCs/>
          <w:color w:val="000000"/>
          <w:sz w:val="24"/>
          <w:szCs w:val="24"/>
          <w:lang w:val="ro-RO"/>
        </w:rPr>
        <w:t xml:space="preserve">Tabelul I.18. -  </w:t>
      </w:r>
      <w:r w:rsidRPr="00587B71">
        <w:rPr>
          <w:rFonts w:ascii="Arial" w:eastAsia="Times New Roman" w:hAnsi="Arial" w:cs="Arial"/>
          <w:bCs/>
          <w:color w:val="000000"/>
          <w:sz w:val="24"/>
          <w:szCs w:val="24"/>
          <w:lang w:val="ro-RO"/>
        </w:rPr>
        <w:t>Emisii anuale de dioxid de sulf- tone/an</w:t>
      </w:r>
    </w:p>
    <w:tbl>
      <w:tblPr>
        <w:tblW w:w="8300" w:type="dxa"/>
        <w:tblInd w:w="1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1E0" w:firstRow="1" w:lastRow="1" w:firstColumn="1" w:lastColumn="1" w:noHBand="0" w:noVBand="0"/>
      </w:tblPr>
      <w:tblGrid>
        <w:gridCol w:w="993"/>
        <w:gridCol w:w="787"/>
        <w:gridCol w:w="788"/>
        <w:gridCol w:w="826"/>
        <w:gridCol w:w="826"/>
        <w:gridCol w:w="834"/>
        <w:gridCol w:w="826"/>
        <w:gridCol w:w="826"/>
        <w:gridCol w:w="834"/>
        <w:gridCol w:w="760"/>
      </w:tblGrid>
      <w:tr w:rsidR="00587B71" w:rsidRPr="00587B71" w:rsidTr="009B495A">
        <w:tc>
          <w:tcPr>
            <w:tcW w:w="993" w:type="dxa"/>
            <w:shd w:val="clear" w:color="auto" w:fill="auto"/>
          </w:tcPr>
          <w:p w:rsidR="00587B71" w:rsidRPr="00587B71" w:rsidRDefault="00587B71" w:rsidP="00587B71">
            <w:pPr>
              <w:widowControl w:val="0"/>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Judeţ</w:t>
            </w:r>
          </w:p>
        </w:tc>
        <w:tc>
          <w:tcPr>
            <w:tcW w:w="787" w:type="dxa"/>
            <w:shd w:val="clear" w:color="auto" w:fill="FFFFFF"/>
          </w:tcPr>
          <w:p w:rsidR="00587B71" w:rsidRPr="00587B71" w:rsidRDefault="00587B71" w:rsidP="00587B71">
            <w:pPr>
              <w:widowControl w:val="0"/>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2007</w:t>
            </w:r>
          </w:p>
        </w:tc>
        <w:tc>
          <w:tcPr>
            <w:tcW w:w="788" w:type="dxa"/>
            <w:shd w:val="clear" w:color="auto" w:fill="FFFFFF"/>
            <w:vAlign w:val="center"/>
          </w:tcPr>
          <w:p w:rsidR="00587B71" w:rsidRPr="00587B71" w:rsidRDefault="00587B71" w:rsidP="00587B71">
            <w:pPr>
              <w:widowControl w:val="0"/>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2008</w:t>
            </w:r>
          </w:p>
        </w:tc>
        <w:tc>
          <w:tcPr>
            <w:tcW w:w="826" w:type="dxa"/>
            <w:shd w:val="clear" w:color="auto" w:fill="FFFFFF"/>
          </w:tcPr>
          <w:p w:rsidR="00587B71" w:rsidRPr="00587B71" w:rsidRDefault="00587B71" w:rsidP="00587B71">
            <w:pPr>
              <w:widowControl w:val="0"/>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2009</w:t>
            </w:r>
          </w:p>
        </w:tc>
        <w:tc>
          <w:tcPr>
            <w:tcW w:w="826" w:type="dxa"/>
            <w:shd w:val="clear" w:color="auto" w:fill="FFFFFF"/>
          </w:tcPr>
          <w:p w:rsidR="00587B71" w:rsidRPr="00587B71" w:rsidRDefault="00587B71" w:rsidP="00587B71">
            <w:pPr>
              <w:widowControl w:val="0"/>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2010</w:t>
            </w:r>
          </w:p>
        </w:tc>
        <w:tc>
          <w:tcPr>
            <w:tcW w:w="834" w:type="dxa"/>
            <w:shd w:val="clear" w:color="auto" w:fill="FFFFFF"/>
          </w:tcPr>
          <w:p w:rsidR="00587B71" w:rsidRPr="00587B71" w:rsidRDefault="00587B71" w:rsidP="00587B71">
            <w:pPr>
              <w:widowControl w:val="0"/>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2011</w:t>
            </w:r>
          </w:p>
        </w:tc>
        <w:tc>
          <w:tcPr>
            <w:tcW w:w="826" w:type="dxa"/>
            <w:shd w:val="clear" w:color="auto" w:fill="FFFFFF"/>
          </w:tcPr>
          <w:p w:rsidR="00587B71" w:rsidRPr="00587B71" w:rsidRDefault="00587B71" w:rsidP="00587B71">
            <w:pPr>
              <w:widowControl w:val="0"/>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2012</w:t>
            </w:r>
          </w:p>
        </w:tc>
        <w:tc>
          <w:tcPr>
            <w:tcW w:w="826" w:type="dxa"/>
            <w:shd w:val="clear" w:color="auto" w:fill="FFFFFF"/>
          </w:tcPr>
          <w:p w:rsidR="00587B71" w:rsidRPr="00587B71" w:rsidRDefault="00587B71" w:rsidP="00587B71">
            <w:pPr>
              <w:widowControl w:val="0"/>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2013</w:t>
            </w:r>
          </w:p>
        </w:tc>
        <w:tc>
          <w:tcPr>
            <w:tcW w:w="834" w:type="dxa"/>
            <w:shd w:val="clear" w:color="auto" w:fill="FFFFFF"/>
          </w:tcPr>
          <w:p w:rsidR="00587B71" w:rsidRPr="00587B71" w:rsidRDefault="00587B71" w:rsidP="00587B71">
            <w:pPr>
              <w:widowControl w:val="0"/>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2014</w:t>
            </w:r>
          </w:p>
        </w:tc>
        <w:tc>
          <w:tcPr>
            <w:tcW w:w="760" w:type="dxa"/>
            <w:shd w:val="clear" w:color="auto" w:fill="FFFFFF"/>
          </w:tcPr>
          <w:p w:rsidR="00587B71" w:rsidRPr="00587B71" w:rsidRDefault="000104D4" w:rsidP="00587B71">
            <w:pPr>
              <w:widowControl w:val="0"/>
              <w:spacing w:after="0" w:line="240" w:lineRule="auto"/>
              <w:jc w:val="center"/>
              <w:rPr>
                <w:rFonts w:ascii="Arial" w:eastAsia="Times New Roman" w:hAnsi="Arial" w:cs="Arial"/>
                <w:b/>
                <w:color w:val="000000"/>
                <w:sz w:val="24"/>
                <w:szCs w:val="24"/>
                <w:lang w:val="pt-BR"/>
              </w:rPr>
            </w:pPr>
            <w:r>
              <w:rPr>
                <w:rFonts w:ascii="Arial" w:eastAsia="Times New Roman" w:hAnsi="Arial" w:cs="Arial"/>
                <w:b/>
                <w:color w:val="000000"/>
                <w:sz w:val="24"/>
                <w:szCs w:val="24"/>
                <w:lang w:val="pt-BR"/>
              </w:rPr>
              <w:t>2015</w:t>
            </w:r>
          </w:p>
        </w:tc>
      </w:tr>
      <w:tr w:rsidR="00587B71" w:rsidRPr="00587B71" w:rsidTr="009B495A">
        <w:tc>
          <w:tcPr>
            <w:tcW w:w="993" w:type="dxa"/>
            <w:shd w:val="clear" w:color="auto" w:fill="auto"/>
            <w:tcMar>
              <w:left w:w="11" w:type="dxa"/>
              <w:right w:w="11" w:type="dxa"/>
            </w:tcMar>
          </w:tcPr>
          <w:p w:rsidR="00587B71" w:rsidRPr="00587B71" w:rsidRDefault="00587B71" w:rsidP="00587B71">
            <w:pPr>
              <w:spacing w:beforeAutospacing="1" w:after="0" w:afterAutospacing="1" w:line="240" w:lineRule="auto"/>
              <w:ind w:right="28"/>
              <w:jc w:val="center"/>
              <w:rPr>
                <w:rFonts w:ascii="Arial" w:eastAsia="Arial Unicode MS" w:hAnsi="Arial" w:cs="Arial"/>
                <w:color w:val="000000"/>
                <w:sz w:val="24"/>
                <w:szCs w:val="24"/>
                <w:lang w:val="pt-BR" w:eastAsia="ro-RO"/>
              </w:rPr>
            </w:pPr>
            <w:r w:rsidRPr="00587B71">
              <w:rPr>
                <w:rFonts w:ascii="Arial" w:eastAsia="Arial Unicode MS" w:hAnsi="Arial" w:cs="Arial"/>
                <w:color w:val="000000"/>
                <w:sz w:val="24"/>
                <w:szCs w:val="24"/>
                <w:lang w:val="pt-BR" w:eastAsia="ro-RO"/>
              </w:rPr>
              <w:t>Vaslui</w:t>
            </w:r>
          </w:p>
        </w:tc>
        <w:tc>
          <w:tcPr>
            <w:tcW w:w="787" w:type="dxa"/>
            <w:shd w:val="clear" w:color="auto" w:fill="FFFFFF"/>
            <w:vAlign w:val="center"/>
          </w:tcPr>
          <w:p w:rsidR="00587B71" w:rsidRPr="00587B71" w:rsidRDefault="00587B71" w:rsidP="00587B71">
            <w:pPr>
              <w:widowControl w:val="0"/>
              <w:spacing w:beforeAutospacing="1" w:after="0" w:afterAutospacing="1" w:line="240" w:lineRule="auto"/>
              <w:jc w:val="center"/>
              <w:rPr>
                <w:rFonts w:ascii="Arial" w:eastAsia="Arial Unicode MS" w:hAnsi="Arial" w:cs="Arial"/>
                <w:color w:val="000000"/>
                <w:sz w:val="24"/>
                <w:szCs w:val="24"/>
                <w:lang w:val="pt-BR" w:eastAsia="ro-RO"/>
              </w:rPr>
            </w:pPr>
            <w:r w:rsidRPr="00587B71">
              <w:rPr>
                <w:rFonts w:ascii="Arial" w:eastAsia="Arial Unicode MS" w:hAnsi="Arial" w:cs="Arial"/>
                <w:color w:val="000000"/>
                <w:sz w:val="24"/>
                <w:szCs w:val="24"/>
                <w:lang w:val="pt-BR" w:eastAsia="ro-RO"/>
              </w:rPr>
              <w:t>360.5</w:t>
            </w:r>
          </w:p>
        </w:tc>
        <w:tc>
          <w:tcPr>
            <w:tcW w:w="788" w:type="dxa"/>
            <w:shd w:val="clear" w:color="auto" w:fill="FFFFFF"/>
          </w:tcPr>
          <w:p w:rsidR="00587B71" w:rsidRPr="00587B71" w:rsidRDefault="00587B71" w:rsidP="00587B71">
            <w:pPr>
              <w:widowControl w:val="0"/>
              <w:spacing w:beforeAutospacing="1" w:after="0" w:afterAutospacing="1" w:line="240" w:lineRule="auto"/>
              <w:jc w:val="center"/>
              <w:rPr>
                <w:rFonts w:ascii="Arial" w:eastAsia="Arial Unicode MS" w:hAnsi="Arial" w:cs="Arial"/>
                <w:color w:val="000000"/>
                <w:sz w:val="24"/>
                <w:szCs w:val="24"/>
                <w:lang w:val="pt-BR" w:eastAsia="ro-RO"/>
              </w:rPr>
            </w:pPr>
            <w:r w:rsidRPr="00587B71">
              <w:rPr>
                <w:rFonts w:ascii="Arial" w:eastAsia="Arial Unicode MS" w:hAnsi="Arial" w:cs="Arial"/>
                <w:color w:val="000000"/>
                <w:sz w:val="24"/>
                <w:szCs w:val="24"/>
                <w:lang w:val="pt-BR" w:eastAsia="ro-RO"/>
              </w:rPr>
              <w:t>141.6</w:t>
            </w:r>
          </w:p>
        </w:tc>
        <w:tc>
          <w:tcPr>
            <w:tcW w:w="826" w:type="dxa"/>
            <w:shd w:val="clear" w:color="auto" w:fill="FFFFFF"/>
          </w:tcPr>
          <w:p w:rsidR="00587B71" w:rsidRPr="00587B71" w:rsidRDefault="00587B71" w:rsidP="00587B71">
            <w:pPr>
              <w:spacing w:after="0" w:line="240" w:lineRule="auto"/>
              <w:jc w:val="center"/>
              <w:rPr>
                <w:rFonts w:ascii="Arial" w:eastAsia="Times New Roman" w:hAnsi="Arial" w:cs="Arial"/>
                <w:color w:val="000000"/>
                <w:sz w:val="24"/>
                <w:szCs w:val="24"/>
                <w:lang w:val="pt-BR"/>
              </w:rPr>
            </w:pPr>
            <w:r w:rsidRPr="00587B71">
              <w:rPr>
                <w:rFonts w:ascii="Arial" w:eastAsia="Times New Roman" w:hAnsi="Arial" w:cs="Arial"/>
                <w:color w:val="000000"/>
                <w:sz w:val="24"/>
                <w:szCs w:val="24"/>
                <w:lang w:val="pt-BR"/>
              </w:rPr>
              <w:t>91.7</w:t>
            </w:r>
          </w:p>
        </w:tc>
        <w:tc>
          <w:tcPr>
            <w:tcW w:w="826" w:type="dxa"/>
            <w:shd w:val="clear" w:color="auto" w:fill="FFFFFF"/>
          </w:tcPr>
          <w:p w:rsidR="00587B71" w:rsidRPr="00587B71" w:rsidRDefault="00587B71" w:rsidP="00587B71">
            <w:pPr>
              <w:spacing w:after="0" w:line="240" w:lineRule="auto"/>
              <w:jc w:val="center"/>
              <w:rPr>
                <w:rFonts w:ascii="Arial" w:eastAsia="Times New Roman" w:hAnsi="Arial" w:cs="Arial"/>
                <w:color w:val="000000"/>
                <w:sz w:val="24"/>
                <w:szCs w:val="24"/>
                <w:lang w:val="pt-BR"/>
              </w:rPr>
            </w:pPr>
            <w:r w:rsidRPr="00587B71">
              <w:rPr>
                <w:rFonts w:ascii="Arial" w:eastAsia="Times New Roman" w:hAnsi="Arial" w:cs="Arial"/>
                <w:color w:val="000000"/>
                <w:sz w:val="24"/>
                <w:szCs w:val="24"/>
                <w:lang w:val="pt-BR"/>
              </w:rPr>
              <w:t>1</w:t>
            </w:r>
            <w:r w:rsidRPr="00587B71">
              <w:rPr>
                <w:rFonts w:ascii="Arial" w:eastAsia="Times New Roman" w:hAnsi="Arial" w:cs="Arial"/>
                <w:color w:val="000000"/>
                <w:sz w:val="24"/>
                <w:szCs w:val="24"/>
              </w:rPr>
              <w:t>5.5</w:t>
            </w:r>
          </w:p>
        </w:tc>
        <w:tc>
          <w:tcPr>
            <w:tcW w:w="834" w:type="dxa"/>
            <w:shd w:val="clear" w:color="auto" w:fill="FFFFFF"/>
          </w:tcPr>
          <w:p w:rsidR="00587B71" w:rsidRPr="00587B71" w:rsidRDefault="00587B71" w:rsidP="00587B71">
            <w:pPr>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288.8</w:t>
            </w:r>
          </w:p>
        </w:tc>
        <w:tc>
          <w:tcPr>
            <w:tcW w:w="826" w:type="dxa"/>
            <w:shd w:val="clear" w:color="auto" w:fill="FFFFFF"/>
          </w:tcPr>
          <w:p w:rsidR="00587B71" w:rsidRPr="00587B71" w:rsidRDefault="00587B71" w:rsidP="00587B71">
            <w:pPr>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730</w:t>
            </w:r>
          </w:p>
        </w:tc>
        <w:tc>
          <w:tcPr>
            <w:tcW w:w="826" w:type="dxa"/>
            <w:shd w:val="clear" w:color="auto" w:fill="FFFFFF"/>
          </w:tcPr>
          <w:p w:rsidR="00587B71" w:rsidRPr="00587B71" w:rsidRDefault="00587B71" w:rsidP="00587B71">
            <w:pPr>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75</w:t>
            </w:r>
          </w:p>
        </w:tc>
        <w:tc>
          <w:tcPr>
            <w:tcW w:w="834" w:type="dxa"/>
            <w:shd w:val="clear" w:color="auto" w:fill="FFFFFF"/>
          </w:tcPr>
          <w:p w:rsidR="00587B71" w:rsidRPr="00587B71" w:rsidRDefault="00587B71" w:rsidP="00587B71">
            <w:pPr>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40,97</w:t>
            </w:r>
          </w:p>
        </w:tc>
        <w:tc>
          <w:tcPr>
            <w:tcW w:w="760" w:type="dxa"/>
            <w:shd w:val="clear" w:color="auto" w:fill="FFFFFF"/>
          </w:tcPr>
          <w:p w:rsidR="00587B71" w:rsidRPr="00587B71" w:rsidRDefault="002C0DB1" w:rsidP="000104D4">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40.25</w:t>
            </w:r>
          </w:p>
        </w:tc>
      </w:tr>
    </w:tbl>
    <w:p w:rsidR="00587B71" w:rsidRPr="00587B71" w:rsidRDefault="00587B71" w:rsidP="00587B71">
      <w:pPr>
        <w:spacing w:after="0" w:line="240" w:lineRule="auto"/>
        <w:ind w:firstLine="708"/>
        <w:jc w:val="both"/>
        <w:rPr>
          <w:rFonts w:ascii="Arial" w:eastAsia="Times New Roman" w:hAnsi="Arial" w:cs="Arial"/>
          <w:color w:val="000000"/>
          <w:sz w:val="24"/>
          <w:szCs w:val="24"/>
          <w:lang w:val="ro-RO"/>
        </w:rPr>
      </w:pPr>
    </w:p>
    <w:p w:rsidR="00587B71" w:rsidRPr="00587B71" w:rsidRDefault="00587B71" w:rsidP="00587B71">
      <w:pPr>
        <w:spacing w:after="0" w:line="240" w:lineRule="auto"/>
        <w:jc w:val="center"/>
        <w:rPr>
          <w:rFonts w:ascii="Arial" w:eastAsia="Times New Roman" w:hAnsi="Arial" w:cs="Arial"/>
          <w:color w:val="FF0000"/>
          <w:sz w:val="24"/>
          <w:szCs w:val="24"/>
          <w:lang w:val="ro-RO"/>
        </w:rPr>
      </w:pPr>
      <w:r>
        <w:rPr>
          <w:rFonts w:ascii="Arial" w:eastAsia="Times New Roman" w:hAnsi="Arial" w:cs="Arial"/>
          <w:noProof/>
          <w:color w:val="FF0000"/>
          <w:sz w:val="24"/>
          <w:szCs w:val="24"/>
        </w:rPr>
        <w:drawing>
          <wp:inline distT="0" distB="0" distL="0" distR="0">
            <wp:extent cx="5438775" cy="2476500"/>
            <wp:effectExtent l="0" t="0" r="0" b="0"/>
            <wp:docPr id="172" name="Chart 17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Figura I.16. E</w:t>
      </w:r>
      <w:r w:rsidR="000104D4">
        <w:rPr>
          <w:rFonts w:ascii="Arial" w:eastAsia="Times New Roman" w:hAnsi="Arial" w:cs="Arial"/>
          <w:iCs/>
          <w:color w:val="000000"/>
          <w:sz w:val="24"/>
          <w:szCs w:val="24"/>
          <w:lang w:val="ro-RO"/>
        </w:rPr>
        <w:t>misii dioxid de sulf- 2007-2015</w:t>
      </w:r>
    </w:p>
    <w:p w:rsidR="00587B71" w:rsidRPr="00587B71" w:rsidRDefault="00587B71" w:rsidP="00587B71">
      <w:pPr>
        <w:spacing w:beforeAutospacing="1" w:after="0" w:afterAutospacing="1" w:line="240" w:lineRule="auto"/>
        <w:jc w:val="center"/>
        <w:rPr>
          <w:rFonts w:ascii="Arial" w:eastAsia="Arial Unicode MS" w:hAnsi="Arial" w:cs="Arial Unicode MS"/>
          <w:color w:val="FF0000"/>
          <w:sz w:val="24"/>
          <w:szCs w:val="24"/>
          <w:lang w:val="ro-RO" w:eastAsia="ro-RO"/>
        </w:rPr>
      </w:pPr>
      <w:r>
        <w:rPr>
          <w:rFonts w:ascii="Arial" w:eastAsia="Arial Unicode MS" w:hAnsi="Arial" w:cs="Arial Unicode MS"/>
          <w:noProof/>
          <w:color w:val="FF0000"/>
          <w:sz w:val="24"/>
          <w:szCs w:val="24"/>
        </w:rPr>
        <w:lastRenderedPageBreak/>
        <w:drawing>
          <wp:inline distT="0" distB="0" distL="0" distR="0">
            <wp:extent cx="6038850" cy="2105025"/>
            <wp:effectExtent l="0" t="0" r="0" b="0"/>
            <wp:docPr id="171" name="Chart 17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104D4" w:rsidRDefault="00587B71" w:rsidP="00587B71">
      <w:pPr>
        <w:spacing w:after="0" w:line="240" w:lineRule="auto"/>
        <w:jc w:val="center"/>
        <w:rPr>
          <w:rFonts w:ascii="Arial" w:eastAsia="Arial Unicode MS" w:hAnsi="Arial" w:cs="Arial Unicode MS"/>
          <w:color w:val="000000"/>
          <w:sz w:val="24"/>
          <w:szCs w:val="24"/>
          <w:lang w:val="ro-RO" w:eastAsia="ro-RO"/>
        </w:rPr>
      </w:pPr>
      <w:r w:rsidRPr="00587B71">
        <w:rPr>
          <w:rFonts w:ascii="Arial" w:eastAsia="Arial Unicode MS" w:hAnsi="Arial" w:cs="Arial Unicode MS"/>
          <w:color w:val="000000"/>
          <w:sz w:val="24"/>
          <w:szCs w:val="24"/>
          <w:lang w:val="ro-RO" w:eastAsia="ro-RO"/>
        </w:rPr>
        <w:t>Figura I.17. Contribuţia sectoarelor de activitate la emisiile de SO</w:t>
      </w:r>
      <w:r w:rsidRPr="00587B71">
        <w:rPr>
          <w:rFonts w:ascii="Arial" w:eastAsia="Arial Unicode MS" w:hAnsi="Arial" w:cs="Arial Unicode MS"/>
          <w:color w:val="000000"/>
          <w:sz w:val="24"/>
          <w:szCs w:val="24"/>
          <w:vertAlign w:val="subscript"/>
          <w:lang w:val="ro-RO" w:eastAsia="ro-RO"/>
        </w:rPr>
        <w:t>2</w:t>
      </w:r>
      <w:r w:rsidR="000104D4">
        <w:rPr>
          <w:rFonts w:ascii="Arial" w:eastAsia="Arial Unicode MS" w:hAnsi="Arial" w:cs="Arial Unicode MS"/>
          <w:color w:val="000000"/>
          <w:sz w:val="24"/>
          <w:szCs w:val="24"/>
          <w:lang w:val="ro-RO" w:eastAsia="ro-RO"/>
        </w:rPr>
        <w:t xml:space="preserve"> în anul 2015 </w:t>
      </w:r>
    </w:p>
    <w:p w:rsidR="00587B71" w:rsidRPr="00587B71" w:rsidRDefault="00587B71" w:rsidP="00587B71">
      <w:pPr>
        <w:spacing w:after="0" w:line="240" w:lineRule="auto"/>
        <w:jc w:val="both"/>
        <w:rPr>
          <w:rFonts w:ascii="Arial" w:eastAsia="Times New Roman" w:hAnsi="Arial" w:cs="Arial"/>
          <w:b/>
          <w:i/>
          <w:iCs/>
          <w:color w:val="FF0000"/>
          <w:sz w:val="24"/>
          <w:szCs w:val="24"/>
          <w:lang w:val="ro-RO"/>
        </w:rPr>
      </w:pPr>
    </w:p>
    <w:p w:rsidR="00587B71" w:rsidRPr="00587B71" w:rsidRDefault="00587B71" w:rsidP="00587B71">
      <w:pPr>
        <w:spacing w:after="0" w:line="240" w:lineRule="auto"/>
        <w:jc w:val="both"/>
        <w:rPr>
          <w:rFonts w:ascii="Arial" w:eastAsia="Times New Roman" w:hAnsi="Arial" w:cs="Arial"/>
          <w:b/>
          <w:i/>
          <w:iCs/>
          <w:color w:val="000000"/>
          <w:sz w:val="24"/>
          <w:szCs w:val="24"/>
          <w:lang w:val="ro-RO"/>
        </w:rPr>
      </w:pPr>
      <w:r w:rsidRPr="00587B71">
        <w:rPr>
          <w:rFonts w:ascii="Arial" w:eastAsia="Times New Roman" w:hAnsi="Arial" w:cs="Arial"/>
          <w:b/>
          <w:i/>
          <w:iCs/>
          <w:color w:val="000000"/>
          <w:sz w:val="24"/>
          <w:szCs w:val="24"/>
          <w:lang w:val="ro-RO"/>
        </w:rPr>
        <w:t xml:space="preserve"> Emisii anuale de oxizi de azot (NOx)</w:t>
      </w:r>
    </w:p>
    <w:p w:rsidR="00587B71" w:rsidRPr="00587B71" w:rsidRDefault="00587B71" w:rsidP="00587B71">
      <w:pPr>
        <w:spacing w:after="0" w:line="240" w:lineRule="auto"/>
        <w:ind w:firstLine="708"/>
        <w:jc w:val="both"/>
        <w:rPr>
          <w:rFonts w:ascii="Arial" w:eastAsia="Times New Roman" w:hAnsi="Arial" w:cs="Arial"/>
          <w:b/>
          <w:bCs/>
          <w:i/>
          <w:color w:val="FF0000"/>
          <w:sz w:val="24"/>
          <w:szCs w:val="24"/>
          <w:lang w:val="ro-RO"/>
        </w:rPr>
      </w:pPr>
    </w:p>
    <w:p w:rsidR="00587B71" w:rsidRPr="00587B71" w:rsidRDefault="00587B71" w:rsidP="00587B71">
      <w:pPr>
        <w:autoSpaceDE w:val="0"/>
        <w:autoSpaceDN w:val="0"/>
        <w:adjustRightInd w:val="0"/>
        <w:spacing w:after="0" w:line="240" w:lineRule="auto"/>
        <w:ind w:firstLine="720"/>
        <w:jc w:val="both"/>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Oxizii de azot rezultă din procesele de ardere a combustibililor în surse staţionare şi mobile, sau din procese biologice; în mediul urban, prezenţa acestora este datorată în special traficului rutier. În atmosferă, în reacţie cu vaporii de apă, oxizii de azot formează acid azotic sau azotos, care conferă ploilor caracterul acid.</w:t>
      </w:r>
    </w:p>
    <w:p w:rsidR="00587B71" w:rsidRPr="00587B71" w:rsidRDefault="00587B71" w:rsidP="00587B71">
      <w:pPr>
        <w:spacing w:after="0" w:line="240" w:lineRule="auto"/>
        <w:ind w:firstLine="708"/>
        <w:jc w:val="both"/>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Valorile obţinute în anul 2015 sunt prezentate sintetic în tabelul de mai jos:</w:t>
      </w:r>
    </w:p>
    <w:p w:rsidR="00587B71" w:rsidRPr="00587B71" w:rsidRDefault="00587B71" w:rsidP="00587B71">
      <w:pPr>
        <w:spacing w:after="0" w:line="240" w:lineRule="auto"/>
        <w:ind w:firstLine="708"/>
        <w:jc w:val="both"/>
        <w:rPr>
          <w:rFonts w:ascii="Arial" w:eastAsia="Times New Roman" w:hAnsi="Arial" w:cs="Arial"/>
          <w:color w:val="000000"/>
          <w:sz w:val="24"/>
          <w:szCs w:val="24"/>
          <w:lang w:val="ro-RO"/>
        </w:rPr>
      </w:pPr>
    </w:p>
    <w:p w:rsidR="00587B71" w:rsidRPr="00587B71" w:rsidRDefault="00587B71" w:rsidP="00587B71">
      <w:pPr>
        <w:spacing w:after="0" w:line="240" w:lineRule="auto"/>
        <w:ind w:firstLine="708"/>
        <w:jc w:val="both"/>
        <w:rPr>
          <w:rFonts w:ascii="Arial" w:eastAsia="Times New Roman" w:hAnsi="Arial" w:cs="Arial"/>
          <w:color w:val="000000"/>
          <w:sz w:val="24"/>
          <w:szCs w:val="24"/>
          <w:lang w:val="ro-RO"/>
        </w:rPr>
      </w:pPr>
    </w:p>
    <w:p w:rsidR="00587B71" w:rsidRPr="00587B71" w:rsidRDefault="00587B71" w:rsidP="00587B71">
      <w:pPr>
        <w:spacing w:after="0" w:line="240" w:lineRule="auto"/>
        <w:jc w:val="center"/>
        <w:rPr>
          <w:rFonts w:ascii="Arial" w:eastAsia="Times New Roman" w:hAnsi="Arial" w:cs="Arial"/>
          <w:bCs/>
          <w:color w:val="000000"/>
          <w:sz w:val="24"/>
          <w:szCs w:val="24"/>
          <w:lang w:val="es-ES"/>
        </w:rPr>
      </w:pPr>
      <w:r w:rsidRPr="00587B71">
        <w:rPr>
          <w:rFonts w:ascii="Arial" w:eastAsia="Times New Roman" w:hAnsi="Arial" w:cs="Arial"/>
          <w:iCs/>
          <w:color w:val="000000"/>
          <w:sz w:val="24"/>
          <w:szCs w:val="24"/>
          <w:lang w:val="ro-RO"/>
        </w:rPr>
        <w:t xml:space="preserve">Tabelul I.19. </w:t>
      </w:r>
      <w:r w:rsidRPr="00587B71">
        <w:rPr>
          <w:rFonts w:ascii="Arial" w:eastAsia="Times New Roman" w:hAnsi="Arial" w:cs="Arial"/>
          <w:bCs/>
          <w:color w:val="000000"/>
          <w:sz w:val="24"/>
          <w:szCs w:val="24"/>
          <w:lang w:val="es-ES"/>
        </w:rPr>
        <w:t xml:space="preserve"> Emisii anuale  de oxizi de azot - tone/an</w:t>
      </w:r>
    </w:p>
    <w:tbl>
      <w:tblPr>
        <w:tblW w:w="8392" w:type="dxa"/>
        <w:tblInd w:w="1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1E0" w:firstRow="1" w:lastRow="1" w:firstColumn="1" w:lastColumn="1" w:noHBand="0" w:noVBand="0"/>
      </w:tblPr>
      <w:tblGrid>
        <w:gridCol w:w="945"/>
        <w:gridCol w:w="825"/>
        <w:gridCol w:w="825"/>
        <w:gridCol w:w="828"/>
        <w:gridCol w:w="836"/>
        <w:gridCol w:w="836"/>
        <w:gridCol w:w="836"/>
        <w:gridCol w:w="836"/>
        <w:gridCol w:w="828"/>
        <w:gridCol w:w="797"/>
      </w:tblGrid>
      <w:tr w:rsidR="00587B71" w:rsidRPr="00587B71" w:rsidTr="00587B71">
        <w:tc>
          <w:tcPr>
            <w:tcW w:w="945" w:type="dxa"/>
            <w:shd w:val="clear" w:color="auto" w:fill="auto"/>
          </w:tcPr>
          <w:p w:rsidR="00587B71" w:rsidRPr="00587B71" w:rsidRDefault="00587B71" w:rsidP="00587B71">
            <w:pPr>
              <w:widowControl w:val="0"/>
              <w:spacing w:after="0" w:line="240" w:lineRule="auto"/>
              <w:jc w:val="center"/>
              <w:rPr>
                <w:rFonts w:ascii="Arial" w:eastAsia="Times New Roman" w:hAnsi="Arial" w:cs="Arial"/>
                <w:b/>
                <w:color w:val="000000"/>
                <w:sz w:val="24"/>
                <w:szCs w:val="24"/>
              </w:rPr>
            </w:pPr>
            <w:r w:rsidRPr="00587B71">
              <w:rPr>
                <w:rFonts w:ascii="Arial" w:eastAsia="Times New Roman" w:hAnsi="Arial" w:cs="Arial"/>
                <w:b/>
                <w:color w:val="000000"/>
                <w:sz w:val="24"/>
                <w:szCs w:val="24"/>
                <w:lang w:val="fr-FR"/>
              </w:rPr>
              <w:t>Jude</w:t>
            </w:r>
            <w:r w:rsidRPr="00587B71">
              <w:rPr>
                <w:rFonts w:ascii="Arial" w:eastAsia="Times New Roman" w:hAnsi="Arial" w:cs="Arial"/>
                <w:b/>
                <w:color w:val="000000"/>
                <w:sz w:val="24"/>
                <w:szCs w:val="24"/>
                <w:lang w:val="it-IT"/>
              </w:rPr>
              <w:t>ţ</w:t>
            </w:r>
          </w:p>
        </w:tc>
        <w:tc>
          <w:tcPr>
            <w:tcW w:w="825" w:type="dxa"/>
            <w:shd w:val="clear" w:color="auto" w:fill="FFFFFF"/>
          </w:tcPr>
          <w:p w:rsidR="00587B71" w:rsidRPr="00587B71" w:rsidRDefault="00587B71" w:rsidP="00587B71">
            <w:pPr>
              <w:widowControl w:val="0"/>
              <w:spacing w:after="0" w:line="240" w:lineRule="auto"/>
              <w:jc w:val="center"/>
              <w:rPr>
                <w:rFonts w:ascii="Arial" w:eastAsia="Times New Roman" w:hAnsi="Arial" w:cs="Arial"/>
                <w:b/>
                <w:color w:val="000000"/>
                <w:sz w:val="24"/>
                <w:szCs w:val="24"/>
              </w:rPr>
            </w:pPr>
            <w:r w:rsidRPr="00587B71">
              <w:rPr>
                <w:rFonts w:ascii="Arial" w:eastAsia="Times New Roman" w:hAnsi="Arial" w:cs="Arial"/>
                <w:b/>
                <w:color w:val="000000"/>
                <w:sz w:val="24"/>
                <w:szCs w:val="24"/>
              </w:rPr>
              <w:t>2007</w:t>
            </w:r>
          </w:p>
        </w:tc>
        <w:tc>
          <w:tcPr>
            <w:tcW w:w="825" w:type="dxa"/>
            <w:shd w:val="clear" w:color="auto" w:fill="FFFFFF"/>
            <w:vAlign w:val="center"/>
          </w:tcPr>
          <w:p w:rsidR="00587B71" w:rsidRPr="00587B71" w:rsidRDefault="00587B71" w:rsidP="00587B71">
            <w:pPr>
              <w:widowControl w:val="0"/>
              <w:spacing w:after="0" w:line="240" w:lineRule="auto"/>
              <w:jc w:val="center"/>
              <w:rPr>
                <w:rFonts w:ascii="Arial" w:eastAsia="Times New Roman" w:hAnsi="Arial" w:cs="Arial"/>
                <w:b/>
                <w:color w:val="000000"/>
                <w:sz w:val="24"/>
                <w:szCs w:val="24"/>
              </w:rPr>
            </w:pPr>
            <w:r w:rsidRPr="00587B71">
              <w:rPr>
                <w:rFonts w:ascii="Arial" w:eastAsia="Times New Roman" w:hAnsi="Arial" w:cs="Arial"/>
                <w:b/>
                <w:color w:val="000000"/>
                <w:sz w:val="24"/>
                <w:szCs w:val="24"/>
              </w:rPr>
              <w:t>2008</w:t>
            </w:r>
          </w:p>
        </w:tc>
        <w:tc>
          <w:tcPr>
            <w:tcW w:w="828" w:type="dxa"/>
            <w:shd w:val="clear" w:color="auto" w:fill="FFFFFF"/>
          </w:tcPr>
          <w:p w:rsidR="00587B71" w:rsidRPr="00587B71" w:rsidRDefault="00587B71" w:rsidP="00587B71">
            <w:pPr>
              <w:widowControl w:val="0"/>
              <w:spacing w:after="0" w:line="240" w:lineRule="auto"/>
              <w:jc w:val="center"/>
              <w:rPr>
                <w:rFonts w:ascii="Arial" w:eastAsia="Times New Roman" w:hAnsi="Arial" w:cs="Arial"/>
                <w:b/>
                <w:color w:val="000000"/>
                <w:sz w:val="24"/>
                <w:szCs w:val="24"/>
              </w:rPr>
            </w:pPr>
            <w:r w:rsidRPr="00587B71">
              <w:rPr>
                <w:rFonts w:ascii="Arial" w:eastAsia="Times New Roman" w:hAnsi="Arial" w:cs="Arial"/>
                <w:b/>
                <w:color w:val="000000"/>
                <w:sz w:val="24"/>
                <w:szCs w:val="24"/>
              </w:rPr>
              <w:t>2009</w:t>
            </w:r>
          </w:p>
        </w:tc>
        <w:tc>
          <w:tcPr>
            <w:tcW w:w="836" w:type="dxa"/>
            <w:shd w:val="clear" w:color="auto" w:fill="FFFFFF"/>
          </w:tcPr>
          <w:p w:rsidR="00587B71" w:rsidRPr="00587B71" w:rsidRDefault="00587B71" w:rsidP="00587B71">
            <w:pPr>
              <w:widowControl w:val="0"/>
              <w:spacing w:after="0" w:line="240" w:lineRule="auto"/>
              <w:jc w:val="center"/>
              <w:rPr>
                <w:rFonts w:ascii="Arial" w:eastAsia="Times New Roman" w:hAnsi="Arial" w:cs="Arial"/>
                <w:b/>
                <w:color w:val="000000"/>
                <w:sz w:val="24"/>
                <w:szCs w:val="24"/>
              </w:rPr>
            </w:pPr>
            <w:r w:rsidRPr="00587B71">
              <w:rPr>
                <w:rFonts w:ascii="Arial" w:eastAsia="Times New Roman" w:hAnsi="Arial" w:cs="Arial"/>
                <w:b/>
                <w:color w:val="000000"/>
                <w:sz w:val="24"/>
                <w:szCs w:val="24"/>
              </w:rPr>
              <w:t>2010</w:t>
            </w:r>
          </w:p>
        </w:tc>
        <w:tc>
          <w:tcPr>
            <w:tcW w:w="836" w:type="dxa"/>
            <w:shd w:val="clear" w:color="auto" w:fill="FFFFFF"/>
          </w:tcPr>
          <w:p w:rsidR="00587B71" w:rsidRPr="00587B71" w:rsidRDefault="00587B71" w:rsidP="00587B71">
            <w:pPr>
              <w:widowControl w:val="0"/>
              <w:spacing w:after="0" w:line="240" w:lineRule="auto"/>
              <w:jc w:val="center"/>
              <w:rPr>
                <w:rFonts w:ascii="Arial" w:eastAsia="Times New Roman" w:hAnsi="Arial" w:cs="Arial"/>
                <w:b/>
                <w:color w:val="000000"/>
                <w:sz w:val="24"/>
                <w:szCs w:val="24"/>
              </w:rPr>
            </w:pPr>
            <w:r w:rsidRPr="00587B71">
              <w:rPr>
                <w:rFonts w:ascii="Arial" w:eastAsia="Times New Roman" w:hAnsi="Arial" w:cs="Arial"/>
                <w:b/>
                <w:color w:val="000000"/>
                <w:sz w:val="24"/>
                <w:szCs w:val="24"/>
              </w:rPr>
              <w:t>2011</w:t>
            </w:r>
          </w:p>
        </w:tc>
        <w:tc>
          <w:tcPr>
            <w:tcW w:w="836" w:type="dxa"/>
            <w:shd w:val="clear" w:color="auto" w:fill="FFFFFF"/>
          </w:tcPr>
          <w:p w:rsidR="00587B71" w:rsidRPr="00587B71" w:rsidRDefault="00587B71" w:rsidP="00587B71">
            <w:pPr>
              <w:widowControl w:val="0"/>
              <w:spacing w:after="0" w:line="240" w:lineRule="auto"/>
              <w:jc w:val="center"/>
              <w:rPr>
                <w:rFonts w:ascii="Arial" w:eastAsia="Times New Roman" w:hAnsi="Arial" w:cs="Arial"/>
                <w:b/>
                <w:color w:val="000000"/>
                <w:sz w:val="24"/>
                <w:szCs w:val="24"/>
              </w:rPr>
            </w:pPr>
            <w:r w:rsidRPr="00587B71">
              <w:rPr>
                <w:rFonts w:ascii="Arial" w:eastAsia="Times New Roman" w:hAnsi="Arial" w:cs="Arial"/>
                <w:b/>
                <w:color w:val="000000"/>
                <w:sz w:val="24"/>
                <w:szCs w:val="24"/>
              </w:rPr>
              <w:t>2012</w:t>
            </w:r>
          </w:p>
        </w:tc>
        <w:tc>
          <w:tcPr>
            <w:tcW w:w="836" w:type="dxa"/>
            <w:shd w:val="clear" w:color="auto" w:fill="FFFFFF"/>
          </w:tcPr>
          <w:p w:rsidR="00587B71" w:rsidRPr="00587B71" w:rsidRDefault="00587B71" w:rsidP="00587B71">
            <w:pPr>
              <w:widowControl w:val="0"/>
              <w:spacing w:after="0" w:line="240" w:lineRule="auto"/>
              <w:jc w:val="center"/>
              <w:rPr>
                <w:rFonts w:ascii="Arial" w:eastAsia="Times New Roman" w:hAnsi="Arial" w:cs="Arial"/>
                <w:b/>
                <w:color w:val="000000"/>
                <w:sz w:val="24"/>
                <w:szCs w:val="24"/>
              </w:rPr>
            </w:pPr>
            <w:r w:rsidRPr="00587B71">
              <w:rPr>
                <w:rFonts w:ascii="Arial" w:eastAsia="Times New Roman" w:hAnsi="Arial" w:cs="Arial"/>
                <w:b/>
                <w:color w:val="000000"/>
                <w:sz w:val="24"/>
                <w:szCs w:val="24"/>
              </w:rPr>
              <w:t>2013</w:t>
            </w:r>
          </w:p>
        </w:tc>
        <w:tc>
          <w:tcPr>
            <w:tcW w:w="828" w:type="dxa"/>
            <w:shd w:val="clear" w:color="auto" w:fill="FFFFFF"/>
          </w:tcPr>
          <w:p w:rsidR="00587B71" w:rsidRPr="00587B71" w:rsidRDefault="00587B71" w:rsidP="00587B71">
            <w:pPr>
              <w:widowControl w:val="0"/>
              <w:spacing w:after="0" w:line="240" w:lineRule="auto"/>
              <w:jc w:val="center"/>
              <w:rPr>
                <w:rFonts w:ascii="Arial" w:eastAsia="Times New Roman" w:hAnsi="Arial" w:cs="Arial"/>
                <w:b/>
                <w:color w:val="000000"/>
                <w:sz w:val="24"/>
                <w:szCs w:val="24"/>
              </w:rPr>
            </w:pPr>
            <w:r w:rsidRPr="00587B71">
              <w:rPr>
                <w:rFonts w:ascii="Arial" w:eastAsia="Times New Roman" w:hAnsi="Arial" w:cs="Arial"/>
                <w:b/>
                <w:color w:val="000000"/>
                <w:sz w:val="24"/>
                <w:szCs w:val="24"/>
              </w:rPr>
              <w:t>2014</w:t>
            </w:r>
          </w:p>
        </w:tc>
        <w:tc>
          <w:tcPr>
            <w:tcW w:w="797" w:type="dxa"/>
            <w:shd w:val="clear" w:color="auto" w:fill="FFFFFF"/>
          </w:tcPr>
          <w:p w:rsidR="00587B71" w:rsidRPr="00587B71" w:rsidRDefault="000104D4" w:rsidP="00587B71">
            <w:pPr>
              <w:widowControl w:val="0"/>
              <w:spacing w:after="0" w:line="240" w:lineRule="auto"/>
              <w:jc w:val="center"/>
              <w:rPr>
                <w:rFonts w:ascii="Arial" w:eastAsia="Times New Roman" w:hAnsi="Arial" w:cs="Arial"/>
                <w:b/>
                <w:color w:val="000000"/>
                <w:sz w:val="24"/>
                <w:szCs w:val="24"/>
              </w:rPr>
            </w:pPr>
            <w:r>
              <w:rPr>
                <w:rFonts w:ascii="Arial" w:eastAsia="Times New Roman" w:hAnsi="Arial" w:cs="Arial"/>
                <w:b/>
                <w:color w:val="000000"/>
                <w:sz w:val="24"/>
                <w:szCs w:val="24"/>
              </w:rPr>
              <w:t>2015</w:t>
            </w:r>
          </w:p>
        </w:tc>
      </w:tr>
      <w:tr w:rsidR="00587B71" w:rsidRPr="00587B71" w:rsidTr="00587B71">
        <w:tc>
          <w:tcPr>
            <w:tcW w:w="945" w:type="dxa"/>
            <w:shd w:val="clear" w:color="auto" w:fill="auto"/>
            <w:tcMar>
              <w:left w:w="11" w:type="dxa"/>
              <w:right w:w="11" w:type="dxa"/>
            </w:tcMar>
          </w:tcPr>
          <w:p w:rsidR="00587B71" w:rsidRPr="00587B71" w:rsidRDefault="00587B71" w:rsidP="00587B71">
            <w:pPr>
              <w:spacing w:beforeAutospacing="1" w:after="0" w:afterAutospacing="1" w:line="240" w:lineRule="auto"/>
              <w:ind w:right="28"/>
              <w:jc w:val="center"/>
              <w:rPr>
                <w:rFonts w:ascii="Arial" w:eastAsia="Arial Unicode MS" w:hAnsi="Arial" w:cs="Arial"/>
                <w:color w:val="000000"/>
                <w:sz w:val="24"/>
                <w:szCs w:val="24"/>
                <w:lang w:val="pt-BR" w:eastAsia="ro-RO"/>
              </w:rPr>
            </w:pPr>
            <w:r w:rsidRPr="00587B71">
              <w:rPr>
                <w:rFonts w:ascii="Arial" w:eastAsia="Arial Unicode MS" w:hAnsi="Arial" w:cs="Arial"/>
                <w:color w:val="000000"/>
                <w:sz w:val="24"/>
                <w:szCs w:val="24"/>
                <w:lang w:val="pt-BR" w:eastAsia="ro-RO"/>
              </w:rPr>
              <w:t>Vaslui</w:t>
            </w:r>
          </w:p>
        </w:tc>
        <w:tc>
          <w:tcPr>
            <w:tcW w:w="825" w:type="dxa"/>
            <w:shd w:val="clear" w:color="auto" w:fill="FFFFFF"/>
            <w:vAlign w:val="center"/>
          </w:tcPr>
          <w:p w:rsidR="00587B71" w:rsidRPr="00587B71" w:rsidRDefault="00587B71" w:rsidP="00587B71">
            <w:pPr>
              <w:widowControl w:val="0"/>
              <w:spacing w:beforeAutospacing="1" w:after="0" w:afterAutospacing="1" w:line="240" w:lineRule="auto"/>
              <w:ind w:left="-88" w:right="-86"/>
              <w:jc w:val="center"/>
              <w:rPr>
                <w:rFonts w:ascii="Arial" w:eastAsia="Arial Unicode MS" w:hAnsi="Arial" w:cs="Arial"/>
                <w:color w:val="000000"/>
                <w:sz w:val="24"/>
                <w:szCs w:val="24"/>
                <w:lang w:val="pt-BR" w:eastAsia="ro-RO"/>
              </w:rPr>
            </w:pPr>
            <w:r w:rsidRPr="00587B71">
              <w:rPr>
                <w:rFonts w:ascii="Arial" w:eastAsia="Arial Unicode MS" w:hAnsi="Arial" w:cs="Arial"/>
                <w:color w:val="000000"/>
                <w:sz w:val="24"/>
                <w:szCs w:val="24"/>
                <w:lang w:val="pt-BR" w:eastAsia="ro-RO"/>
              </w:rPr>
              <w:t>955</w:t>
            </w:r>
          </w:p>
        </w:tc>
        <w:tc>
          <w:tcPr>
            <w:tcW w:w="825" w:type="dxa"/>
            <w:shd w:val="clear" w:color="auto" w:fill="FFFFFF"/>
          </w:tcPr>
          <w:p w:rsidR="00587B71" w:rsidRPr="00587B71" w:rsidRDefault="00587B71" w:rsidP="00587B71">
            <w:pPr>
              <w:widowControl w:val="0"/>
              <w:spacing w:beforeAutospacing="1" w:after="0" w:afterAutospacing="1" w:line="240" w:lineRule="auto"/>
              <w:ind w:left="-88" w:right="-86"/>
              <w:jc w:val="center"/>
              <w:rPr>
                <w:rFonts w:ascii="Arial" w:eastAsia="Arial Unicode MS" w:hAnsi="Arial" w:cs="Arial"/>
                <w:color w:val="000000"/>
                <w:sz w:val="24"/>
                <w:szCs w:val="24"/>
                <w:lang w:val="pt-BR" w:eastAsia="ro-RO"/>
              </w:rPr>
            </w:pPr>
            <w:r w:rsidRPr="00587B71">
              <w:rPr>
                <w:rFonts w:ascii="Arial" w:eastAsia="Arial Unicode MS" w:hAnsi="Arial" w:cs="Arial"/>
                <w:color w:val="000000"/>
                <w:sz w:val="24"/>
                <w:szCs w:val="24"/>
                <w:lang w:val="pt-BR" w:eastAsia="ro-RO"/>
              </w:rPr>
              <w:t>455.8</w:t>
            </w:r>
          </w:p>
        </w:tc>
        <w:tc>
          <w:tcPr>
            <w:tcW w:w="828" w:type="dxa"/>
            <w:shd w:val="clear" w:color="auto" w:fill="FFFFFF"/>
          </w:tcPr>
          <w:p w:rsidR="00587B71" w:rsidRPr="00587B71" w:rsidRDefault="000104D4" w:rsidP="000104D4">
            <w:pPr>
              <w:tabs>
                <w:tab w:val="center" w:pos="396"/>
              </w:tabs>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ab/>
            </w:r>
            <w:r w:rsidR="00587B71" w:rsidRPr="00587B71">
              <w:rPr>
                <w:rFonts w:ascii="Arial" w:eastAsia="Times New Roman" w:hAnsi="Arial" w:cs="Arial"/>
                <w:color w:val="000000"/>
                <w:sz w:val="24"/>
                <w:szCs w:val="24"/>
              </w:rPr>
              <w:t>709.2</w:t>
            </w:r>
          </w:p>
        </w:tc>
        <w:tc>
          <w:tcPr>
            <w:tcW w:w="836" w:type="dxa"/>
            <w:shd w:val="clear" w:color="auto" w:fill="FFFFFF"/>
          </w:tcPr>
          <w:p w:rsidR="00587B71" w:rsidRPr="00587B71" w:rsidRDefault="00587B71" w:rsidP="00587B71">
            <w:pPr>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1520.2</w:t>
            </w:r>
          </w:p>
        </w:tc>
        <w:tc>
          <w:tcPr>
            <w:tcW w:w="836" w:type="dxa"/>
            <w:shd w:val="clear" w:color="auto" w:fill="FFFFFF"/>
          </w:tcPr>
          <w:p w:rsidR="00587B71" w:rsidRPr="00587B71" w:rsidRDefault="00587B71" w:rsidP="00587B71">
            <w:pPr>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1309.7</w:t>
            </w:r>
          </w:p>
        </w:tc>
        <w:tc>
          <w:tcPr>
            <w:tcW w:w="836" w:type="dxa"/>
            <w:shd w:val="clear" w:color="auto" w:fill="FFFFFF"/>
          </w:tcPr>
          <w:p w:rsidR="00587B71" w:rsidRPr="00587B71" w:rsidRDefault="00587B71" w:rsidP="00587B71">
            <w:pPr>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3011,3</w:t>
            </w:r>
          </w:p>
        </w:tc>
        <w:tc>
          <w:tcPr>
            <w:tcW w:w="836" w:type="dxa"/>
            <w:shd w:val="clear" w:color="auto" w:fill="FFFFFF"/>
          </w:tcPr>
          <w:p w:rsidR="00587B71" w:rsidRPr="00587B71" w:rsidRDefault="00587B71" w:rsidP="00587B71">
            <w:pPr>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3753,9</w:t>
            </w:r>
          </w:p>
        </w:tc>
        <w:tc>
          <w:tcPr>
            <w:tcW w:w="828" w:type="dxa"/>
            <w:shd w:val="clear" w:color="auto" w:fill="FFFFFF"/>
          </w:tcPr>
          <w:p w:rsidR="00587B71" w:rsidRPr="00587B71" w:rsidRDefault="00587B71" w:rsidP="00587B71">
            <w:pPr>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886,7</w:t>
            </w:r>
          </w:p>
        </w:tc>
        <w:tc>
          <w:tcPr>
            <w:tcW w:w="797" w:type="dxa"/>
            <w:shd w:val="clear" w:color="auto" w:fill="FFFFFF"/>
          </w:tcPr>
          <w:p w:rsidR="00587B71" w:rsidRPr="00587B71" w:rsidRDefault="002C0DB1" w:rsidP="00587B71">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884.24</w:t>
            </w:r>
          </w:p>
        </w:tc>
      </w:tr>
    </w:tbl>
    <w:p w:rsidR="00587B71" w:rsidRPr="00587B71" w:rsidRDefault="00587B71" w:rsidP="00587B71">
      <w:pPr>
        <w:spacing w:after="0" w:line="240" w:lineRule="auto"/>
        <w:ind w:firstLine="720"/>
        <w:rPr>
          <w:rFonts w:ascii="Arial" w:eastAsia="Times New Roman" w:hAnsi="Arial" w:cs="Arial"/>
          <w:color w:val="FF0000"/>
          <w:sz w:val="20"/>
          <w:szCs w:val="20"/>
          <w:lang w:val="ro-RO"/>
        </w:rPr>
      </w:pPr>
    </w:p>
    <w:p w:rsidR="00587B71" w:rsidRPr="00587B71" w:rsidRDefault="00587B71" w:rsidP="00587B71">
      <w:pPr>
        <w:spacing w:after="0" w:line="240" w:lineRule="auto"/>
        <w:jc w:val="center"/>
        <w:rPr>
          <w:rFonts w:ascii="Arial" w:eastAsia="Times New Roman" w:hAnsi="Arial" w:cs="Arial"/>
          <w:color w:val="FF0000"/>
          <w:sz w:val="24"/>
          <w:szCs w:val="24"/>
          <w:lang w:val="ro-RO"/>
        </w:rPr>
      </w:pPr>
      <w:r>
        <w:rPr>
          <w:rFonts w:ascii="Arial" w:eastAsia="Times New Roman" w:hAnsi="Arial" w:cs="Arial"/>
          <w:noProof/>
          <w:color w:val="FF0000"/>
          <w:sz w:val="24"/>
          <w:szCs w:val="24"/>
        </w:rPr>
        <w:drawing>
          <wp:inline distT="0" distB="0" distL="0" distR="0">
            <wp:extent cx="5106838" cy="2398143"/>
            <wp:effectExtent l="0" t="0" r="0" b="0"/>
            <wp:docPr id="170" name="Chart 17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587B71">
        <w:rPr>
          <w:rFonts w:ascii="Arial" w:eastAsia="Times New Roman" w:hAnsi="Arial" w:cs="Arial"/>
          <w:color w:val="FF0000"/>
          <w:sz w:val="24"/>
          <w:szCs w:val="24"/>
          <w:lang w:val="ro-RO"/>
        </w:rPr>
        <w:t xml:space="preserve"> </w:t>
      </w:r>
    </w:p>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 xml:space="preserve">Figura I.18. </w:t>
      </w:r>
      <w:r w:rsidR="000104D4">
        <w:rPr>
          <w:rFonts w:ascii="Arial" w:eastAsia="Times New Roman" w:hAnsi="Arial" w:cs="Arial"/>
          <w:iCs/>
          <w:color w:val="000000"/>
          <w:sz w:val="24"/>
          <w:szCs w:val="24"/>
          <w:lang w:val="ro-RO"/>
        </w:rPr>
        <w:t>Emisii oxizi de azot- 2007-2015</w:t>
      </w:r>
    </w:p>
    <w:p w:rsidR="00587B71" w:rsidRPr="00587B71" w:rsidRDefault="00587B71" w:rsidP="00587B71">
      <w:pPr>
        <w:spacing w:after="0" w:line="240" w:lineRule="auto"/>
        <w:jc w:val="center"/>
        <w:rPr>
          <w:rFonts w:ascii="Times New Roman" w:eastAsia="Times New Roman" w:hAnsi="Times New Roman" w:cs="Times New Roman"/>
          <w:sz w:val="24"/>
          <w:szCs w:val="24"/>
          <w:lang w:val="ro-RO"/>
        </w:rPr>
      </w:pPr>
    </w:p>
    <w:p w:rsidR="00587B71" w:rsidRPr="00587B71" w:rsidRDefault="00587B71" w:rsidP="00587B71">
      <w:pPr>
        <w:spacing w:beforeAutospacing="1" w:after="0" w:afterAutospacing="1" w:line="240" w:lineRule="auto"/>
        <w:jc w:val="center"/>
        <w:rPr>
          <w:rFonts w:ascii="Arial" w:eastAsia="Arial Unicode MS" w:hAnsi="Arial" w:cs="Arial Unicode MS"/>
          <w:color w:val="FF0000"/>
          <w:sz w:val="24"/>
          <w:szCs w:val="24"/>
          <w:lang w:val="ro-RO" w:eastAsia="ro-RO"/>
        </w:rPr>
      </w:pPr>
      <w:r>
        <w:rPr>
          <w:rFonts w:ascii="Arial" w:eastAsia="Arial Unicode MS" w:hAnsi="Arial" w:cs="Arial Unicode MS"/>
          <w:noProof/>
          <w:color w:val="FF0000"/>
          <w:sz w:val="24"/>
          <w:szCs w:val="24"/>
        </w:rPr>
        <w:lastRenderedPageBreak/>
        <w:drawing>
          <wp:inline distT="0" distB="0" distL="0" distR="0">
            <wp:extent cx="5796951" cy="2070340"/>
            <wp:effectExtent l="0" t="0" r="0" b="0"/>
            <wp:docPr id="169" name="Chart 16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87B71" w:rsidRPr="00587B71" w:rsidRDefault="00587B71" w:rsidP="00587B71">
      <w:pPr>
        <w:spacing w:after="0" w:line="240" w:lineRule="auto"/>
        <w:jc w:val="center"/>
        <w:rPr>
          <w:rFonts w:ascii="Arial" w:eastAsia="Arial Unicode MS" w:hAnsi="Arial" w:cs="Arial Unicode MS"/>
          <w:color w:val="000000"/>
          <w:sz w:val="24"/>
          <w:szCs w:val="24"/>
          <w:lang w:val="ro-RO" w:eastAsia="ro-RO"/>
        </w:rPr>
      </w:pPr>
      <w:r w:rsidRPr="00587B71">
        <w:rPr>
          <w:rFonts w:ascii="Arial" w:eastAsia="Arial Unicode MS" w:hAnsi="Arial" w:cs="Arial Unicode MS"/>
          <w:color w:val="000000"/>
          <w:sz w:val="24"/>
          <w:szCs w:val="24"/>
          <w:lang w:val="ro-RO" w:eastAsia="ro-RO"/>
        </w:rPr>
        <w:t>Figura I.19. Contribuţia sectoarelor de activitate la emisiile de NO</w:t>
      </w:r>
      <w:r w:rsidRPr="00587B71">
        <w:rPr>
          <w:rFonts w:ascii="Arial" w:eastAsia="Arial Unicode MS" w:hAnsi="Arial" w:cs="Arial Unicode MS"/>
          <w:color w:val="000000"/>
          <w:sz w:val="24"/>
          <w:szCs w:val="24"/>
          <w:vertAlign w:val="subscript"/>
          <w:lang w:val="ro-RO" w:eastAsia="ro-RO"/>
        </w:rPr>
        <w:t>x</w:t>
      </w:r>
      <w:r w:rsidR="000104D4">
        <w:rPr>
          <w:rFonts w:ascii="Arial" w:eastAsia="Arial Unicode MS" w:hAnsi="Arial" w:cs="Arial Unicode MS"/>
          <w:color w:val="000000"/>
          <w:sz w:val="24"/>
          <w:szCs w:val="24"/>
          <w:lang w:val="ro-RO" w:eastAsia="ro-RO"/>
        </w:rPr>
        <w:t xml:space="preserve"> în anul 2015</w:t>
      </w:r>
    </w:p>
    <w:p w:rsidR="00587B71" w:rsidRPr="00587B71" w:rsidRDefault="00587B71" w:rsidP="00587B71">
      <w:pPr>
        <w:spacing w:after="0" w:line="240" w:lineRule="auto"/>
        <w:jc w:val="both"/>
        <w:rPr>
          <w:rFonts w:ascii="Arial" w:eastAsia="Times New Roman" w:hAnsi="Arial" w:cs="Arial"/>
          <w:b/>
          <w:i/>
          <w:iCs/>
          <w:color w:val="FF0000"/>
          <w:sz w:val="24"/>
          <w:szCs w:val="24"/>
          <w:lang w:val="ro-RO"/>
        </w:rPr>
      </w:pPr>
    </w:p>
    <w:p w:rsidR="00587B71" w:rsidRPr="00587B71" w:rsidRDefault="00587B71" w:rsidP="00587B71">
      <w:pPr>
        <w:spacing w:after="0" w:line="240" w:lineRule="auto"/>
        <w:jc w:val="both"/>
        <w:rPr>
          <w:rFonts w:ascii="Arial" w:eastAsia="Times New Roman" w:hAnsi="Arial" w:cs="Arial"/>
          <w:b/>
          <w:i/>
          <w:iCs/>
          <w:color w:val="000000"/>
          <w:sz w:val="24"/>
          <w:szCs w:val="24"/>
          <w:lang w:val="ro-RO"/>
        </w:rPr>
      </w:pPr>
      <w:r w:rsidRPr="00587B71">
        <w:rPr>
          <w:rFonts w:ascii="Arial" w:eastAsia="Times New Roman" w:hAnsi="Arial" w:cs="Arial"/>
          <w:b/>
          <w:i/>
          <w:iCs/>
          <w:color w:val="000000"/>
          <w:sz w:val="24"/>
          <w:szCs w:val="24"/>
          <w:lang w:val="ro-RO"/>
        </w:rPr>
        <w:t>Emisii anuale de amoniac (NH3)</w:t>
      </w:r>
    </w:p>
    <w:p w:rsidR="00587B71" w:rsidRPr="00587B71" w:rsidRDefault="00587B71" w:rsidP="00587B71">
      <w:pPr>
        <w:spacing w:after="0" w:line="240" w:lineRule="auto"/>
        <w:ind w:firstLine="708"/>
        <w:jc w:val="both"/>
        <w:rPr>
          <w:rFonts w:ascii="Arial" w:eastAsia="Times New Roman" w:hAnsi="Arial" w:cs="Arial"/>
          <w:b/>
          <w:bCs/>
          <w:color w:val="FF0000"/>
          <w:sz w:val="24"/>
          <w:szCs w:val="24"/>
          <w:lang w:val="ro-RO"/>
        </w:rPr>
      </w:pPr>
    </w:p>
    <w:p w:rsidR="00587B71" w:rsidRPr="00587B71" w:rsidRDefault="00587B71" w:rsidP="00587B71">
      <w:pPr>
        <w:spacing w:after="0" w:line="240" w:lineRule="auto"/>
        <w:ind w:firstLine="720"/>
        <w:jc w:val="both"/>
        <w:rPr>
          <w:rFonts w:ascii="Arial" w:eastAsia="Arial Unicode MS" w:hAnsi="Arial" w:cs="Arial"/>
          <w:color w:val="000000"/>
          <w:sz w:val="24"/>
          <w:szCs w:val="24"/>
          <w:lang w:val="ro-RO" w:eastAsia="ro-RO"/>
        </w:rPr>
      </w:pPr>
      <w:r w:rsidRPr="00587B71">
        <w:rPr>
          <w:rFonts w:ascii="Arial" w:eastAsia="Arial Unicode MS" w:hAnsi="Arial" w:cs="Arial"/>
          <w:color w:val="000000"/>
          <w:sz w:val="24"/>
          <w:szCs w:val="24"/>
          <w:lang w:val="ro-RO" w:eastAsia="ro-RO"/>
        </w:rPr>
        <w:t xml:space="preserve">Sursa principală de amoniac în atmosferă este agricultura, iar din cadrul acesteia se detaşează ramura zootehnică de tip intensiv. </w:t>
      </w:r>
    </w:p>
    <w:p w:rsidR="00587B71" w:rsidRPr="00587B71" w:rsidRDefault="00587B71" w:rsidP="00587B71">
      <w:pPr>
        <w:spacing w:after="0" w:line="240" w:lineRule="auto"/>
        <w:ind w:firstLine="720"/>
        <w:jc w:val="both"/>
        <w:rPr>
          <w:rFonts w:ascii="Arial" w:eastAsia="Arial Unicode MS" w:hAnsi="Arial" w:cs="Arial"/>
          <w:color w:val="FF0000"/>
          <w:sz w:val="24"/>
          <w:szCs w:val="24"/>
          <w:lang w:val="ro-RO" w:eastAsia="ro-RO"/>
        </w:rPr>
      </w:pPr>
    </w:p>
    <w:p w:rsidR="00587B71" w:rsidRPr="00587B71" w:rsidRDefault="00587B71" w:rsidP="00587B71">
      <w:pPr>
        <w:spacing w:after="0" w:line="240" w:lineRule="auto"/>
        <w:ind w:firstLine="720"/>
        <w:jc w:val="both"/>
        <w:rPr>
          <w:rFonts w:ascii="Arial" w:eastAsia="Arial Unicode MS" w:hAnsi="Arial" w:cs="Arial"/>
          <w:bCs/>
          <w:color w:val="000000"/>
          <w:sz w:val="24"/>
          <w:szCs w:val="24"/>
          <w:lang w:val="es-ES" w:eastAsia="ro-RO"/>
        </w:rPr>
      </w:pPr>
      <w:r w:rsidRPr="00587B71">
        <w:rPr>
          <w:rFonts w:ascii="Arial" w:eastAsia="Arial Unicode MS" w:hAnsi="Arial" w:cs="Arial"/>
          <w:iCs/>
          <w:color w:val="000000"/>
          <w:sz w:val="24"/>
          <w:szCs w:val="24"/>
          <w:lang w:val="ro-RO" w:eastAsia="ro-RO"/>
        </w:rPr>
        <w:t xml:space="preserve">Tabelul I.20. </w:t>
      </w:r>
      <w:r w:rsidRPr="00587B71">
        <w:rPr>
          <w:rFonts w:ascii="Arial" w:eastAsia="Arial Unicode MS" w:hAnsi="Arial" w:cs="Arial"/>
          <w:bCs/>
          <w:color w:val="000000"/>
          <w:sz w:val="24"/>
          <w:szCs w:val="24"/>
          <w:lang w:val="es-ES" w:eastAsia="ro-RO"/>
        </w:rPr>
        <w:t>Emisii anuale de amoniac - tone/an</w:t>
      </w:r>
    </w:p>
    <w:tbl>
      <w:tblPr>
        <w:tblW w:w="7285" w:type="dxa"/>
        <w:tblInd w:w="1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1E0" w:firstRow="1" w:lastRow="1" w:firstColumn="1" w:lastColumn="1" w:noHBand="0" w:noVBand="0"/>
      </w:tblPr>
      <w:tblGrid>
        <w:gridCol w:w="840"/>
        <w:gridCol w:w="860"/>
        <w:gridCol w:w="720"/>
        <w:gridCol w:w="695"/>
        <w:gridCol w:w="695"/>
        <w:gridCol w:w="695"/>
        <w:gridCol w:w="695"/>
        <w:gridCol w:w="695"/>
        <w:gridCol w:w="695"/>
        <w:gridCol w:w="695"/>
      </w:tblGrid>
      <w:tr w:rsidR="00587B71" w:rsidRPr="00587B71" w:rsidTr="00587B71">
        <w:tc>
          <w:tcPr>
            <w:tcW w:w="840" w:type="dxa"/>
            <w:shd w:val="clear" w:color="auto" w:fill="auto"/>
          </w:tcPr>
          <w:p w:rsidR="00587B71" w:rsidRPr="00587B71" w:rsidRDefault="00587B71" w:rsidP="00587B71">
            <w:pPr>
              <w:widowControl w:val="0"/>
              <w:spacing w:after="0" w:line="240" w:lineRule="auto"/>
              <w:jc w:val="center"/>
              <w:rPr>
                <w:rFonts w:ascii="Arial" w:eastAsia="Times New Roman" w:hAnsi="Arial" w:cs="Arial"/>
                <w:b/>
                <w:color w:val="000000"/>
                <w:sz w:val="24"/>
                <w:szCs w:val="24"/>
              </w:rPr>
            </w:pPr>
            <w:r w:rsidRPr="00587B71">
              <w:rPr>
                <w:rFonts w:ascii="Arial" w:eastAsia="Times New Roman" w:hAnsi="Arial" w:cs="Arial"/>
                <w:b/>
                <w:color w:val="000000"/>
                <w:sz w:val="24"/>
                <w:szCs w:val="24"/>
                <w:lang w:val="fr-FR"/>
              </w:rPr>
              <w:t>Jude</w:t>
            </w:r>
            <w:r w:rsidRPr="00587B71">
              <w:rPr>
                <w:rFonts w:ascii="Arial" w:eastAsia="Times New Roman" w:hAnsi="Arial" w:cs="Arial"/>
                <w:b/>
                <w:color w:val="000000"/>
                <w:sz w:val="24"/>
                <w:szCs w:val="24"/>
                <w:lang w:val="it-IT"/>
              </w:rPr>
              <w:t>ţ</w:t>
            </w:r>
          </w:p>
        </w:tc>
        <w:tc>
          <w:tcPr>
            <w:tcW w:w="860" w:type="dxa"/>
            <w:shd w:val="clear" w:color="auto" w:fill="FFFFFF"/>
          </w:tcPr>
          <w:p w:rsidR="00587B71" w:rsidRPr="00587B71" w:rsidRDefault="00587B71" w:rsidP="00587B71">
            <w:pPr>
              <w:widowControl w:val="0"/>
              <w:spacing w:after="0" w:line="240" w:lineRule="auto"/>
              <w:jc w:val="center"/>
              <w:rPr>
                <w:rFonts w:ascii="Arial" w:eastAsia="Times New Roman" w:hAnsi="Arial" w:cs="Arial"/>
                <w:b/>
                <w:color w:val="000000"/>
                <w:sz w:val="24"/>
                <w:szCs w:val="24"/>
              </w:rPr>
            </w:pPr>
            <w:r w:rsidRPr="00587B71">
              <w:rPr>
                <w:rFonts w:ascii="Arial" w:eastAsia="Times New Roman" w:hAnsi="Arial" w:cs="Arial"/>
                <w:b/>
                <w:color w:val="000000"/>
                <w:sz w:val="24"/>
                <w:szCs w:val="24"/>
              </w:rPr>
              <w:t>2007</w:t>
            </w:r>
          </w:p>
        </w:tc>
        <w:tc>
          <w:tcPr>
            <w:tcW w:w="720" w:type="dxa"/>
            <w:shd w:val="clear" w:color="auto" w:fill="FFFFFF"/>
            <w:vAlign w:val="center"/>
          </w:tcPr>
          <w:p w:rsidR="00587B71" w:rsidRPr="00587B71" w:rsidRDefault="00587B71" w:rsidP="00587B71">
            <w:pPr>
              <w:widowControl w:val="0"/>
              <w:spacing w:after="0" w:line="240" w:lineRule="auto"/>
              <w:jc w:val="center"/>
              <w:rPr>
                <w:rFonts w:ascii="Arial" w:eastAsia="Times New Roman" w:hAnsi="Arial" w:cs="Arial"/>
                <w:b/>
                <w:color w:val="000000"/>
                <w:sz w:val="24"/>
                <w:szCs w:val="24"/>
              </w:rPr>
            </w:pPr>
            <w:r w:rsidRPr="00587B71">
              <w:rPr>
                <w:rFonts w:ascii="Arial" w:eastAsia="Times New Roman" w:hAnsi="Arial" w:cs="Arial"/>
                <w:b/>
                <w:color w:val="000000"/>
                <w:sz w:val="24"/>
                <w:szCs w:val="24"/>
              </w:rPr>
              <w:t>2008</w:t>
            </w:r>
          </w:p>
        </w:tc>
        <w:tc>
          <w:tcPr>
            <w:tcW w:w="695" w:type="dxa"/>
            <w:shd w:val="clear" w:color="auto" w:fill="FFFFFF"/>
          </w:tcPr>
          <w:p w:rsidR="00587B71" w:rsidRPr="00587B71" w:rsidRDefault="00587B71" w:rsidP="00587B71">
            <w:pPr>
              <w:widowControl w:val="0"/>
              <w:spacing w:after="0" w:line="240" w:lineRule="auto"/>
              <w:jc w:val="center"/>
              <w:rPr>
                <w:rFonts w:ascii="Arial" w:eastAsia="Times New Roman" w:hAnsi="Arial" w:cs="Arial"/>
                <w:b/>
                <w:color w:val="000000"/>
                <w:sz w:val="24"/>
                <w:szCs w:val="24"/>
              </w:rPr>
            </w:pPr>
            <w:r w:rsidRPr="00587B71">
              <w:rPr>
                <w:rFonts w:ascii="Arial" w:eastAsia="Times New Roman" w:hAnsi="Arial" w:cs="Arial"/>
                <w:b/>
                <w:color w:val="000000"/>
                <w:sz w:val="24"/>
                <w:szCs w:val="24"/>
              </w:rPr>
              <w:t>2009</w:t>
            </w:r>
          </w:p>
        </w:tc>
        <w:tc>
          <w:tcPr>
            <w:tcW w:w="695" w:type="dxa"/>
            <w:shd w:val="clear" w:color="auto" w:fill="FFFFFF"/>
          </w:tcPr>
          <w:p w:rsidR="00587B71" w:rsidRPr="00587B71" w:rsidRDefault="00587B71" w:rsidP="00587B71">
            <w:pPr>
              <w:widowControl w:val="0"/>
              <w:spacing w:after="0" w:line="240" w:lineRule="auto"/>
              <w:jc w:val="center"/>
              <w:rPr>
                <w:rFonts w:ascii="Arial" w:eastAsia="Times New Roman" w:hAnsi="Arial" w:cs="Arial"/>
                <w:b/>
                <w:color w:val="000000"/>
                <w:sz w:val="24"/>
                <w:szCs w:val="24"/>
              </w:rPr>
            </w:pPr>
            <w:r w:rsidRPr="00587B71">
              <w:rPr>
                <w:rFonts w:ascii="Arial" w:eastAsia="Times New Roman" w:hAnsi="Arial" w:cs="Arial"/>
                <w:b/>
                <w:color w:val="000000"/>
                <w:sz w:val="24"/>
                <w:szCs w:val="24"/>
              </w:rPr>
              <w:t>2010</w:t>
            </w:r>
          </w:p>
        </w:tc>
        <w:tc>
          <w:tcPr>
            <w:tcW w:w="695" w:type="dxa"/>
            <w:shd w:val="clear" w:color="auto" w:fill="FFFFFF"/>
          </w:tcPr>
          <w:p w:rsidR="00587B71" w:rsidRPr="00587B71" w:rsidRDefault="00587B71" w:rsidP="00587B71">
            <w:pPr>
              <w:widowControl w:val="0"/>
              <w:spacing w:after="0" w:line="240" w:lineRule="auto"/>
              <w:jc w:val="center"/>
              <w:rPr>
                <w:rFonts w:ascii="Arial" w:eastAsia="Times New Roman" w:hAnsi="Arial" w:cs="Arial"/>
                <w:b/>
                <w:color w:val="000000"/>
                <w:sz w:val="24"/>
                <w:szCs w:val="24"/>
              </w:rPr>
            </w:pPr>
            <w:r w:rsidRPr="00587B71">
              <w:rPr>
                <w:rFonts w:ascii="Arial" w:eastAsia="Times New Roman" w:hAnsi="Arial" w:cs="Arial"/>
                <w:b/>
                <w:color w:val="000000"/>
                <w:sz w:val="24"/>
                <w:szCs w:val="24"/>
              </w:rPr>
              <w:t>2011</w:t>
            </w:r>
          </w:p>
        </w:tc>
        <w:tc>
          <w:tcPr>
            <w:tcW w:w="695" w:type="dxa"/>
            <w:shd w:val="clear" w:color="auto" w:fill="FFFFFF"/>
          </w:tcPr>
          <w:p w:rsidR="00587B71" w:rsidRPr="00587B71" w:rsidRDefault="00587B71" w:rsidP="00587B71">
            <w:pPr>
              <w:widowControl w:val="0"/>
              <w:spacing w:after="0" w:line="240" w:lineRule="auto"/>
              <w:jc w:val="center"/>
              <w:rPr>
                <w:rFonts w:ascii="Arial" w:eastAsia="Times New Roman" w:hAnsi="Arial" w:cs="Arial"/>
                <w:b/>
                <w:color w:val="000000"/>
                <w:sz w:val="24"/>
                <w:szCs w:val="24"/>
              </w:rPr>
            </w:pPr>
            <w:r w:rsidRPr="00587B71">
              <w:rPr>
                <w:rFonts w:ascii="Arial" w:eastAsia="Times New Roman" w:hAnsi="Arial" w:cs="Arial"/>
                <w:b/>
                <w:color w:val="000000"/>
                <w:sz w:val="24"/>
                <w:szCs w:val="24"/>
              </w:rPr>
              <w:t>2012</w:t>
            </w:r>
          </w:p>
        </w:tc>
        <w:tc>
          <w:tcPr>
            <w:tcW w:w="695" w:type="dxa"/>
            <w:shd w:val="clear" w:color="auto" w:fill="FFFFFF"/>
          </w:tcPr>
          <w:p w:rsidR="00587B71" w:rsidRPr="00587B71" w:rsidRDefault="00587B71" w:rsidP="00587B71">
            <w:pPr>
              <w:widowControl w:val="0"/>
              <w:spacing w:after="0" w:line="240" w:lineRule="auto"/>
              <w:jc w:val="center"/>
              <w:rPr>
                <w:rFonts w:ascii="Arial" w:eastAsia="Times New Roman" w:hAnsi="Arial" w:cs="Arial"/>
                <w:b/>
                <w:color w:val="000000"/>
                <w:sz w:val="24"/>
                <w:szCs w:val="24"/>
              </w:rPr>
            </w:pPr>
            <w:r w:rsidRPr="00587B71">
              <w:rPr>
                <w:rFonts w:ascii="Arial" w:eastAsia="Times New Roman" w:hAnsi="Arial" w:cs="Arial"/>
                <w:b/>
                <w:color w:val="000000"/>
                <w:sz w:val="24"/>
                <w:szCs w:val="24"/>
              </w:rPr>
              <w:t>2013</w:t>
            </w:r>
          </w:p>
        </w:tc>
        <w:tc>
          <w:tcPr>
            <w:tcW w:w="695" w:type="dxa"/>
            <w:shd w:val="clear" w:color="auto" w:fill="FFFFFF"/>
          </w:tcPr>
          <w:p w:rsidR="00587B71" w:rsidRPr="00587B71" w:rsidRDefault="00587B71" w:rsidP="00587B71">
            <w:pPr>
              <w:widowControl w:val="0"/>
              <w:spacing w:after="0" w:line="240" w:lineRule="auto"/>
              <w:jc w:val="center"/>
              <w:rPr>
                <w:rFonts w:ascii="Arial" w:eastAsia="Times New Roman" w:hAnsi="Arial" w:cs="Arial"/>
                <w:b/>
                <w:color w:val="000000"/>
                <w:sz w:val="24"/>
                <w:szCs w:val="24"/>
              </w:rPr>
            </w:pPr>
            <w:r w:rsidRPr="00587B71">
              <w:rPr>
                <w:rFonts w:ascii="Arial" w:eastAsia="Times New Roman" w:hAnsi="Arial" w:cs="Arial"/>
                <w:b/>
                <w:color w:val="000000"/>
                <w:sz w:val="24"/>
                <w:szCs w:val="24"/>
              </w:rPr>
              <w:t>2014</w:t>
            </w:r>
          </w:p>
        </w:tc>
        <w:tc>
          <w:tcPr>
            <w:tcW w:w="695" w:type="dxa"/>
            <w:shd w:val="clear" w:color="auto" w:fill="FFFFFF"/>
          </w:tcPr>
          <w:p w:rsidR="00587B71" w:rsidRPr="00587B71" w:rsidRDefault="00587B71" w:rsidP="00BB218B">
            <w:pPr>
              <w:widowControl w:val="0"/>
              <w:spacing w:after="0" w:line="240" w:lineRule="auto"/>
              <w:jc w:val="center"/>
              <w:rPr>
                <w:rFonts w:ascii="Arial" w:eastAsia="Times New Roman" w:hAnsi="Arial" w:cs="Arial"/>
                <w:b/>
                <w:color w:val="000000"/>
                <w:sz w:val="24"/>
                <w:szCs w:val="24"/>
              </w:rPr>
            </w:pPr>
            <w:r w:rsidRPr="00587B71">
              <w:rPr>
                <w:rFonts w:ascii="Arial" w:eastAsia="Times New Roman" w:hAnsi="Arial" w:cs="Arial"/>
                <w:b/>
                <w:color w:val="000000"/>
                <w:sz w:val="24"/>
                <w:szCs w:val="24"/>
              </w:rPr>
              <w:t>2015</w:t>
            </w:r>
          </w:p>
        </w:tc>
      </w:tr>
      <w:tr w:rsidR="00587B71" w:rsidRPr="00587B71" w:rsidTr="00587B71">
        <w:tc>
          <w:tcPr>
            <w:tcW w:w="840" w:type="dxa"/>
            <w:shd w:val="clear" w:color="auto" w:fill="auto"/>
            <w:tcMar>
              <w:left w:w="11" w:type="dxa"/>
              <w:right w:w="11" w:type="dxa"/>
            </w:tcMar>
          </w:tcPr>
          <w:p w:rsidR="00587B71" w:rsidRPr="00587B71" w:rsidRDefault="00587B71" w:rsidP="00587B71">
            <w:pPr>
              <w:spacing w:beforeAutospacing="1" w:after="0" w:afterAutospacing="1" w:line="240" w:lineRule="auto"/>
              <w:ind w:right="28"/>
              <w:jc w:val="center"/>
              <w:rPr>
                <w:rFonts w:ascii="Arial" w:eastAsia="Arial Unicode MS" w:hAnsi="Arial" w:cs="Arial"/>
                <w:color w:val="000000"/>
                <w:sz w:val="24"/>
                <w:szCs w:val="24"/>
                <w:lang w:val="pt-BR" w:eastAsia="ro-RO"/>
              </w:rPr>
            </w:pPr>
            <w:r w:rsidRPr="00587B71">
              <w:rPr>
                <w:rFonts w:ascii="Arial" w:eastAsia="Arial Unicode MS" w:hAnsi="Arial" w:cs="Arial"/>
                <w:color w:val="000000"/>
                <w:sz w:val="24"/>
                <w:szCs w:val="24"/>
                <w:lang w:val="pt-BR" w:eastAsia="ro-RO"/>
              </w:rPr>
              <w:t>Vaslui</w:t>
            </w:r>
          </w:p>
        </w:tc>
        <w:tc>
          <w:tcPr>
            <w:tcW w:w="860" w:type="dxa"/>
            <w:shd w:val="clear" w:color="auto" w:fill="FFFFFF"/>
          </w:tcPr>
          <w:p w:rsidR="00587B71" w:rsidRPr="00587B71" w:rsidRDefault="00587B71" w:rsidP="00587B71">
            <w:pPr>
              <w:widowControl w:val="0"/>
              <w:spacing w:beforeAutospacing="1" w:after="0" w:afterAutospacing="1" w:line="240" w:lineRule="auto"/>
              <w:jc w:val="center"/>
              <w:rPr>
                <w:rFonts w:ascii="Arial" w:eastAsia="Arial Unicode MS" w:hAnsi="Arial" w:cs="Arial"/>
                <w:color w:val="000000"/>
                <w:sz w:val="24"/>
                <w:szCs w:val="24"/>
                <w:lang w:val="pt-BR" w:eastAsia="ro-RO"/>
              </w:rPr>
            </w:pPr>
            <w:r w:rsidRPr="00587B71">
              <w:rPr>
                <w:rFonts w:ascii="Arial" w:eastAsia="Arial Unicode MS" w:hAnsi="Arial" w:cs="Arial"/>
                <w:color w:val="000000"/>
                <w:sz w:val="24"/>
                <w:szCs w:val="24"/>
                <w:lang w:val="pt-BR" w:eastAsia="ro-RO"/>
              </w:rPr>
              <w:t>1310.4</w:t>
            </w:r>
          </w:p>
        </w:tc>
        <w:tc>
          <w:tcPr>
            <w:tcW w:w="720" w:type="dxa"/>
            <w:shd w:val="clear" w:color="auto" w:fill="FFFFFF"/>
            <w:vAlign w:val="center"/>
          </w:tcPr>
          <w:p w:rsidR="00587B71" w:rsidRPr="00587B71" w:rsidRDefault="00587B71" w:rsidP="00587B71">
            <w:pPr>
              <w:widowControl w:val="0"/>
              <w:spacing w:beforeAutospacing="1" w:after="0" w:afterAutospacing="1" w:line="240" w:lineRule="auto"/>
              <w:jc w:val="center"/>
              <w:rPr>
                <w:rFonts w:ascii="Arial" w:eastAsia="Arial Unicode MS" w:hAnsi="Arial" w:cs="Arial"/>
                <w:color w:val="000000"/>
                <w:sz w:val="24"/>
                <w:szCs w:val="24"/>
                <w:lang w:val="pt-BR" w:eastAsia="ro-RO"/>
              </w:rPr>
            </w:pPr>
            <w:r w:rsidRPr="00587B71">
              <w:rPr>
                <w:rFonts w:ascii="Arial" w:eastAsia="Arial Unicode MS" w:hAnsi="Arial" w:cs="Arial"/>
                <w:color w:val="000000"/>
                <w:sz w:val="24"/>
                <w:szCs w:val="24"/>
                <w:lang w:val="pt-BR" w:eastAsia="ro-RO"/>
              </w:rPr>
              <w:t>828.2</w:t>
            </w:r>
          </w:p>
        </w:tc>
        <w:tc>
          <w:tcPr>
            <w:tcW w:w="695" w:type="dxa"/>
            <w:shd w:val="clear" w:color="auto" w:fill="FFFFFF"/>
          </w:tcPr>
          <w:p w:rsidR="00587B71" w:rsidRPr="00587B71" w:rsidRDefault="00587B71" w:rsidP="00587B71">
            <w:pPr>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765.4</w:t>
            </w:r>
          </w:p>
        </w:tc>
        <w:tc>
          <w:tcPr>
            <w:tcW w:w="695" w:type="dxa"/>
            <w:shd w:val="clear" w:color="auto" w:fill="FFFFFF"/>
          </w:tcPr>
          <w:p w:rsidR="00587B71" w:rsidRPr="00587B71" w:rsidRDefault="00587B71" w:rsidP="00587B71">
            <w:pPr>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862.9</w:t>
            </w:r>
          </w:p>
        </w:tc>
        <w:tc>
          <w:tcPr>
            <w:tcW w:w="695" w:type="dxa"/>
            <w:shd w:val="clear" w:color="auto" w:fill="FFFFFF"/>
          </w:tcPr>
          <w:p w:rsidR="00587B71" w:rsidRPr="00587B71" w:rsidRDefault="00587B71" w:rsidP="00587B71">
            <w:pPr>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265.5</w:t>
            </w:r>
          </w:p>
        </w:tc>
        <w:tc>
          <w:tcPr>
            <w:tcW w:w="695" w:type="dxa"/>
            <w:shd w:val="clear" w:color="auto" w:fill="FFFFFF"/>
          </w:tcPr>
          <w:p w:rsidR="00587B71" w:rsidRPr="00587B71" w:rsidRDefault="00587B71" w:rsidP="00587B71">
            <w:pPr>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622,6</w:t>
            </w:r>
          </w:p>
        </w:tc>
        <w:tc>
          <w:tcPr>
            <w:tcW w:w="695" w:type="dxa"/>
            <w:shd w:val="clear" w:color="auto" w:fill="FFFFFF"/>
          </w:tcPr>
          <w:p w:rsidR="00587B71" w:rsidRPr="00587B71" w:rsidRDefault="00587B71" w:rsidP="00587B71">
            <w:pPr>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474,9</w:t>
            </w:r>
          </w:p>
        </w:tc>
        <w:tc>
          <w:tcPr>
            <w:tcW w:w="695" w:type="dxa"/>
            <w:shd w:val="clear" w:color="auto" w:fill="FFFFFF"/>
          </w:tcPr>
          <w:p w:rsidR="00587B71" w:rsidRPr="00587B71" w:rsidRDefault="00587B71" w:rsidP="00587B71">
            <w:pPr>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628,8</w:t>
            </w:r>
          </w:p>
        </w:tc>
        <w:tc>
          <w:tcPr>
            <w:tcW w:w="695" w:type="dxa"/>
            <w:shd w:val="clear" w:color="auto" w:fill="FFFFFF"/>
          </w:tcPr>
          <w:p w:rsidR="00587B71" w:rsidRPr="00587B71" w:rsidRDefault="002C0DB1" w:rsidP="00587B71">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674.8</w:t>
            </w:r>
          </w:p>
        </w:tc>
      </w:tr>
    </w:tbl>
    <w:p w:rsidR="00587B71" w:rsidRPr="00587B71" w:rsidRDefault="00587B71" w:rsidP="00587B71">
      <w:pPr>
        <w:spacing w:after="0" w:line="240" w:lineRule="auto"/>
        <w:rPr>
          <w:rFonts w:ascii="Arial" w:eastAsia="Times New Roman" w:hAnsi="Arial" w:cs="Arial"/>
          <w:color w:val="FF0000"/>
          <w:sz w:val="20"/>
          <w:szCs w:val="20"/>
          <w:lang w:val="ro-RO"/>
        </w:rPr>
      </w:pPr>
    </w:p>
    <w:p w:rsidR="00587B71" w:rsidRPr="00587B71" w:rsidRDefault="00587B71" w:rsidP="00587B71">
      <w:pPr>
        <w:spacing w:after="0" w:line="240" w:lineRule="auto"/>
        <w:jc w:val="center"/>
        <w:rPr>
          <w:rFonts w:ascii="Arial" w:eastAsia="Times New Roman" w:hAnsi="Arial" w:cs="Arial"/>
          <w:b/>
          <w:bCs/>
          <w:color w:val="FF0000"/>
          <w:sz w:val="24"/>
          <w:szCs w:val="24"/>
          <w:lang w:val="ro-RO"/>
        </w:rPr>
      </w:pPr>
      <w:r>
        <w:rPr>
          <w:rFonts w:ascii="Arial" w:eastAsia="Times New Roman" w:hAnsi="Arial" w:cs="Arial"/>
          <w:b/>
          <w:bCs/>
          <w:noProof/>
          <w:color w:val="FF0000"/>
          <w:sz w:val="24"/>
          <w:szCs w:val="24"/>
        </w:rPr>
        <w:drawing>
          <wp:inline distT="0" distB="0" distL="0" distR="0">
            <wp:extent cx="5743575" cy="2247900"/>
            <wp:effectExtent l="0" t="0" r="0" b="0"/>
            <wp:docPr id="168" name="Chart 1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87B71" w:rsidRPr="00587B71" w:rsidRDefault="00587B71" w:rsidP="00587B71">
      <w:pPr>
        <w:spacing w:after="0" w:line="240" w:lineRule="auto"/>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 xml:space="preserve">                                  Figura I.20</w:t>
      </w:r>
      <w:r w:rsidR="002C0DB1">
        <w:rPr>
          <w:rFonts w:ascii="Arial" w:eastAsia="Times New Roman" w:hAnsi="Arial" w:cs="Arial"/>
          <w:iCs/>
          <w:color w:val="000000"/>
          <w:sz w:val="24"/>
          <w:szCs w:val="24"/>
          <w:lang w:val="ro-RO"/>
        </w:rPr>
        <w:t>. Emisii de amoniac- 2007-2015</w:t>
      </w:r>
    </w:p>
    <w:p w:rsidR="00587B71" w:rsidRPr="00587B71" w:rsidRDefault="00587B71" w:rsidP="00587B71">
      <w:pPr>
        <w:spacing w:after="0" w:line="240" w:lineRule="auto"/>
        <w:rPr>
          <w:rFonts w:ascii="Times New Roman" w:eastAsia="Times New Roman" w:hAnsi="Times New Roman" w:cs="Times New Roman"/>
          <w:sz w:val="24"/>
          <w:szCs w:val="24"/>
          <w:lang w:val="ro-RO"/>
        </w:rPr>
      </w:pPr>
    </w:p>
    <w:p w:rsidR="00587B71" w:rsidRPr="00587B71" w:rsidRDefault="00587B71" w:rsidP="00587B71">
      <w:pPr>
        <w:spacing w:after="0" w:line="240" w:lineRule="auto"/>
        <w:jc w:val="both"/>
        <w:rPr>
          <w:rFonts w:ascii="Arial" w:eastAsia="Times New Roman" w:hAnsi="Arial" w:cs="Times New Roman"/>
          <w:color w:val="FF0000"/>
          <w:sz w:val="24"/>
          <w:szCs w:val="24"/>
        </w:rPr>
      </w:pPr>
      <w:r>
        <w:rPr>
          <w:rFonts w:ascii="Arial" w:eastAsia="Times New Roman" w:hAnsi="Arial" w:cs="Times New Roman"/>
          <w:noProof/>
          <w:color w:val="FF0000"/>
          <w:sz w:val="24"/>
          <w:szCs w:val="24"/>
        </w:rPr>
        <w:lastRenderedPageBreak/>
        <w:drawing>
          <wp:inline distT="0" distB="0" distL="0" distR="0">
            <wp:extent cx="5581650" cy="1828800"/>
            <wp:effectExtent l="0" t="0" r="0" b="0"/>
            <wp:docPr id="167" name="Chart 1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87B71" w:rsidRPr="00587B71" w:rsidRDefault="00587B71" w:rsidP="00587B71">
      <w:pPr>
        <w:spacing w:after="0" w:line="240" w:lineRule="auto"/>
        <w:jc w:val="center"/>
        <w:rPr>
          <w:rFonts w:ascii="Arial" w:eastAsia="Arial Unicode MS" w:hAnsi="Arial" w:cs="Arial Unicode MS"/>
          <w:color w:val="000000"/>
          <w:sz w:val="24"/>
          <w:szCs w:val="24"/>
          <w:lang w:val="ro-RO" w:eastAsia="ro-RO"/>
        </w:rPr>
      </w:pPr>
      <w:r w:rsidRPr="00587B71">
        <w:rPr>
          <w:rFonts w:ascii="Arial" w:eastAsia="Arial Unicode MS" w:hAnsi="Arial" w:cs="Arial Unicode MS"/>
          <w:color w:val="000000"/>
          <w:sz w:val="24"/>
          <w:szCs w:val="24"/>
          <w:lang w:val="ro-RO" w:eastAsia="ro-RO"/>
        </w:rPr>
        <w:t>Figura I.21.  Contribuţia sectoarelor de activitate la emisiile de NH</w:t>
      </w:r>
      <w:r w:rsidRPr="00587B71">
        <w:rPr>
          <w:rFonts w:ascii="Arial" w:eastAsia="Arial Unicode MS" w:hAnsi="Arial" w:cs="Arial Unicode MS"/>
          <w:color w:val="000000"/>
          <w:sz w:val="24"/>
          <w:szCs w:val="24"/>
          <w:vertAlign w:val="subscript"/>
          <w:lang w:val="ro-RO" w:eastAsia="ro-RO"/>
        </w:rPr>
        <w:t>3</w:t>
      </w:r>
      <w:r w:rsidR="00D32552">
        <w:rPr>
          <w:rFonts w:ascii="Arial" w:eastAsia="Arial Unicode MS" w:hAnsi="Arial" w:cs="Arial Unicode MS"/>
          <w:color w:val="000000"/>
          <w:sz w:val="24"/>
          <w:szCs w:val="24"/>
          <w:lang w:val="ro-RO" w:eastAsia="ro-RO"/>
        </w:rPr>
        <w:t xml:space="preserve"> în anul 2015</w:t>
      </w:r>
    </w:p>
    <w:p w:rsidR="004224CB" w:rsidRDefault="004224CB" w:rsidP="00587B71">
      <w:pPr>
        <w:spacing w:after="0" w:line="240" w:lineRule="auto"/>
        <w:jc w:val="both"/>
        <w:rPr>
          <w:rFonts w:ascii="Arial" w:eastAsia="Times New Roman" w:hAnsi="Arial" w:cs="Arial"/>
          <w:b/>
          <w:i/>
          <w:iCs/>
          <w:color w:val="000000"/>
          <w:sz w:val="24"/>
          <w:szCs w:val="24"/>
          <w:lang w:val="ro-RO"/>
        </w:rPr>
      </w:pPr>
    </w:p>
    <w:p w:rsidR="00587B71" w:rsidRPr="00587B71" w:rsidRDefault="00587B71" w:rsidP="00587B71">
      <w:pPr>
        <w:spacing w:after="0" w:line="240" w:lineRule="auto"/>
        <w:jc w:val="both"/>
        <w:rPr>
          <w:rFonts w:ascii="Arial" w:eastAsia="Times New Roman" w:hAnsi="Arial" w:cs="Arial"/>
          <w:b/>
          <w:i/>
          <w:iCs/>
          <w:color w:val="000000"/>
          <w:sz w:val="24"/>
          <w:szCs w:val="24"/>
          <w:lang w:val="ro-RO"/>
        </w:rPr>
      </w:pPr>
      <w:r w:rsidRPr="00587B71">
        <w:rPr>
          <w:rFonts w:ascii="Arial" w:eastAsia="Times New Roman" w:hAnsi="Arial" w:cs="Arial"/>
          <w:b/>
          <w:i/>
          <w:iCs/>
          <w:color w:val="000000"/>
          <w:sz w:val="24"/>
          <w:szCs w:val="24"/>
          <w:lang w:val="ro-RO"/>
        </w:rPr>
        <w:t>Emisii de compuşi organici volatili nemetanici</w:t>
      </w:r>
    </w:p>
    <w:p w:rsidR="00587B71" w:rsidRPr="00587B71" w:rsidRDefault="00587B71" w:rsidP="00587B71">
      <w:pPr>
        <w:spacing w:after="0" w:line="240" w:lineRule="auto"/>
        <w:jc w:val="both"/>
        <w:rPr>
          <w:rFonts w:ascii="Arial" w:eastAsia="Times New Roman" w:hAnsi="Arial" w:cs="Arial"/>
          <w:b/>
          <w:iCs/>
          <w:color w:val="FF0000"/>
          <w:sz w:val="24"/>
          <w:szCs w:val="24"/>
          <w:lang w:val="ro-RO"/>
        </w:rPr>
      </w:pPr>
    </w:p>
    <w:p w:rsidR="00587B71" w:rsidRPr="00587B71" w:rsidRDefault="00587B71" w:rsidP="00587B71">
      <w:pPr>
        <w:autoSpaceDE w:val="0"/>
        <w:autoSpaceDN w:val="0"/>
        <w:adjustRightInd w:val="0"/>
        <w:spacing w:after="0" w:line="240" w:lineRule="auto"/>
        <w:ind w:firstLine="720"/>
        <w:jc w:val="both"/>
        <w:rPr>
          <w:rFonts w:ascii="Arial" w:eastAsia="Times New Roman" w:hAnsi="Arial" w:cs="Arial"/>
          <w:color w:val="000000"/>
          <w:sz w:val="24"/>
          <w:szCs w:val="24"/>
          <w:lang w:val="ro-RO"/>
        </w:rPr>
      </w:pPr>
      <w:r w:rsidRPr="00587B71">
        <w:rPr>
          <w:rFonts w:ascii="Arial" w:eastAsia="Times New Roman" w:hAnsi="Arial" w:cs="Arial"/>
          <w:bCs/>
          <w:color w:val="000000"/>
          <w:sz w:val="24"/>
          <w:szCs w:val="24"/>
          <w:lang w:val="ro-RO"/>
        </w:rPr>
        <w:t>C</w:t>
      </w:r>
      <w:r w:rsidRPr="00587B71">
        <w:rPr>
          <w:rFonts w:ascii="Arial" w:eastAsia="Times New Roman" w:hAnsi="Arial" w:cs="Arial"/>
          <w:color w:val="000000"/>
          <w:sz w:val="24"/>
          <w:szCs w:val="24"/>
          <w:lang w:val="ro-RO"/>
        </w:rPr>
        <w:t>ompu</w:t>
      </w:r>
      <w:r w:rsidRPr="00587B71">
        <w:rPr>
          <w:rFonts w:ascii="Arial" w:eastAsia="Times New Roman" w:hAnsi="Tahoma" w:cs="Arial"/>
          <w:color w:val="000000"/>
          <w:sz w:val="24"/>
          <w:szCs w:val="24"/>
          <w:lang w:val="ro-RO"/>
        </w:rPr>
        <w:t>ș</w:t>
      </w:r>
      <w:r w:rsidRPr="00587B71">
        <w:rPr>
          <w:rFonts w:ascii="Arial" w:eastAsia="Times New Roman" w:hAnsi="Arial" w:cs="Arial"/>
          <w:color w:val="000000"/>
          <w:sz w:val="24"/>
          <w:szCs w:val="24"/>
          <w:lang w:val="ro-RO"/>
        </w:rPr>
        <w:t xml:space="preserve">ii </w:t>
      </w:r>
      <w:r w:rsidRPr="00587B71">
        <w:rPr>
          <w:rFonts w:ascii="Arial" w:eastAsia="Times New Roman" w:hAnsi="Arial" w:cs="Arial"/>
          <w:bCs/>
          <w:color w:val="000000"/>
          <w:sz w:val="24"/>
          <w:szCs w:val="24"/>
          <w:lang w:val="ro-RO"/>
        </w:rPr>
        <w:t>O</w:t>
      </w:r>
      <w:r w:rsidRPr="00587B71">
        <w:rPr>
          <w:rFonts w:ascii="Arial" w:eastAsia="Times New Roman" w:hAnsi="Arial" w:cs="Arial"/>
          <w:color w:val="000000"/>
          <w:sz w:val="24"/>
          <w:szCs w:val="24"/>
          <w:lang w:val="ro-RO"/>
        </w:rPr>
        <w:t xml:space="preserve">rganici </w:t>
      </w:r>
      <w:r w:rsidRPr="00587B71">
        <w:rPr>
          <w:rFonts w:ascii="Arial" w:eastAsia="Times New Roman" w:hAnsi="Arial" w:cs="Arial"/>
          <w:bCs/>
          <w:color w:val="000000"/>
          <w:sz w:val="24"/>
          <w:szCs w:val="24"/>
          <w:lang w:val="ro-RO"/>
        </w:rPr>
        <w:t>V</w:t>
      </w:r>
      <w:r w:rsidRPr="00587B71">
        <w:rPr>
          <w:rFonts w:ascii="Arial" w:eastAsia="Times New Roman" w:hAnsi="Arial" w:cs="Arial"/>
          <w:color w:val="000000"/>
          <w:sz w:val="24"/>
          <w:szCs w:val="24"/>
          <w:lang w:val="ro-RO"/>
        </w:rPr>
        <w:t>olatili (COV) au o volatilitate ridicată,  în prezen</w:t>
      </w:r>
      <w:r w:rsidRPr="00587B71">
        <w:rPr>
          <w:rFonts w:ascii="Arial" w:eastAsia="Times New Roman" w:hAnsi="Tahoma" w:cs="Arial"/>
          <w:color w:val="000000"/>
          <w:sz w:val="24"/>
          <w:szCs w:val="24"/>
          <w:lang w:val="ro-RO"/>
        </w:rPr>
        <w:t>ț</w:t>
      </w:r>
      <w:r w:rsidRPr="00587B71">
        <w:rPr>
          <w:rFonts w:ascii="Arial" w:eastAsia="Times New Roman" w:hAnsi="Arial" w:cs="Arial"/>
          <w:color w:val="000000"/>
          <w:sz w:val="24"/>
          <w:szCs w:val="24"/>
          <w:lang w:val="ro-RO"/>
        </w:rPr>
        <w:t>a luminii reac</w:t>
      </w:r>
      <w:r w:rsidRPr="00587B71">
        <w:rPr>
          <w:rFonts w:ascii="Arial" w:eastAsia="Times New Roman" w:hAnsi="Tahoma" w:cs="Arial"/>
          <w:color w:val="000000"/>
          <w:sz w:val="24"/>
          <w:szCs w:val="24"/>
          <w:lang w:val="ro-RO"/>
        </w:rPr>
        <w:t>ț</w:t>
      </w:r>
      <w:r w:rsidRPr="00587B71">
        <w:rPr>
          <w:rFonts w:ascii="Arial" w:eastAsia="Times New Roman" w:hAnsi="Arial" w:cs="Arial"/>
          <w:color w:val="000000"/>
          <w:sz w:val="24"/>
          <w:szCs w:val="24"/>
          <w:lang w:val="ro-RO"/>
        </w:rPr>
        <w:t>ionează cu al</w:t>
      </w:r>
      <w:r w:rsidRPr="00587B71">
        <w:rPr>
          <w:rFonts w:ascii="Arial" w:eastAsia="Times New Roman" w:hAnsi="Tahoma" w:cs="Arial"/>
          <w:color w:val="000000"/>
          <w:sz w:val="24"/>
          <w:szCs w:val="24"/>
          <w:lang w:val="ro-RO"/>
        </w:rPr>
        <w:t>ț</w:t>
      </w:r>
      <w:r w:rsidRPr="00587B71">
        <w:rPr>
          <w:rFonts w:ascii="Arial" w:eastAsia="Times New Roman" w:hAnsi="Arial" w:cs="Arial"/>
          <w:color w:val="000000"/>
          <w:sz w:val="24"/>
          <w:szCs w:val="24"/>
          <w:lang w:val="ro-RO"/>
        </w:rPr>
        <w:t>i poluan</w:t>
      </w:r>
      <w:r w:rsidRPr="00587B71">
        <w:rPr>
          <w:rFonts w:ascii="Arial" w:eastAsia="Times New Roman" w:hAnsi="Tahoma" w:cs="Arial"/>
          <w:color w:val="000000"/>
          <w:sz w:val="24"/>
          <w:szCs w:val="24"/>
          <w:lang w:val="ro-RO"/>
        </w:rPr>
        <w:t>ț</w:t>
      </w:r>
      <w:r w:rsidRPr="00587B71">
        <w:rPr>
          <w:rFonts w:ascii="Arial" w:eastAsia="Times New Roman" w:hAnsi="Arial" w:cs="Arial"/>
          <w:color w:val="000000"/>
          <w:sz w:val="24"/>
          <w:szCs w:val="24"/>
          <w:lang w:val="ro-RO"/>
        </w:rPr>
        <w:t xml:space="preserve">i (NOx), fiind precursori primari ai formării ozonului troposferic </w:t>
      </w:r>
      <w:r w:rsidRPr="00587B71">
        <w:rPr>
          <w:rFonts w:ascii="Arial" w:eastAsia="Times New Roman" w:hAnsi="Tahoma" w:cs="Arial"/>
          <w:color w:val="000000"/>
          <w:sz w:val="24"/>
          <w:szCs w:val="24"/>
          <w:lang w:val="ro-RO"/>
        </w:rPr>
        <w:t>ș</w:t>
      </w:r>
      <w:r w:rsidRPr="00587B71">
        <w:rPr>
          <w:rFonts w:ascii="Arial" w:eastAsia="Times New Roman" w:hAnsi="Arial" w:cs="Arial"/>
          <w:color w:val="000000"/>
          <w:sz w:val="24"/>
          <w:szCs w:val="24"/>
          <w:lang w:val="ro-RO"/>
        </w:rPr>
        <w:t>i particulelor în suspensie, care reprezintă componen</w:t>
      </w:r>
      <w:r w:rsidRPr="00587B71">
        <w:rPr>
          <w:rFonts w:ascii="Arial" w:eastAsia="Times New Roman" w:hAnsi="Tahoma" w:cs="Arial"/>
          <w:color w:val="000000"/>
          <w:sz w:val="24"/>
          <w:szCs w:val="24"/>
          <w:lang w:val="ro-RO"/>
        </w:rPr>
        <w:t>ț</w:t>
      </w:r>
      <w:r w:rsidRPr="00587B71">
        <w:rPr>
          <w:rFonts w:ascii="Arial" w:eastAsia="Times New Roman" w:hAnsi="Arial" w:cs="Arial"/>
          <w:color w:val="000000"/>
          <w:sz w:val="24"/>
          <w:szCs w:val="24"/>
          <w:lang w:val="ro-RO"/>
        </w:rPr>
        <w:t>i ai smogului fotochimic.</w:t>
      </w:r>
    </w:p>
    <w:p w:rsidR="00587B71" w:rsidRPr="00587B71" w:rsidRDefault="00587B71" w:rsidP="00587B71">
      <w:pPr>
        <w:spacing w:after="0" w:line="240" w:lineRule="auto"/>
        <w:ind w:firstLine="720"/>
        <w:jc w:val="both"/>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Cei mai reprezentativi compuşi organici volatili sunt: benzenul, toluenul, xilenii, butanul, izopentanul, hexanul, metanul, acetona, cloroformul, esterii, fenolii, sulfura de carbon etc.</w:t>
      </w:r>
    </w:p>
    <w:p w:rsidR="00587B71" w:rsidRPr="00587B71" w:rsidRDefault="00587B71" w:rsidP="00587B71">
      <w:pPr>
        <w:autoSpaceDE w:val="0"/>
        <w:autoSpaceDN w:val="0"/>
        <w:adjustRightInd w:val="0"/>
        <w:spacing w:after="0" w:line="240" w:lineRule="auto"/>
        <w:ind w:firstLine="720"/>
        <w:jc w:val="both"/>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Sursele de COV mai importante de COV sunt:</w:t>
      </w:r>
    </w:p>
    <w:p w:rsidR="00587B71" w:rsidRPr="00587B71" w:rsidRDefault="00587B71" w:rsidP="00587B71">
      <w:pPr>
        <w:numPr>
          <w:ilvl w:val="0"/>
          <w:numId w:val="6"/>
        </w:numPr>
        <w:autoSpaceDE w:val="0"/>
        <w:autoSpaceDN w:val="0"/>
        <w:adjustRightInd w:val="0"/>
        <w:spacing w:after="0" w:line="240" w:lineRule="auto"/>
        <w:jc w:val="both"/>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surse sta</w:t>
      </w:r>
      <w:r w:rsidRPr="00587B71">
        <w:rPr>
          <w:rFonts w:ascii="Arial" w:eastAsia="Times New Roman" w:hAnsi="Tahoma" w:cs="Arial"/>
          <w:color w:val="000000"/>
          <w:sz w:val="24"/>
          <w:szCs w:val="24"/>
          <w:lang w:val="ro-RO"/>
        </w:rPr>
        <w:t>ț</w:t>
      </w:r>
      <w:r w:rsidRPr="00587B71">
        <w:rPr>
          <w:rFonts w:ascii="Arial" w:eastAsia="Times New Roman" w:hAnsi="Arial" w:cs="Arial"/>
          <w:color w:val="000000"/>
          <w:sz w:val="24"/>
          <w:szCs w:val="24"/>
          <w:lang w:val="ro-RO"/>
        </w:rPr>
        <w:t>ionare (solven</w:t>
      </w:r>
      <w:r w:rsidRPr="00587B71">
        <w:rPr>
          <w:rFonts w:ascii="Arial" w:eastAsia="Times New Roman" w:hAnsi="Tahoma" w:cs="Arial"/>
          <w:color w:val="000000"/>
          <w:sz w:val="24"/>
          <w:szCs w:val="24"/>
          <w:lang w:val="ro-RO"/>
        </w:rPr>
        <w:t>ț</w:t>
      </w:r>
      <w:r w:rsidRPr="00587B71">
        <w:rPr>
          <w:rFonts w:ascii="Arial" w:eastAsia="Times New Roman" w:hAnsi="Arial" w:cs="Arial"/>
          <w:color w:val="000000"/>
          <w:sz w:val="24"/>
          <w:szCs w:val="24"/>
          <w:lang w:val="ro-RO"/>
        </w:rPr>
        <w:t>i, industria petrolieră, industria chimică, industrie alimentară, industrie metalurgică, industrie farmaceutică, încălzitul casnic, de</w:t>
      </w:r>
      <w:r w:rsidRPr="00587B71">
        <w:rPr>
          <w:rFonts w:ascii="Arial" w:eastAsia="Times New Roman" w:hAnsi="Tahoma" w:cs="Arial"/>
          <w:color w:val="000000"/>
          <w:sz w:val="24"/>
          <w:szCs w:val="24"/>
          <w:lang w:val="ro-RO"/>
        </w:rPr>
        <w:t>ș</w:t>
      </w:r>
      <w:r w:rsidRPr="00587B71">
        <w:rPr>
          <w:rFonts w:ascii="Arial" w:eastAsia="Times New Roman" w:hAnsi="Arial" w:cs="Arial"/>
          <w:color w:val="000000"/>
          <w:sz w:val="24"/>
          <w:szCs w:val="24"/>
          <w:lang w:val="ro-RO"/>
        </w:rPr>
        <w:t>euri);</w:t>
      </w:r>
    </w:p>
    <w:p w:rsidR="00587B71" w:rsidRPr="00587B71" w:rsidRDefault="00587B71" w:rsidP="00587B71">
      <w:pPr>
        <w:numPr>
          <w:ilvl w:val="0"/>
          <w:numId w:val="6"/>
        </w:numPr>
        <w:autoSpaceDE w:val="0"/>
        <w:autoSpaceDN w:val="0"/>
        <w:adjustRightInd w:val="0"/>
        <w:spacing w:after="0" w:line="240" w:lineRule="auto"/>
        <w:jc w:val="both"/>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 xml:space="preserve"> surse mobile (transport);</w:t>
      </w:r>
    </w:p>
    <w:p w:rsidR="00587B71" w:rsidRPr="00587B71" w:rsidRDefault="00587B71" w:rsidP="00587B71">
      <w:pPr>
        <w:numPr>
          <w:ilvl w:val="0"/>
          <w:numId w:val="6"/>
        </w:numPr>
        <w:autoSpaceDE w:val="0"/>
        <w:autoSpaceDN w:val="0"/>
        <w:adjustRightInd w:val="0"/>
        <w:spacing w:after="0" w:line="240" w:lineRule="auto"/>
        <w:jc w:val="both"/>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alte surse (vegeta</w:t>
      </w:r>
      <w:r w:rsidRPr="00587B71">
        <w:rPr>
          <w:rFonts w:ascii="Arial" w:eastAsia="Times New Roman" w:hAnsi="Tahoma" w:cs="Arial"/>
          <w:color w:val="000000"/>
          <w:sz w:val="24"/>
          <w:szCs w:val="24"/>
          <w:lang w:val="ro-RO"/>
        </w:rPr>
        <w:t>ț</w:t>
      </w:r>
      <w:r w:rsidRPr="00587B71">
        <w:rPr>
          <w:rFonts w:ascii="Arial" w:eastAsia="Times New Roman" w:hAnsi="Arial" w:cs="Arial"/>
          <w:color w:val="000000"/>
          <w:sz w:val="24"/>
          <w:szCs w:val="24"/>
          <w:lang w:val="ro-RO"/>
        </w:rPr>
        <w:t>ia, diverse culturi sau specii animale, ca termitele, rumegătoarele).</w:t>
      </w:r>
    </w:p>
    <w:p w:rsidR="00587B71" w:rsidRPr="00587B71" w:rsidRDefault="00587B71" w:rsidP="00587B71">
      <w:pPr>
        <w:spacing w:after="0" w:line="240" w:lineRule="auto"/>
        <w:ind w:firstLine="720"/>
        <w:jc w:val="both"/>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 xml:space="preserve">Rezultate cu precădere din activităţi care au la bază utilizarea solvenţilor şi distribuţia carburanţilor, </w:t>
      </w:r>
      <w:r w:rsidRPr="00587B71">
        <w:rPr>
          <w:rFonts w:ascii="Arial" w:eastAsia="Times New Roman" w:hAnsi="Arial" w:cs="Arial"/>
          <w:color w:val="000000"/>
          <w:sz w:val="24"/>
          <w:szCs w:val="24"/>
          <w:lang w:val="ro-RO"/>
        </w:rPr>
        <w:t>emisiile</w:t>
      </w:r>
      <w:r w:rsidRPr="00587B71">
        <w:rPr>
          <w:rFonts w:ascii="Arial" w:eastAsia="Times New Roman" w:hAnsi="Arial" w:cs="Arial"/>
          <w:iCs/>
          <w:color w:val="000000"/>
          <w:sz w:val="24"/>
          <w:szCs w:val="24"/>
          <w:lang w:val="ro-RO"/>
        </w:rPr>
        <w:t xml:space="preserve"> de compuşii organici nemetanici au cunoscut,  în perioada 2007-2014, următoarea evoluţie:</w:t>
      </w:r>
    </w:p>
    <w:p w:rsidR="00587B71" w:rsidRPr="00587B71" w:rsidRDefault="00587B71" w:rsidP="00587B71">
      <w:pPr>
        <w:spacing w:after="0" w:line="240" w:lineRule="auto"/>
        <w:jc w:val="both"/>
        <w:rPr>
          <w:rFonts w:ascii="Arial" w:eastAsia="Times New Roman" w:hAnsi="Arial" w:cs="Arial"/>
          <w:iCs/>
          <w:color w:val="000000"/>
          <w:sz w:val="24"/>
          <w:szCs w:val="24"/>
          <w:lang w:val="ro-RO"/>
        </w:rPr>
      </w:pPr>
    </w:p>
    <w:p w:rsidR="00587B71" w:rsidRPr="00587B71" w:rsidRDefault="00587B71" w:rsidP="00587B71">
      <w:pPr>
        <w:spacing w:after="0" w:line="240" w:lineRule="auto"/>
        <w:jc w:val="both"/>
        <w:rPr>
          <w:rFonts w:ascii="Arial" w:eastAsia="Times New Roman" w:hAnsi="Arial" w:cs="Arial"/>
          <w:color w:val="000000"/>
          <w:sz w:val="24"/>
          <w:szCs w:val="24"/>
          <w:lang w:val="ro-RO"/>
        </w:rPr>
      </w:pPr>
      <w:r w:rsidRPr="00587B71">
        <w:rPr>
          <w:rFonts w:ascii="Arial" w:eastAsia="Times New Roman" w:hAnsi="Arial" w:cs="Arial"/>
          <w:iCs/>
          <w:color w:val="000000"/>
          <w:sz w:val="24"/>
          <w:szCs w:val="24"/>
          <w:lang w:val="ro-RO"/>
        </w:rPr>
        <w:t xml:space="preserve">Tabelul I.21. </w:t>
      </w:r>
      <w:r w:rsidRPr="00587B71">
        <w:rPr>
          <w:rFonts w:ascii="Arial" w:eastAsia="Times New Roman" w:hAnsi="Arial" w:cs="Arial"/>
          <w:bCs/>
          <w:color w:val="000000"/>
          <w:sz w:val="24"/>
          <w:szCs w:val="24"/>
          <w:lang w:val="it-IT"/>
        </w:rPr>
        <w:t>Emisii anuale de compuşi organici volatili nemetanici - tone/an</w:t>
      </w:r>
      <w:r w:rsidRPr="00587B71">
        <w:rPr>
          <w:rFonts w:ascii="Arial" w:eastAsia="Times New Roman" w:hAnsi="Arial" w:cs="Arial"/>
          <w:color w:val="000000"/>
          <w:sz w:val="24"/>
          <w:szCs w:val="24"/>
          <w:lang w:val="ro-RO"/>
        </w:rPr>
        <w:t xml:space="preserve"> </w:t>
      </w:r>
    </w:p>
    <w:tbl>
      <w:tblPr>
        <w:tblW w:w="9060" w:type="dxa"/>
        <w:jc w:val="center"/>
        <w:tblInd w:w="1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1E0" w:firstRow="1" w:lastRow="1" w:firstColumn="1" w:lastColumn="1" w:noHBand="0" w:noVBand="0"/>
      </w:tblPr>
      <w:tblGrid>
        <w:gridCol w:w="840"/>
        <w:gridCol w:w="840"/>
        <w:gridCol w:w="690"/>
        <w:gridCol w:w="750"/>
        <w:gridCol w:w="990"/>
        <w:gridCol w:w="990"/>
        <w:gridCol w:w="990"/>
        <w:gridCol w:w="990"/>
        <w:gridCol w:w="990"/>
        <w:gridCol w:w="990"/>
      </w:tblGrid>
      <w:tr w:rsidR="00587B71" w:rsidRPr="00587B71" w:rsidTr="00587B71">
        <w:trPr>
          <w:jc w:val="center"/>
        </w:trPr>
        <w:tc>
          <w:tcPr>
            <w:tcW w:w="840" w:type="dxa"/>
            <w:shd w:val="clear" w:color="auto" w:fill="auto"/>
          </w:tcPr>
          <w:p w:rsidR="00587B71" w:rsidRPr="00587B71" w:rsidRDefault="00587B71" w:rsidP="00587B71">
            <w:pPr>
              <w:spacing w:after="0" w:line="240" w:lineRule="auto"/>
              <w:jc w:val="center"/>
              <w:rPr>
                <w:rFonts w:ascii="Arial" w:eastAsia="Times New Roman" w:hAnsi="Arial" w:cs="Arial"/>
                <w:b/>
                <w:color w:val="000000"/>
                <w:sz w:val="24"/>
                <w:szCs w:val="24"/>
              </w:rPr>
            </w:pPr>
            <w:r w:rsidRPr="00587B71">
              <w:rPr>
                <w:rFonts w:ascii="Arial" w:eastAsia="Times New Roman" w:hAnsi="Arial" w:cs="Arial"/>
                <w:b/>
                <w:color w:val="000000"/>
                <w:sz w:val="24"/>
                <w:szCs w:val="24"/>
              </w:rPr>
              <w:t>Judeţ</w:t>
            </w:r>
          </w:p>
        </w:tc>
        <w:tc>
          <w:tcPr>
            <w:tcW w:w="840" w:type="dxa"/>
            <w:shd w:val="clear" w:color="auto" w:fill="FFFFFF"/>
          </w:tcPr>
          <w:p w:rsidR="00587B71" w:rsidRPr="00587B71" w:rsidRDefault="00587B71" w:rsidP="00587B71">
            <w:pPr>
              <w:spacing w:after="0" w:line="240" w:lineRule="auto"/>
              <w:jc w:val="center"/>
              <w:rPr>
                <w:rFonts w:ascii="Arial" w:eastAsia="Times New Roman" w:hAnsi="Arial" w:cs="Arial"/>
                <w:b/>
                <w:color w:val="000000"/>
                <w:sz w:val="24"/>
                <w:szCs w:val="24"/>
              </w:rPr>
            </w:pPr>
            <w:r w:rsidRPr="00587B71">
              <w:rPr>
                <w:rFonts w:ascii="Arial" w:eastAsia="Times New Roman" w:hAnsi="Arial" w:cs="Arial"/>
                <w:b/>
                <w:color w:val="000000"/>
                <w:sz w:val="24"/>
                <w:szCs w:val="24"/>
              </w:rPr>
              <w:t>2007</w:t>
            </w:r>
          </w:p>
        </w:tc>
        <w:tc>
          <w:tcPr>
            <w:tcW w:w="690" w:type="dxa"/>
            <w:shd w:val="clear" w:color="auto" w:fill="FFFFFF"/>
            <w:vAlign w:val="center"/>
          </w:tcPr>
          <w:p w:rsidR="00587B71" w:rsidRPr="00587B71" w:rsidRDefault="00587B71" w:rsidP="00587B71">
            <w:pPr>
              <w:spacing w:after="0" w:line="240" w:lineRule="auto"/>
              <w:jc w:val="center"/>
              <w:rPr>
                <w:rFonts w:ascii="Arial" w:eastAsia="Times New Roman" w:hAnsi="Arial" w:cs="Arial"/>
                <w:b/>
                <w:color w:val="000000"/>
                <w:sz w:val="24"/>
                <w:szCs w:val="24"/>
              </w:rPr>
            </w:pPr>
            <w:r w:rsidRPr="00587B71">
              <w:rPr>
                <w:rFonts w:ascii="Arial" w:eastAsia="Times New Roman" w:hAnsi="Arial" w:cs="Arial"/>
                <w:b/>
                <w:color w:val="000000"/>
                <w:sz w:val="24"/>
                <w:szCs w:val="24"/>
              </w:rPr>
              <w:t>2008</w:t>
            </w:r>
          </w:p>
        </w:tc>
        <w:tc>
          <w:tcPr>
            <w:tcW w:w="750" w:type="dxa"/>
            <w:shd w:val="clear" w:color="auto" w:fill="FFFFFF"/>
          </w:tcPr>
          <w:p w:rsidR="00587B71" w:rsidRPr="00587B71" w:rsidRDefault="00587B71" w:rsidP="00587B71">
            <w:pPr>
              <w:spacing w:after="0" w:line="240" w:lineRule="auto"/>
              <w:jc w:val="center"/>
              <w:rPr>
                <w:rFonts w:ascii="Arial" w:eastAsia="Times New Roman" w:hAnsi="Arial" w:cs="Arial"/>
                <w:b/>
                <w:color w:val="000000"/>
                <w:sz w:val="24"/>
                <w:szCs w:val="24"/>
              </w:rPr>
            </w:pPr>
            <w:r w:rsidRPr="00587B71">
              <w:rPr>
                <w:rFonts w:ascii="Arial" w:eastAsia="Times New Roman" w:hAnsi="Arial" w:cs="Arial"/>
                <w:b/>
                <w:color w:val="000000"/>
                <w:sz w:val="24"/>
                <w:szCs w:val="24"/>
              </w:rPr>
              <w:t>2009</w:t>
            </w:r>
          </w:p>
        </w:tc>
        <w:tc>
          <w:tcPr>
            <w:tcW w:w="990" w:type="dxa"/>
            <w:shd w:val="clear" w:color="auto" w:fill="FFFFFF"/>
          </w:tcPr>
          <w:p w:rsidR="00587B71" w:rsidRPr="00587B71" w:rsidRDefault="00587B71" w:rsidP="00587B71">
            <w:pPr>
              <w:spacing w:after="0" w:line="240" w:lineRule="auto"/>
              <w:jc w:val="center"/>
              <w:rPr>
                <w:rFonts w:ascii="Arial" w:eastAsia="Times New Roman" w:hAnsi="Arial" w:cs="Arial"/>
                <w:b/>
                <w:color w:val="000000"/>
                <w:sz w:val="24"/>
                <w:szCs w:val="24"/>
              </w:rPr>
            </w:pPr>
            <w:r w:rsidRPr="00587B71">
              <w:rPr>
                <w:rFonts w:ascii="Arial" w:eastAsia="Times New Roman" w:hAnsi="Arial" w:cs="Arial"/>
                <w:b/>
                <w:color w:val="000000"/>
                <w:sz w:val="24"/>
                <w:szCs w:val="24"/>
              </w:rPr>
              <w:t>2010</w:t>
            </w:r>
          </w:p>
        </w:tc>
        <w:tc>
          <w:tcPr>
            <w:tcW w:w="990" w:type="dxa"/>
            <w:shd w:val="clear" w:color="auto" w:fill="FFFFFF"/>
          </w:tcPr>
          <w:p w:rsidR="00587B71" w:rsidRPr="00587B71" w:rsidRDefault="00587B71" w:rsidP="00587B71">
            <w:pPr>
              <w:spacing w:after="0" w:line="240" w:lineRule="auto"/>
              <w:jc w:val="center"/>
              <w:rPr>
                <w:rFonts w:ascii="Arial" w:eastAsia="Times New Roman" w:hAnsi="Arial" w:cs="Arial"/>
                <w:b/>
                <w:color w:val="000000"/>
                <w:sz w:val="24"/>
                <w:szCs w:val="24"/>
              </w:rPr>
            </w:pPr>
            <w:r w:rsidRPr="00587B71">
              <w:rPr>
                <w:rFonts w:ascii="Arial" w:eastAsia="Times New Roman" w:hAnsi="Arial" w:cs="Arial"/>
                <w:b/>
                <w:color w:val="000000"/>
                <w:sz w:val="24"/>
                <w:szCs w:val="24"/>
              </w:rPr>
              <w:t>2011</w:t>
            </w:r>
          </w:p>
        </w:tc>
        <w:tc>
          <w:tcPr>
            <w:tcW w:w="990" w:type="dxa"/>
            <w:shd w:val="clear" w:color="auto" w:fill="FFFFFF"/>
          </w:tcPr>
          <w:p w:rsidR="00587B71" w:rsidRPr="00587B71" w:rsidRDefault="00587B71" w:rsidP="00587B71">
            <w:pPr>
              <w:spacing w:after="0" w:line="240" w:lineRule="auto"/>
              <w:jc w:val="center"/>
              <w:rPr>
                <w:rFonts w:ascii="Arial" w:eastAsia="Times New Roman" w:hAnsi="Arial" w:cs="Arial"/>
                <w:b/>
                <w:color w:val="000000"/>
                <w:sz w:val="24"/>
                <w:szCs w:val="24"/>
              </w:rPr>
            </w:pPr>
            <w:r w:rsidRPr="00587B71">
              <w:rPr>
                <w:rFonts w:ascii="Arial" w:eastAsia="Times New Roman" w:hAnsi="Arial" w:cs="Arial"/>
                <w:b/>
                <w:color w:val="000000"/>
                <w:sz w:val="24"/>
                <w:szCs w:val="24"/>
              </w:rPr>
              <w:t>2012</w:t>
            </w:r>
          </w:p>
        </w:tc>
        <w:tc>
          <w:tcPr>
            <w:tcW w:w="990" w:type="dxa"/>
            <w:shd w:val="clear" w:color="auto" w:fill="FFFFFF"/>
          </w:tcPr>
          <w:p w:rsidR="00587B71" w:rsidRPr="00587B71" w:rsidRDefault="00587B71" w:rsidP="00587B71">
            <w:pPr>
              <w:spacing w:after="0" w:line="240" w:lineRule="auto"/>
              <w:jc w:val="center"/>
              <w:rPr>
                <w:rFonts w:ascii="Arial" w:eastAsia="Times New Roman" w:hAnsi="Arial" w:cs="Arial"/>
                <w:b/>
                <w:color w:val="000000"/>
                <w:sz w:val="24"/>
                <w:szCs w:val="24"/>
              </w:rPr>
            </w:pPr>
            <w:r w:rsidRPr="00587B71">
              <w:rPr>
                <w:rFonts w:ascii="Arial" w:eastAsia="Times New Roman" w:hAnsi="Arial" w:cs="Arial"/>
                <w:b/>
                <w:color w:val="000000"/>
                <w:sz w:val="24"/>
                <w:szCs w:val="24"/>
              </w:rPr>
              <w:t>2013</w:t>
            </w:r>
          </w:p>
        </w:tc>
        <w:tc>
          <w:tcPr>
            <w:tcW w:w="990" w:type="dxa"/>
            <w:shd w:val="clear" w:color="auto" w:fill="FFFFFF"/>
          </w:tcPr>
          <w:p w:rsidR="00587B71" w:rsidRPr="00587B71" w:rsidRDefault="00587B71" w:rsidP="00587B71">
            <w:pPr>
              <w:spacing w:after="0" w:line="240" w:lineRule="auto"/>
              <w:jc w:val="center"/>
              <w:rPr>
                <w:rFonts w:ascii="Arial" w:eastAsia="Times New Roman" w:hAnsi="Arial" w:cs="Arial"/>
                <w:b/>
                <w:color w:val="000000"/>
                <w:sz w:val="24"/>
                <w:szCs w:val="24"/>
              </w:rPr>
            </w:pPr>
            <w:r w:rsidRPr="00587B71">
              <w:rPr>
                <w:rFonts w:ascii="Arial" w:eastAsia="Times New Roman" w:hAnsi="Arial" w:cs="Arial"/>
                <w:b/>
                <w:color w:val="000000"/>
                <w:sz w:val="24"/>
                <w:szCs w:val="24"/>
              </w:rPr>
              <w:t>2014</w:t>
            </w:r>
          </w:p>
        </w:tc>
        <w:tc>
          <w:tcPr>
            <w:tcW w:w="990" w:type="dxa"/>
            <w:shd w:val="clear" w:color="auto" w:fill="FFFFFF"/>
          </w:tcPr>
          <w:p w:rsidR="00587B71" w:rsidRPr="00587B71" w:rsidRDefault="00D32552" w:rsidP="00587B71">
            <w:pPr>
              <w:spacing w:after="0" w:line="240" w:lineRule="auto"/>
              <w:jc w:val="center"/>
              <w:rPr>
                <w:rFonts w:ascii="Arial" w:eastAsia="Times New Roman" w:hAnsi="Arial" w:cs="Arial"/>
                <w:b/>
                <w:color w:val="000000"/>
                <w:sz w:val="24"/>
                <w:szCs w:val="24"/>
              </w:rPr>
            </w:pPr>
            <w:r>
              <w:rPr>
                <w:rFonts w:ascii="Arial" w:eastAsia="Times New Roman" w:hAnsi="Arial" w:cs="Arial"/>
                <w:b/>
                <w:color w:val="000000"/>
                <w:sz w:val="24"/>
                <w:szCs w:val="24"/>
              </w:rPr>
              <w:t>2015</w:t>
            </w:r>
          </w:p>
        </w:tc>
      </w:tr>
      <w:tr w:rsidR="00587B71" w:rsidRPr="00587B71" w:rsidTr="00587B71">
        <w:trPr>
          <w:jc w:val="center"/>
        </w:trPr>
        <w:tc>
          <w:tcPr>
            <w:tcW w:w="840" w:type="dxa"/>
            <w:shd w:val="clear" w:color="auto" w:fill="auto"/>
            <w:tcMar>
              <w:left w:w="11" w:type="dxa"/>
              <w:right w:w="11" w:type="dxa"/>
            </w:tcMar>
          </w:tcPr>
          <w:p w:rsidR="00587B71" w:rsidRPr="00587B71" w:rsidRDefault="00587B71" w:rsidP="00587B71">
            <w:pPr>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 xml:space="preserve">  Vaslui</w:t>
            </w:r>
          </w:p>
        </w:tc>
        <w:tc>
          <w:tcPr>
            <w:tcW w:w="840" w:type="dxa"/>
            <w:shd w:val="clear" w:color="auto" w:fill="FFFFFF"/>
          </w:tcPr>
          <w:p w:rsidR="00587B71" w:rsidRPr="00587B71" w:rsidRDefault="00587B71" w:rsidP="00587B71">
            <w:pPr>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2548</w:t>
            </w:r>
          </w:p>
        </w:tc>
        <w:tc>
          <w:tcPr>
            <w:tcW w:w="690" w:type="dxa"/>
            <w:shd w:val="clear" w:color="auto" w:fill="FFFFFF"/>
            <w:vAlign w:val="center"/>
          </w:tcPr>
          <w:p w:rsidR="00587B71" w:rsidRPr="00587B71" w:rsidRDefault="00587B71" w:rsidP="00587B71">
            <w:pPr>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1991</w:t>
            </w:r>
          </w:p>
        </w:tc>
        <w:tc>
          <w:tcPr>
            <w:tcW w:w="750" w:type="dxa"/>
            <w:shd w:val="clear" w:color="auto" w:fill="FFFFFF"/>
          </w:tcPr>
          <w:p w:rsidR="00587B71" w:rsidRPr="00587B71" w:rsidRDefault="00587B71" w:rsidP="00587B71">
            <w:pPr>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1957</w:t>
            </w:r>
          </w:p>
        </w:tc>
        <w:tc>
          <w:tcPr>
            <w:tcW w:w="990" w:type="dxa"/>
            <w:shd w:val="clear" w:color="auto" w:fill="FFFFFF"/>
          </w:tcPr>
          <w:p w:rsidR="00587B71" w:rsidRPr="00587B71" w:rsidRDefault="00587B71" w:rsidP="00587B71">
            <w:pPr>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1361,3</w:t>
            </w:r>
          </w:p>
        </w:tc>
        <w:tc>
          <w:tcPr>
            <w:tcW w:w="990" w:type="dxa"/>
            <w:shd w:val="clear" w:color="auto" w:fill="FFFFFF"/>
          </w:tcPr>
          <w:p w:rsidR="00587B71" w:rsidRPr="00587B71" w:rsidRDefault="00587B71" w:rsidP="00587B71">
            <w:pPr>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1410,6</w:t>
            </w:r>
          </w:p>
        </w:tc>
        <w:tc>
          <w:tcPr>
            <w:tcW w:w="990" w:type="dxa"/>
            <w:shd w:val="clear" w:color="auto" w:fill="FFFFFF"/>
          </w:tcPr>
          <w:p w:rsidR="00587B71" w:rsidRPr="00587B71" w:rsidRDefault="00587B71" w:rsidP="00587B71">
            <w:pPr>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6440</w:t>
            </w:r>
          </w:p>
        </w:tc>
        <w:tc>
          <w:tcPr>
            <w:tcW w:w="990" w:type="dxa"/>
            <w:shd w:val="clear" w:color="auto" w:fill="FFFFFF"/>
          </w:tcPr>
          <w:p w:rsidR="00587B71" w:rsidRPr="00587B71" w:rsidRDefault="00587B71" w:rsidP="00587B71">
            <w:pPr>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6030,6</w:t>
            </w:r>
          </w:p>
        </w:tc>
        <w:tc>
          <w:tcPr>
            <w:tcW w:w="990" w:type="dxa"/>
            <w:shd w:val="clear" w:color="auto" w:fill="FFFFFF"/>
          </w:tcPr>
          <w:p w:rsidR="00587B71" w:rsidRPr="00587B71" w:rsidRDefault="00587B71" w:rsidP="00587B71">
            <w:pPr>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3709</w:t>
            </w:r>
          </w:p>
        </w:tc>
        <w:tc>
          <w:tcPr>
            <w:tcW w:w="990" w:type="dxa"/>
            <w:shd w:val="clear" w:color="auto" w:fill="FFFFFF"/>
          </w:tcPr>
          <w:p w:rsidR="00587B71" w:rsidRPr="00587B71" w:rsidRDefault="004224CB" w:rsidP="00587B71">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3712</w:t>
            </w:r>
          </w:p>
        </w:tc>
      </w:tr>
    </w:tbl>
    <w:p w:rsidR="00587B71" w:rsidRPr="00587B71" w:rsidRDefault="00587B71" w:rsidP="00587B71">
      <w:pPr>
        <w:spacing w:after="0" w:line="240" w:lineRule="auto"/>
        <w:ind w:firstLine="720"/>
        <w:jc w:val="center"/>
        <w:rPr>
          <w:rFonts w:ascii="Arial" w:eastAsia="Times New Roman" w:hAnsi="Arial" w:cs="Arial"/>
          <w:b/>
          <w:bCs/>
          <w:color w:val="FF0000"/>
          <w:sz w:val="24"/>
          <w:szCs w:val="24"/>
          <w:lang w:val="ro-RO"/>
        </w:rPr>
      </w:pPr>
      <w:r>
        <w:rPr>
          <w:rFonts w:ascii="Arial" w:eastAsia="Times New Roman" w:hAnsi="Arial" w:cs="Arial"/>
          <w:b/>
          <w:bCs/>
          <w:noProof/>
          <w:color w:val="FF0000"/>
          <w:sz w:val="24"/>
          <w:szCs w:val="24"/>
        </w:rPr>
        <w:drawing>
          <wp:inline distT="0" distB="0" distL="0" distR="0">
            <wp:extent cx="4733925" cy="1743075"/>
            <wp:effectExtent l="0" t="0" r="0" b="0"/>
            <wp:docPr id="166" name="Chart 16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Figura I.22. Emisii de compuşi organic</w:t>
      </w:r>
      <w:r w:rsidR="00673A73">
        <w:rPr>
          <w:rFonts w:ascii="Arial" w:eastAsia="Times New Roman" w:hAnsi="Arial" w:cs="Arial"/>
          <w:iCs/>
          <w:color w:val="000000"/>
          <w:sz w:val="24"/>
          <w:szCs w:val="24"/>
          <w:lang w:val="ro-RO"/>
        </w:rPr>
        <w:t>i volatili nemetanici 2007-2015</w:t>
      </w:r>
    </w:p>
    <w:p w:rsidR="00587B71" w:rsidRPr="00587B71" w:rsidRDefault="00587B71" w:rsidP="00587B71">
      <w:pPr>
        <w:spacing w:after="0" w:line="240" w:lineRule="auto"/>
        <w:rPr>
          <w:rFonts w:ascii="Times New Roman" w:eastAsia="Times New Roman" w:hAnsi="Times New Roman" w:cs="Times New Roman"/>
          <w:sz w:val="24"/>
          <w:szCs w:val="24"/>
          <w:lang w:val="ro-RO"/>
        </w:rPr>
      </w:pPr>
    </w:p>
    <w:p w:rsidR="00587B71" w:rsidRPr="00587B71" w:rsidRDefault="00587B71" w:rsidP="00587B71">
      <w:pPr>
        <w:spacing w:after="0" w:line="240" w:lineRule="auto"/>
        <w:jc w:val="center"/>
        <w:rPr>
          <w:rFonts w:ascii="Arial" w:eastAsia="Arial Unicode MS" w:hAnsi="Arial" w:cs="Arial Unicode MS"/>
          <w:color w:val="000000"/>
          <w:sz w:val="24"/>
          <w:szCs w:val="24"/>
          <w:lang w:val="ro-RO" w:eastAsia="ro-RO"/>
        </w:rPr>
      </w:pPr>
      <w:r>
        <w:rPr>
          <w:rFonts w:ascii="Arial" w:eastAsia="Arial Unicode MS" w:hAnsi="Arial" w:cs="Arial Unicode MS"/>
          <w:noProof/>
          <w:color w:val="FF0000"/>
          <w:sz w:val="24"/>
          <w:szCs w:val="24"/>
        </w:rPr>
        <w:lastRenderedPageBreak/>
        <w:drawing>
          <wp:inline distT="0" distB="0" distL="0" distR="0">
            <wp:extent cx="6418053" cy="2001329"/>
            <wp:effectExtent l="0" t="0" r="0" b="0"/>
            <wp:docPr id="165" name="Chart 1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587B71">
        <w:rPr>
          <w:rFonts w:ascii="Arial" w:eastAsia="Arial Unicode MS" w:hAnsi="Arial" w:cs="Arial Unicode MS"/>
          <w:color w:val="000000"/>
          <w:sz w:val="24"/>
          <w:szCs w:val="24"/>
          <w:lang w:val="ro-RO" w:eastAsia="ro-RO"/>
        </w:rPr>
        <w:t>Figura I.23.  Contribuţia sectoarelor de activitate la emisiile de compuşi organici v</w:t>
      </w:r>
      <w:r w:rsidR="00D03DC7">
        <w:rPr>
          <w:rFonts w:ascii="Arial" w:eastAsia="Arial Unicode MS" w:hAnsi="Arial" w:cs="Arial Unicode MS"/>
          <w:color w:val="000000"/>
          <w:sz w:val="24"/>
          <w:szCs w:val="24"/>
          <w:lang w:val="ro-RO" w:eastAsia="ro-RO"/>
        </w:rPr>
        <w:t>olatili nemetanici în anul 2015</w:t>
      </w:r>
    </w:p>
    <w:p w:rsidR="00D32552" w:rsidRDefault="00D32552" w:rsidP="00587B71">
      <w:pPr>
        <w:spacing w:after="0" w:line="240" w:lineRule="auto"/>
        <w:jc w:val="both"/>
        <w:rPr>
          <w:rFonts w:ascii="Arial" w:eastAsia="Times New Roman" w:hAnsi="Arial" w:cs="Arial"/>
          <w:b/>
          <w:i/>
          <w:iCs/>
          <w:color w:val="000000"/>
          <w:sz w:val="24"/>
          <w:szCs w:val="24"/>
          <w:lang w:val="ro-RO"/>
        </w:rPr>
      </w:pPr>
    </w:p>
    <w:p w:rsidR="00587B71" w:rsidRPr="00587B71" w:rsidRDefault="00587B71" w:rsidP="00587B71">
      <w:pPr>
        <w:spacing w:after="0" w:line="240" w:lineRule="auto"/>
        <w:jc w:val="both"/>
        <w:rPr>
          <w:rFonts w:ascii="Arial" w:eastAsia="Times New Roman" w:hAnsi="Arial" w:cs="Arial"/>
          <w:b/>
          <w:i/>
          <w:iCs/>
          <w:color w:val="000000"/>
          <w:sz w:val="24"/>
          <w:szCs w:val="24"/>
          <w:lang w:val="ro-RO"/>
        </w:rPr>
      </w:pPr>
      <w:r w:rsidRPr="00587B71">
        <w:rPr>
          <w:rFonts w:ascii="Arial" w:eastAsia="Times New Roman" w:hAnsi="Arial" w:cs="Arial"/>
          <w:b/>
          <w:i/>
          <w:iCs/>
          <w:color w:val="000000"/>
          <w:sz w:val="24"/>
          <w:szCs w:val="24"/>
          <w:lang w:val="ro-RO"/>
        </w:rPr>
        <w:t>Emisii de metale grele</w:t>
      </w:r>
    </w:p>
    <w:p w:rsidR="00587B71" w:rsidRPr="00587B71" w:rsidRDefault="00587B71" w:rsidP="00587B71">
      <w:pPr>
        <w:spacing w:after="0" w:line="240" w:lineRule="auto"/>
        <w:jc w:val="both"/>
        <w:rPr>
          <w:rFonts w:ascii="Arial" w:eastAsia="Times New Roman" w:hAnsi="Arial" w:cs="Arial"/>
          <w:b/>
          <w:iCs/>
          <w:color w:val="FF0000"/>
          <w:sz w:val="24"/>
          <w:szCs w:val="24"/>
          <w:lang w:val="ro-RO"/>
        </w:rPr>
      </w:pPr>
    </w:p>
    <w:p w:rsidR="00587B71" w:rsidRPr="00587B71" w:rsidRDefault="00587B71" w:rsidP="00587B71">
      <w:pPr>
        <w:spacing w:after="0" w:line="240" w:lineRule="auto"/>
        <w:ind w:firstLine="720"/>
        <w:jc w:val="both"/>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Metalele grele (cum ar fi cadmiu, plumb şi mercur) sunt recunoscute ca fiind toxice pentru biodiversitate, acumulându-se progresiv în lanţul trofic; impactul biotoxic al acestora  se referă la efectele nocive asupra organismului când sunt ingerate peste limitele recomandate.</w:t>
      </w:r>
    </w:p>
    <w:p w:rsidR="00587B71" w:rsidRPr="00587B71" w:rsidRDefault="00587B71" w:rsidP="00587B71">
      <w:pPr>
        <w:spacing w:after="0" w:line="240" w:lineRule="auto"/>
        <w:ind w:firstLine="720"/>
        <w:jc w:val="both"/>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Metalele grele pot fi emise în atmosferă atât din surse naturale cât şi din cele antropogene. Valorile rezultate din calculul emisiilor în perioada 2007-2014 sunt prezentate în tabelul ce urmează:</w:t>
      </w:r>
    </w:p>
    <w:p w:rsidR="00587B71" w:rsidRPr="00587B71" w:rsidRDefault="00587B71" w:rsidP="00587B71">
      <w:pPr>
        <w:spacing w:after="0" w:line="240" w:lineRule="auto"/>
        <w:rPr>
          <w:rFonts w:ascii="Arial" w:eastAsia="Times New Roman" w:hAnsi="Arial" w:cs="Arial"/>
          <w:color w:val="FF0000"/>
          <w:sz w:val="24"/>
          <w:szCs w:val="24"/>
          <w:lang w:val="ro-RO"/>
        </w:rPr>
      </w:pPr>
    </w:p>
    <w:tbl>
      <w:tblPr>
        <w:tblpPr w:leftFromText="180" w:rightFromText="180" w:vertAnchor="text" w:horzAnchor="margin" w:tblpXSpec="center" w:tblpY="436"/>
        <w:tblW w:w="11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851"/>
        <w:gridCol w:w="1009"/>
        <w:gridCol w:w="1170"/>
        <w:gridCol w:w="1080"/>
        <w:gridCol w:w="990"/>
        <w:gridCol w:w="990"/>
        <w:gridCol w:w="990"/>
        <w:gridCol w:w="990"/>
        <w:gridCol w:w="1080"/>
        <w:gridCol w:w="1080"/>
      </w:tblGrid>
      <w:tr w:rsidR="00587B71" w:rsidRPr="00587B71" w:rsidTr="00A04EB3">
        <w:trPr>
          <w:trHeight w:val="242"/>
        </w:trPr>
        <w:tc>
          <w:tcPr>
            <w:tcW w:w="851" w:type="dxa"/>
            <w:tcMar>
              <w:left w:w="11" w:type="dxa"/>
              <w:right w:w="11" w:type="dxa"/>
            </w:tcMar>
          </w:tcPr>
          <w:p w:rsidR="00587B71" w:rsidRPr="00587B71" w:rsidRDefault="00587B71" w:rsidP="00587B71">
            <w:pPr>
              <w:spacing w:after="0" w:line="240" w:lineRule="auto"/>
              <w:jc w:val="center"/>
              <w:rPr>
                <w:rFonts w:ascii="Arial" w:eastAsia="Times New Roman" w:hAnsi="Arial" w:cs="Arial"/>
                <w:b/>
                <w:color w:val="000000"/>
                <w:sz w:val="20"/>
                <w:szCs w:val="20"/>
                <w:lang w:val="it-IT"/>
              </w:rPr>
            </w:pPr>
            <w:r w:rsidRPr="00587B71">
              <w:rPr>
                <w:rFonts w:ascii="Arial" w:eastAsia="Times New Roman" w:hAnsi="Arial" w:cs="Arial"/>
                <w:b/>
                <w:color w:val="000000"/>
                <w:sz w:val="20"/>
                <w:szCs w:val="20"/>
                <w:lang w:val="it-IT"/>
              </w:rPr>
              <w:t>Judeţ</w:t>
            </w:r>
          </w:p>
        </w:tc>
        <w:tc>
          <w:tcPr>
            <w:tcW w:w="851" w:type="dxa"/>
            <w:tcMar>
              <w:left w:w="11" w:type="dxa"/>
              <w:right w:w="11" w:type="dxa"/>
            </w:tcMar>
          </w:tcPr>
          <w:p w:rsidR="00587B71" w:rsidRPr="00587B71" w:rsidRDefault="00587B71" w:rsidP="00587B71">
            <w:pPr>
              <w:spacing w:after="0" w:line="240" w:lineRule="auto"/>
              <w:jc w:val="center"/>
              <w:rPr>
                <w:rFonts w:ascii="Arial" w:eastAsia="Times New Roman" w:hAnsi="Arial" w:cs="Arial"/>
                <w:b/>
                <w:color w:val="000000"/>
                <w:sz w:val="20"/>
                <w:szCs w:val="20"/>
                <w:lang w:val="ro-RO"/>
              </w:rPr>
            </w:pPr>
            <w:r w:rsidRPr="00587B71">
              <w:rPr>
                <w:rFonts w:ascii="Arial" w:eastAsia="Times New Roman" w:hAnsi="Arial" w:cs="Arial"/>
                <w:b/>
                <w:color w:val="000000"/>
                <w:sz w:val="20"/>
                <w:szCs w:val="20"/>
                <w:lang w:val="ro-RO"/>
              </w:rPr>
              <w:t>Poluant</w:t>
            </w:r>
          </w:p>
        </w:tc>
        <w:tc>
          <w:tcPr>
            <w:tcW w:w="1009" w:type="dxa"/>
            <w:tcMar>
              <w:left w:w="11" w:type="dxa"/>
              <w:right w:w="11" w:type="dxa"/>
            </w:tcMar>
          </w:tcPr>
          <w:p w:rsidR="00587B71" w:rsidRPr="00587B71" w:rsidRDefault="00587B71" w:rsidP="00587B71">
            <w:pPr>
              <w:spacing w:after="0" w:line="240" w:lineRule="auto"/>
              <w:jc w:val="center"/>
              <w:rPr>
                <w:rFonts w:ascii="Arial" w:eastAsia="Times New Roman" w:hAnsi="Arial" w:cs="Arial"/>
                <w:b/>
                <w:color w:val="000000"/>
                <w:sz w:val="20"/>
                <w:szCs w:val="20"/>
                <w:lang w:val="ro-RO"/>
              </w:rPr>
            </w:pPr>
            <w:r w:rsidRPr="00587B71">
              <w:rPr>
                <w:rFonts w:ascii="Arial" w:eastAsia="Times New Roman" w:hAnsi="Arial" w:cs="Arial"/>
                <w:b/>
                <w:color w:val="000000"/>
                <w:sz w:val="20"/>
                <w:szCs w:val="20"/>
                <w:lang w:val="ro-RO"/>
              </w:rPr>
              <w:t>2007</w:t>
            </w:r>
          </w:p>
        </w:tc>
        <w:tc>
          <w:tcPr>
            <w:tcW w:w="1170" w:type="dxa"/>
          </w:tcPr>
          <w:p w:rsidR="00587B71" w:rsidRPr="00587B71" w:rsidRDefault="00587B71" w:rsidP="00587B71">
            <w:pPr>
              <w:spacing w:after="0" w:line="240" w:lineRule="auto"/>
              <w:jc w:val="center"/>
              <w:rPr>
                <w:rFonts w:ascii="Arial" w:eastAsia="Times New Roman" w:hAnsi="Arial" w:cs="Arial"/>
                <w:b/>
                <w:color w:val="000000"/>
                <w:sz w:val="20"/>
                <w:szCs w:val="20"/>
                <w:lang w:val="ro-RO"/>
              </w:rPr>
            </w:pPr>
            <w:r w:rsidRPr="00587B71">
              <w:rPr>
                <w:rFonts w:ascii="Arial" w:eastAsia="Times New Roman" w:hAnsi="Arial" w:cs="Arial"/>
                <w:b/>
                <w:color w:val="000000"/>
                <w:sz w:val="20"/>
                <w:szCs w:val="20"/>
                <w:lang w:val="ro-RO"/>
              </w:rPr>
              <w:t>2008</w:t>
            </w:r>
          </w:p>
        </w:tc>
        <w:tc>
          <w:tcPr>
            <w:tcW w:w="1080" w:type="dxa"/>
          </w:tcPr>
          <w:p w:rsidR="00587B71" w:rsidRPr="00587B71" w:rsidRDefault="00587B71" w:rsidP="00587B71">
            <w:pPr>
              <w:spacing w:after="0" w:line="240" w:lineRule="auto"/>
              <w:jc w:val="center"/>
              <w:rPr>
                <w:rFonts w:ascii="Arial" w:eastAsia="Times New Roman" w:hAnsi="Arial" w:cs="Arial"/>
                <w:b/>
                <w:color w:val="000000"/>
                <w:sz w:val="20"/>
                <w:szCs w:val="20"/>
                <w:lang w:val="ro-RO"/>
              </w:rPr>
            </w:pPr>
            <w:r w:rsidRPr="00587B71">
              <w:rPr>
                <w:rFonts w:ascii="Arial" w:eastAsia="Times New Roman" w:hAnsi="Arial" w:cs="Arial"/>
                <w:b/>
                <w:color w:val="000000"/>
                <w:sz w:val="20"/>
                <w:szCs w:val="20"/>
                <w:lang w:val="ro-RO"/>
              </w:rPr>
              <w:t>2009</w:t>
            </w:r>
          </w:p>
        </w:tc>
        <w:tc>
          <w:tcPr>
            <w:tcW w:w="990" w:type="dxa"/>
          </w:tcPr>
          <w:p w:rsidR="00587B71" w:rsidRPr="00587B71" w:rsidRDefault="00587B71" w:rsidP="00587B71">
            <w:pPr>
              <w:spacing w:after="0" w:line="240" w:lineRule="auto"/>
              <w:jc w:val="center"/>
              <w:rPr>
                <w:rFonts w:ascii="Arial" w:eastAsia="Times New Roman" w:hAnsi="Arial" w:cs="Arial"/>
                <w:b/>
                <w:color w:val="000000"/>
                <w:sz w:val="20"/>
                <w:szCs w:val="20"/>
                <w:lang w:val="ro-RO"/>
              </w:rPr>
            </w:pPr>
            <w:r w:rsidRPr="00587B71">
              <w:rPr>
                <w:rFonts w:ascii="Arial" w:eastAsia="Times New Roman" w:hAnsi="Arial" w:cs="Arial"/>
                <w:b/>
                <w:color w:val="000000"/>
                <w:sz w:val="20"/>
                <w:szCs w:val="20"/>
                <w:lang w:val="ro-RO"/>
              </w:rPr>
              <w:t>2010</w:t>
            </w:r>
          </w:p>
        </w:tc>
        <w:tc>
          <w:tcPr>
            <w:tcW w:w="990" w:type="dxa"/>
          </w:tcPr>
          <w:p w:rsidR="00587B71" w:rsidRPr="00587B71" w:rsidRDefault="00587B71" w:rsidP="00587B71">
            <w:pPr>
              <w:spacing w:after="0" w:line="240" w:lineRule="auto"/>
              <w:jc w:val="center"/>
              <w:rPr>
                <w:rFonts w:ascii="Arial" w:eastAsia="Times New Roman" w:hAnsi="Arial" w:cs="Arial"/>
                <w:b/>
                <w:color w:val="000000"/>
                <w:sz w:val="20"/>
                <w:szCs w:val="20"/>
                <w:lang w:val="ro-RO"/>
              </w:rPr>
            </w:pPr>
            <w:r w:rsidRPr="00587B71">
              <w:rPr>
                <w:rFonts w:ascii="Arial" w:eastAsia="Times New Roman" w:hAnsi="Arial" w:cs="Arial"/>
                <w:b/>
                <w:color w:val="000000"/>
                <w:sz w:val="20"/>
                <w:szCs w:val="20"/>
                <w:lang w:val="ro-RO"/>
              </w:rPr>
              <w:t>2011</w:t>
            </w:r>
          </w:p>
        </w:tc>
        <w:tc>
          <w:tcPr>
            <w:tcW w:w="990" w:type="dxa"/>
          </w:tcPr>
          <w:p w:rsidR="00587B71" w:rsidRPr="00587B71" w:rsidRDefault="00587B71" w:rsidP="00587B71">
            <w:pPr>
              <w:spacing w:after="0" w:line="240" w:lineRule="auto"/>
              <w:jc w:val="center"/>
              <w:rPr>
                <w:rFonts w:ascii="Arial" w:eastAsia="Times New Roman" w:hAnsi="Arial" w:cs="Arial"/>
                <w:b/>
                <w:color w:val="000000"/>
                <w:sz w:val="20"/>
                <w:szCs w:val="20"/>
                <w:lang w:val="ro-RO"/>
              </w:rPr>
            </w:pPr>
            <w:r w:rsidRPr="00587B71">
              <w:rPr>
                <w:rFonts w:ascii="Arial" w:eastAsia="Times New Roman" w:hAnsi="Arial" w:cs="Arial"/>
                <w:b/>
                <w:color w:val="000000"/>
                <w:sz w:val="20"/>
                <w:szCs w:val="20"/>
                <w:lang w:val="ro-RO"/>
              </w:rPr>
              <w:t>2012</w:t>
            </w:r>
          </w:p>
        </w:tc>
        <w:tc>
          <w:tcPr>
            <w:tcW w:w="990" w:type="dxa"/>
          </w:tcPr>
          <w:p w:rsidR="00587B71" w:rsidRPr="00587B71" w:rsidRDefault="00587B71" w:rsidP="00587B71">
            <w:pPr>
              <w:spacing w:after="0" w:line="240" w:lineRule="auto"/>
              <w:jc w:val="center"/>
              <w:rPr>
                <w:rFonts w:ascii="Arial" w:eastAsia="Times New Roman" w:hAnsi="Arial" w:cs="Arial"/>
                <w:b/>
                <w:color w:val="000000"/>
                <w:sz w:val="20"/>
                <w:szCs w:val="20"/>
                <w:lang w:val="ro-RO"/>
              </w:rPr>
            </w:pPr>
            <w:r w:rsidRPr="00587B71">
              <w:rPr>
                <w:rFonts w:ascii="Arial" w:eastAsia="Times New Roman" w:hAnsi="Arial" w:cs="Arial"/>
                <w:b/>
                <w:color w:val="000000"/>
                <w:sz w:val="20"/>
                <w:szCs w:val="20"/>
                <w:lang w:val="ro-RO"/>
              </w:rPr>
              <w:t>2013</w:t>
            </w:r>
          </w:p>
        </w:tc>
        <w:tc>
          <w:tcPr>
            <w:tcW w:w="1080" w:type="dxa"/>
          </w:tcPr>
          <w:p w:rsidR="00587B71" w:rsidRPr="00587B71" w:rsidRDefault="00587B71" w:rsidP="00587B71">
            <w:pPr>
              <w:spacing w:after="0" w:line="240" w:lineRule="auto"/>
              <w:jc w:val="center"/>
              <w:rPr>
                <w:rFonts w:ascii="Arial" w:eastAsia="Times New Roman" w:hAnsi="Arial" w:cs="Arial"/>
                <w:b/>
                <w:color w:val="000000"/>
                <w:sz w:val="20"/>
                <w:szCs w:val="20"/>
                <w:lang w:val="ro-RO"/>
              </w:rPr>
            </w:pPr>
            <w:r w:rsidRPr="00587B71">
              <w:rPr>
                <w:rFonts w:ascii="Arial" w:eastAsia="Times New Roman" w:hAnsi="Arial" w:cs="Arial"/>
                <w:b/>
                <w:color w:val="000000"/>
                <w:sz w:val="20"/>
                <w:szCs w:val="20"/>
                <w:lang w:val="ro-RO"/>
              </w:rPr>
              <w:t>2014</w:t>
            </w:r>
          </w:p>
        </w:tc>
        <w:tc>
          <w:tcPr>
            <w:tcW w:w="1080" w:type="dxa"/>
          </w:tcPr>
          <w:p w:rsidR="00587B71" w:rsidRPr="00587B71" w:rsidRDefault="00354461" w:rsidP="00587B71">
            <w:pPr>
              <w:spacing w:after="0" w:line="240" w:lineRule="auto"/>
              <w:jc w:val="center"/>
              <w:rPr>
                <w:rFonts w:ascii="Arial" w:eastAsia="Times New Roman" w:hAnsi="Arial" w:cs="Arial"/>
                <w:b/>
                <w:color w:val="000000"/>
                <w:sz w:val="20"/>
                <w:szCs w:val="20"/>
                <w:lang w:val="ro-RO"/>
              </w:rPr>
            </w:pPr>
            <w:r>
              <w:rPr>
                <w:rFonts w:ascii="Arial" w:eastAsia="Times New Roman" w:hAnsi="Arial" w:cs="Arial"/>
                <w:b/>
                <w:color w:val="000000"/>
                <w:sz w:val="20"/>
                <w:szCs w:val="20"/>
                <w:lang w:val="ro-RO"/>
              </w:rPr>
              <w:t>2015</w:t>
            </w:r>
          </w:p>
        </w:tc>
      </w:tr>
      <w:tr w:rsidR="00587B71" w:rsidRPr="00587B71" w:rsidTr="00A04EB3">
        <w:trPr>
          <w:trHeight w:val="244"/>
        </w:trPr>
        <w:tc>
          <w:tcPr>
            <w:tcW w:w="851" w:type="dxa"/>
            <w:vMerge w:val="restart"/>
            <w:tcMar>
              <w:left w:w="11" w:type="dxa"/>
              <w:right w:w="11" w:type="dxa"/>
            </w:tcMar>
          </w:tcPr>
          <w:p w:rsidR="00587B71" w:rsidRPr="00587B71" w:rsidRDefault="00587B71" w:rsidP="00587B71">
            <w:pPr>
              <w:tabs>
                <w:tab w:val="left" w:pos="1105"/>
              </w:tabs>
              <w:spacing w:after="0" w:line="240" w:lineRule="auto"/>
              <w:jc w:val="center"/>
              <w:rPr>
                <w:rFonts w:ascii="Arial" w:eastAsia="Times New Roman" w:hAnsi="Arial" w:cs="Arial"/>
                <w:b/>
                <w:color w:val="000000"/>
                <w:sz w:val="20"/>
                <w:szCs w:val="20"/>
                <w:lang w:val="ro-RO"/>
              </w:rPr>
            </w:pPr>
            <w:r w:rsidRPr="00587B71">
              <w:rPr>
                <w:rFonts w:ascii="Arial" w:eastAsia="Times New Roman" w:hAnsi="Arial" w:cs="Arial"/>
                <w:b/>
                <w:color w:val="000000"/>
                <w:sz w:val="20"/>
                <w:szCs w:val="20"/>
                <w:lang w:val="ro-RO"/>
              </w:rPr>
              <w:t>Vaslui</w:t>
            </w:r>
          </w:p>
        </w:tc>
        <w:tc>
          <w:tcPr>
            <w:tcW w:w="851" w:type="dxa"/>
            <w:tcMar>
              <w:left w:w="11" w:type="dxa"/>
              <w:right w:w="11" w:type="dxa"/>
            </w:tcMar>
          </w:tcPr>
          <w:p w:rsidR="00587B71" w:rsidRPr="00587B71" w:rsidRDefault="00587B71" w:rsidP="00587B71">
            <w:pPr>
              <w:spacing w:after="0" w:line="240" w:lineRule="auto"/>
              <w:jc w:val="center"/>
              <w:rPr>
                <w:rFonts w:ascii="Arial" w:eastAsia="Times New Roman" w:hAnsi="Arial" w:cs="Arial"/>
                <w:color w:val="000000"/>
                <w:sz w:val="20"/>
                <w:szCs w:val="20"/>
                <w:lang w:val="ro-RO"/>
              </w:rPr>
            </w:pPr>
            <w:r w:rsidRPr="00587B71">
              <w:rPr>
                <w:rFonts w:ascii="Arial" w:eastAsia="Times New Roman" w:hAnsi="Arial" w:cs="Arial"/>
                <w:color w:val="000000"/>
                <w:sz w:val="20"/>
                <w:szCs w:val="20"/>
                <w:lang w:val="it-IT"/>
              </w:rPr>
              <w:t>Hg</w:t>
            </w:r>
          </w:p>
        </w:tc>
        <w:tc>
          <w:tcPr>
            <w:tcW w:w="1009" w:type="dxa"/>
            <w:tcMar>
              <w:left w:w="11" w:type="dxa"/>
              <w:right w:w="11" w:type="dxa"/>
            </w:tcMar>
          </w:tcPr>
          <w:p w:rsidR="00587B71" w:rsidRPr="00587B71" w:rsidRDefault="00587B71" w:rsidP="00587B71">
            <w:pPr>
              <w:tabs>
                <w:tab w:val="center" w:pos="4680"/>
                <w:tab w:val="right" w:pos="9360"/>
              </w:tabs>
              <w:spacing w:after="0" w:line="264" w:lineRule="auto"/>
              <w:ind w:right="28"/>
              <w:jc w:val="both"/>
              <w:rPr>
                <w:rFonts w:ascii="Arial" w:eastAsia="Times New Roman" w:hAnsi="Arial" w:cs="Arial"/>
                <w:bCs/>
                <w:color w:val="000000"/>
                <w:sz w:val="20"/>
                <w:szCs w:val="20"/>
                <w:lang w:val="ro-RO"/>
              </w:rPr>
            </w:pPr>
            <w:r w:rsidRPr="00587B71">
              <w:rPr>
                <w:rFonts w:ascii="Arial" w:eastAsia="Times New Roman" w:hAnsi="Arial" w:cs="Arial"/>
                <w:bCs/>
                <w:color w:val="000000"/>
                <w:sz w:val="20"/>
                <w:szCs w:val="20"/>
                <w:lang w:val="ro-RO"/>
              </w:rPr>
              <w:t>0,0000749</w:t>
            </w:r>
          </w:p>
        </w:tc>
        <w:tc>
          <w:tcPr>
            <w:tcW w:w="1170" w:type="dxa"/>
          </w:tcPr>
          <w:p w:rsidR="00587B71" w:rsidRPr="00587B71" w:rsidRDefault="00587B71" w:rsidP="00587B71">
            <w:pPr>
              <w:spacing w:after="0" w:line="240" w:lineRule="auto"/>
              <w:rPr>
                <w:rFonts w:ascii="Arial" w:eastAsia="Times New Roman" w:hAnsi="Arial" w:cs="Arial"/>
                <w:color w:val="000000"/>
                <w:sz w:val="20"/>
                <w:szCs w:val="20"/>
                <w:lang w:val="ro-RO"/>
              </w:rPr>
            </w:pPr>
            <w:r w:rsidRPr="00587B71">
              <w:rPr>
                <w:rFonts w:ascii="Arial" w:eastAsia="Times New Roman" w:hAnsi="Arial" w:cs="Arial"/>
                <w:color w:val="000000"/>
                <w:sz w:val="20"/>
                <w:szCs w:val="20"/>
                <w:lang w:val="ro-RO"/>
              </w:rPr>
              <w:t>0,0000171</w:t>
            </w:r>
          </w:p>
        </w:tc>
        <w:tc>
          <w:tcPr>
            <w:tcW w:w="1080" w:type="dxa"/>
          </w:tcPr>
          <w:p w:rsidR="00587B71" w:rsidRPr="00587B71" w:rsidRDefault="00587B71" w:rsidP="00587B71">
            <w:pPr>
              <w:spacing w:after="0" w:line="240" w:lineRule="auto"/>
              <w:rPr>
                <w:rFonts w:ascii="Arial" w:eastAsia="Times New Roman" w:hAnsi="Arial" w:cs="Arial"/>
                <w:color w:val="000000"/>
                <w:sz w:val="20"/>
                <w:szCs w:val="20"/>
                <w:lang w:val="ro-RO" w:eastAsia="pl-PL"/>
              </w:rPr>
            </w:pPr>
            <w:r w:rsidRPr="00587B71">
              <w:rPr>
                <w:rFonts w:ascii="Arial" w:eastAsia="Times New Roman" w:hAnsi="Arial" w:cs="Arial"/>
                <w:color w:val="000000"/>
                <w:sz w:val="20"/>
                <w:szCs w:val="20"/>
                <w:lang w:val="ro-RO" w:eastAsia="pl-PL"/>
              </w:rPr>
              <w:t>0,000069</w:t>
            </w:r>
          </w:p>
        </w:tc>
        <w:tc>
          <w:tcPr>
            <w:tcW w:w="990" w:type="dxa"/>
          </w:tcPr>
          <w:p w:rsidR="00587B71" w:rsidRPr="00587B71" w:rsidRDefault="00587B71" w:rsidP="00587B71">
            <w:pPr>
              <w:spacing w:after="0" w:line="240" w:lineRule="auto"/>
              <w:rPr>
                <w:rFonts w:ascii="Arial" w:eastAsia="Times New Roman" w:hAnsi="Arial" w:cs="Arial"/>
                <w:color w:val="000000"/>
                <w:sz w:val="20"/>
                <w:szCs w:val="20"/>
                <w:lang w:val="ro-RO" w:eastAsia="pl-PL"/>
              </w:rPr>
            </w:pPr>
            <w:r w:rsidRPr="00587B71">
              <w:rPr>
                <w:rFonts w:ascii="Arial" w:eastAsia="Times New Roman" w:hAnsi="Arial" w:cs="Arial"/>
                <w:color w:val="000000"/>
                <w:sz w:val="20"/>
                <w:szCs w:val="20"/>
                <w:lang w:val="ro-RO" w:eastAsia="pl-PL"/>
              </w:rPr>
              <w:t>0,00014</w:t>
            </w:r>
          </w:p>
        </w:tc>
        <w:tc>
          <w:tcPr>
            <w:tcW w:w="990" w:type="dxa"/>
          </w:tcPr>
          <w:p w:rsidR="00587B71" w:rsidRPr="00587B71" w:rsidRDefault="00587B71" w:rsidP="00587B71">
            <w:pPr>
              <w:spacing w:after="0" w:line="240" w:lineRule="auto"/>
              <w:rPr>
                <w:rFonts w:ascii="Arial" w:eastAsia="Times New Roman" w:hAnsi="Arial" w:cs="Arial"/>
                <w:color w:val="000000"/>
                <w:sz w:val="20"/>
                <w:szCs w:val="20"/>
                <w:lang w:val="ro-RO" w:eastAsia="pl-PL"/>
              </w:rPr>
            </w:pPr>
            <w:r w:rsidRPr="00587B71">
              <w:rPr>
                <w:rFonts w:ascii="Arial" w:eastAsia="Times New Roman" w:hAnsi="Arial" w:cs="Arial"/>
                <w:color w:val="000000"/>
                <w:sz w:val="20"/>
                <w:szCs w:val="20"/>
                <w:lang w:val="ro-RO" w:eastAsia="pl-PL"/>
              </w:rPr>
              <w:t>0,00017</w:t>
            </w:r>
          </w:p>
        </w:tc>
        <w:tc>
          <w:tcPr>
            <w:tcW w:w="990" w:type="dxa"/>
          </w:tcPr>
          <w:p w:rsidR="00587B71" w:rsidRPr="00587B71" w:rsidRDefault="00587B71" w:rsidP="00587B71">
            <w:pPr>
              <w:spacing w:after="0" w:line="240" w:lineRule="auto"/>
              <w:rPr>
                <w:rFonts w:ascii="Arial" w:eastAsia="Times New Roman" w:hAnsi="Arial" w:cs="Arial"/>
                <w:color w:val="000000"/>
                <w:sz w:val="20"/>
                <w:szCs w:val="20"/>
                <w:lang w:val="ro-RO" w:eastAsia="pl-PL"/>
              </w:rPr>
            </w:pPr>
            <w:r w:rsidRPr="00587B71">
              <w:rPr>
                <w:rFonts w:ascii="Arial" w:eastAsia="Times New Roman" w:hAnsi="Arial" w:cs="Arial"/>
                <w:color w:val="000000"/>
                <w:sz w:val="20"/>
                <w:szCs w:val="20"/>
                <w:lang w:val="ro-RO" w:eastAsia="pl-PL"/>
              </w:rPr>
              <w:t>0,01403</w:t>
            </w:r>
          </w:p>
        </w:tc>
        <w:tc>
          <w:tcPr>
            <w:tcW w:w="990" w:type="dxa"/>
          </w:tcPr>
          <w:p w:rsidR="00587B71" w:rsidRPr="00587B71" w:rsidRDefault="00587B71" w:rsidP="00587B71">
            <w:pPr>
              <w:spacing w:after="0" w:line="240" w:lineRule="auto"/>
              <w:rPr>
                <w:rFonts w:ascii="Arial" w:eastAsia="Times New Roman" w:hAnsi="Arial" w:cs="Arial"/>
                <w:color w:val="000000"/>
                <w:sz w:val="20"/>
                <w:szCs w:val="20"/>
                <w:lang w:val="ro-RO" w:eastAsia="pl-PL"/>
              </w:rPr>
            </w:pPr>
            <w:r w:rsidRPr="00587B71">
              <w:rPr>
                <w:rFonts w:ascii="Arial" w:eastAsia="Times New Roman" w:hAnsi="Arial" w:cs="Arial"/>
                <w:color w:val="000000"/>
                <w:sz w:val="20"/>
                <w:szCs w:val="20"/>
                <w:lang w:val="ro-RO" w:eastAsia="pl-PL"/>
              </w:rPr>
              <w:t>0,01340</w:t>
            </w:r>
          </w:p>
        </w:tc>
        <w:tc>
          <w:tcPr>
            <w:tcW w:w="1080" w:type="dxa"/>
          </w:tcPr>
          <w:p w:rsidR="00587B71" w:rsidRPr="00587B71" w:rsidRDefault="00587B71" w:rsidP="00587B71">
            <w:pPr>
              <w:spacing w:after="0" w:line="240" w:lineRule="auto"/>
              <w:rPr>
                <w:rFonts w:ascii="Arial" w:eastAsia="Times New Roman" w:hAnsi="Arial" w:cs="Arial"/>
                <w:color w:val="000000"/>
                <w:sz w:val="20"/>
                <w:szCs w:val="20"/>
                <w:lang w:val="ro-RO" w:eastAsia="pl-PL"/>
              </w:rPr>
            </w:pPr>
            <w:r w:rsidRPr="00587B71">
              <w:rPr>
                <w:rFonts w:ascii="Arial" w:eastAsia="Times New Roman" w:hAnsi="Arial" w:cs="Arial"/>
                <w:color w:val="000000"/>
                <w:sz w:val="20"/>
                <w:szCs w:val="20"/>
                <w:lang w:val="ro-RO" w:eastAsia="pl-PL"/>
              </w:rPr>
              <w:t>0,00161</w:t>
            </w:r>
          </w:p>
        </w:tc>
        <w:tc>
          <w:tcPr>
            <w:tcW w:w="1080" w:type="dxa"/>
          </w:tcPr>
          <w:p w:rsidR="00587B71" w:rsidRPr="00587B71" w:rsidRDefault="00354461" w:rsidP="00587B71">
            <w:pPr>
              <w:spacing w:after="0" w:line="240" w:lineRule="auto"/>
              <w:rPr>
                <w:rFonts w:ascii="Arial" w:eastAsia="Times New Roman" w:hAnsi="Arial" w:cs="Arial"/>
                <w:color w:val="000000"/>
                <w:sz w:val="20"/>
                <w:szCs w:val="20"/>
                <w:lang w:val="ro-RO" w:eastAsia="pl-PL"/>
              </w:rPr>
            </w:pPr>
            <w:r>
              <w:rPr>
                <w:rFonts w:ascii="Arial" w:eastAsia="Times New Roman" w:hAnsi="Arial" w:cs="Arial"/>
                <w:color w:val="000000"/>
                <w:sz w:val="20"/>
                <w:szCs w:val="20"/>
                <w:lang w:val="ro-RO" w:eastAsia="pl-PL"/>
              </w:rPr>
              <w:t>0.00141</w:t>
            </w:r>
          </w:p>
        </w:tc>
      </w:tr>
      <w:tr w:rsidR="00587B71" w:rsidRPr="00587B71" w:rsidTr="00A04EB3">
        <w:trPr>
          <w:trHeight w:val="186"/>
        </w:trPr>
        <w:tc>
          <w:tcPr>
            <w:tcW w:w="851" w:type="dxa"/>
            <w:vMerge/>
            <w:tcMar>
              <w:left w:w="11" w:type="dxa"/>
              <w:right w:w="11" w:type="dxa"/>
            </w:tcMar>
          </w:tcPr>
          <w:p w:rsidR="00587B71" w:rsidRPr="00587B71" w:rsidRDefault="00587B71" w:rsidP="00587B71">
            <w:pPr>
              <w:pBdr>
                <w:left w:val="single" w:sz="4" w:space="0" w:color="auto"/>
                <w:right w:val="single" w:sz="4" w:space="0" w:color="auto"/>
              </w:pBdr>
              <w:spacing w:before="100" w:beforeAutospacing="1" w:after="100" w:afterAutospacing="1" w:line="240" w:lineRule="auto"/>
              <w:jc w:val="both"/>
              <w:textAlignment w:val="center"/>
              <w:rPr>
                <w:rFonts w:ascii="Arial" w:eastAsia="Arial Unicode MS" w:hAnsi="Arial" w:cs="Arial"/>
                <w:color w:val="000000"/>
                <w:sz w:val="20"/>
                <w:szCs w:val="20"/>
                <w:lang w:val="ro-RO"/>
              </w:rPr>
            </w:pPr>
          </w:p>
        </w:tc>
        <w:tc>
          <w:tcPr>
            <w:tcW w:w="851" w:type="dxa"/>
            <w:tcMar>
              <w:left w:w="11" w:type="dxa"/>
              <w:right w:w="11" w:type="dxa"/>
            </w:tcMar>
          </w:tcPr>
          <w:p w:rsidR="00587B71" w:rsidRPr="00587B71" w:rsidRDefault="00587B71" w:rsidP="00587B71">
            <w:pPr>
              <w:spacing w:after="120" w:line="240" w:lineRule="auto"/>
              <w:jc w:val="center"/>
              <w:rPr>
                <w:rFonts w:ascii="Times New Roman" w:eastAsia="Times New Roman" w:hAnsi="Times New Roman" w:cs="Times New Roman"/>
                <w:sz w:val="20"/>
                <w:szCs w:val="20"/>
                <w:lang w:val="ro-RO" w:eastAsia="ro-RO"/>
              </w:rPr>
            </w:pPr>
            <w:r w:rsidRPr="00587B71">
              <w:rPr>
                <w:rFonts w:ascii="Times New Roman" w:eastAsia="Times New Roman" w:hAnsi="Times New Roman" w:cs="Times New Roman"/>
                <w:sz w:val="20"/>
                <w:szCs w:val="20"/>
                <w:lang w:val="it-IT" w:eastAsia="ro-RO"/>
              </w:rPr>
              <w:t>Cd</w:t>
            </w:r>
          </w:p>
        </w:tc>
        <w:tc>
          <w:tcPr>
            <w:tcW w:w="1009" w:type="dxa"/>
            <w:shd w:val="clear" w:color="auto" w:fill="auto"/>
            <w:tcMar>
              <w:left w:w="11" w:type="dxa"/>
              <w:right w:w="11" w:type="dxa"/>
            </w:tcMar>
          </w:tcPr>
          <w:p w:rsidR="00587B71" w:rsidRPr="00587B71" w:rsidRDefault="00587B71" w:rsidP="00587B71">
            <w:pPr>
              <w:tabs>
                <w:tab w:val="center" w:pos="4680"/>
                <w:tab w:val="right" w:pos="9360"/>
              </w:tabs>
              <w:spacing w:after="0" w:line="264" w:lineRule="auto"/>
              <w:ind w:right="28"/>
              <w:jc w:val="both"/>
              <w:rPr>
                <w:rFonts w:ascii="Arial" w:eastAsia="Times New Roman" w:hAnsi="Arial" w:cs="Arial"/>
                <w:bCs/>
                <w:color w:val="000000"/>
                <w:sz w:val="20"/>
                <w:szCs w:val="20"/>
                <w:lang w:val="ro-RO"/>
              </w:rPr>
            </w:pPr>
            <w:r w:rsidRPr="00587B71">
              <w:rPr>
                <w:rFonts w:ascii="Arial" w:eastAsia="Times New Roman" w:hAnsi="Arial" w:cs="Arial"/>
                <w:bCs/>
                <w:color w:val="000000"/>
                <w:sz w:val="20"/>
                <w:szCs w:val="20"/>
                <w:lang w:val="ro-RO"/>
              </w:rPr>
              <w:t>0,000453</w:t>
            </w:r>
          </w:p>
        </w:tc>
        <w:tc>
          <w:tcPr>
            <w:tcW w:w="1170" w:type="dxa"/>
          </w:tcPr>
          <w:p w:rsidR="00587B71" w:rsidRPr="00587B71" w:rsidRDefault="00587B71" w:rsidP="00587B71">
            <w:pPr>
              <w:tabs>
                <w:tab w:val="center" w:pos="4680"/>
                <w:tab w:val="right" w:pos="9360"/>
              </w:tabs>
              <w:spacing w:after="0" w:line="240" w:lineRule="auto"/>
              <w:rPr>
                <w:rFonts w:ascii="Arial" w:eastAsia="Times New Roman" w:hAnsi="Arial" w:cs="Arial"/>
                <w:color w:val="000000"/>
                <w:sz w:val="20"/>
                <w:szCs w:val="20"/>
                <w:lang w:val="ro-RO"/>
              </w:rPr>
            </w:pPr>
            <w:r w:rsidRPr="00587B71">
              <w:rPr>
                <w:rFonts w:ascii="Arial" w:eastAsia="Times New Roman" w:hAnsi="Arial" w:cs="Arial"/>
                <w:color w:val="000000"/>
                <w:sz w:val="20"/>
                <w:szCs w:val="20"/>
                <w:lang w:val="ro-RO"/>
              </w:rPr>
              <w:t>0,0001999</w:t>
            </w:r>
          </w:p>
        </w:tc>
        <w:tc>
          <w:tcPr>
            <w:tcW w:w="1080" w:type="dxa"/>
          </w:tcPr>
          <w:p w:rsidR="00587B71" w:rsidRPr="00587B71" w:rsidRDefault="00587B71" w:rsidP="00587B71">
            <w:pPr>
              <w:tabs>
                <w:tab w:val="center" w:pos="4680"/>
                <w:tab w:val="right" w:pos="9360"/>
              </w:tabs>
              <w:spacing w:after="0" w:line="240" w:lineRule="auto"/>
              <w:rPr>
                <w:rFonts w:ascii="Arial" w:eastAsia="Times New Roman" w:hAnsi="Arial" w:cs="Arial"/>
                <w:color w:val="000000"/>
                <w:sz w:val="20"/>
                <w:szCs w:val="20"/>
                <w:lang w:val="ro-RO"/>
              </w:rPr>
            </w:pPr>
            <w:r w:rsidRPr="00587B71">
              <w:rPr>
                <w:rFonts w:ascii="Arial" w:eastAsia="Times New Roman" w:hAnsi="Arial" w:cs="Arial"/>
                <w:color w:val="000000"/>
                <w:sz w:val="20"/>
                <w:szCs w:val="20"/>
                <w:lang w:val="ro-RO"/>
              </w:rPr>
              <w:t>0,00034</w:t>
            </w:r>
          </w:p>
        </w:tc>
        <w:tc>
          <w:tcPr>
            <w:tcW w:w="990" w:type="dxa"/>
          </w:tcPr>
          <w:p w:rsidR="00587B71" w:rsidRPr="00587B71" w:rsidRDefault="00587B71" w:rsidP="00587B71">
            <w:pPr>
              <w:spacing w:before="100" w:beforeAutospacing="1" w:after="100" w:afterAutospacing="1" w:line="240" w:lineRule="auto"/>
              <w:rPr>
                <w:rFonts w:ascii="Arial" w:eastAsia="Arial Unicode MS" w:hAnsi="Arial" w:cs="Arial"/>
                <w:color w:val="000000"/>
                <w:sz w:val="20"/>
                <w:szCs w:val="20"/>
                <w:lang w:val="ro-RO" w:eastAsia="ro-RO"/>
              </w:rPr>
            </w:pPr>
            <w:r w:rsidRPr="00587B71">
              <w:rPr>
                <w:rFonts w:ascii="Arial" w:eastAsia="Arial Unicode MS" w:hAnsi="Arial" w:cs="Arial"/>
                <w:color w:val="000000"/>
                <w:sz w:val="20"/>
                <w:szCs w:val="20"/>
                <w:lang w:val="ro-RO" w:eastAsia="ro-RO"/>
              </w:rPr>
              <w:t>0,00038</w:t>
            </w:r>
          </w:p>
        </w:tc>
        <w:tc>
          <w:tcPr>
            <w:tcW w:w="990" w:type="dxa"/>
          </w:tcPr>
          <w:p w:rsidR="00587B71" w:rsidRPr="00587B71" w:rsidRDefault="00587B71" w:rsidP="00587B71">
            <w:pPr>
              <w:spacing w:before="100" w:beforeAutospacing="1" w:after="100" w:afterAutospacing="1" w:line="240" w:lineRule="auto"/>
              <w:rPr>
                <w:rFonts w:ascii="Arial" w:eastAsia="Arial Unicode MS" w:hAnsi="Arial" w:cs="Arial"/>
                <w:color w:val="000000"/>
                <w:sz w:val="20"/>
                <w:szCs w:val="20"/>
                <w:lang w:val="ro-RO" w:eastAsia="ro-RO"/>
              </w:rPr>
            </w:pPr>
            <w:r w:rsidRPr="00587B71">
              <w:rPr>
                <w:rFonts w:ascii="Arial" w:eastAsia="Arial Unicode MS" w:hAnsi="Arial" w:cs="Arial"/>
                <w:color w:val="000000"/>
                <w:sz w:val="20"/>
                <w:szCs w:val="20"/>
                <w:lang w:val="ro-RO" w:eastAsia="ro-RO"/>
              </w:rPr>
              <w:t>0,00287</w:t>
            </w:r>
          </w:p>
        </w:tc>
        <w:tc>
          <w:tcPr>
            <w:tcW w:w="990" w:type="dxa"/>
          </w:tcPr>
          <w:p w:rsidR="00587B71" w:rsidRPr="00587B71" w:rsidRDefault="00587B71" w:rsidP="00587B71">
            <w:pPr>
              <w:spacing w:before="100" w:beforeAutospacing="1" w:after="100" w:afterAutospacing="1" w:line="240" w:lineRule="auto"/>
              <w:rPr>
                <w:rFonts w:ascii="Arial" w:eastAsia="Arial Unicode MS" w:hAnsi="Arial" w:cs="Arial"/>
                <w:color w:val="000000"/>
                <w:sz w:val="20"/>
                <w:szCs w:val="20"/>
                <w:lang w:val="ro-RO" w:eastAsia="ro-RO"/>
              </w:rPr>
            </w:pPr>
            <w:r w:rsidRPr="00587B71">
              <w:rPr>
                <w:rFonts w:ascii="Arial" w:eastAsia="Arial Unicode MS" w:hAnsi="Arial" w:cs="Arial"/>
                <w:color w:val="000000"/>
                <w:sz w:val="20"/>
                <w:szCs w:val="20"/>
                <w:lang w:val="ro-RO" w:eastAsia="ro-RO"/>
              </w:rPr>
              <w:t>0,00371</w:t>
            </w:r>
          </w:p>
        </w:tc>
        <w:tc>
          <w:tcPr>
            <w:tcW w:w="990" w:type="dxa"/>
          </w:tcPr>
          <w:p w:rsidR="00587B71" w:rsidRPr="00587B71" w:rsidRDefault="00587B71" w:rsidP="00587B71">
            <w:pPr>
              <w:spacing w:before="100" w:beforeAutospacing="1" w:after="100" w:afterAutospacing="1" w:line="240" w:lineRule="auto"/>
              <w:rPr>
                <w:rFonts w:ascii="Arial" w:eastAsia="Arial Unicode MS" w:hAnsi="Arial" w:cs="Arial"/>
                <w:color w:val="000000"/>
                <w:sz w:val="20"/>
                <w:szCs w:val="20"/>
                <w:lang w:val="ro-RO" w:eastAsia="ro-RO"/>
              </w:rPr>
            </w:pPr>
            <w:r w:rsidRPr="00587B71">
              <w:rPr>
                <w:rFonts w:ascii="Arial" w:eastAsia="Arial Unicode MS" w:hAnsi="Arial" w:cs="Arial"/>
                <w:color w:val="000000"/>
                <w:sz w:val="20"/>
                <w:szCs w:val="20"/>
                <w:lang w:val="ro-RO" w:eastAsia="ro-RO"/>
              </w:rPr>
              <w:t>0,00392</w:t>
            </w:r>
          </w:p>
        </w:tc>
        <w:tc>
          <w:tcPr>
            <w:tcW w:w="1080" w:type="dxa"/>
          </w:tcPr>
          <w:p w:rsidR="00587B71" w:rsidRPr="00587B71" w:rsidRDefault="00587B71" w:rsidP="00587B71">
            <w:pPr>
              <w:spacing w:before="100" w:beforeAutospacing="1" w:after="100" w:afterAutospacing="1" w:line="240" w:lineRule="auto"/>
              <w:rPr>
                <w:rFonts w:ascii="Arial" w:eastAsia="Arial Unicode MS" w:hAnsi="Arial" w:cs="Arial"/>
                <w:color w:val="000000"/>
                <w:sz w:val="20"/>
                <w:szCs w:val="20"/>
                <w:lang w:val="ro-RO" w:eastAsia="ro-RO"/>
              </w:rPr>
            </w:pPr>
            <w:r w:rsidRPr="00587B71">
              <w:rPr>
                <w:rFonts w:ascii="Arial" w:eastAsia="Arial Unicode MS" w:hAnsi="Arial" w:cs="Arial"/>
                <w:color w:val="000000"/>
                <w:sz w:val="20"/>
                <w:szCs w:val="20"/>
                <w:lang w:val="ro-RO" w:eastAsia="ro-RO"/>
              </w:rPr>
              <w:t>0,00353</w:t>
            </w:r>
          </w:p>
        </w:tc>
        <w:tc>
          <w:tcPr>
            <w:tcW w:w="1080" w:type="dxa"/>
          </w:tcPr>
          <w:p w:rsidR="00587B71" w:rsidRPr="00587B71" w:rsidRDefault="00354461" w:rsidP="00587B71">
            <w:pPr>
              <w:spacing w:before="100" w:beforeAutospacing="1" w:after="100" w:afterAutospacing="1" w:line="240" w:lineRule="auto"/>
              <w:rPr>
                <w:rFonts w:ascii="Arial" w:eastAsia="Arial Unicode MS" w:hAnsi="Arial" w:cs="Arial"/>
                <w:color w:val="000000"/>
                <w:sz w:val="20"/>
                <w:szCs w:val="20"/>
                <w:lang w:val="ro-RO" w:eastAsia="ro-RO"/>
              </w:rPr>
            </w:pPr>
            <w:r>
              <w:rPr>
                <w:rFonts w:ascii="Arial" w:eastAsia="Arial Unicode MS" w:hAnsi="Arial" w:cs="Arial"/>
                <w:color w:val="000000"/>
                <w:sz w:val="20"/>
                <w:szCs w:val="20"/>
                <w:lang w:val="ro-RO" w:eastAsia="ro-RO"/>
              </w:rPr>
              <w:t>0.0039</w:t>
            </w:r>
          </w:p>
        </w:tc>
      </w:tr>
    </w:tbl>
    <w:p w:rsidR="00587B71" w:rsidRPr="00587B71" w:rsidRDefault="00587B71" w:rsidP="00587B71">
      <w:pPr>
        <w:spacing w:after="0" w:line="240" w:lineRule="auto"/>
        <w:rPr>
          <w:rFonts w:ascii="Arial" w:eastAsia="Times New Roman" w:hAnsi="Arial" w:cs="Arial"/>
          <w:bCs/>
          <w:color w:val="000000"/>
          <w:sz w:val="24"/>
          <w:szCs w:val="24"/>
          <w:lang w:val="nb-NO"/>
        </w:rPr>
      </w:pPr>
      <w:r>
        <w:rPr>
          <w:rFonts w:ascii="Arial" w:eastAsia="Times New Roman" w:hAnsi="Arial" w:cs="Arial"/>
          <w:iCs/>
          <w:noProof/>
          <w:color w:val="000000"/>
          <w:sz w:val="24"/>
          <w:szCs w:val="24"/>
        </w:rPr>
        <w:drawing>
          <wp:anchor distT="0" distB="0" distL="114300" distR="114300" simplePos="0" relativeHeight="251659264" behindDoc="0" locked="0" layoutInCell="1" allowOverlap="1">
            <wp:simplePos x="0" y="0"/>
            <wp:positionH relativeFrom="column">
              <wp:posOffset>918845</wp:posOffset>
            </wp:positionH>
            <wp:positionV relativeFrom="paragraph">
              <wp:posOffset>994410</wp:posOffset>
            </wp:positionV>
            <wp:extent cx="5238750" cy="2066925"/>
            <wp:effectExtent l="0" t="0" r="0" b="0"/>
            <wp:wrapTopAndBottom/>
            <wp:docPr id="190" name="Chart 1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Pr="00587B71">
        <w:rPr>
          <w:rFonts w:ascii="Arial" w:eastAsia="Times New Roman" w:hAnsi="Arial" w:cs="Arial"/>
          <w:color w:val="000000"/>
          <w:sz w:val="24"/>
          <w:szCs w:val="24"/>
          <w:lang w:val="nb-NO"/>
        </w:rPr>
        <w:t xml:space="preserve">Tabelul I.22. Emisii totale de metale grele Hg, Cd – </w:t>
      </w:r>
      <w:r w:rsidRPr="00587B71">
        <w:rPr>
          <w:rFonts w:ascii="Arial" w:eastAsia="Times New Roman" w:hAnsi="Arial" w:cs="Arial"/>
          <w:bCs/>
          <w:color w:val="000000"/>
          <w:sz w:val="24"/>
          <w:szCs w:val="24"/>
          <w:lang w:val="nb-NO"/>
        </w:rPr>
        <w:t>tone/an</w:t>
      </w:r>
    </w:p>
    <w:p w:rsidR="00587B71" w:rsidRPr="00587B71" w:rsidRDefault="00587B71" w:rsidP="00587B71">
      <w:pPr>
        <w:spacing w:after="0" w:line="240" w:lineRule="auto"/>
        <w:rPr>
          <w:rFonts w:ascii="Arial" w:eastAsia="Times New Roman" w:hAnsi="Arial" w:cs="Arial"/>
          <w:bCs/>
          <w:color w:val="000000"/>
          <w:sz w:val="24"/>
          <w:szCs w:val="24"/>
          <w:lang w:val="nb-NO"/>
        </w:rPr>
      </w:pPr>
    </w:p>
    <w:p w:rsidR="00587B71" w:rsidRPr="00587B71" w:rsidRDefault="00587B71" w:rsidP="00587B71">
      <w:pPr>
        <w:spacing w:after="0" w:line="240" w:lineRule="auto"/>
        <w:rPr>
          <w:rFonts w:ascii="Arial" w:eastAsia="Times New Roman" w:hAnsi="Arial" w:cs="Arial"/>
          <w:iCs/>
          <w:color w:val="000000"/>
          <w:sz w:val="24"/>
          <w:szCs w:val="24"/>
          <w:lang w:val="ro-RO"/>
        </w:rPr>
      </w:pPr>
      <w:r w:rsidRPr="00587B71">
        <w:rPr>
          <w:rFonts w:ascii="Arial" w:eastAsia="Times New Roman" w:hAnsi="Arial" w:cs="Arial"/>
          <w:color w:val="FF0000"/>
          <w:sz w:val="24"/>
          <w:szCs w:val="24"/>
          <w:lang w:val="pt-BR"/>
        </w:rPr>
        <w:t xml:space="preserve">                                </w:t>
      </w:r>
      <w:r w:rsidRPr="00587B71">
        <w:rPr>
          <w:rFonts w:ascii="Arial" w:eastAsia="Times New Roman" w:hAnsi="Arial" w:cs="Arial"/>
          <w:b/>
          <w:color w:val="000000"/>
          <w:sz w:val="24"/>
          <w:szCs w:val="24"/>
          <w:lang w:val="de-DE"/>
        </w:rPr>
        <w:t xml:space="preserve"> </w:t>
      </w:r>
      <w:r w:rsidRPr="00587B71">
        <w:rPr>
          <w:rFonts w:ascii="Arial" w:eastAsia="Times New Roman" w:hAnsi="Arial" w:cs="Arial"/>
          <w:iCs/>
          <w:color w:val="000000"/>
          <w:sz w:val="24"/>
          <w:szCs w:val="24"/>
          <w:lang w:val="ro-RO"/>
        </w:rPr>
        <w:t>Figura I.24. Em</w:t>
      </w:r>
      <w:r w:rsidR="00354461">
        <w:rPr>
          <w:rFonts w:ascii="Arial" w:eastAsia="Times New Roman" w:hAnsi="Arial" w:cs="Arial"/>
          <w:iCs/>
          <w:color w:val="000000"/>
          <w:sz w:val="24"/>
          <w:szCs w:val="24"/>
          <w:lang w:val="ro-RO"/>
        </w:rPr>
        <w:t>isii anuale de mercur şi cadmiu</w:t>
      </w:r>
    </w:p>
    <w:p w:rsidR="00354461" w:rsidRDefault="00354461" w:rsidP="00587B71">
      <w:pPr>
        <w:spacing w:after="0" w:line="240" w:lineRule="auto"/>
        <w:ind w:firstLine="720"/>
        <w:jc w:val="both"/>
        <w:rPr>
          <w:rFonts w:ascii="Arial" w:eastAsia="Times New Roman" w:hAnsi="Arial" w:cs="Arial"/>
          <w:color w:val="000000"/>
          <w:sz w:val="24"/>
          <w:szCs w:val="24"/>
          <w:lang w:val="ro-RO"/>
        </w:rPr>
      </w:pPr>
    </w:p>
    <w:p w:rsidR="00587B71" w:rsidRPr="00587B71" w:rsidRDefault="00587B71" w:rsidP="00587B71">
      <w:pPr>
        <w:spacing w:after="0" w:line="240" w:lineRule="auto"/>
        <w:ind w:firstLine="720"/>
        <w:jc w:val="both"/>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 xml:space="preserve">Din procesele tehnologice cât şi din traficul rutier, în atmosferă, se degajă pulberi încărcate cu metale grele care, în valori absolute, nu ridică probleme de mediu. </w:t>
      </w:r>
    </w:p>
    <w:p w:rsidR="00587B71" w:rsidRPr="00587B71" w:rsidRDefault="00587B71" w:rsidP="00587B71">
      <w:pPr>
        <w:spacing w:after="0" w:line="240" w:lineRule="auto"/>
        <w:jc w:val="both"/>
        <w:rPr>
          <w:rFonts w:ascii="Arial" w:eastAsia="Times New Roman" w:hAnsi="Arial" w:cs="Arial"/>
          <w:i/>
          <w:iCs/>
          <w:color w:val="FF0000"/>
          <w:sz w:val="24"/>
          <w:szCs w:val="24"/>
          <w:lang w:val="ro-RO"/>
        </w:rPr>
      </w:pPr>
    </w:p>
    <w:p w:rsidR="00587B71" w:rsidRPr="00587B71" w:rsidRDefault="00587B71" w:rsidP="00587B71">
      <w:pPr>
        <w:spacing w:after="0" w:line="240" w:lineRule="auto"/>
        <w:jc w:val="both"/>
        <w:rPr>
          <w:rFonts w:ascii="Arial" w:eastAsia="Times New Roman" w:hAnsi="Arial" w:cs="Arial"/>
          <w:i/>
          <w:iCs/>
          <w:color w:val="000000"/>
          <w:sz w:val="24"/>
          <w:szCs w:val="24"/>
          <w:lang w:val="ro-RO"/>
        </w:rPr>
      </w:pPr>
      <w:r w:rsidRPr="00587B71">
        <w:rPr>
          <w:rFonts w:ascii="Arial" w:eastAsia="Times New Roman" w:hAnsi="Arial" w:cs="Arial"/>
          <w:i/>
          <w:iCs/>
          <w:color w:val="000000"/>
          <w:sz w:val="24"/>
          <w:szCs w:val="24"/>
          <w:lang w:val="ro-RO"/>
        </w:rPr>
        <w:lastRenderedPageBreak/>
        <w:t>Emisii de plumb</w:t>
      </w:r>
    </w:p>
    <w:p w:rsidR="00587B71" w:rsidRPr="00587B71" w:rsidRDefault="00587B71" w:rsidP="00587B71">
      <w:pPr>
        <w:spacing w:after="0" w:line="240" w:lineRule="auto"/>
        <w:jc w:val="both"/>
        <w:rPr>
          <w:rFonts w:ascii="Arial" w:eastAsia="Times New Roman" w:hAnsi="Arial" w:cs="Arial"/>
          <w:i/>
          <w:iCs/>
          <w:color w:val="FF0000"/>
          <w:sz w:val="24"/>
          <w:szCs w:val="24"/>
          <w:lang w:val="ro-RO"/>
        </w:rPr>
      </w:pPr>
    </w:p>
    <w:p w:rsidR="00587B71" w:rsidRPr="00587B71" w:rsidRDefault="00587B71" w:rsidP="00587B71">
      <w:pPr>
        <w:spacing w:after="0" w:line="240" w:lineRule="auto"/>
        <w:ind w:firstLine="720"/>
        <w:jc w:val="both"/>
        <w:rPr>
          <w:rFonts w:ascii="Arial" w:eastAsia="Times New Roman" w:hAnsi="Arial" w:cs="Arial"/>
          <w:color w:val="000000"/>
          <w:sz w:val="24"/>
          <w:szCs w:val="24"/>
          <w:lang w:val="ro-RO"/>
        </w:rPr>
      </w:pPr>
      <w:r w:rsidRPr="00587B71">
        <w:rPr>
          <w:rFonts w:ascii="Arial" w:eastAsia="Times New Roman" w:hAnsi="Arial" w:cs="Arial"/>
          <w:bCs/>
          <w:color w:val="000000"/>
          <w:sz w:val="24"/>
          <w:szCs w:val="24"/>
          <w:lang w:val="ro-RO"/>
        </w:rPr>
        <w:t xml:space="preserve">Sursele de emisie pentru plumb sunt atât cele </w:t>
      </w:r>
      <w:r w:rsidRPr="00587B71">
        <w:rPr>
          <w:rFonts w:ascii="Arial" w:eastAsia="Times New Roman" w:hAnsi="Arial" w:cs="Arial"/>
          <w:color w:val="000000"/>
          <w:sz w:val="24"/>
          <w:szCs w:val="24"/>
          <w:lang w:val="ro-RO"/>
        </w:rPr>
        <w:t>mobile (traficul) cât şi cele staţionare (procese industriale). Valorile de emisie pentru anul 2015 sunt prezentate în tabelul I.22.:</w:t>
      </w:r>
    </w:p>
    <w:p w:rsidR="00587B71" w:rsidRPr="00587B71" w:rsidRDefault="00587B71" w:rsidP="00587B71">
      <w:pPr>
        <w:spacing w:after="0" w:line="240" w:lineRule="auto"/>
        <w:ind w:firstLine="720"/>
        <w:jc w:val="both"/>
        <w:rPr>
          <w:rFonts w:ascii="Arial" w:eastAsia="Times New Roman" w:hAnsi="Arial" w:cs="Arial"/>
          <w:color w:val="000000"/>
          <w:sz w:val="24"/>
          <w:szCs w:val="24"/>
          <w:lang w:val="ro-RO"/>
        </w:rPr>
      </w:pPr>
    </w:p>
    <w:p w:rsidR="00587B71" w:rsidRPr="00587B71" w:rsidRDefault="00587B71" w:rsidP="00587B71">
      <w:pPr>
        <w:spacing w:after="0" w:line="240" w:lineRule="auto"/>
        <w:ind w:left="-901" w:right="-527"/>
        <w:rPr>
          <w:rFonts w:ascii="Arial" w:eastAsia="Times New Roman" w:hAnsi="Arial" w:cs="Arial"/>
          <w:bCs/>
          <w:color w:val="000000"/>
          <w:sz w:val="24"/>
          <w:szCs w:val="24"/>
          <w:lang w:val="ro-RO"/>
        </w:rPr>
      </w:pPr>
      <w:r w:rsidRPr="00587B71">
        <w:rPr>
          <w:rFonts w:ascii="Arial" w:eastAsia="Times New Roman" w:hAnsi="Arial" w:cs="Arial"/>
          <w:color w:val="000000"/>
          <w:sz w:val="24"/>
          <w:szCs w:val="24"/>
          <w:lang w:val="ro-RO"/>
        </w:rPr>
        <w:t xml:space="preserve">                 Tabelul I.23.  Emisii de plumb – Pb,  </w:t>
      </w:r>
      <w:r w:rsidR="002A2821">
        <w:rPr>
          <w:rFonts w:ascii="Arial" w:eastAsia="Times New Roman" w:hAnsi="Arial" w:cs="Arial"/>
          <w:bCs/>
          <w:color w:val="000000"/>
          <w:sz w:val="24"/>
          <w:szCs w:val="24"/>
          <w:lang w:val="ro-RO"/>
        </w:rPr>
        <w:t>tone/an</w:t>
      </w:r>
    </w:p>
    <w:tbl>
      <w:tblP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1E0" w:firstRow="1" w:lastRow="1" w:firstColumn="1" w:lastColumn="1" w:noHBand="0" w:noVBand="0"/>
      </w:tblPr>
      <w:tblGrid>
        <w:gridCol w:w="824"/>
        <w:gridCol w:w="941"/>
        <w:gridCol w:w="912"/>
        <w:gridCol w:w="757"/>
        <w:gridCol w:w="952"/>
        <w:gridCol w:w="938"/>
        <w:gridCol w:w="916"/>
        <w:gridCol w:w="916"/>
        <w:gridCol w:w="916"/>
        <w:gridCol w:w="916"/>
      </w:tblGrid>
      <w:tr w:rsidR="00587B71" w:rsidRPr="00587B71" w:rsidTr="00587B71">
        <w:tc>
          <w:tcPr>
            <w:tcW w:w="824" w:type="dxa"/>
            <w:shd w:val="clear" w:color="auto" w:fill="auto"/>
          </w:tcPr>
          <w:p w:rsidR="00587B71" w:rsidRPr="00587B71" w:rsidRDefault="00587B71" w:rsidP="00587B71">
            <w:pPr>
              <w:widowControl w:val="0"/>
              <w:spacing w:after="0" w:line="240" w:lineRule="auto"/>
              <w:jc w:val="center"/>
              <w:rPr>
                <w:rFonts w:ascii="Arial" w:eastAsia="Times New Roman" w:hAnsi="Arial" w:cs="Arial"/>
                <w:b/>
                <w:color w:val="000000"/>
                <w:sz w:val="24"/>
                <w:szCs w:val="24"/>
              </w:rPr>
            </w:pPr>
            <w:r w:rsidRPr="00587B71">
              <w:rPr>
                <w:rFonts w:ascii="Arial" w:eastAsia="Times New Roman" w:hAnsi="Arial" w:cs="Arial"/>
                <w:b/>
                <w:color w:val="000000"/>
                <w:sz w:val="24"/>
                <w:szCs w:val="24"/>
                <w:lang w:val="fr-FR"/>
              </w:rPr>
              <w:t>Jude</w:t>
            </w:r>
            <w:r w:rsidRPr="00587B71">
              <w:rPr>
                <w:rFonts w:ascii="Arial" w:eastAsia="Times New Roman" w:hAnsi="Arial" w:cs="Arial"/>
                <w:b/>
                <w:color w:val="000000"/>
                <w:sz w:val="24"/>
                <w:szCs w:val="24"/>
                <w:lang w:val="it-IT"/>
              </w:rPr>
              <w:t>ţ</w:t>
            </w:r>
          </w:p>
        </w:tc>
        <w:tc>
          <w:tcPr>
            <w:tcW w:w="941" w:type="dxa"/>
            <w:shd w:val="clear" w:color="auto" w:fill="FFFFFF"/>
          </w:tcPr>
          <w:p w:rsidR="00587B71" w:rsidRPr="00587B71" w:rsidRDefault="00587B71" w:rsidP="00587B71">
            <w:pPr>
              <w:widowControl w:val="0"/>
              <w:spacing w:after="0" w:line="240" w:lineRule="auto"/>
              <w:jc w:val="center"/>
              <w:rPr>
                <w:rFonts w:ascii="Arial" w:eastAsia="Times New Roman" w:hAnsi="Arial" w:cs="Arial"/>
                <w:b/>
                <w:color w:val="000000"/>
                <w:sz w:val="24"/>
                <w:szCs w:val="24"/>
              </w:rPr>
            </w:pPr>
            <w:r w:rsidRPr="00587B71">
              <w:rPr>
                <w:rFonts w:ascii="Arial" w:eastAsia="Times New Roman" w:hAnsi="Arial" w:cs="Arial"/>
                <w:b/>
                <w:color w:val="000000"/>
                <w:sz w:val="24"/>
                <w:szCs w:val="24"/>
              </w:rPr>
              <w:t>2007</w:t>
            </w:r>
          </w:p>
        </w:tc>
        <w:tc>
          <w:tcPr>
            <w:tcW w:w="912" w:type="dxa"/>
            <w:shd w:val="clear" w:color="auto" w:fill="FFFFFF"/>
            <w:vAlign w:val="center"/>
          </w:tcPr>
          <w:p w:rsidR="00587B71" w:rsidRPr="00587B71" w:rsidRDefault="00587B71" w:rsidP="00587B71">
            <w:pPr>
              <w:widowControl w:val="0"/>
              <w:spacing w:after="0" w:line="240" w:lineRule="auto"/>
              <w:jc w:val="center"/>
              <w:rPr>
                <w:rFonts w:ascii="Arial" w:eastAsia="Times New Roman" w:hAnsi="Arial" w:cs="Arial"/>
                <w:b/>
                <w:color w:val="000000"/>
                <w:sz w:val="24"/>
                <w:szCs w:val="24"/>
              </w:rPr>
            </w:pPr>
            <w:r w:rsidRPr="00587B71">
              <w:rPr>
                <w:rFonts w:ascii="Arial" w:eastAsia="Times New Roman" w:hAnsi="Arial" w:cs="Arial"/>
                <w:b/>
                <w:color w:val="000000"/>
                <w:sz w:val="24"/>
                <w:szCs w:val="24"/>
              </w:rPr>
              <w:t>2008</w:t>
            </w:r>
          </w:p>
        </w:tc>
        <w:tc>
          <w:tcPr>
            <w:tcW w:w="757" w:type="dxa"/>
            <w:shd w:val="clear" w:color="auto" w:fill="FFFFFF"/>
          </w:tcPr>
          <w:p w:rsidR="00587B71" w:rsidRPr="00587B71" w:rsidRDefault="00587B71" w:rsidP="00587B71">
            <w:pPr>
              <w:widowControl w:val="0"/>
              <w:spacing w:after="0" w:line="240" w:lineRule="auto"/>
              <w:jc w:val="center"/>
              <w:rPr>
                <w:rFonts w:ascii="Arial" w:eastAsia="Times New Roman" w:hAnsi="Arial" w:cs="Arial"/>
                <w:b/>
                <w:color w:val="000000"/>
                <w:sz w:val="24"/>
                <w:szCs w:val="24"/>
              </w:rPr>
            </w:pPr>
            <w:r w:rsidRPr="00587B71">
              <w:rPr>
                <w:rFonts w:ascii="Arial" w:eastAsia="Times New Roman" w:hAnsi="Arial" w:cs="Arial"/>
                <w:b/>
                <w:color w:val="000000"/>
                <w:sz w:val="24"/>
                <w:szCs w:val="24"/>
              </w:rPr>
              <w:t>2009</w:t>
            </w:r>
          </w:p>
        </w:tc>
        <w:tc>
          <w:tcPr>
            <w:tcW w:w="952" w:type="dxa"/>
            <w:shd w:val="clear" w:color="auto" w:fill="FFFFFF"/>
          </w:tcPr>
          <w:p w:rsidR="00587B71" w:rsidRPr="00587B71" w:rsidRDefault="00587B71" w:rsidP="00587B71">
            <w:pPr>
              <w:widowControl w:val="0"/>
              <w:spacing w:after="0" w:line="240" w:lineRule="auto"/>
              <w:jc w:val="center"/>
              <w:rPr>
                <w:rFonts w:ascii="Arial" w:eastAsia="Times New Roman" w:hAnsi="Arial" w:cs="Arial"/>
                <w:b/>
                <w:color w:val="000000"/>
                <w:sz w:val="24"/>
                <w:szCs w:val="24"/>
              </w:rPr>
            </w:pPr>
            <w:r w:rsidRPr="00587B71">
              <w:rPr>
                <w:rFonts w:ascii="Arial" w:eastAsia="Times New Roman" w:hAnsi="Arial" w:cs="Arial"/>
                <w:b/>
                <w:color w:val="000000"/>
                <w:sz w:val="24"/>
                <w:szCs w:val="24"/>
              </w:rPr>
              <w:t>2010</w:t>
            </w:r>
          </w:p>
        </w:tc>
        <w:tc>
          <w:tcPr>
            <w:tcW w:w="938" w:type="dxa"/>
            <w:shd w:val="clear" w:color="auto" w:fill="FFFFFF"/>
          </w:tcPr>
          <w:p w:rsidR="00587B71" w:rsidRPr="00587B71" w:rsidRDefault="00587B71" w:rsidP="00587B71">
            <w:pPr>
              <w:widowControl w:val="0"/>
              <w:spacing w:after="0" w:line="240" w:lineRule="auto"/>
              <w:jc w:val="center"/>
              <w:rPr>
                <w:rFonts w:ascii="Arial" w:eastAsia="Times New Roman" w:hAnsi="Arial" w:cs="Arial"/>
                <w:b/>
                <w:color w:val="000000"/>
                <w:sz w:val="24"/>
                <w:szCs w:val="24"/>
              </w:rPr>
            </w:pPr>
            <w:r w:rsidRPr="00587B71">
              <w:rPr>
                <w:rFonts w:ascii="Arial" w:eastAsia="Times New Roman" w:hAnsi="Arial" w:cs="Arial"/>
                <w:b/>
                <w:color w:val="000000"/>
                <w:sz w:val="24"/>
                <w:szCs w:val="24"/>
              </w:rPr>
              <w:t>2011</w:t>
            </w:r>
          </w:p>
        </w:tc>
        <w:tc>
          <w:tcPr>
            <w:tcW w:w="916" w:type="dxa"/>
            <w:shd w:val="clear" w:color="auto" w:fill="FFFFFF"/>
          </w:tcPr>
          <w:p w:rsidR="00587B71" w:rsidRPr="00587B71" w:rsidRDefault="00587B71" w:rsidP="00587B71">
            <w:pPr>
              <w:widowControl w:val="0"/>
              <w:spacing w:after="0" w:line="240" w:lineRule="auto"/>
              <w:jc w:val="center"/>
              <w:rPr>
                <w:rFonts w:ascii="Arial" w:eastAsia="Times New Roman" w:hAnsi="Arial" w:cs="Arial"/>
                <w:b/>
                <w:color w:val="000000"/>
                <w:sz w:val="24"/>
                <w:szCs w:val="24"/>
              </w:rPr>
            </w:pPr>
            <w:r w:rsidRPr="00587B71">
              <w:rPr>
                <w:rFonts w:ascii="Arial" w:eastAsia="Times New Roman" w:hAnsi="Arial" w:cs="Arial"/>
                <w:b/>
                <w:color w:val="000000"/>
                <w:sz w:val="24"/>
                <w:szCs w:val="24"/>
              </w:rPr>
              <w:t>2012</w:t>
            </w:r>
          </w:p>
        </w:tc>
        <w:tc>
          <w:tcPr>
            <w:tcW w:w="916" w:type="dxa"/>
            <w:shd w:val="clear" w:color="auto" w:fill="FFFFFF"/>
          </w:tcPr>
          <w:p w:rsidR="00587B71" w:rsidRPr="00587B71" w:rsidRDefault="00587B71" w:rsidP="00587B71">
            <w:pPr>
              <w:widowControl w:val="0"/>
              <w:spacing w:after="0" w:line="240" w:lineRule="auto"/>
              <w:jc w:val="center"/>
              <w:rPr>
                <w:rFonts w:ascii="Arial" w:eastAsia="Times New Roman" w:hAnsi="Arial" w:cs="Arial"/>
                <w:b/>
                <w:color w:val="000000"/>
                <w:sz w:val="24"/>
                <w:szCs w:val="24"/>
              </w:rPr>
            </w:pPr>
            <w:r w:rsidRPr="00587B71">
              <w:rPr>
                <w:rFonts w:ascii="Arial" w:eastAsia="Times New Roman" w:hAnsi="Arial" w:cs="Arial"/>
                <w:b/>
                <w:color w:val="000000"/>
                <w:sz w:val="24"/>
                <w:szCs w:val="24"/>
              </w:rPr>
              <w:t>2013</w:t>
            </w:r>
          </w:p>
        </w:tc>
        <w:tc>
          <w:tcPr>
            <w:tcW w:w="916" w:type="dxa"/>
            <w:shd w:val="clear" w:color="auto" w:fill="FFFFFF"/>
          </w:tcPr>
          <w:p w:rsidR="00587B71" w:rsidRPr="00587B71" w:rsidRDefault="00587B71" w:rsidP="00587B71">
            <w:pPr>
              <w:widowControl w:val="0"/>
              <w:spacing w:after="0" w:line="240" w:lineRule="auto"/>
              <w:jc w:val="center"/>
              <w:rPr>
                <w:rFonts w:ascii="Arial" w:eastAsia="Times New Roman" w:hAnsi="Arial" w:cs="Arial"/>
                <w:b/>
                <w:color w:val="000000"/>
                <w:sz w:val="24"/>
                <w:szCs w:val="24"/>
              </w:rPr>
            </w:pPr>
            <w:r w:rsidRPr="00587B71">
              <w:rPr>
                <w:rFonts w:ascii="Arial" w:eastAsia="Times New Roman" w:hAnsi="Arial" w:cs="Arial"/>
                <w:b/>
                <w:color w:val="000000"/>
                <w:sz w:val="24"/>
                <w:szCs w:val="24"/>
              </w:rPr>
              <w:t>2014</w:t>
            </w:r>
          </w:p>
        </w:tc>
        <w:tc>
          <w:tcPr>
            <w:tcW w:w="916" w:type="dxa"/>
            <w:shd w:val="clear" w:color="auto" w:fill="FFFFFF"/>
          </w:tcPr>
          <w:p w:rsidR="00587B71" w:rsidRPr="00587B71" w:rsidRDefault="00354461" w:rsidP="00587B71">
            <w:pPr>
              <w:widowControl w:val="0"/>
              <w:spacing w:after="0" w:line="240" w:lineRule="auto"/>
              <w:jc w:val="center"/>
              <w:rPr>
                <w:rFonts w:ascii="Arial" w:eastAsia="Times New Roman" w:hAnsi="Arial" w:cs="Arial"/>
                <w:b/>
                <w:color w:val="000000"/>
                <w:sz w:val="24"/>
                <w:szCs w:val="24"/>
              </w:rPr>
            </w:pPr>
            <w:r>
              <w:rPr>
                <w:rFonts w:ascii="Arial" w:eastAsia="Times New Roman" w:hAnsi="Arial" w:cs="Arial"/>
                <w:b/>
                <w:color w:val="000000"/>
                <w:sz w:val="24"/>
                <w:szCs w:val="24"/>
              </w:rPr>
              <w:t>2015</w:t>
            </w:r>
          </w:p>
        </w:tc>
      </w:tr>
      <w:tr w:rsidR="00587B71" w:rsidRPr="00587B71" w:rsidTr="00587B71">
        <w:tc>
          <w:tcPr>
            <w:tcW w:w="824" w:type="dxa"/>
            <w:shd w:val="clear" w:color="auto" w:fill="auto"/>
            <w:tcMar>
              <w:left w:w="11" w:type="dxa"/>
              <w:right w:w="11" w:type="dxa"/>
            </w:tcMar>
            <w:vAlign w:val="center"/>
          </w:tcPr>
          <w:p w:rsidR="00587B71" w:rsidRPr="00587B71" w:rsidRDefault="00587B71" w:rsidP="00587B71">
            <w:pPr>
              <w:widowControl w:val="0"/>
              <w:spacing w:after="0" w:line="240" w:lineRule="auto"/>
              <w:ind w:left="22"/>
              <w:jc w:val="center"/>
              <w:rPr>
                <w:rFonts w:ascii="Arial" w:eastAsia="Times New Roman" w:hAnsi="Arial" w:cs="Arial"/>
                <w:color w:val="000000"/>
                <w:sz w:val="24"/>
                <w:szCs w:val="24"/>
              </w:rPr>
            </w:pPr>
            <w:r w:rsidRPr="00587B71">
              <w:rPr>
                <w:rFonts w:ascii="Arial" w:eastAsia="Times New Roman" w:hAnsi="Arial" w:cs="Arial"/>
                <w:color w:val="000000"/>
                <w:sz w:val="24"/>
                <w:szCs w:val="24"/>
              </w:rPr>
              <w:t>Vaslui</w:t>
            </w:r>
          </w:p>
        </w:tc>
        <w:tc>
          <w:tcPr>
            <w:tcW w:w="941" w:type="dxa"/>
            <w:shd w:val="clear" w:color="auto" w:fill="FFFFFF"/>
          </w:tcPr>
          <w:p w:rsidR="00587B71" w:rsidRPr="00587B71" w:rsidRDefault="00587B71" w:rsidP="00587B71">
            <w:pPr>
              <w:tabs>
                <w:tab w:val="center" w:pos="4680"/>
                <w:tab w:val="right" w:pos="9360"/>
              </w:tabs>
              <w:spacing w:after="0" w:line="264" w:lineRule="auto"/>
              <w:ind w:right="28"/>
              <w:jc w:val="center"/>
              <w:rPr>
                <w:rFonts w:ascii="Arial" w:eastAsia="Times New Roman" w:hAnsi="Arial" w:cs="Arial"/>
                <w:bCs/>
                <w:color w:val="000000"/>
                <w:sz w:val="24"/>
                <w:szCs w:val="24"/>
                <w:lang w:val="ro-RO"/>
              </w:rPr>
            </w:pPr>
            <w:r w:rsidRPr="00587B71">
              <w:rPr>
                <w:rFonts w:ascii="Arial" w:eastAsia="Times New Roman" w:hAnsi="Arial" w:cs="Arial"/>
                <w:bCs/>
                <w:color w:val="000000"/>
                <w:sz w:val="24"/>
                <w:szCs w:val="24"/>
                <w:lang w:val="ro-RO"/>
              </w:rPr>
              <w:t>0.0117</w:t>
            </w:r>
          </w:p>
        </w:tc>
        <w:tc>
          <w:tcPr>
            <w:tcW w:w="912" w:type="dxa"/>
            <w:shd w:val="clear" w:color="auto" w:fill="FFFFFF"/>
          </w:tcPr>
          <w:p w:rsidR="00587B71" w:rsidRPr="00587B71" w:rsidRDefault="00587B71" w:rsidP="00587B71">
            <w:pPr>
              <w:spacing w:after="0" w:line="240" w:lineRule="auto"/>
              <w:ind w:left="22"/>
              <w:jc w:val="center"/>
              <w:rPr>
                <w:rFonts w:ascii="Arial" w:eastAsia="Times New Roman" w:hAnsi="Arial" w:cs="Arial"/>
                <w:color w:val="000000"/>
                <w:sz w:val="24"/>
                <w:szCs w:val="24"/>
              </w:rPr>
            </w:pPr>
            <w:r w:rsidRPr="00587B71">
              <w:rPr>
                <w:rFonts w:ascii="Arial" w:eastAsia="Times New Roman" w:hAnsi="Arial" w:cs="Arial"/>
                <w:color w:val="000000"/>
                <w:sz w:val="24"/>
                <w:szCs w:val="24"/>
              </w:rPr>
              <w:t>0.00914</w:t>
            </w:r>
          </w:p>
        </w:tc>
        <w:tc>
          <w:tcPr>
            <w:tcW w:w="757" w:type="dxa"/>
            <w:shd w:val="clear" w:color="auto" w:fill="FFFFFF"/>
          </w:tcPr>
          <w:p w:rsidR="00587B71" w:rsidRPr="00587B71" w:rsidRDefault="00587B71" w:rsidP="00587B71">
            <w:pPr>
              <w:spacing w:after="0" w:line="240" w:lineRule="auto"/>
              <w:rPr>
                <w:rFonts w:ascii="Arial" w:eastAsia="Times New Roman" w:hAnsi="Arial" w:cs="Arial"/>
                <w:color w:val="000000"/>
                <w:sz w:val="24"/>
                <w:szCs w:val="24"/>
              </w:rPr>
            </w:pPr>
            <w:r w:rsidRPr="00587B71">
              <w:rPr>
                <w:rFonts w:ascii="Arial" w:eastAsia="Times New Roman" w:hAnsi="Arial" w:cs="Arial"/>
                <w:color w:val="000000"/>
                <w:sz w:val="24"/>
                <w:szCs w:val="24"/>
              </w:rPr>
              <w:t>0.0003</w:t>
            </w:r>
          </w:p>
        </w:tc>
        <w:tc>
          <w:tcPr>
            <w:tcW w:w="952" w:type="dxa"/>
            <w:shd w:val="clear" w:color="auto" w:fill="FFFFFF"/>
          </w:tcPr>
          <w:p w:rsidR="00587B71" w:rsidRPr="00587B71" w:rsidRDefault="00587B71" w:rsidP="00587B71">
            <w:pPr>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0.00099</w:t>
            </w:r>
          </w:p>
        </w:tc>
        <w:tc>
          <w:tcPr>
            <w:tcW w:w="938" w:type="dxa"/>
            <w:shd w:val="clear" w:color="auto" w:fill="FFFFFF"/>
          </w:tcPr>
          <w:p w:rsidR="00587B71" w:rsidRPr="00587B71" w:rsidRDefault="00587B71" w:rsidP="00587B71">
            <w:pPr>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0.0365</w:t>
            </w:r>
          </w:p>
        </w:tc>
        <w:tc>
          <w:tcPr>
            <w:tcW w:w="916" w:type="dxa"/>
            <w:shd w:val="clear" w:color="auto" w:fill="FFFFFF"/>
          </w:tcPr>
          <w:p w:rsidR="00587B71" w:rsidRPr="00587B71" w:rsidRDefault="00587B71" w:rsidP="00587B71">
            <w:pPr>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0.573</w:t>
            </w:r>
          </w:p>
        </w:tc>
        <w:tc>
          <w:tcPr>
            <w:tcW w:w="916" w:type="dxa"/>
            <w:shd w:val="clear" w:color="auto" w:fill="FFFFFF"/>
          </w:tcPr>
          <w:p w:rsidR="00587B71" w:rsidRPr="00587B71" w:rsidRDefault="00587B71" w:rsidP="00587B71">
            <w:pPr>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0,205</w:t>
            </w:r>
          </w:p>
        </w:tc>
        <w:tc>
          <w:tcPr>
            <w:tcW w:w="916" w:type="dxa"/>
            <w:shd w:val="clear" w:color="auto" w:fill="FFFFFF"/>
          </w:tcPr>
          <w:p w:rsidR="00587B71" w:rsidRPr="00587B71" w:rsidRDefault="00587B71" w:rsidP="00587B71">
            <w:pPr>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0,1005</w:t>
            </w:r>
          </w:p>
        </w:tc>
        <w:tc>
          <w:tcPr>
            <w:tcW w:w="916" w:type="dxa"/>
            <w:shd w:val="clear" w:color="auto" w:fill="FFFFFF"/>
          </w:tcPr>
          <w:p w:rsidR="00587B71" w:rsidRPr="00587B71" w:rsidRDefault="007F5E86" w:rsidP="00587B71">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0.124</w:t>
            </w:r>
          </w:p>
        </w:tc>
      </w:tr>
    </w:tbl>
    <w:p w:rsidR="00587B71" w:rsidRPr="00587B71" w:rsidRDefault="00587B71" w:rsidP="00587B71">
      <w:pPr>
        <w:spacing w:after="0" w:line="240" w:lineRule="auto"/>
        <w:jc w:val="center"/>
        <w:rPr>
          <w:rFonts w:ascii="Arial" w:eastAsia="Times New Roman" w:hAnsi="Arial" w:cs="Arial"/>
          <w:iCs/>
          <w:color w:val="FF0000"/>
          <w:sz w:val="24"/>
          <w:szCs w:val="24"/>
          <w:lang w:val="ro-RO"/>
        </w:rPr>
      </w:pPr>
      <w:r>
        <w:rPr>
          <w:rFonts w:ascii="Arial" w:eastAsia="Times New Roman" w:hAnsi="Arial" w:cs="Arial"/>
          <w:iCs/>
          <w:noProof/>
          <w:color w:val="FF0000"/>
          <w:sz w:val="24"/>
          <w:szCs w:val="24"/>
        </w:rPr>
        <w:drawing>
          <wp:inline distT="0" distB="0" distL="0" distR="0">
            <wp:extent cx="5029200" cy="1504950"/>
            <wp:effectExtent l="0" t="0" r="0" b="0"/>
            <wp:docPr id="164" name="Chart 1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87B71" w:rsidRPr="00587B71" w:rsidRDefault="00587B71" w:rsidP="00587B71">
      <w:pPr>
        <w:spacing w:after="0" w:line="240" w:lineRule="auto"/>
        <w:jc w:val="center"/>
        <w:rPr>
          <w:rFonts w:ascii="Arial" w:eastAsia="Times New Roman" w:hAnsi="Arial" w:cs="Arial"/>
          <w:iCs/>
          <w:color w:val="000000"/>
          <w:sz w:val="24"/>
          <w:szCs w:val="24"/>
          <w:lang w:val="ro-RO"/>
        </w:rPr>
      </w:pPr>
      <w:r w:rsidRPr="00587B71">
        <w:rPr>
          <w:rFonts w:ascii="Arial" w:eastAsia="Times New Roman" w:hAnsi="Arial" w:cs="Arial"/>
          <w:iCs/>
          <w:color w:val="000000"/>
          <w:sz w:val="24"/>
          <w:szCs w:val="24"/>
          <w:lang w:val="ro-RO"/>
        </w:rPr>
        <w:t>Figur</w:t>
      </w:r>
      <w:r w:rsidR="00960090">
        <w:rPr>
          <w:rFonts w:ascii="Arial" w:eastAsia="Times New Roman" w:hAnsi="Arial" w:cs="Arial"/>
          <w:iCs/>
          <w:color w:val="000000"/>
          <w:sz w:val="24"/>
          <w:szCs w:val="24"/>
          <w:lang w:val="ro-RO"/>
        </w:rPr>
        <w:t>a. I.25. Emisii anuale de plumb</w:t>
      </w:r>
    </w:p>
    <w:p w:rsidR="00587B71" w:rsidRPr="00587B71" w:rsidRDefault="00587B71" w:rsidP="00587B71">
      <w:pPr>
        <w:spacing w:after="0" w:line="240" w:lineRule="auto"/>
        <w:jc w:val="center"/>
        <w:rPr>
          <w:rFonts w:ascii="Arial" w:eastAsia="Times New Roman" w:hAnsi="Arial" w:cs="Arial"/>
          <w:iCs/>
          <w:color w:val="000000"/>
          <w:sz w:val="24"/>
          <w:szCs w:val="24"/>
          <w:lang w:val="ro-RO"/>
        </w:rPr>
      </w:pPr>
    </w:p>
    <w:p w:rsidR="00587B71" w:rsidRPr="00587B71" w:rsidRDefault="00587B71" w:rsidP="00587B71">
      <w:pPr>
        <w:spacing w:after="0" w:line="240" w:lineRule="auto"/>
        <w:jc w:val="center"/>
        <w:rPr>
          <w:rFonts w:ascii="Arial" w:eastAsia="Arial Unicode MS" w:hAnsi="Arial" w:cs="Arial Unicode MS"/>
          <w:color w:val="FF0000"/>
          <w:sz w:val="24"/>
          <w:szCs w:val="24"/>
          <w:lang w:val="ro-RO" w:eastAsia="ro-RO"/>
        </w:rPr>
      </w:pPr>
      <w:r>
        <w:rPr>
          <w:rFonts w:ascii="Arial" w:eastAsia="Arial Unicode MS" w:hAnsi="Arial" w:cs="Arial Unicode MS"/>
          <w:noProof/>
          <w:color w:val="FF0000"/>
          <w:sz w:val="24"/>
          <w:szCs w:val="24"/>
        </w:rPr>
        <w:drawing>
          <wp:inline distT="0" distB="0" distL="0" distR="0">
            <wp:extent cx="5895975" cy="1638300"/>
            <wp:effectExtent l="0" t="0" r="0" b="0"/>
            <wp:docPr id="163" name="Chart 16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87B71" w:rsidRPr="00587B71" w:rsidRDefault="00587B71" w:rsidP="00587B71">
      <w:pPr>
        <w:spacing w:after="0" w:line="240" w:lineRule="auto"/>
        <w:jc w:val="center"/>
        <w:rPr>
          <w:rFonts w:ascii="Arial" w:eastAsia="Arial Unicode MS" w:hAnsi="Arial" w:cs="Arial Unicode MS"/>
          <w:color w:val="000000"/>
          <w:sz w:val="24"/>
          <w:szCs w:val="24"/>
          <w:lang w:val="ro-RO" w:eastAsia="ro-RO"/>
        </w:rPr>
      </w:pPr>
      <w:r w:rsidRPr="00587B71">
        <w:rPr>
          <w:rFonts w:ascii="Arial" w:eastAsia="Arial Unicode MS" w:hAnsi="Arial" w:cs="Arial Unicode MS"/>
          <w:color w:val="000000"/>
          <w:sz w:val="24"/>
          <w:szCs w:val="24"/>
          <w:lang w:val="ro-RO" w:eastAsia="ro-RO"/>
        </w:rPr>
        <w:t>Figura. I.26. Contribuţia sectoarelor de activitate la</w:t>
      </w:r>
      <w:r w:rsidR="002C0DB1">
        <w:rPr>
          <w:rFonts w:ascii="Arial" w:eastAsia="Arial Unicode MS" w:hAnsi="Arial" w:cs="Arial Unicode MS"/>
          <w:color w:val="000000"/>
          <w:sz w:val="24"/>
          <w:szCs w:val="24"/>
          <w:lang w:val="ro-RO" w:eastAsia="ro-RO"/>
        </w:rPr>
        <w:t xml:space="preserve"> emisiile de plumb în anul 2015</w:t>
      </w:r>
    </w:p>
    <w:p w:rsidR="002A2821" w:rsidRDefault="002A2821" w:rsidP="00587B71">
      <w:pPr>
        <w:spacing w:after="0" w:line="240" w:lineRule="auto"/>
        <w:jc w:val="both"/>
        <w:rPr>
          <w:rFonts w:ascii="Arial" w:eastAsia="Times New Roman" w:hAnsi="Arial" w:cs="Arial"/>
          <w:b/>
          <w:i/>
          <w:iCs/>
          <w:color w:val="000000"/>
          <w:sz w:val="24"/>
          <w:szCs w:val="24"/>
          <w:lang w:val="ro-RO"/>
        </w:rPr>
      </w:pPr>
    </w:p>
    <w:p w:rsidR="00587B71" w:rsidRPr="00587B71" w:rsidRDefault="00587B71" w:rsidP="00587B71">
      <w:pPr>
        <w:spacing w:after="0" w:line="240" w:lineRule="auto"/>
        <w:jc w:val="both"/>
        <w:rPr>
          <w:rFonts w:ascii="Arial" w:eastAsia="Times New Roman" w:hAnsi="Arial" w:cs="Arial"/>
          <w:b/>
          <w:i/>
          <w:iCs/>
          <w:color w:val="000000"/>
          <w:sz w:val="24"/>
          <w:szCs w:val="24"/>
          <w:lang w:val="ro-RO"/>
        </w:rPr>
      </w:pPr>
      <w:r w:rsidRPr="00587B71">
        <w:rPr>
          <w:rFonts w:ascii="Arial" w:eastAsia="Times New Roman" w:hAnsi="Arial" w:cs="Arial"/>
          <w:b/>
          <w:i/>
          <w:iCs/>
          <w:color w:val="000000"/>
          <w:sz w:val="24"/>
          <w:szCs w:val="24"/>
          <w:lang w:val="ro-RO"/>
        </w:rPr>
        <w:t>Emisii de poluanţi organici pesistenţi</w:t>
      </w:r>
    </w:p>
    <w:p w:rsidR="00587B71" w:rsidRPr="00587B71" w:rsidRDefault="00587B71" w:rsidP="00587B71">
      <w:pPr>
        <w:spacing w:after="0" w:line="240" w:lineRule="auto"/>
        <w:jc w:val="both"/>
        <w:rPr>
          <w:rFonts w:ascii="Arial" w:eastAsia="Times New Roman" w:hAnsi="Arial" w:cs="Arial"/>
          <w:b/>
          <w:iCs/>
          <w:color w:val="FF0000"/>
          <w:sz w:val="24"/>
          <w:szCs w:val="24"/>
          <w:lang w:val="ro-RO"/>
        </w:rPr>
      </w:pPr>
    </w:p>
    <w:p w:rsidR="00587B71" w:rsidRPr="00587B71" w:rsidRDefault="00587B71" w:rsidP="00587B71">
      <w:pPr>
        <w:spacing w:after="0" w:line="240" w:lineRule="auto"/>
        <w:ind w:firstLine="720"/>
        <w:jc w:val="both"/>
        <w:rPr>
          <w:rFonts w:ascii="Arial" w:eastAsia="Times New Roman" w:hAnsi="Arial" w:cs="Arial"/>
          <w:iCs/>
          <w:color w:val="000000"/>
          <w:sz w:val="24"/>
          <w:szCs w:val="24"/>
          <w:lang w:val="ro-RO"/>
        </w:rPr>
      </w:pPr>
      <w:r w:rsidRPr="00587B71">
        <w:rPr>
          <w:rFonts w:ascii="Arial" w:eastAsia="Times New Roman" w:hAnsi="Arial" w:cs="Arial"/>
          <w:color w:val="333333"/>
          <w:sz w:val="24"/>
          <w:szCs w:val="24"/>
        </w:rPr>
        <w:t>Poluanţii organici persitenţi (POPs) sunt substanţe chimice persistente în mediu, care se bioacumulează prin lanţuri trofice şi reprezintă un risc din cauza efectelor adverse asupra sănătăţii oamenilor şi asupra mediului înconjurător.</w:t>
      </w:r>
      <w:r w:rsidRPr="00587B71">
        <w:rPr>
          <w:rFonts w:ascii="Arial" w:eastAsia="Times New Roman" w:hAnsi="Arial" w:cs="Arial"/>
          <w:iCs/>
          <w:color w:val="000000"/>
          <w:sz w:val="24"/>
          <w:szCs w:val="24"/>
          <w:lang w:val="ro-RO"/>
        </w:rPr>
        <w:t xml:space="preserve"> Sursele emisiilor de POPs se regăsesc în patru sectoare economice importante: agricultură, industrie, transporturi şi energie, la care se pot adăuga alte surse ce includ aşezările umane cu depozite de deşeuri şi crematorii ale deşeurilor medicale.</w:t>
      </w:r>
    </w:p>
    <w:p w:rsidR="00587B71" w:rsidRPr="00587B71" w:rsidRDefault="00587B71" w:rsidP="00587B71">
      <w:pPr>
        <w:spacing w:after="0" w:line="240" w:lineRule="auto"/>
        <w:ind w:firstLine="720"/>
        <w:jc w:val="both"/>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Poluanţii Organici Persistenţi (POPs) care sunt nominalizaţi, la scară mondială, ca nocivi pentru om şi mediu sunt:</w:t>
      </w:r>
    </w:p>
    <w:p w:rsidR="00587B71" w:rsidRPr="00587B71" w:rsidRDefault="00587B71" w:rsidP="00587B71">
      <w:pPr>
        <w:numPr>
          <w:ilvl w:val="0"/>
          <w:numId w:val="4"/>
        </w:numPr>
        <w:spacing w:after="0" w:line="240" w:lineRule="auto"/>
        <w:jc w:val="both"/>
        <w:rPr>
          <w:rFonts w:ascii="Arial" w:eastAsia="Times New Roman" w:hAnsi="Arial" w:cs="Arial"/>
          <w:bCs/>
          <w:i/>
          <w:iCs/>
          <w:color w:val="000000"/>
          <w:sz w:val="24"/>
          <w:szCs w:val="24"/>
          <w:lang w:val="ro-RO"/>
        </w:rPr>
      </w:pPr>
      <w:r w:rsidRPr="00587B71">
        <w:rPr>
          <w:rFonts w:ascii="Arial" w:eastAsia="Times New Roman" w:hAnsi="Arial" w:cs="Arial"/>
          <w:bCs/>
          <w:i/>
          <w:iCs/>
          <w:color w:val="000000"/>
          <w:sz w:val="24"/>
          <w:szCs w:val="24"/>
          <w:lang w:val="ro-RO"/>
        </w:rPr>
        <w:t xml:space="preserve">pesticide: </w:t>
      </w:r>
      <w:r w:rsidRPr="00587B71">
        <w:rPr>
          <w:rFonts w:ascii="Arial" w:eastAsia="Times New Roman" w:hAnsi="Arial" w:cs="Arial"/>
          <w:bCs/>
          <w:iCs/>
          <w:color w:val="000000"/>
          <w:sz w:val="24"/>
          <w:szCs w:val="24"/>
          <w:lang w:val="ro-RO"/>
        </w:rPr>
        <w:t>a</w:t>
      </w:r>
      <w:r w:rsidRPr="00587B71">
        <w:rPr>
          <w:rFonts w:ascii="Arial" w:eastAsia="Times New Roman" w:hAnsi="Arial" w:cs="Arial"/>
          <w:color w:val="000000"/>
          <w:sz w:val="24"/>
          <w:szCs w:val="24"/>
          <w:lang w:val="ro-RO"/>
        </w:rPr>
        <w:t>ldrin;</w:t>
      </w:r>
      <w:r w:rsidRPr="00587B71">
        <w:rPr>
          <w:rFonts w:ascii="Arial" w:eastAsia="Times New Roman" w:hAnsi="Arial" w:cs="Arial"/>
          <w:bCs/>
          <w:iCs/>
          <w:color w:val="000000"/>
          <w:sz w:val="24"/>
          <w:szCs w:val="24"/>
          <w:lang w:val="ro-RO"/>
        </w:rPr>
        <w:t xml:space="preserve"> c</w:t>
      </w:r>
      <w:r w:rsidRPr="00587B71">
        <w:rPr>
          <w:rFonts w:ascii="Arial" w:eastAsia="Times New Roman" w:hAnsi="Arial" w:cs="Arial"/>
          <w:color w:val="000000"/>
          <w:sz w:val="24"/>
          <w:szCs w:val="24"/>
          <w:lang w:val="ro-RO"/>
        </w:rPr>
        <w:t>lordan;</w:t>
      </w:r>
      <w:r w:rsidRPr="00587B71">
        <w:rPr>
          <w:rFonts w:ascii="Arial" w:eastAsia="Times New Roman" w:hAnsi="Arial" w:cs="Arial"/>
          <w:bCs/>
          <w:iCs/>
          <w:color w:val="000000"/>
          <w:sz w:val="24"/>
          <w:szCs w:val="24"/>
          <w:lang w:val="ro-RO"/>
        </w:rPr>
        <w:t xml:space="preserve"> </w:t>
      </w:r>
      <w:r w:rsidRPr="00587B71">
        <w:rPr>
          <w:rFonts w:ascii="Arial" w:eastAsia="Times New Roman" w:hAnsi="Arial" w:cs="Arial"/>
          <w:color w:val="000000"/>
          <w:sz w:val="24"/>
          <w:szCs w:val="24"/>
          <w:lang w:val="ro-RO"/>
        </w:rPr>
        <w:t>DDT;</w:t>
      </w:r>
      <w:r w:rsidRPr="00587B71">
        <w:rPr>
          <w:rFonts w:ascii="Arial" w:eastAsia="Times New Roman" w:hAnsi="Arial" w:cs="Arial"/>
          <w:bCs/>
          <w:iCs/>
          <w:color w:val="000000"/>
          <w:sz w:val="24"/>
          <w:szCs w:val="24"/>
          <w:lang w:val="ro-RO"/>
        </w:rPr>
        <w:t xml:space="preserve"> d</w:t>
      </w:r>
      <w:r w:rsidRPr="00587B71">
        <w:rPr>
          <w:rFonts w:ascii="Arial" w:eastAsia="Times New Roman" w:hAnsi="Arial" w:cs="Arial"/>
          <w:color w:val="000000"/>
          <w:sz w:val="24"/>
          <w:szCs w:val="24"/>
          <w:lang w:val="ro-RO"/>
        </w:rPr>
        <w:t>ieldrin;</w:t>
      </w:r>
      <w:r w:rsidRPr="00587B71">
        <w:rPr>
          <w:rFonts w:ascii="Arial" w:eastAsia="Times New Roman" w:hAnsi="Arial" w:cs="Arial"/>
          <w:bCs/>
          <w:iCs/>
          <w:color w:val="000000"/>
          <w:sz w:val="24"/>
          <w:szCs w:val="24"/>
          <w:lang w:val="ro-RO"/>
        </w:rPr>
        <w:t xml:space="preserve"> e</w:t>
      </w:r>
      <w:r w:rsidRPr="00587B71">
        <w:rPr>
          <w:rFonts w:ascii="Arial" w:eastAsia="Times New Roman" w:hAnsi="Arial" w:cs="Arial"/>
          <w:color w:val="000000"/>
          <w:sz w:val="24"/>
          <w:szCs w:val="24"/>
          <w:lang w:val="ro-RO"/>
        </w:rPr>
        <w:t>ndrin;</w:t>
      </w:r>
      <w:r w:rsidRPr="00587B71">
        <w:rPr>
          <w:rFonts w:ascii="Arial" w:eastAsia="Times New Roman" w:hAnsi="Arial" w:cs="Arial"/>
          <w:bCs/>
          <w:iCs/>
          <w:color w:val="000000"/>
          <w:sz w:val="24"/>
          <w:szCs w:val="24"/>
          <w:lang w:val="ro-RO"/>
        </w:rPr>
        <w:t xml:space="preserve"> h</w:t>
      </w:r>
      <w:r w:rsidRPr="00587B71">
        <w:rPr>
          <w:rFonts w:ascii="Arial" w:eastAsia="Times New Roman" w:hAnsi="Arial" w:cs="Arial"/>
          <w:color w:val="000000"/>
          <w:sz w:val="24"/>
          <w:szCs w:val="24"/>
          <w:lang w:val="ro-RO"/>
        </w:rPr>
        <w:t>eptaclor;mirex;toxafen.</w:t>
      </w:r>
    </w:p>
    <w:p w:rsidR="00587B71" w:rsidRPr="00587B71" w:rsidRDefault="00587B71" w:rsidP="00587B71">
      <w:pPr>
        <w:numPr>
          <w:ilvl w:val="0"/>
          <w:numId w:val="4"/>
        </w:numPr>
        <w:spacing w:after="0" w:line="240" w:lineRule="auto"/>
        <w:jc w:val="both"/>
        <w:rPr>
          <w:rFonts w:ascii="Arial" w:eastAsia="Times New Roman" w:hAnsi="Arial" w:cs="Arial"/>
          <w:bCs/>
          <w:i/>
          <w:iCs/>
          <w:color w:val="000000"/>
          <w:sz w:val="24"/>
          <w:szCs w:val="24"/>
          <w:lang w:val="ro-RO"/>
        </w:rPr>
      </w:pPr>
      <w:r w:rsidRPr="00587B71">
        <w:rPr>
          <w:rFonts w:ascii="Arial" w:eastAsia="Times New Roman" w:hAnsi="Arial" w:cs="Arial"/>
          <w:bCs/>
          <w:i/>
          <w:iCs/>
          <w:color w:val="000000"/>
          <w:sz w:val="24"/>
          <w:szCs w:val="24"/>
          <w:lang w:val="ro-RO"/>
        </w:rPr>
        <w:t xml:space="preserve">produse chimice industriale: </w:t>
      </w:r>
      <w:r w:rsidRPr="00587B71">
        <w:rPr>
          <w:rFonts w:ascii="Arial" w:eastAsia="Times New Roman" w:hAnsi="Arial" w:cs="Arial"/>
          <w:bCs/>
          <w:iCs/>
          <w:color w:val="000000"/>
          <w:sz w:val="24"/>
          <w:szCs w:val="24"/>
          <w:lang w:val="ro-RO"/>
        </w:rPr>
        <w:t>h</w:t>
      </w:r>
      <w:r w:rsidRPr="00587B71">
        <w:rPr>
          <w:rFonts w:ascii="Arial" w:eastAsia="Times New Roman" w:hAnsi="Arial" w:cs="Arial"/>
          <w:color w:val="000000"/>
          <w:sz w:val="24"/>
          <w:szCs w:val="24"/>
          <w:lang w:val="ro-RO"/>
        </w:rPr>
        <w:t>exaclorbenzen (HCB);</w:t>
      </w:r>
      <w:r w:rsidRPr="00587B71">
        <w:rPr>
          <w:rFonts w:ascii="Arial" w:eastAsia="Times New Roman" w:hAnsi="Arial" w:cs="Arial"/>
          <w:bCs/>
          <w:i/>
          <w:iCs/>
          <w:color w:val="000000"/>
          <w:sz w:val="24"/>
          <w:szCs w:val="24"/>
          <w:lang w:val="ro-RO"/>
        </w:rPr>
        <w:t xml:space="preserve"> </w:t>
      </w:r>
      <w:r w:rsidRPr="00587B71">
        <w:rPr>
          <w:rFonts w:ascii="Arial" w:eastAsia="Times New Roman" w:hAnsi="Arial" w:cs="Arial"/>
          <w:bCs/>
          <w:iCs/>
          <w:color w:val="000000"/>
          <w:sz w:val="24"/>
          <w:szCs w:val="24"/>
          <w:lang w:val="ro-RO"/>
        </w:rPr>
        <w:t>b</w:t>
      </w:r>
      <w:r w:rsidRPr="00587B71">
        <w:rPr>
          <w:rFonts w:ascii="Arial" w:eastAsia="Times New Roman" w:hAnsi="Arial" w:cs="Arial"/>
          <w:color w:val="000000"/>
          <w:sz w:val="24"/>
          <w:szCs w:val="24"/>
          <w:lang w:val="ro-RO"/>
        </w:rPr>
        <w:t>ifenilicloruraţi (PCB);</w:t>
      </w:r>
    </w:p>
    <w:p w:rsidR="00587B71" w:rsidRPr="00587B71" w:rsidRDefault="00587B71" w:rsidP="00587B71">
      <w:pPr>
        <w:numPr>
          <w:ilvl w:val="0"/>
          <w:numId w:val="4"/>
        </w:numPr>
        <w:spacing w:after="0" w:line="240" w:lineRule="auto"/>
        <w:jc w:val="both"/>
        <w:rPr>
          <w:rFonts w:ascii="Arial" w:eastAsia="Times New Roman" w:hAnsi="Arial" w:cs="Arial"/>
          <w:color w:val="000000"/>
          <w:sz w:val="24"/>
          <w:szCs w:val="24"/>
        </w:rPr>
      </w:pPr>
      <w:r w:rsidRPr="00587B71">
        <w:rPr>
          <w:rFonts w:ascii="Arial" w:eastAsia="Times New Roman" w:hAnsi="Arial" w:cs="Arial"/>
          <w:bCs/>
          <w:i/>
          <w:iCs/>
          <w:color w:val="000000"/>
          <w:sz w:val="24"/>
          <w:szCs w:val="24"/>
        </w:rPr>
        <w:t>subproduse:</w:t>
      </w:r>
      <w:r w:rsidRPr="00587B71">
        <w:rPr>
          <w:rFonts w:ascii="Arial" w:eastAsia="Times New Roman" w:hAnsi="Arial" w:cs="Arial"/>
          <w:b/>
          <w:bCs/>
          <w:i/>
          <w:iCs/>
          <w:color w:val="000000"/>
          <w:sz w:val="24"/>
          <w:szCs w:val="24"/>
        </w:rPr>
        <w:t xml:space="preserve"> </w:t>
      </w:r>
      <w:r w:rsidRPr="00587B71">
        <w:rPr>
          <w:rFonts w:ascii="Arial" w:eastAsia="Times New Roman" w:hAnsi="Arial" w:cs="Arial"/>
          <w:bCs/>
          <w:iCs/>
          <w:color w:val="000000"/>
          <w:sz w:val="24"/>
          <w:szCs w:val="24"/>
        </w:rPr>
        <w:t>d</w:t>
      </w:r>
      <w:r w:rsidRPr="00587B71">
        <w:rPr>
          <w:rFonts w:ascii="Arial" w:eastAsia="Times New Roman" w:hAnsi="Arial" w:cs="Arial"/>
          <w:color w:val="000000"/>
          <w:sz w:val="24"/>
          <w:szCs w:val="24"/>
        </w:rPr>
        <w:t>ioxine; furani.</w:t>
      </w:r>
    </w:p>
    <w:p w:rsidR="00587B71" w:rsidRPr="00587B71" w:rsidRDefault="00587B71" w:rsidP="00587B71">
      <w:pPr>
        <w:spacing w:after="0" w:line="240" w:lineRule="auto"/>
        <w:ind w:firstLine="720"/>
        <w:jc w:val="both"/>
        <w:rPr>
          <w:rFonts w:ascii="Arial" w:eastAsia="Times New Roman" w:hAnsi="Arial" w:cs="Arial"/>
          <w:color w:val="000000"/>
          <w:sz w:val="24"/>
          <w:szCs w:val="24"/>
          <w:lang w:val="fr-FR"/>
        </w:rPr>
      </w:pPr>
      <w:r w:rsidRPr="00587B71">
        <w:rPr>
          <w:rFonts w:ascii="Arial" w:eastAsia="Times New Roman" w:hAnsi="Arial" w:cs="Arial"/>
          <w:color w:val="000000"/>
          <w:sz w:val="24"/>
          <w:szCs w:val="24"/>
          <w:lang w:val="fr-FR"/>
        </w:rPr>
        <w:t>La nivelul judeţului Vaslui, aceste emisii nu sunt monitorizate permanent. Inventarul emisiilor la nivel de judeţ permite prezentarea următoarei sinteze privind acest tip de emisii :</w:t>
      </w:r>
    </w:p>
    <w:p w:rsidR="00587B71" w:rsidRPr="00587B71" w:rsidRDefault="00587B71" w:rsidP="00587B71">
      <w:pPr>
        <w:spacing w:after="0" w:line="240" w:lineRule="auto"/>
        <w:jc w:val="both"/>
        <w:rPr>
          <w:rFonts w:ascii="Arial" w:eastAsia="Times New Roman" w:hAnsi="Arial" w:cs="Arial"/>
          <w:color w:val="000000"/>
          <w:sz w:val="24"/>
          <w:szCs w:val="24"/>
        </w:rPr>
      </w:pPr>
      <w:r w:rsidRPr="00587B71">
        <w:rPr>
          <w:rFonts w:ascii="Arial" w:eastAsia="Times New Roman" w:hAnsi="Arial" w:cs="Arial"/>
          <w:iCs/>
          <w:color w:val="FF0000"/>
          <w:sz w:val="24"/>
          <w:szCs w:val="24"/>
          <w:lang w:val="ro-RO"/>
        </w:rPr>
        <w:t xml:space="preserve"> </w:t>
      </w:r>
      <w:r w:rsidRPr="00587B71">
        <w:rPr>
          <w:rFonts w:ascii="Arial" w:eastAsia="Times New Roman" w:hAnsi="Arial" w:cs="Arial"/>
          <w:iCs/>
          <w:color w:val="FF0000"/>
          <w:sz w:val="24"/>
          <w:szCs w:val="24"/>
          <w:lang w:val="ro-RO"/>
        </w:rPr>
        <w:tab/>
      </w:r>
      <w:r w:rsidRPr="00587B71">
        <w:rPr>
          <w:rFonts w:ascii="Arial" w:eastAsia="Times New Roman" w:hAnsi="Arial" w:cs="Arial"/>
          <w:color w:val="000000"/>
          <w:sz w:val="24"/>
          <w:szCs w:val="24"/>
        </w:rPr>
        <w:t xml:space="preserve">Hidrocarburile aromatice policiclice (PAH) sunt o clasă de substanţe organice formate din două sau mai multe inele aromatice legate. </w:t>
      </w:r>
    </w:p>
    <w:p w:rsidR="00587B71" w:rsidRPr="00587B71" w:rsidRDefault="00587B71" w:rsidP="00587B71">
      <w:pPr>
        <w:autoSpaceDE w:val="0"/>
        <w:autoSpaceDN w:val="0"/>
        <w:adjustRightInd w:val="0"/>
        <w:spacing w:after="0" w:line="240" w:lineRule="auto"/>
        <w:ind w:firstLine="720"/>
        <w:jc w:val="both"/>
        <w:rPr>
          <w:rFonts w:ascii="Arial" w:eastAsia="Times New Roman" w:hAnsi="Arial" w:cs="Arial"/>
          <w:color w:val="000000"/>
          <w:sz w:val="24"/>
          <w:szCs w:val="24"/>
        </w:rPr>
      </w:pPr>
      <w:r w:rsidRPr="00587B71">
        <w:rPr>
          <w:rFonts w:ascii="Arial" w:eastAsia="Times New Roman" w:hAnsi="Arial" w:cs="Arial"/>
          <w:color w:val="000000"/>
          <w:sz w:val="24"/>
          <w:szCs w:val="24"/>
        </w:rPr>
        <w:lastRenderedPageBreak/>
        <w:t xml:space="preserve">Principalele surse de provenienţă a PAH-urilor sunt: </w:t>
      </w:r>
    </w:p>
    <w:p w:rsidR="00587B71" w:rsidRPr="00587B71" w:rsidRDefault="00587B71" w:rsidP="00587B71">
      <w:pPr>
        <w:autoSpaceDE w:val="0"/>
        <w:autoSpaceDN w:val="0"/>
        <w:adjustRightInd w:val="0"/>
        <w:spacing w:after="8" w:line="240" w:lineRule="auto"/>
        <w:jc w:val="both"/>
        <w:rPr>
          <w:rFonts w:ascii="Arial" w:eastAsia="Times New Roman" w:hAnsi="Arial" w:cs="Arial"/>
          <w:color w:val="000000"/>
          <w:sz w:val="24"/>
          <w:szCs w:val="24"/>
        </w:rPr>
      </w:pPr>
      <w:r w:rsidRPr="00587B71">
        <w:rPr>
          <w:rFonts w:ascii="Arial" w:eastAsia="Times New Roman" w:hAnsi="Arial" w:cs="Arial"/>
          <w:color w:val="000000"/>
          <w:sz w:val="24"/>
          <w:szCs w:val="24"/>
        </w:rPr>
        <w:t xml:space="preserve">- încălzirea locuinţelor cu cărbune </w:t>
      </w:r>
    </w:p>
    <w:p w:rsidR="00587B71" w:rsidRPr="00587B71" w:rsidRDefault="00587B71" w:rsidP="00587B71">
      <w:pPr>
        <w:autoSpaceDE w:val="0"/>
        <w:autoSpaceDN w:val="0"/>
        <w:adjustRightInd w:val="0"/>
        <w:spacing w:after="8" w:line="240" w:lineRule="auto"/>
        <w:jc w:val="both"/>
        <w:rPr>
          <w:rFonts w:ascii="Arial" w:eastAsia="Times New Roman" w:hAnsi="Arial" w:cs="Arial"/>
          <w:color w:val="000000"/>
          <w:sz w:val="24"/>
          <w:szCs w:val="24"/>
        </w:rPr>
      </w:pPr>
      <w:r w:rsidRPr="00587B71">
        <w:rPr>
          <w:rFonts w:ascii="Arial" w:eastAsia="Times New Roman" w:hAnsi="Arial" w:cs="Arial"/>
          <w:color w:val="000000"/>
          <w:sz w:val="24"/>
          <w:szCs w:val="24"/>
        </w:rPr>
        <w:t xml:space="preserve">- încălzirea locuinţelor cu lemn </w:t>
      </w:r>
    </w:p>
    <w:p w:rsidR="00587B71" w:rsidRPr="00587B71" w:rsidRDefault="00587B71" w:rsidP="00587B71">
      <w:pPr>
        <w:autoSpaceDE w:val="0"/>
        <w:autoSpaceDN w:val="0"/>
        <w:adjustRightInd w:val="0"/>
        <w:spacing w:after="8" w:line="240" w:lineRule="auto"/>
        <w:jc w:val="both"/>
        <w:rPr>
          <w:rFonts w:ascii="Arial" w:eastAsia="Times New Roman" w:hAnsi="Arial" w:cs="Arial"/>
          <w:color w:val="000000"/>
          <w:sz w:val="24"/>
          <w:szCs w:val="24"/>
        </w:rPr>
      </w:pPr>
      <w:r w:rsidRPr="00587B71">
        <w:rPr>
          <w:rFonts w:ascii="Arial" w:eastAsia="Times New Roman" w:hAnsi="Arial" w:cs="Arial"/>
          <w:color w:val="000000"/>
          <w:sz w:val="24"/>
          <w:szCs w:val="24"/>
        </w:rPr>
        <w:t xml:space="preserve">- arderea industrială a cărbunelui </w:t>
      </w:r>
    </w:p>
    <w:p w:rsidR="00587B71" w:rsidRPr="00587B71" w:rsidRDefault="00587B71" w:rsidP="00587B71">
      <w:pPr>
        <w:autoSpaceDE w:val="0"/>
        <w:autoSpaceDN w:val="0"/>
        <w:adjustRightInd w:val="0"/>
        <w:spacing w:after="8" w:line="240" w:lineRule="auto"/>
        <w:jc w:val="both"/>
        <w:rPr>
          <w:rFonts w:ascii="Arial" w:eastAsia="Times New Roman" w:hAnsi="Arial" w:cs="Arial"/>
          <w:color w:val="000000"/>
          <w:sz w:val="24"/>
          <w:szCs w:val="24"/>
        </w:rPr>
      </w:pPr>
      <w:r w:rsidRPr="00587B71">
        <w:rPr>
          <w:rFonts w:ascii="Arial" w:eastAsia="Times New Roman" w:hAnsi="Arial" w:cs="Arial"/>
          <w:color w:val="000000"/>
          <w:sz w:val="24"/>
          <w:szCs w:val="24"/>
        </w:rPr>
        <w:t xml:space="preserve">- arderea industrială a lemnului </w:t>
      </w:r>
    </w:p>
    <w:p w:rsidR="00587B71" w:rsidRPr="00587B71" w:rsidRDefault="00587B71" w:rsidP="00587B71">
      <w:pPr>
        <w:autoSpaceDE w:val="0"/>
        <w:autoSpaceDN w:val="0"/>
        <w:adjustRightInd w:val="0"/>
        <w:spacing w:after="8" w:line="240" w:lineRule="auto"/>
        <w:jc w:val="both"/>
        <w:rPr>
          <w:rFonts w:ascii="Arial" w:eastAsia="Times New Roman" w:hAnsi="Arial" w:cs="Arial"/>
          <w:color w:val="000000"/>
          <w:sz w:val="24"/>
          <w:szCs w:val="24"/>
        </w:rPr>
      </w:pPr>
      <w:r w:rsidRPr="00587B71">
        <w:rPr>
          <w:rFonts w:ascii="Arial" w:eastAsia="Times New Roman" w:hAnsi="Arial" w:cs="Arial"/>
          <w:color w:val="000000"/>
          <w:sz w:val="24"/>
          <w:szCs w:val="24"/>
        </w:rPr>
        <w:t xml:space="preserve">- incendii naturale/ incendieri agricole </w:t>
      </w:r>
    </w:p>
    <w:p w:rsidR="00587B71" w:rsidRPr="00587B71" w:rsidRDefault="00587B71" w:rsidP="00587B71">
      <w:pPr>
        <w:autoSpaceDE w:val="0"/>
        <w:autoSpaceDN w:val="0"/>
        <w:adjustRightInd w:val="0"/>
        <w:spacing w:after="8" w:line="240" w:lineRule="auto"/>
        <w:jc w:val="both"/>
        <w:rPr>
          <w:rFonts w:ascii="Arial" w:eastAsia="Times New Roman" w:hAnsi="Arial" w:cs="Arial"/>
          <w:color w:val="000000"/>
          <w:sz w:val="24"/>
          <w:szCs w:val="24"/>
        </w:rPr>
      </w:pPr>
      <w:r w:rsidRPr="00587B71">
        <w:rPr>
          <w:rFonts w:ascii="Arial" w:eastAsia="Times New Roman" w:hAnsi="Arial" w:cs="Arial"/>
          <w:color w:val="000000"/>
          <w:sz w:val="24"/>
          <w:szCs w:val="24"/>
        </w:rPr>
        <w:t xml:space="preserve">- producţia de aluminiu </w:t>
      </w:r>
    </w:p>
    <w:p w:rsidR="00587B71" w:rsidRPr="00587B71" w:rsidRDefault="00587B71" w:rsidP="00587B71">
      <w:pPr>
        <w:autoSpaceDE w:val="0"/>
        <w:autoSpaceDN w:val="0"/>
        <w:adjustRightInd w:val="0"/>
        <w:spacing w:after="0" w:line="240" w:lineRule="auto"/>
        <w:jc w:val="both"/>
        <w:rPr>
          <w:rFonts w:ascii="Arial" w:eastAsia="Times New Roman" w:hAnsi="Arial" w:cs="Arial"/>
          <w:color w:val="000000"/>
          <w:sz w:val="24"/>
          <w:szCs w:val="24"/>
        </w:rPr>
      </w:pPr>
      <w:r w:rsidRPr="00587B71">
        <w:rPr>
          <w:rFonts w:ascii="Arial" w:eastAsia="Times New Roman" w:hAnsi="Arial" w:cs="Arial"/>
          <w:color w:val="000000"/>
          <w:sz w:val="24"/>
          <w:szCs w:val="24"/>
        </w:rPr>
        <w:t xml:space="preserve">- vehiculele </w:t>
      </w:r>
    </w:p>
    <w:p w:rsidR="00587B71" w:rsidRPr="00587B71" w:rsidRDefault="00587B71" w:rsidP="00587B71">
      <w:pPr>
        <w:spacing w:after="0" w:line="240" w:lineRule="auto"/>
        <w:ind w:firstLine="720"/>
        <w:jc w:val="center"/>
        <w:rPr>
          <w:rFonts w:ascii="Arial" w:eastAsia="Times New Roman" w:hAnsi="Arial" w:cs="Arial"/>
          <w:iCs/>
          <w:color w:val="FF0000"/>
          <w:sz w:val="24"/>
          <w:szCs w:val="24"/>
          <w:lang w:val="ro-RO"/>
        </w:rPr>
      </w:pPr>
    </w:p>
    <w:p w:rsidR="00587B71" w:rsidRPr="00587B71" w:rsidRDefault="00587B71" w:rsidP="00587B71">
      <w:pPr>
        <w:spacing w:after="0" w:line="240" w:lineRule="auto"/>
        <w:jc w:val="both"/>
        <w:rPr>
          <w:rFonts w:ascii="Arial" w:eastAsia="Times New Roman" w:hAnsi="Arial" w:cs="Arial"/>
          <w:i/>
          <w:iCs/>
          <w:color w:val="000000"/>
          <w:sz w:val="24"/>
          <w:szCs w:val="24"/>
          <w:lang w:val="ro-RO"/>
        </w:rPr>
      </w:pPr>
      <w:r w:rsidRPr="00587B71">
        <w:rPr>
          <w:rFonts w:ascii="Arial" w:eastAsia="Times New Roman" w:hAnsi="Arial" w:cs="Arial"/>
          <w:i/>
          <w:iCs/>
          <w:color w:val="000000"/>
          <w:sz w:val="24"/>
          <w:szCs w:val="24"/>
          <w:lang w:val="ro-RO"/>
        </w:rPr>
        <w:t>Emisii de hidrocarburi aromatice policiclice</w:t>
      </w:r>
    </w:p>
    <w:p w:rsidR="00587B71" w:rsidRPr="00587B71" w:rsidRDefault="00587B71" w:rsidP="00587B71">
      <w:pPr>
        <w:widowControl w:val="0"/>
        <w:autoSpaceDE w:val="0"/>
        <w:autoSpaceDN w:val="0"/>
        <w:adjustRightInd w:val="0"/>
        <w:spacing w:after="0" w:line="240" w:lineRule="auto"/>
        <w:ind w:left="-272" w:right="-626"/>
        <w:jc w:val="both"/>
        <w:rPr>
          <w:rFonts w:ascii="Arial" w:eastAsia="Times New Roman" w:hAnsi="Arial" w:cs="Arial"/>
          <w:b/>
          <w:color w:val="000000"/>
          <w:sz w:val="24"/>
          <w:szCs w:val="24"/>
          <w:lang w:val="ro-RO"/>
        </w:rPr>
      </w:pPr>
    </w:p>
    <w:p w:rsidR="00587B71" w:rsidRPr="00587B71" w:rsidRDefault="00587B71" w:rsidP="00587B71">
      <w:pPr>
        <w:widowControl w:val="0"/>
        <w:autoSpaceDE w:val="0"/>
        <w:autoSpaceDN w:val="0"/>
        <w:adjustRightInd w:val="0"/>
        <w:spacing w:after="0" w:line="240" w:lineRule="auto"/>
        <w:ind w:left="-272" w:right="-626"/>
        <w:jc w:val="both"/>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 xml:space="preserve">    Tabelul I.24.  Emisiile de compuşi hidrocarburi aromatice policiclice (PAH)– </w:t>
      </w:r>
      <w:r w:rsidRPr="00587B71">
        <w:rPr>
          <w:rFonts w:ascii="Arial" w:eastAsia="Times New Roman" w:hAnsi="Arial" w:cs="Arial"/>
          <w:bCs/>
          <w:color w:val="000000"/>
          <w:sz w:val="24"/>
          <w:szCs w:val="24"/>
          <w:lang w:val="ro-RO"/>
        </w:rPr>
        <w:t>(g/an)</w:t>
      </w:r>
      <w:r w:rsidRPr="00587B71">
        <w:rPr>
          <w:rFonts w:ascii="Arial" w:eastAsia="Times New Roman" w:hAnsi="Arial" w:cs="Arial"/>
          <w:color w:val="000000"/>
          <w:sz w:val="24"/>
          <w:szCs w:val="24"/>
          <w:lang w:val="ro-RO"/>
        </w:rPr>
        <w:t xml:space="preserve">    </w:t>
      </w:r>
    </w:p>
    <w:tbl>
      <w:tblPr>
        <w:tblW w:w="8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3"/>
        <w:gridCol w:w="960"/>
        <w:gridCol w:w="1175"/>
        <w:gridCol w:w="1175"/>
        <w:gridCol w:w="1259"/>
        <w:gridCol w:w="1259"/>
        <w:gridCol w:w="1259"/>
      </w:tblGrid>
      <w:tr w:rsidR="00587B71" w:rsidRPr="00587B71" w:rsidTr="00587B71">
        <w:trPr>
          <w:trHeight w:val="297"/>
          <w:jc w:val="center"/>
        </w:trPr>
        <w:tc>
          <w:tcPr>
            <w:tcW w:w="923" w:type="dxa"/>
            <w:shd w:val="clear" w:color="auto" w:fill="auto"/>
            <w:tcMar>
              <w:left w:w="11" w:type="dxa"/>
              <w:right w:w="11" w:type="dxa"/>
            </w:tcMar>
            <w:vAlign w:val="center"/>
          </w:tcPr>
          <w:p w:rsidR="00587B71" w:rsidRPr="00587B71" w:rsidRDefault="00587B71" w:rsidP="00587B71">
            <w:pPr>
              <w:tabs>
                <w:tab w:val="center" w:pos="4680"/>
                <w:tab w:val="right" w:pos="9360"/>
              </w:tabs>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Judeţ</w:t>
            </w:r>
          </w:p>
        </w:tc>
        <w:tc>
          <w:tcPr>
            <w:tcW w:w="960" w:type="dxa"/>
            <w:shd w:val="clear" w:color="auto" w:fill="FFFFFF"/>
          </w:tcPr>
          <w:p w:rsidR="00587B71" w:rsidRPr="00587B71" w:rsidRDefault="00587B71" w:rsidP="00587B71">
            <w:pPr>
              <w:tabs>
                <w:tab w:val="center" w:pos="4680"/>
                <w:tab w:val="right" w:pos="9360"/>
              </w:tabs>
              <w:spacing w:after="0" w:line="240" w:lineRule="auto"/>
              <w:ind w:right="-142"/>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2010</w:t>
            </w:r>
          </w:p>
        </w:tc>
        <w:tc>
          <w:tcPr>
            <w:tcW w:w="1175" w:type="dxa"/>
            <w:shd w:val="clear" w:color="auto" w:fill="FFFFFF"/>
          </w:tcPr>
          <w:p w:rsidR="00587B71" w:rsidRPr="00587B71" w:rsidRDefault="00587B71" w:rsidP="00587B71">
            <w:pPr>
              <w:tabs>
                <w:tab w:val="center" w:pos="4680"/>
                <w:tab w:val="right" w:pos="9360"/>
              </w:tabs>
              <w:spacing w:after="0" w:line="240" w:lineRule="auto"/>
              <w:ind w:right="-142"/>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2011</w:t>
            </w:r>
          </w:p>
        </w:tc>
        <w:tc>
          <w:tcPr>
            <w:tcW w:w="1175" w:type="dxa"/>
            <w:shd w:val="clear" w:color="auto" w:fill="FFFFFF"/>
          </w:tcPr>
          <w:p w:rsidR="00587B71" w:rsidRPr="00587B71" w:rsidRDefault="00587B71" w:rsidP="00587B71">
            <w:pPr>
              <w:tabs>
                <w:tab w:val="center" w:pos="4680"/>
                <w:tab w:val="right" w:pos="9360"/>
              </w:tabs>
              <w:spacing w:after="0" w:line="240" w:lineRule="auto"/>
              <w:ind w:right="-142"/>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2012</w:t>
            </w:r>
          </w:p>
        </w:tc>
        <w:tc>
          <w:tcPr>
            <w:tcW w:w="1259" w:type="dxa"/>
            <w:shd w:val="clear" w:color="auto" w:fill="FFFFFF"/>
          </w:tcPr>
          <w:p w:rsidR="00587B71" w:rsidRPr="00587B71" w:rsidRDefault="00587B71" w:rsidP="00587B71">
            <w:pPr>
              <w:tabs>
                <w:tab w:val="center" w:pos="4680"/>
                <w:tab w:val="right" w:pos="9360"/>
              </w:tabs>
              <w:spacing w:after="0" w:line="240" w:lineRule="auto"/>
              <w:ind w:right="-142"/>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2013</w:t>
            </w:r>
          </w:p>
        </w:tc>
        <w:tc>
          <w:tcPr>
            <w:tcW w:w="1259" w:type="dxa"/>
            <w:shd w:val="clear" w:color="auto" w:fill="FFFFFF"/>
          </w:tcPr>
          <w:p w:rsidR="00587B71" w:rsidRPr="00587B71" w:rsidRDefault="00587B71" w:rsidP="00587B71">
            <w:pPr>
              <w:tabs>
                <w:tab w:val="center" w:pos="4680"/>
                <w:tab w:val="right" w:pos="9360"/>
              </w:tabs>
              <w:spacing w:after="0" w:line="240" w:lineRule="auto"/>
              <w:ind w:right="-142"/>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2014</w:t>
            </w:r>
          </w:p>
        </w:tc>
        <w:tc>
          <w:tcPr>
            <w:tcW w:w="1259" w:type="dxa"/>
            <w:shd w:val="clear" w:color="auto" w:fill="FFFFFF"/>
          </w:tcPr>
          <w:p w:rsidR="00587B71" w:rsidRPr="00587B71" w:rsidRDefault="007F5E86" w:rsidP="00587B71">
            <w:pPr>
              <w:tabs>
                <w:tab w:val="center" w:pos="4680"/>
                <w:tab w:val="right" w:pos="9360"/>
              </w:tabs>
              <w:spacing w:after="0" w:line="240" w:lineRule="auto"/>
              <w:ind w:right="-142"/>
              <w:jc w:val="center"/>
              <w:rPr>
                <w:rFonts w:ascii="Arial" w:eastAsia="Times New Roman" w:hAnsi="Arial" w:cs="Arial"/>
                <w:b/>
                <w:color w:val="000000"/>
                <w:sz w:val="24"/>
                <w:szCs w:val="24"/>
                <w:lang w:val="pt-BR"/>
              </w:rPr>
            </w:pPr>
            <w:r>
              <w:rPr>
                <w:rFonts w:ascii="Arial" w:eastAsia="Times New Roman" w:hAnsi="Arial" w:cs="Arial"/>
                <w:b/>
                <w:color w:val="000000"/>
                <w:sz w:val="24"/>
                <w:szCs w:val="24"/>
                <w:lang w:val="pt-BR"/>
              </w:rPr>
              <w:t>2015</w:t>
            </w:r>
          </w:p>
        </w:tc>
      </w:tr>
      <w:tr w:rsidR="00587B71" w:rsidRPr="00587B71" w:rsidTr="00587B71">
        <w:trPr>
          <w:trHeight w:val="201"/>
          <w:jc w:val="center"/>
        </w:trPr>
        <w:tc>
          <w:tcPr>
            <w:tcW w:w="923" w:type="dxa"/>
            <w:shd w:val="clear" w:color="auto" w:fill="auto"/>
            <w:tcMar>
              <w:left w:w="11" w:type="dxa"/>
              <w:right w:w="11" w:type="dxa"/>
            </w:tcMar>
            <w:vAlign w:val="center"/>
          </w:tcPr>
          <w:p w:rsidR="00587B71" w:rsidRPr="00587B71" w:rsidRDefault="00587B71" w:rsidP="00587B71">
            <w:pPr>
              <w:tabs>
                <w:tab w:val="center" w:pos="4680"/>
                <w:tab w:val="right" w:pos="9360"/>
              </w:tabs>
              <w:spacing w:after="0" w:line="240" w:lineRule="auto"/>
              <w:ind w:right="33"/>
              <w:jc w:val="center"/>
              <w:rPr>
                <w:rFonts w:ascii="Arial" w:eastAsia="Times New Roman" w:hAnsi="Arial" w:cs="Arial"/>
                <w:color w:val="000000"/>
                <w:sz w:val="24"/>
                <w:szCs w:val="24"/>
                <w:lang w:val="pt-BR"/>
              </w:rPr>
            </w:pPr>
            <w:r w:rsidRPr="00587B71">
              <w:rPr>
                <w:rFonts w:ascii="Arial" w:eastAsia="Times New Roman" w:hAnsi="Arial" w:cs="Arial"/>
                <w:color w:val="000000"/>
                <w:sz w:val="24"/>
                <w:szCs w:val="24"/>
                <w:lang w:val="pt-BR"/>
              </w:rPr>
              <w:t>Vaslui</w:t>
            </w:r>
          </w:p>
        </w:tc>
        <w:tc>
          <w:tcPr>
            <w:tcW w:w="960" w:type="dxa"/>
          </w:tcPr>
          <w:p w:rsidR="00587B71" w:rsidRPr="00587B71" w:rsidRDefault="00587B71" w:rsidP="00587B71">
            <w:pPr>
              <w:tabs>
                <w:tab w:val="center" w:pos="4680"/>
                <w:tab w:val="right" w:pos="9360"/>
              </w:tabs>
              <w:spacing w:after="0" w:line="240" w:lineRule="auto"/>
              <w:ind w:right="-97"/>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1500</w:t>
            </w:r>
          </w:p>
        </w:tc>
        <w:tc>
          <w:tcPr>
            <w:tcW w:w="1175" w:type="dxa"/>
          </w:tcPr>
          <w:p w:rsidR="00587B71" w:rsidRPr="00587B71" w:rsidRDefault="00587B71" w:rsidP="00587B71">
            <w:pPr>
              <w:tabs>
                <w:tab w:val="center" w:pos="4680"/>
                <w:tab w:val="right" w:pos="9360"/>
              </w:tabs>
              <w:spacing w:after="0" w:line="240" w:lineRule="auto"/>
              <w:ind w:right="-97"/>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1009,95</w:t>
            </w:r>
          </w:p>
        </w:tc>
        <w:tc>
          <w:tcPr>
            <w:tcW w:w="1175" w:type="dxa"/>
          </w:tcPr>
          <w:p w:rsidR="00587B71" w:rsidRPr="00587B71" w:rsidRDefault="00587B71" w:rsidP="00587B71">
            <w:pPr>
              <w:tabs>
                <w:tab w:val="center" w:pos="4680"/>
                <w:tab w:val="right" w:pos="9360"/>
              </w:tabs>
              <w:spacing w:after="0" w:line="240" w:lineRule="auto"/>
              <w:ind w:right="-97"/>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3776,97</w:t>
            </w:r>
          </w:p>
        </w:tc>
        <w:tc>
          <w:tcPr>
            <w:tcW w:w="1259" w:type="dxa"/>
          </w:tcPr>
          <w:p w:rsidR="00587B71" w:rsidRPr="00587B71" w:rsidRDefault="00587B71" w:rsidP="00587B71">
            <w:pPr>
              <w:tabs>
                <w:tab w:val="center" w:pos="4680"/>
                <w:tab w:val="right" w:pos="9360"/>
              </w:tabs>
              <w:spacing w:after="0" w:line="240" w:lineRule="auto"/>
              <w:ind w:right="-97"/>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14768,58</w:t>
            </w:r>
          </w:p>
        </w:tc>
        <w:tc>
          <w:tcPr>
            <w:tcW w:w="1259" w:type="dxa"/>
          </w:tcPr>
          <w:p w:rsidR="00587B71" w:rsidRPr="00587B71" w:rsidRDefault="00587B71" w:rsidP="00587B71">
            <w:pPr>
              <w:tabs>
                <w:tab w:val="center" w:pos="4680"/>
                <w:tab w:val="right" w:pos="9360"/>
              </w:tabs>
              <w:spacing w:after="0" w:line="240" w:lineRule="auto"/>
              <w:ind w:right="-97"/>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933</w:t>
            </w:r>
          </w:p>
        </w:tc>
        <w:tc>
          <w:tcPr>
            <w:tcW w:w="1259" w:type="dxa"/>
          </w:tcPr>
          <w:p w:rsidR="00587B71" w:rsidRPr="00587B71" w:rsidRDefault="007F5E86" w:rsidP="00587B71">
            <w:pPr>
              <w:tabs>
                <w:tab w:val="center" w:pos="4680"/>
                <w:tab w:val="right" w:pos="9360"/>
              </w:tabs>
              <w:spacing w:after="0" w:line="240" w:lineRule="auto"/>
              <w:ind w:right="-97"/>
              <w:jc w:val="center"/>
              <w:rPr>
                <w:rFonts w:ascii="Arial" w:eastAsia="Times New Roman" w:hAnsi="Arial" w:cs="Arial"/>
                <w:color w:val="000000"/>
                <w:sz w:val="24"/>
                <w:szCs w:val="24"/>
                <w:lang w:val="ro-RO"/>
              </w:rPr>
            </w:pPr>
            <w:r>
              <w:rPr>
                <w:rFonts w:ascii="Arial" w:eastAsia="Times New Roman" w:hAnsi="Arial" w:cs="Arial"/>
                <w:color w:val="000000"/>
                <w:sz w:val="24"/>
                <w:szCs w:val="24"/>
                <w:lang w:val="ro-RO"/>
              </w:rPr>
              <w:t>118.08</w:t>
            </w:r>
          </w:p>
        </w:tc>
      </w:tr>
    </w:tbl>
    <w:p w:rsidR="00587B71" w:rsidRPr="00587B71" w:rsidRDefault="00587B71" w:rsidP="00587B71">
      <w:pPr>
        <w:spacing w:after="0" w:line="240" w:lineRule="auto"/>
        <w:jc w:val="both"/>
        <w:rPr>
          <w:rFonts w:ascii="Arial" w:eastAsia="Times New Roman" w:hAnsi="Arial" w:cs="Arial"/>
          <w:i/>
          <w:iCs/>
          <w:color w:val="000000"/>
          <w:sz w:val="24"/>
          <w:szCs w:val="24"/>
          <w:lang w:val="ro-RO"/>
        </w:rPr>
      </w:pPr>
    </w:p>
    <w:p w:rsidR="00587B71" w:rsidRPr="00587B71" w:rsidRDefault="00587B71" w:rsidP="00587B71">
      <w:pPr>
        <w:spacing w:after="0" w:line="240" w:lineRule="auto"/>
        <w:jc w:val="center"/>
        <w:rPr>
          <w:rFonts w:ascii="Arial" w:eastAsia="Times New Roman" w:hAnsi="Arial" w:cs="Arial"/>
          <w:i/>
          <w:iCs/>
          <w:color w:val="000000"/>
          <w:sz w:val="24"/>
          <w:szCs w:val="24"/>
          <w:lang w:val="ro-RO"/>
        </w:rPr>
      </w:pPr>
      <w:r>
        <w:rPr>
          <w:rFonts w:ascii="Arial" w:eastAsia="Times New Roman" w:hAnsi="Arial" w:cs="Arial"/>
          <w:i/>
          <w:noProof/>
          <w:color w:val="000000"/>
          <w:sz w:val="24"/>
          <w:szCs w:val="24"/>
        </w:rPr>
        <w:drawing>
          <wp:inline distT="0" distB="0" distL="0" distR="0">
            <wp:extent cx="5734050" cy="1628775"/>
            <wp:effectExtent l="0" t="0" r="0" b="0"/>
            <wp:docPr id="162" name="Chart 1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87B71" w:rsidRPr="00587B71" w:rsidRDefault="00587B71" w:rsidP="00587B71">
      <w:pPr>
        <w:spacing w:after="0" w:line="240" w:lineRule="auto"/>
        <w:jc w:val="center"/>
        <w:rPr>
          <w:rFonts w:ascii="Arial" w:eastAsia="Arial Unicode MS" w:hAnsi="Arial" w:cs="Arial Unicode MS"/>
          <w:color w:val="000000"/>
          <w:sz w:val="24"/>
          <w:szCs w:val="24"/>
          <w:lang w:val="ro-RO" w:eastAsia="ro-RO"/>
        </w:rPr>
      </w:pPr>
      <w:r w:rsidRPr="00587B71">
        <w:rPr>
          <w:rFonts w:ascii="Arial" w:eastAsia="Arial Unicode MS" w:hAnsi="Arial" w:cs="Arial Unicode MS"/>
          <w:color w:val="000000"/>
          <w:sz w:val="24"/>
          <w:szCs w:val="24"/>
          <w:lang w:val="ro-RO" w:eastAsia="ro-RO"/>
        </w:rPr>
        <w:t>Figura I.2</w:t>
      </w:r>
      <w:r w:rsidR="00120F2E">
        <w:rPr>
          <w:rFonts w:ascii="Arial" w:eastAsia="Arial Unicode MS" w:hAnsi="Arial" w:cs="Arial Unicode MS"/>
          <w:color w:val="000000"/>
          <w:sz w:val="24"/>
          <w:szCs w:val="24"/>
          <w:lang w:val="ro-RO" w:eastAsia="ro-RO"/>
        </w:rPr>
        <w:t>7. emisii PAH (g/an), 2010-2015</w:t>
      </w:r>
    </w:p>
    <w:p w:rsidR="00587B71" w:rsidRPr="00587B71" w:rsidRDefault="00587B71" w:rsidP="00587B71">
      <w:pPr>
        <w:spacing w:after="0" w:line="240" w:lineRule="auto"/>
        <w:jc w:val="both"/>
        <w:rPr>
          <w:rFonts w:ascii="Arial" w:eastAsia="Times New Roman" w:hAnsi="Arial" w:cs="Arial"/>
          <w:i/>
          <w:iCs/>
          <w:color w:val="000000"/>
          <w:sz w:val="24"/>
          <w:szCs w:val="24"/>
          <w:lang w:val="ro-RO"/>
        </w:rPr>
      </w:pPr>
    </w:p>
    <w:p w:rsidR="00587B71" w:rsidRPr="00587B71" w:rsidRDefault="00587B71" w:rsidP="00587B71">
      <w:pPr>
        <w:spacing w:after="0" w:line="240" w:lineRule="auto"/>
        <w:jc w:val="both"/>
        <w:rPr>
          <w:rFonts w:ascii="Arial" w:eastAsia="Times New Roman" w:hAnsi="Arial" w:cs="Arial"/>
          <w:i/>
          <w:iCs/>
          <w:color w:val="000000"/>
          <w:sz w:val="24"/>
          <w:szCs w:val="24"/>
          <w:lang w:val="ro-RO"/>
        </w:rPr>
      </w:pPr>
      <w:r w:rsidRPr="00587B71">
        <w:rPr>
          <w:rFonts w:ascii="Arial" w:eastAsia="Times New Roman" w:hAnsi="Arial" w:cs="Arial"/>
          <w:i/>
          <w:iCs/>
          <w:color w:val="000000"/>
          <w:sz w:val="24"/>
          <w:szCs w:val="24"/>
          <w:lang w:val="ro-RO"/>
        </w:rPr>
        <w:t>Emisii de bifenil policloruraţi</w:t>
      </w:r>
    </w:p>
    <w:p w:rsidR="00587B71" w:rsidRPr="00587B71" w:rsidRDefault="00587B71" w:rsidP="00587B71">
      <w:pPr>
        <w:spacing w:after="0" w:line="240" w:lineRule="auto"/>
        <w:jc w:val="both"/>
        <w:rPr>
          <w:rFonts w:ascii="Arial" w:eastAsia="Times New Roman" w:hAnsi="Arial" w:cs="Arial"/>
          <w:i/>
          <w:iCs/>
          <w:color w:val="000000"/>
          <w:sz w:val="24"/>
          <w:szCs w:val="24"/>
          <w:lang w:val="ro-RO"/>
        </w:rPr>
      </w:pPr>
    </w:p>
    <w:p w:rsidR="00587B71" w:rsidRPr="00587B71" w:rsidRDefault="00587B71" w:rsidP="00587B71">
      <w:pPr>
        <w:autoSpaceDE w:val="0"/>
        <w:autoSpaceDN w:val="0"/>
        <w:adjustRightInd w:val="0"/>
        <w:spacing w:after="0" w:line="240" w:lineRule="auto"/>
        <w:ind w:firstLine="720"/>
        <w:jc w:val="both"/>
        <w:rPr>
          <w:rFonts w:ascii="Arial" w:eastAsia="Times New Roman" w:hAnsi="Arial" w:cs="Arial"/>
          <w:color w:val="000000"/>
          <w:sz w:val="24"/>
          <w:szCs w:val="24"/>
        </w:rPr>
      </w:pPr>
      <w:r w:rsidRPr="00587B71">
        <w:rPr>
          <w:rFonts w:ascii="Arial" w:eastAsia="Times New Roman" w:hAnsi="Arial" w:cs="Arial"/>
          <w:color w:val="000000"/>
          <w:sz w:val="24"/>
          <w:szCs w:val="24"/>
        </w:rPr>
        <w:t xml:space="preserve">Această clasă de substanţe organice (PCB) conţine un număr de 209 substanţe sintetice pe bază de bifenil la diferite grade de clorurare. Formula generală pentru PCB poate fi reprezentată astfel: C12H(10-n)Cln, unde n este numărul de atomi de clor şi poate fi între 1 şi 10. Principalele surse de emisii pentru PCB-uri sunt: </w:t>
      </w:r>
    </w:p>
    <w:p w:rsidR="00587B71" w:rsidRPr="00587B71" w:rsidRDefault="00587B71" w:rsidP="00587B71">
      <w:pPr>
        <w:autoSpaceDE w:val="0"/>
        <w:autoSpaceDN w:val="0"/>
        <w:adjustRightInd w:val="0"/>
        <w:spacing w:after="12" w:line="240" w:lineRule="auto"/>
        <w:jc w:val="both"/>
        <w:rPr>
          <w:rFonts w:ascii="Arial" w:eastAsia="Times New Roman" w:hAnsi="Arial" w:cs="Arial"/>
          <w:color w:val="000000"/>
          <w:sz w:val="24"/>
          <w:szCs w:val="24"/>
        </w:rPr>
      </w:pPr>
      <w:r w:rsidRPr="00587B71">
        <w:rPr>
          <w:rFonts w:ascii="Arial" w:eastAsia="Times New Roman" w:hAnsi="Arial" w:cs="Arial"/>
          <w:color w:val="000000"/>
          <w:sz w:val="24"/>
          <w:szCs w:val="24"/>
        </w:rPr>
        <w:t xml:space="preserve">- producţia substanţelor şi echipamentelor care conţin PCB-uri; </w:t>
      </w:r>
    </w:p>
    <w:p w:rsidR="00587B71" w:rsidRPr="00587B71" w:rsidRDefault="00587B71" w:rsidP="00587B71">
      <w:pPr>
        <w:autoSpaceDE w:val="0"/>
        <w:autoSpaceDN w:val="0"/>
        <w:adjustRightInd w:val="0"/>
        <w:spacing w:after="12" w:line="240" w:lineRule="auto"/>
        <w:jc w:val="both"/>
        <w:rPr>
          <w:rFonts w:ascii="Arial" w:eastAsia="Times New Roman" w:hAnsi="Arial" w:cs="Arial"/>
          <w:color w:val="000000"/>
          <w:sz w:val="24"/>
          <w:szCs w:val="24"/>
        </w:rPr>
      </w:pPr>
      <w:r w:rsidRPr="00587B71">
        <w:rPr>
          <w:rFonts w:ascii="Arial" w:eastAsia="Times New Roman" w:hAnsi="Arial" w:cs="Arial"/>
          <w:color w:val="000000"/>
          <w:sz w:val="24"/>
          <w:szCs w:val="24"/>
        </w:rPr>
        <w:t>- utilizarea produselor care conţin PCB-uri;</w:t>
      </w:r>
    </w:p>
    <w:p w:rsidR="00587B71" w:rsidRPr="00587B71" w:rsidRDefault="00587B71" w:rsidP="00587B71">
      <w:pPr>
        <w:autoSpaceDE w:val="0"/>
        <w:autoSpaceDN w:val="0"/>
        <w:adjustRightInd w:val="0"/>
        <w:spacing w:after="12" w:line="240" w:lineRule="auto"/>
        <w:jc w:val="both"/>
        <w:rPr>
          <w:rFonts w:ascii="Arial" w:eastAsia="Times New Roman" w:hAnsi="Arial" w:cs="Arial"/>
          <w:color w:val="000000"/>
          <w:sz w:val="24"/>
          <w:szCs w:val="24"/>
        </w:rPr>
      </w:pPr>
      <w:r w:rsidRPr="00587B71">
        <w:rPr>
          <w:rFonts w:ascii="Arial" w:eastAsia="Times New Roman" w:hAnsi="Arial" w:cs="Arial"/>
          <w:color w:val="000000"/>
          <w:sz w:val="24"/>
          <w:szCs w:val="24"/>
        </w:rPr>
        <w:t xml:space="preserve">- emisia din depozitele contaminate cu PCB-uri; </w:t>
      </w:r>
    </w:p>
    <w:p w:rsidR="00587B71" w:rsidRPr="00587B71" w:rsidRDefault="00587B71" w:rsidP="00587B71">
      <w:pPr>
        <w:autoSpaceDE w:val="0"/>
        <w:autoSpaceDN w:val="0"/>
        <w:adjustRightInd w:val="0"/>
        <w:spacing w:after="0" w:line="240" w:lineRule="auto"/>
        <w:jc w:val="both"/>
        <w:rPr>
          <w:rFonts w:ascii="Arial" w:eastAsia="Times New Roman" w:hAnsi="Arial" w:cs="Arial"/>
          <w:color w:val="000000"/>
          <w:sz w:val="24"/>
          <w:szCs w:val="24"/>
        </w:rPr>
      </w:pPr>
      <w:r w:rsidRPr="00587B71">
        <w:rPr>
          <w:rFonts w:ascii="Arial" w:eastAsia="Times New Roman" w:hAnsi="Arial" w:cs="Arial"/>
          <w:color w:val="000000"/>
          <w:sz w:val="24"/>
          <w:szCs w:val="24"/>
        </w:rPr>
        <w:t xml:space="preserve">- diverse procese termice. </w:t>
      </w:r>
    </w:p>
    <w:p w:rsidR="00587B71" w:rsidRPr="00587B71" w:rsidRDefault="00587B71" w:rsidP="00587B71">
      <w:pPr>
        <w:autoSpaceDE w:val="0"/>
        <w:autoSpaceDN w:val="0"/>
        <w:adjustRightInd w:val="0"/>
        <w:spacing w:after="0" w:line="240" w:lineRule="auto"/>
        <w:rPr>
          <w:rFonts w:ascii="Arial" w:eastAsia="Times New Roman" w:hAnsi="Arial" w:cs="Arial"/>
          <w:b/>
          <w:i/>
          <w:iCs/>
          <w:color w:val="000000"/>
          <w:sz w:val="24"/>
          <w:szCs w:val="24"/>
          <w:lang w:val="ro-RO"/>
        </w:rPr>
      </w:pPr>
    </w:p>
    <w:p w:rsidR="00587B71" w:rsidRPr="00587B71" w:rsidRDefault="00587B71" w:rsidP="00587B71">
      <w:pPr>
        <w:autoSpaceDE w:val="0"/>
        <w:autoSpaceDN w:val="0"/>
        <w:adjustRightInd w:val="0"/>
        <w:spacing w:after="0" w:line="240" w:lineRule="auto"/>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 xml:space="preserve">Tabelul I.25. Emisiile de bifenili policlorurati (PCB)– </w:t>
      </w:r>
      <w:r w:rsidRPr="00587B71">
        <w:rPr>
          <w:rFonts w:ascii="Arial" w:eastAsia="Times New Roman" w:hAnsi="Arial" w:cs="Arial"/>
          <w:bCs/>
          <w:color w:val="000000"/>
          <w:sz w:val="24"/>
          <w:szCs w:val="24"/>
          <w:lang w:val="ro-RO"/>
        </w:rPr>
        <w:t>(g/an)</w:t>
      </w:r>
      <w:r w:rsidRPr="00587B71">
        <w:rPr>
          <w:rFonts w:ascii="Arial" w:eastAsia="Times New Roman" w:hAnsi="Arial" w:cs="Arial"/>
          <w:color w:val="000000"/>
          <w:sz w:val="24"/>
          <w:szCs w:val="24"/>
          <w:lang w:val="ro-RO"/>
        </w:rPr>
        <w:t xml:space="preserve"> </w:t>
      </w:r>
    </w:p>
    <w:tbl>
      <w:tblPr>
        <w:tblW w:w="6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0"/>
        <w:gridCol w:w="840"/>
        <w:gridCol w:w="840"/>
        <w:gridCol w:w="1077"/>
        <w:gridCol w:w="993"/>
        <w:gridCol w:w="993"/>
        <w:gridCol w:w="993"/>
      </w:tblGrid>
      <w:tr w:rsidR="00587B71" w:rsidRPr="00587B71" w:rsidTr="00587B71">
        <w:trPr>
          <w:trHeight w:val="297"/>
          <w:jc w:val="center"/>
        </w:trPr>
        <w:tc>
          <w:tcPr>
            <w:tcW w:w="1180" w:type="dxa"/>
            <w:shd w:val="clear" w:color="auto" w:fill="auto"/>
            <w:tcMar>
              <w:left w:w="11" w:type="dxa"/>
              <w:right w:w="11" w:type="dxa"/>
            </w:tcMar>
            <w:vAlign w:val="center"/>
          </w:tcPr>
          <w:p w:rsidR="00587B71" w:rsidRPr="00587B71" w:rsidRDefault="00587B71" w:rsidP="00587B71">
            <w:pPr>
              <w:tabs>
                <w:tab w:val="left" w:pos="411"/>
                <w:tab w:val="center" w:pos="4680"/>
                <w:tab w:val="right" w:pos="9360"/>
              </w:tabs>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Judeţ</w:t>
            </w:r>
          </w:p>
        </w:tc>
        <w:tc>
          <w:tcPr>
            <w:tcW w:w="840" w:type="dxa"/>
            <w:shd w:val="clear" w:color="auto" w:fill="FFFFFF"/>
          </w:tcPr>
          <w:p w:rsidR="00587B71" w:rsidRPr="00587B71" w:rsidRDefault="00587B71" w:rsidP="00587B71">
            <w:pPr>
              <w:tabs>
                <w:tab w:val="center" w:pos="4680"/>
                <w:tab w:val="right" w:pos="9360"/>
              </w:tabs>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2010</w:t>
            </w:r>
          </w:p>
        </w:tc>
        <w:tc>
          <w:tcPr>
            <w:tcW w:w="840" w:type="dxa"/>
            <w:shd w:val="clear" w:color="auto" w:fill="FFFFFF"/>
          </w:tcPr>
          <w:p w:rsidR="00587B71" w:rsidRPr="00587B71" w:rsidRDefault="00587B71" w:rsidP="00587B71">
            <w:pPr>
              <w:tabs>
                <w:tab w:val="center" w:pos="4680"/>
                <w:tab w:val="right" w:pos="9360"/>
              </w:tabs>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2011</w:t>
            </w:r>
          </w:p>
        </w:tc>
        <w:tc>
          <w:tcPr>
            <w:tcW w:w="1077" w:type="dxa"/>
            <w:shd w:val="clear" w:color="auto" w:fill="FFFFFF"/>
          </w:tcPr>
          <w:p w:rsidR="00587B71" w:rsidRPr="00587B71" w:rsidRDefault="00587B71" w:rsidP="00587B71">
            <w:pPr>
              <w:tabs>
                <w:tab w:val="center" w:pos="4680"/>
                <w:tab w:val="right" w:pos="9360"/>
              </w:tabs>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2012*</w:t>
            </w:r>
          </w:p>
        </w:tc>
        <w:tc>
          <w:tcPr>
            <w:tcW w:w="993" w:type="dxa"/>
            <w:shd w:val="clear" w:color="auto" w:fill="FFFFFF"/>
          </w:tcPr>
          <w:p w:rsidR="00587B71" w:rsidRPr="00587B71" w:rsidRDefault="00587B71" w:rsidP="00587B71">
            <w:pPr>
              <w:tabs>
                <w:tab w:val="center" w:pos="4680"/>
                <w:tab w:val="right" w:pos="9360"/>
              </w:tabs>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2013</w:t>
            </w:r>
          </w:p>
        </w:tc>
        <w:tc>
          <w:tcPr>
            <w:tcW w:w="993" w:type="dxa"/>
            <w:shd w:val="clear" w:color="auto" w:fill="FFFFFF"/>
          </w:tcPr>
          <w:p w:rsidR="00587B71" w:rsidRPr="00587B71" w:rsidRDefault="00587B71" w:rsidP="00587B71">
            <w:pPr>
              <w:tabs>
                <w:tab w:val="center" w:pos="4680"/>
                <w:tab w:val="right" w:pos="9360"/>
              </w:tabs>
              <w:spacing w:after="0" w:line="240" w:lineRule="auto"/>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2014</w:t>
            </w:r>
          </w:p>
        </w:tc>
        <w:tc>
          <w:tcPr>
            <w:tcW w:w="993" w:type="dxa"/>
            <w:shd w:val="clear" w:color="auto" w:fill="FFFFFF"/>
          </w:tcPr>
          <w:p w:rsidR="00587B71" w:rsidRPr="00587B71" w:rsidRDefault="007F5E86" w:rsidP="00587B71">
            <w:pPr>
              <w:tabs>
                <w:tab w:val="center" w:pos="4680"/>
                <w:tab w:val="right" w:pos="9360"/>
              </w:tabs>
              <w:spacing w:after="0" w:line="240" w:lineRule="auto"/>
              <w:jc w:val="center"/>
              <w:rPr>
                <w:rFonts w:ascii="Arial" w:eastAsia="Times New Roman" w:hAnsi="Arial" w:cs="Arial"/>
                <w:b/>
                <w:color w:val="000000"/>
                <w:sz w:val="24"/>
                <w:szCs w:val="24"/>
                <w:lang w:val="pt-BR"/>
              </w:rPr>
            </w:pPr>
            <w:r>
              <w:rPr>
                <w:rFonts w:ascii="Arial" w:eastAsia="Times New Roman" w:hAnsi="Arial" w:cs="Arial"/>
                <w:b/>
                <w:color w:val="000000"/>
                <w:sz w:val="24"/>
                <w:szCs w:val="24"/>
                <w:lang w:val="pt-BR"/>
              </w:rPr>
              <w:t>2015</w:t>
            </w:r>
          </w:p>
        </w:tc>
      </w:tr>
      <w:tr w:rsidR="00587B71" w:rsidRPr="00587B71" w:rsidTr="00587B71">
        <w:trPr>
          <w:jc w:val="center"/>
        </w:trPr>
        <w:tc>
          <w:tcPr>
            <w:tcW w:w="1180" w:type="dxa"/>
            <w:shd w:val="clear" w:color="auto" w:fill="auto"/>
            <w:tcMar>
              <w:left w:w="11" w:type="dxa"/>
              <w:right w:w="11" w:type="dxa"/>
            </w:tcMar>
            <w:vAlign w:val="center"/>
          </w:tcPr>
          <w:p w:rsidR="00587B71" w:rsidRPr="00587B71" w:rsidRDefault="00587B71" w:rsidP="00587B71">
            <w:pPr>
              <w:tabs>
                <w:tab w:val="center" w:pos="4680"/>
                <w:tab w:val="right" w:pos="9360"/>
              </w:tabs>
              <w:spacing w:after="0" w:line="240" w:lineRule="auto"/>
              <w:ind w:left="22" w:right="33"/>
              <w:jc w:val="center"/>
              <w:rPr>
                <w:rFonts w:ascii="Arial" w:eastAsia="Times New Roman" w:hAnsi="Arial" w:cs="Arial"/>
                <w:color w:val="000000"/>
                <w:sz w:val="24"/>
                <w:szCs w:val="24"/>
                <w:lang w:val="pt-BR"/>
              </w:rPr>
            </w:pPr>
            <w:r w:rsidRPr="00587B71">
              <w:rPr>
                <w:rFonts w:ascii="Arial" w:eastAsia="Times New Roman" w:hAnsi="Arial" w:cs="Arial"/>
                <w:color w:val="000000"/>
                <w:sz w:val="24"/>
                <w:szCs w:val="24"/>
                <w:lang w:val="pt-BR"/>
              </w:rPr>
              <w:t>Vaslui</w:t>
            </w:r>
          </w:p>
        </w:tc>
        <w:tc>
          <w:tcPr>
            <w:tcW w:w="840" w:type="dxa"/>
          </w:tcPr>
          <w:p w:rsidR="00587B71" w:rsidRPr="00587B71" w:rsidRDefault="00587B71" w:rsidP="00587B71">
            <w:pPr>
              <w:tabs>
                <w:tab w:val="center" w:pos="4680"/>
                <w:tab w:val="right" w:pos="9360"/>
              </w:tabs>
              <w:spacing w:after="0" w:line="240" w:lineRule="auto"/>
              <w:ind w:right="-97"/>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0</w:t>
            </w:r>
          </w:p>
        </w:tc>
        <w:tc>
          <w:tcPr>
            <w:tcW w:w="840" w:type="dxa"/>
          </w:tcPr>
          <w:p w:rsidR="00587B71" w:rsidRPr="00587B71" w:rsidRDefault="00587B71" w:rsidP="00587B71">
            <w:pPr>
              <w:tabs>
                <w:tab w:val="center" w:pos="4680"/>
                <w:tab w:val="right" w:pos="9360"/>
              </w:tabs>
              <w:spacing w:after="0" w:line="240" w:lineRule="auto"/>
              <w:ind w:right="-97"/>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0,54</w:t>
            </w:r>
          </w:p>
        </w:tc>
        <w:tc>
          <w:tcPr>
            <w:tcW w:w="1077" w:type="dxa"/>
          </w:tcPr>
          <w:p w:rsidR="00587B71" w:rsidRPr="00587B71" w:rsidRDefault="00587B71" w:rsidP="00587B71">
            <w:pPr>
              <w:tabs>
                <w:tab w:val="center" w:pos="4680"/>
                <w:tab w:val="right" w:pos="9360"/>
              </w:tabs>
              <w:spacing w:after="0" w:line="240" w:lineRule="auto"/>
              <w:ind w:right="-97"/>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1218,4</w:t>
            </w:r>
          </w:p>
        </w:tc>
        <w:tc>
          <w:tcPr>
            <w:tcW w:w="993" w:type="dxa"/>
          </w:tcPr>
          <w:p w:rsidR="00587B71" w:rsidRPr="00587B71" w:rsidRDefault="00587B71" w:rsidP="00587B71">
            <w:pPr>
              <w:tabs>
                <w:tab w:val="center" w:pos="4680"/>
                <w:tab w:val="right" w:pos="9360"/>
              </w:tabs>
              <w:spacing w:after="0" w:line="240" w:lineRule="auto"/>
              <w:ind w:right="-97"/>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147,3</w:t>
            </w:r>
          </w:p>
        </w:tc>
        <w:tc>
          <w:tcPr>
            <w:tcW w:w="993" w:type="dxa"/>
          </w:tcPr>
          <w:p w:rsidR="00587B71" w:rsidRPr="00587B71" w:rsidRDefault="00587B71" w:rsidP="00587B71">
            <w:pPr>
              <w:tabs>
                <w:tab w:val="center" w:pos="4680"/>
                <w:tab w:val="right" w:pos="9360"/>
              </w:tabs>
              <w:spacing w:after="0" w:line="240" w:lineRule="auto"/>
              <w:ind w:right="-97"/>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167</w:t>
            </w:r>
          </w:p>
        </w:tc>
        <w:tc>
          <w:tcPr>
            <w:tcW w:w="993" w:type="dxa"/>
          </w:tcPr>
          <w:p w:rsidR="00587B71" w:rsidRPr="00587B71" w:rsidRDefault="007F5E86" w:rsidP="00587B71">
            <w:pPr>
              <w:tabs>
                <w:tab w:val="center" w:pos="4680"/>
                <w:tab w:val="right" w:pos="9360"/>
              </w:tabs>
              <w:spacing w:after="0" w:line="240" w:lineRule="auto"/>
              <w:ind w:right="-97"/>
              <w:jc w:val="center"/>
              <w:rPr>
                <w:rFonts w:ascii="Arial" w:eastAsia="Times New Roman" w:hAnsi="Arial" w:cs="Arial"/>
                <w:color w:val="000000"/>
                <w:sz w:val="24"/>
                <w:szCs w:val="24"/>
                <w:lang w:val="ro-RO"/>
              </w:rPr>
            </w:pPr>
            <w:r>
              <w:rPr>
                <w:rFonts w:ascii="Arial" w:eastAsia="Times New Roman" w:hAnsi="Arial" w:cs="Arial"/>
                <w:color w:val="000000"/>
                <w:sz w:val="24"/>
                <w:szCs w:val="24"/>
                <w:lang w:val="ro-RO"/>
              </w:rPr>
              <w:t>165.6</w:t>
            </w:r>
          </w:p>
        </w:tc>
      </w:tr>
    </w:tbl>
    <w:p w:rsidR="00587B71" w:rsidRPr="00587B71" w:rsidRDefault="00587B71" w:rsidP="00587B71">
      <w:pPr>
        <w:spacing w:after="0" w:line="240" w:lineRule="auto"/>
        <w:jc w:val="both"/>
        <w:rPr>
          <w:rFonts w:ascii="Arial" w:eastAsia="Times New Roman" w:hAnsi="Arial" w:cs="Arial"/>
          <w:b/>
          <w:i/>
          <w:iCs/>
          <w:color w:val="000000"/>
          <w:sz w:val="24"/>
          <w:szCs w:val="24"/>
          <w:lang w:val="ro-RO"/>
        </w:rPr>
      </w:pPr>
      <w:r>
        <w:rPr>
          <w:rFonts w:ascii="Arial" w:eastAsia="Times New Roman" w:hAnsi="Arial" w:cs="Arial"/>
          <w:b/>
          <w:i/>
          <w:noProof/>
          <w:color w:val="000000"/>
          <w:sz w:val="24"/>
          <w:szCs w:val="24"/>
        </w:rPr>
        <w:lastRenderedPageBreak/>
        <w:drawing>
          <wp:inline distT="0" distB="0" distL="0" distR="0">
            <wp:extent cx="5410200" cy="1362075"/>
            <wp:effectExtent l="0" t="0" r="0" b="0"/>
            <wp:docPr id="161" name="Chart 1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87B71" w:rsidRPr="00587B71" w:rsidRDefault="00587B71" w:rsidP="00587B71">
      <w:pPr>
        <w:spacing w:after="0" w:line="240" w:lineRule="auto"/>
        <w:jc w:val="center"/>
        <w:rPr>
          <w:rFonts w:ascii="Arial" w:eastAsia="Arial Unicode MS" w:hAnsi="Arial" w:cs="Arial Unicode MS"/>
          <w:color w:val="000000"/>
          <w:sz w:val="24"/>
          <w:szCs w:val="24"/>
          <w:lang w:val="ro-RO" w:eastAsia="ro-RO"/>
        </w:rPr>
      </w:pPr>
      <w:r w:rsidRPr="00587B71">
        <w:rPr>
          <w:rFonts w:ascii="Arial" w:eastAsia="Arial Unicode MS" w:hAnsi="Arial" w:cs="Arial Unicode MS"/>
          <w:color w:val="000000"/>
          <w:sz w:val="24"/>
          <w:szCs w:val="24"/>
          <w:lang w:val="ro-RO" w:eastAsia="ro-RO"/>
        </w:rPr>
        <w:t>Figura. I.2</w:t>
      </w:r>
      <w:r w:rsidR="007F5E86">
        <w:rPr>
          <w:rFonts w:ascii="Arial" w:eastAsia="Arial Unicode MS" w:hAnsi="Arial" w:cs="Arial Unicode MS"/>
          <w:color w:val="000000"/>
          <w:sz w:val="24"/>
          <w:szCs w:val="24"/>
          <w:lang w:val="ro-RO" w:eastAsia="ro-RO"/>
        </w:rPr>
        <w:t>8. emisii PCB (g/an), 2010-2015</w:t>
      </w:r>
    </w:p>
    <w:p w:rsidR="00587B71" w:rsidRPr="00587B71" w:rsidRDefault="00587B71" w:rsidP="00587B71">
      <w:pPr>
        <w:spacing w:after="0" w:line="240" w:lineRule="auto"/>
        <w:jc w:val="center"/>
        <w:rPr>
          <w:rFonts w:ascii="Arial" w:eastAsia="Arial Unicode MS" w:hAnsi="Arial" w:cs="Arial Unicode MS"/>
          <w:color w:val="000000"/>
          <w:sz w:val="24"/>
          <w:szCs w:val="24"/>
          <w:lang w:val="ro-RO" w:eastAsia="ro-RO"/>
        </w:rPr>
      </w:pPr>
    </w:p>
    <w:p w:rsidR="00587B71" w:rsidRPr="00587B71" w:rsidRDefault="00587B71" w:rsidP="00587B71">
      <w:pPr>
        <w:spacing w:after="0" w:line="240" w:lineRule="auto"/>
        <w:jc w:val="both"/>
        <w:rPr>
          <w:rFonts w:ascii="Arial" w:eastAsia="Times New Roman" w:hAnsi="Arial" w:cs="Arial"/>
          <w:b/>
          <w:i/>
          <w:iCs/>
          <w:color w:val="000000"/>
          <w:sz w:val="24"/>
          <w:szCs w:val="24"/>
          <w:lang w:val="ro-RO"/>
        </w:rPr>
      </w:pPr>
    </w:p>
    <w:p w:rsidR="00587B71" w:rsidRPr="00587B71" w:rsidRDefault="00587B71" w:rsidP="00587B71">
      <w:pPr>
        <w:spacing w:after="0" w:line="240" w:lineRule="auto"/>
        <w:jc w:val="both"/>
        <w:rPr>
          <w:rFonts w:ascii="Arial" w:eastAsia="Times New Roman" w:hAnsi="Arial" w:cs="Arial"/>
          <w:i/>
          <w:iCs/>
          <w:color w:val="000000"/>
          <w:sz w:val="24"/>
          <w:szCs w:val="24"/>
          <w:lang w:val="ro-RO"/>
        </w:rPr>
      </w:pPr>
      <w:r w:rsidRPr="00587B71">
        <w:rPr>
          <w:rFonts w:ascii="Arial" w:eastAsia="Times New Roman" w:hAnsi="Arial" w:cs="Arial"/>
          <w:i/>
          <w:iCs/>
          <w:color w:val="000000"/>
          <w:sz w:val="24"/>
          <w:szCs w:val="24"/>
          <w:lang w:val="ro-RO"/>
        </w:rPr>
        <w:t>Emisii de hexaclorbenzen</w:t>
      </w:r>
    </w:p>
    <w:p w:rsidR="00587B71" w:rsidRPr="00587B71" w:rsidRDefault="00587B71" w:rsidP="00587B71">
      <w:pPr>
        <w:spacing w:after="0" w:line="240" w:lineRule="auto"/>
        <w:jc w:val="both"/>
        <w:rPr>
          <w:rFonts w:ascii="Arial" w:eastAsia="Times New Roman" w:hAnsi="Arial" w:cs="Arial"/>
          <w:b/>
          <w:i/>
          <w:iCs/>
          <w:color w:val="000000"/>
          <w:sz w:val="24"/>
          <w:szCs w:val="24"/>
          <w:lang w:val="ro-RO"/>
        </w:rPr>
      </w:pPr>
    </w:p>
    <w:p w:rsidR="00587B71" w:rsidRPr="00587B71" w:rsidRDefault="00587B71" w:rsidP="00587B71">
      <w:pPr>
        <w:autoSpaceDE w:val="0"/>
        <w:autoSpaceDN w:val="0"/>
        <w:adjustRightInd w:val="0"/>
        <w:spacing w:after="0" w:line="240" w:lineRule="auto"/>
        <w:ind w:right="-592"/>
        <w:rPr>
          <w:rFonts w:ascii="Arial" w:eastAsia="Times New Roman" w:hAnsi="Arial" w:cs="Arial"/>
          <w:color w:val="000000"/>
          <w:sz w:val="24"/>
          <w:szCs w:val="24"/>
          <w:lang w:val="de-DE"/>
        </w:rPr>
      </w:pPr>
      <w:r w:rsidRPr="00587B71">
        <w:rPr>
          <w:rFonts w:ascii="Arial" w:eastAsia="Times New Roman" w:hAnsi="Arial" w:cs="Arial"/>
          <w:color w:val="000000"/>
          <w:sz w:val="24"/>
          <w:szCs w:val="24"/>
          <w:lang w:val="ro-RO"/>
        </w:rPr>
        <w:t xml:space="preserve">Tabelul I.26. Emisiile de hexaclorbenzen (HCB) - </w:t>
      </w:r>
      <w:r w:rsidRPr="00587B71">
        <w:rPr>
          <w:rFonts w:ascii="Arial" w:eastAsia="Times New Roman" w:hAnsi="Arial" w:cs="Arial"/>
          <w:bCs/>
          <w:color w:val="000000"/>
          <w:sz w:val="24"/>
          <w:szCs w:val="24"/>
          <w:lang w:val="ro-RO"/>
        </w:rPr>
        <w:t>(g/an)</w:t>
      </w:r>
      <w:r w:rsidRPr="00587B71">
        <w:rPr>
          <w:rFonts w:ascii="Arial" w:eastAsia="Times New Roman" w:hAnsi="Arial" w:cs="Arial"/>
          <w:color w:val="000000"/>
          <w:sz w:val="24"/>
          <w:szCs w:val="24"/>
          <w:lang w:val="ro-RO"/>
        </w:rPr>
        <w:t xml:space="preserve">                                                                                                                                                      </w:t>
      </w:r>
    </w:p>
    <w:tbl>
      <w:tblPr>
        <w:tblW w:w="8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2"/>
        <w:gridCol w:w="1214"/>
        <w:gridCol w:w="1214"/>
        <w:gridCol w:w="1214"/>
        <w:gridCol w:w="1214"/>
        <w:gridCol w:w="1214"/>
        <w:gridCol w:w="1214"/>
      </w:tblGrid>
      <w:tr w:rsidR="00587B71" w:rsidRPr="00587B71" w:rsidTr="00587B71">
        <w:trPr>
          <w:trHeight w:val="297"/>
          <w:jc w:val="center"/>
        </w:trPr>
        <w:tc>
          <w:tcPr>
            <w:tcW w:w="1062" w:type="dxa"/>
            <w:shd w:val="clear" w:color="auto" w:fill="auto"/>
            <w:tcMar>
              <w:left w:w="11" w:type="dxa"/>
              <w:right w:w="11" w:type="dxa"/>
            </w:tcMar>
            <w:vAlign w:val="center"/>
          </w:tcPr>
          <w:p w:rsidR="00587B71" w:rsidRPr="00587B71" w:rsidRDefault="00587B71" w:rsidP="00587B71">
            <w:pPr>
              <w:tabs>
                <w:tab w:val="left" w:pos="411"/>
                <w:tab w:val="center" w:pos="4680"/>
                <w:tab w:val="right" w:pos="9360"/>
              </w:tabs>
              <w:spacing w:after="0" w:line="240" w:lineRule="auto"/>
              <w:ind w:left="22"/>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Judeţ</w:t>
            </w:r>
          </w:p>
        </w:tc>
        <w:tc>
          <w:tcPr>
            <w:tcW w:w="1214" w:type="dxa"/>
            <w:shd w:val="clear" w:color="auto" w:fill="FFFFFF"/>
          </w:tcPr>
          <w:p w:rsidR="00587B71" w:rsidRPr="00587B71" w:rsidRDefault="00587B71" w:rsidP="00587B71">
            <w:pPr>
              <w:tabs>
                <w:tab w:val="center" w:pos="4680"/>
                <w:tab w:val="right" w:pos="9360"/>
              </w:tabs>
              <w:spacing w:after="0" w:line="240" w:lineRule="auto"/>
              <w:ind w:left="22"/>
              <w:jc w:val="center"/>
              <w:rPr>
                <w:rFonts w:ascii="Arial" w:eastAsia="Times New Roman" w:hAnsi="Arial" w:cs="Arial"/>
                <w:b/>
                <w:color w:val="000000"/>
                <w:sz w:val="24"/>
                <w:szCs w:val="24"/>
              </w:rPr>
            </w:pPr>
            <w:r w:rsidRPr="00587B71">
              <w:rPr>
                <w:rFonts w:ascii="Arial" w:eastAsia="Times New Roman" w:hAnsi="Arial" w:cs="Arial"/>
                <w:b/>
                <w:color w:val="000000"/>
                <w:sz w:val="24"/>
                <w:szCs w:val="24"/>
                <w:lang w:val="pt-BR"/>
              </w:rPr>
              <w:t>2010</w:t>
            </w:r>
          </w:p>
        </w:tc>
        <w:tc>
          <w:tcPr>
            <w:tcW w:w="1214" w:type="dxa"/>
            <w:shd w:val="clear" w:color="auto" w:fill="FFFFFF"/>
          </w:tcPr>
          <w:p w:rsidR="00587B71" w:rsidRPr="00587B71" w:rsidRDefault="00587B71" w:rsidP="00587B71">
            <w:pPr>
              <w:tabs>
                <w:tab w:val="center" w:pos="4680"/>
                <w:tab w:val="right" w:pos="9360"/>
              </w:tabs>
              <w:spacing w:after="0" w:line="240" w:lineRule="auto"/>
              <w:ind w:left="22"/>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2011</w:t>
            </w:r>
          </w:p>
        </w:tc>
        <w:tc>
          <w:tcPr>
            <w:tcW w:w="1214" w:type="dxa"/>
            <w:shd w:val="clear" w:color="auto" w:fill="FFFFFF"/>
          </w:tcPr>
          <w:p w:rsidR="00587B71" w:rsidRPr="00587B71" w:rsidRDefault="00587B71" w:rsidP="00587B71">
            <w:pPr>
              <w:tabs>
                <w:tab w:val="center" w:pos="4680"/>
                <w:tab w:val="right" w:pos="9360"/>
              </w:tabs>
              <w:spacing w:after="0" w:line="240" w:lineRule="auto"/>
              <w:ind w:left="22"/>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2012*</w:t>
            </w:r>
          </w:p>
        </w:tc>
        <w:tc>
          <w:tcPr>
            <w:tcW w:w="1214" w:type="dxa"/>
            <w:shd w:val="clear" w:color="auto" w:fill="FFFFFF"/>
          </w:tcPr>
          <w:p w:rsidR="00587B71" w:rsidRPr="00587B71" w:rsidRDefault="00587B71" w:rsidP="00587B71">
            <w:pPr>
              <w:tabs>
                <w:tab w:val="center" w:pos="4680"/>
                <w:tab w:val="right" w:pos="9360"/>
              </w:tabs>
              <w:spacing w:after="0" w:line="240" w:lineRule="auto"/>
              <w:ind w:left="22"/>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2013</w:t>
            </w:r>
          </w:p>
        </w:tc>
        <w:tc>
          <w:tcPr>
            <w:tcW w:w="1214" w:type="dxa"/>
            <w:shd w:val="clear" w:color="auto" w:fill="FFFFFF"/>
          </w:tcPr>
          <w:p w:rsidR="00587B71" w:rsidRPr="00587B71" w:rsidRDefault="00587B71" w:rsidP="00587B71">
            <w:pPr>
              <w:tabs>
                <w:tab w:val="center" w:pos="4680"/>
                <w:tab w:val="right" w:pos="9360"/>
              </w:tabs>
              <w:spacing w:after="0" w:line="240" w:lineRule="auto"/>
              <w:ind w:left="22"/>
              <w:jc w:val="center"/>
              <w:rPr>
                <w:rFonts w:ascii="Arial" w:eastAsia="Times New Roman" w:hAnsi="Arial" w:cs="Arial"/>
                <w:b/>
                <w:color w:val="000000"/>
                <w:sz w:val="24"/>
                <w:szCs w:val="24"/>
                <w:lang w:val="pt-BR"/>
              </w:rPr>
            </w:pPr>
            <w:r w:rsidRPr="00587B71">
              <w:rPr>
                <w:rFonts w:ascii="Arial" w:eastAsia="Times New Roman" w:hAnsi="Arial" w:cs="Arial"/>
                <w:b/>
                <w:color w:val="000000"/>
                <w:sz w:val="24"/>
                <w:szCs w:val="24"/>
                <w:lang w:val="pt-BR"/>
              </w:rPr>
              <w:t>2014</w:t>
            </w:r>
          </w:p>
        </w:tc>
        <w:tc>
          <w:tcPr>
            <w:tcW w:w="1214" w:type="dxa"/>
            <w:shd w:val="clear" w:color="auto" w:fill="FFFFFF"/>
          </w:tcPr>
          <w:p w:rsidR="00587B71" w:rsidRPr="00587B71" w:rsidRDefault="007F5E86" w:rsidP="00587B71">
            <w:pPr>
              <w:tabs>
                <w:tab w:val="center" w:pos="4680"/>
                <w:tab w:val="right" w:pos="9360"/>
              </w:tabs>
              <w:spacing w:after="0" w:line="240" w:lineRule="auto"/>
              <w:ind w:left="22"/>
              <w:jc w:val="center"/>
              <w:rPr>
                <w:rFonts w:ascii="Arial" w:eastAsia="Times New Roman" w:hAnsi="Arial" w:cs="Arial"/>
                <w:b/>
                <w:color w:val="000000"/>
                <w:sz w:val="24"/>
                <w:szCs w:val="24"/>
                <w:lang w:val="pt-BR"/>
              </w:rPr>
            </w:pPr>
            <w:r>
              <w:rPr>
                <w:rFonts w:ascii="Arial" w:eastAsia="Times New Roman" w:hAnsi="Arial" w:cs="Arial"/>
                <w:b/>
                <w:color w:val="000000"/>
                <w:sz w:val="24"/>
                <w:szCs w:val="24"/>
                <w:lang w:val="pt-BR"/>
              </w:rPr>
              <w:t>2015</w:t>
            </w:r>
          </w:p>
        </w:tc>
      </w:tr>
      <w:tr w:rsidR="00587B71" w:rsidRPr="00587B71" w:rsidTr="00587B71">
        <w:trPr>
          <w:jc w:val="center"/>
        </w:trPr>
        <w:tc>
          <w:tcPr>
            <w:tcW w:w="1062" w:type="dxa"/>
            <w:shd w:val="clear" w:color="auto" w:fill="auto"/>
            <w:tcMar>
              <w:left w:w="11" w:type="dxa"/>
              <w:right w:w="11" w:type="dxa"/>
            </w:tcMar>
            <w:vAlign w:val="center"/>
          </w:tcPr>
          <w:p w:rsidR="00587B71" w:rsidRPr="00587B71" w:rsidRDefault="00587B71" w:rsidP="00587B71">
            <w:pPr>
              <w:tabs>
                <w:tab w:val="center" w:pos="4680"/>
                <w:tab w:val="right" w:pos="9360"/>
              </w:tabs>
              <w:spacing w:after="0" w:line="240" w:lineRule="auto"/>
              <w:ind w:left="22" w:right="33"/>
              <w:jc w:val="center"/>
              <w:rPr>
                <w:rFonts w:ascii="Arial" w:eastAsia="Times New Roman" w:hAnsi="Arial" w:cs="Arial"/>
                <w:color w:val="000000"/>
                <w:sz w:val="24"/>
                <w:szCs w:val="24"/>
                <w:lang w:val="pt-BR"/>
              </w:rPr>
            </w:pPr>
            <w:r w:rsidRPr="00587B71">
              <w:rPr>
                <w:rFonts w:ascii="Arial" w:eastAsia="Times New Roman" w:hAnsi="Arial" w:cs="Arial"/>
                <w:color w:val="000000"/>
                <w:sz w:val="24"/>
                <w:szCs w:val="24"/>
                <w:lang w:val="pt-BR"/>
              </w:rPr>
              <w:t>Vaslui</w:t>
            </w:r>
          </w:p>
        </w:tc>
        <w:tc>
          <w:tcPr>
            <w:tcW w:w="1214" w:type="dxa"/>
          </w:tcPr>
          <w:p w:rsidR="00587B71" w:rsidRPr="00587B71" w:rsidRDefault="00587B71" w:rsidP="00587B71">
            <w:pPr>
              <w:tabs>
                <w:tab w:val="center" w:pos="4680"/>
                <w:tab w:val="right" w:pos="9360"/>
              </w:tabs>
              <w:spacing w:after="0" w:line="240" w:lineRule="auto"/>
              <w:ind w:left="-86" w:right="-97"/>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0,00033</w:t>
            </w:r>
          </w:p>
        </w:tc>
        <w:tc>
          <w:tcPr>
            <w:tcW w:w="1214" w:type="dxa"/>
          </w:tcPr>
          <w:p w:rsidR="00587B71" w:rsidRPr="00587B71" w:rsidRDefault="00587B71" w:rsidP="00587B71">
            <w:pPr>
              <w:tabs>
                <w:tab w:val="center" w:pos="4680"/>
                <w:tab w:val="right" w:pos="9360"/>
              </w:tabs>
              <w:spacing w:after="0" w:line="240" w:lineRule="auto"/>
              <w:ind w:left="-86" w:right="-97"/>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21,05</w:t>
            </w:r>
          </w:p>
        </w:tc>
        <w:tc>
          <w:tcPr>
            <w:tcW w:w="1214" w:type="dxa"/>
          </w:tcPr>
          <w:p w:rsidR="00587B71" w:rsidRPr="00587B71" w:rsidRDefault="00587B71" w:rsidP="00587B71">
            <w:pPr>
              <w:tabs>
                <w:tab w:val="center" w:pos="4680"/>
                <w:tab w:val="right" w:pos="9360"/>
              </w:tabs>
              <w:spacing w:after="0" w:line="240" w:lineRule="auto"/>
              <w:ind w:left="-86" w:right="-97"/>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121,55</w:t>
            </w:r>
          </w:p>
        </w:tc>
        <w:tc>
          <w:tcPr>
            <w:tcW w:w="1214" w:type="dxa"/>
          </w:tcPr>
          <w:p w:rsidR="00587B71" w:rsidRPr="00587B71" w:rsidRDefault="00587B71" w:rsidP="00587B71">
            <w:pPr>
              <w:tabs>
                <w:tab w:val="center" w:pos="4680"/>
                <w:tab w:val="right" w:pos="9360"/>
              </w:tabs>
              <w:spacing w:after="0" w:line="240" w:lineRule="auto"/>
              <w:ind w:left="-86" w:right="-97"/>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14,68</w:t>
            </w:r>
          </w:p>
        </w:tc>
        <w:tc>
          <w:tcPr>
            <w:tcW w:w="1214" w:type="dxa"/>
          </w:tcPr>
          <w:p w:rsidR="00587B71" w:rsidRPr="00587B71" w:rsidRDefault="00587B71" w:rsidP="00587B71">
            <w:pPr>
              <w:tabs>
                <w:tab w:val="center" w:pos="4680"/>
                <w:tab w:val="right" w:pos="9360"/>
              </w:tabs>
              <w:spacing w:after="0" w:line="240" w:lineRule="auto"/>
              <w:ind w:left="-86" w:right="-97"/>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16,0</w:t>
            </w:r>
          </w:p>
        </w:tc>
        <w:tc>
          <w:tcPr>
            <w:tcW w:w="1214" w:type="dxa"/>
          </w:tcPr>
          <w:p w:rsidR="00587B71" w:rsidRPr="00587B71" w:rsidRDefault="007F5E86" w:rsidP="00587B71">
            <w:pPr>
              <w:tabs>
                <w:tab w:val="center" w:pos="4680"/>
                <w:tab w:val="right" w:pos="9360"/>
              </w:tabs>
              <w:spacing w:after="0" w:line="240" w:lineRule="auto"/>
              <w:ind w:left="-86" w:right="-97"/>
              <w:jc w:val="center"/>
              <w:rPr>
                <w:rFonts w:ascii="Arial" w:eastAsia="Times New Roman" w:hAnsi="Arial" w:cs="Arial"/>
                <w:color w:val="000000"/>
                <w:sz w:val="24"/>
                <w:szCs w:val="24"/>
                <w:lang w:val="ro-RO"/>
              </w:rPr>
            </w:pPr>
            <w:r>
              <w:rPr>
                <w:rFonts w:ascii="Arial" w:eastAsia="Times New Roman" w:hAnsi="Arial" w:cs="Arial"/>
                <w:color w:val="000000"/>
                <w:sz w:val="24"/>
                <w:szCs w:val="24"/>
                <w:lang w:val="ro-RO"/>
              </w:rPr>
              <w:t>16,3</w:t>
            </w:r>
          </w:p>
        </w:tc>
      </w:tr>
    </w:tbl>
    <w:p w:rsidR="00587B71" w:rsidRPr="00587B71" w:rsidRDefault="00587B71" w:rsidP="00587B71">
      <w:pPr>
        <w:spacing w:after="0" w:line="240" w:lineRule="auto"/>
        <w:ind w:firstLine="708"/>
        <w:jc w:val="both"/>
        <w:rPr>
          <w:rFonts w:ascii="Arial" w:eastAsia="Times New Roman" w:hAnsi="Arial" w:cs="Arial"/>
          <w:color w:val="000000"/>
          <w:sz w:val="24"/>
          <w:szCs w:val="24"/>
          <w:lang w:val="ro-RO"/>
        </w:rPr>
      </w:pPr>
    </w:p>
    <w:p w:rsidR="00587B71" w:rsidRPr="00587B71" w:rsidRDefault="00587B71" w:rsidP="00587B71">
      <w:pPr>
        <w:spacing w:after="0" w:line="240" w:lineRule="auto"/>
        <w:ind w:firstLine="708"/>
        <w:jc w:val="center"/>
        <w:rPr>
          <w:rFonts w:ascii="Arial" w:eastAsia="Times New Roman" w:hAnsi="Arial" w:cs="Arial"/>
          <w:i/>
          <w:color w:val="000000"/>
          <w:sz w:val="24"/>
          <w:szCs w:val="24"/>
          <w:lang w:val="ro-RO"/>
        </w:rPr>
      </w:pPr>
      <w:r>
        <w:rPr>
          <w:rFonts w:ascii="Arial" w:eastAsia="Times New Roman" w:hAnsi="Arial" w:cs="Arial"/>
          <w:b/>
          <w:i/>
          <w:noProof/>
          <w:color w:val="000000"/>
          <w:sz w:val="24"/>
          <w:szCs w:val="24"/>
        </w:rPr>
        <w:drawing>
          <wp:inline distT="0" distB="0" distL="0" distR="0">
            <wp:extent cx="6257925" cy="2581275"/>
            <wp:effectExtent l="0" t="0" r="0" b="0"/>
            <wp:docPr id="158" name="Chart 1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87B71" w:rsidRPr="00587B71" w:rsidRDefault="00587B71" w:rsidP="00587B71">
      <w:pPr>
        <w:spacing w:after="0" w:line="240" w:lineRule="auto"/>
        <w:jc w:val="center"/>
        <w:rPr>
          <w:rFonts w:ascii="Arial" w:eastAsia="Arial Unicode MS" w:hAnsi="Arial" w:cs="Arial Unicode MS"/>
          <w:color w:val="000000"/>
          <w:sz w:val="24"/>
          <w:szCs w:val="24"/>
          <w:lang w:val="ro-RO" w:eastAsia="ro-RO"/>
        </w:rPr>
      </w:pPr>
      <w:r w:rsidRPr="00587B71">
        <w:rPr>
          <w:rFonts w:ascii="Arial" w:eastAsia="Arial Unicode MS" w:hAnsi="Arial" w:cs="Arial Unicode MS"/>
          <w:color w:val="000000"/>
          <w:sz w:val="24"/>
          <w:szCs w:val="24"/>
          <w:lang w:val="ro-RO" w:eastAsia="ro-RO"/>
        </w:rPr>
        <w:t>Figura. I.2</w:t>
      </w:r>
      <w:r w:rsidR="007F5E86">
        <w:rPr>
          <w:rFonts w:ascii="Arial" w:eastAsia="Arial Unicode MS" w:hAnsi="Arial" w:cs="Arial Unicode MS"/>
          <w:color w:val="000000"/>
          <w:sz w:val="24"/>
          <w:szCs w:val="24"/>
          <w:lang w:val="ro-RO" w:eastAsia="ro-RO"/>
        </w:rPr>
        <w:t>9. emisii PAH (g/an), 2010-2015</w:t>
      </w:r>
    </w:p>
    <w:p w:rsidR="00587B71" w:rsidRPr="00587B71" w:rsidRDefault="00587B71" w:rsidP="00587B71">
      <w:pPr>
        <w:spacing w:after="0" w:line="240" w:lineRule="auto"/>
        <w:jc w:val="center"/>
        <w:rPr>
          <w:rFonts w:ascii="Arial" w:eastAsia="Arial Unicode MS" w:hAnsi="Arial" w:cs="Arial Unicode MS"/>
          <w:color w:val="000000"/>
          <w:sz w:val="24"/>
          <w:szCs w:val="24"/>
          <w:lang w:val="ro-RO" w:eastAsia="ro-RO"/>
        </w:rPr>
      </w:pPr>
    </w:p>
    <w:p w:rsidR="00587B71" w:rsidRPr="00587B71" w:rsidRDefault="00587B71" w:rsidP="00587B71">
      <w:pPr>
        <w:autoSpaceDE w:val="0"/>
        <w:autoSpaceDN w:val="0"/>
        <w:adjustRightInd w:val="0"/>
        <w:spacing w:after="0" w:line="240" w:lineRule="auto"/>
        <w:jc w:val="both"/>
        <w:rPr>
          <w:rFonts w:ascii="Arial" w:eastAsia="Times New Roman" w:hAnsi="Arial" w:cs="Arial"/>
          <w:color w:val="FF0000"/>
          <w:sz w:val="24"/>
          <w:szCs w:val="24"/>
          <w:lang w:val="ro-RO"/>
        </w:rPr>
      </w:pPr>
    </w:p>
    <w:p w:rsidR="00587B71" w:rsidRPr="00587B71" w:rsidRDefault="00587B71" w:rsidP="00587B71">
      <w:pPr>
        <w:autoSpaceDE w:val="0"/>
        <w:autoSpaceDN w:val="0"/>
        <w:adjustRightInd w:val="0"/>
        <w:spacing w:after="0" w:line="240" w:lineRule="auto"/>
        <w:ind w:firstLine="720"/>
        <w:jc w:val="both"/>
        <w:rPr>
          <w:rFonts w:ascii="Arial" w:eastAsia="Times New Roman" w:hAnsi="Arial" w:cs="Arial"/>
          <w:color w:val="000000"/>
          <w:sz w:val="24"/>
          <w:szCs w:val="24"/>
        </w:rPr>
      </w:pPr>
      <w:r w:rsidRPr="00587B71">
        <w:rPr>
          <w:rFonts w:ascii="Arial" w:eastAsia="Times New Roman" w:hAnsi="Arial" w:cs="Arial"/>
          <w:color w:val="000000"/>
          <w:sz w:val="24"/>
          <w:szCs w:val="24"/>
        </w:rPr>
        <w:t xml:space="preserve">Acidifierea aerului este rezultatul conversiei chimice a dioxidului de sulf şi a oxizilor de azot. Aceşti poluanţi, odată ajunşi în atmosferă, în contact cu lumina solară şi vaporii de apă formează compuşii acizi ce pot persista până la câteva zile şi astfel pot fi transportaţi la sute de kilometri sau se pot depune pe sol sau apă prin intermediul precipitaţiilor. Acest proces interferă cu ecosistemele generând problema „acidifierii”. </w:t>
      </w:r>
    </w:p>
    <w:p w:rsidR="00587B71" w:rsidRPr="00587B71" w:rsidRDefault="00587B71" w:rsidP="00587B71">
      <w:pPr>
        <w:autoSpaceDE w:val="0"/>
        <w:autoSpaceDN w:val="0"/>
        <w:adjustRightInd w:val="0"/>
        <w:spacing w:after="0" w:line="240" w:lineRule="auto"/>
        <w:ind w:firstLine="720"/>
        <w:jc w:val="both"/>
        <w:rPr>
          <w:rFonts w:ascii="Arial" w:eastAsia="Times New Roman" w:hAnsi="Arial" w:cs="Arial"/>
          <w:color w:val="000000"/>
          <w:sz w:val="24"/>
          <w:szCs w:val="24"/>
        </w:rPr>
      </w:pPr>
    </w:p>
    <w:p w:rsidR="00587B71" w:rsidRPr="00587B71" w:rsidRDefault="00587B71" w:rsidP="00587B71">
      <w:pPr>
        <w:spacing w:after="0" w:line="240" w:lineRule="auto"/>
        <w:ind w:firstLine="720"/>
        <w:jc w:val="center"/>
        <w:rPr>
          <w:rFonts w:ascii="Arial" w:eastAsia="Times New Roman" w:hAnsi="Arial" w:cs="Arial"/>
          <w:b/>
          <w:iCs/>
          <w:color w:val="FF0000"/>
          <w:sz w:val="24"/>
          <w:szCs w:val="24"/>
          <w:lang w:val="ro-RO"/>
        </w:rPr>
      </w:pPr>
      <w:r>
        <w:rPr>
          <w:rFonts w:ascii="Arial" w:eastAsia="Times New Roman" w:hAnsi="Arial" w:cs="Arial"/>
          <w:b/>
          <w:iCs/>
          <w:noProof/>
          <w:color w:val="FF0000"/>
          <w:sz w:val="24"/>
          <w:szCs w:val="24"/>
        </w:rPr>
        <w:lastRenderedPageBreak/>
        <w:drawing>
          <wp:inline distT="0" distB="0" distL="0" distR="0">
            <wp:extent cx="4876800" cy="1524000"/>
            <wp:effectExtent l="0" t="0" r="0" b="0"/>
            <wp:docPr id="108" name="Chart 1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87B71" w:rsidRPr="00587B71" w:rsidRDefault="00587B71" w:rsidP="00587B71">
      <w:pPr>
        <w:spacing w:after="0" w:line="240" w:lineRule="auto"/>
        <w:ind w:firstLine="720"/>
        <w:jc w:val="center"/>
        <w:rPr>
          <w:rFonts w:ascii="Arial" w:eastAsia="Times New Roman" w:hAnsi="Arial" w:cs="Arial"/>
          <w:iCs/>
          <w:sz w:val="24"/>
          <w:szCs w:val="24"/>
          <w:lang w:val="ro-RO"/>
        </w:rPr>
      </w:pPr>
      <w:r w:rsidRPr="00587B71">
        <w:rPr>
          <w:rFonts w:ascii="Arial" w:eastAsia="Times New Roman" w:hAnsi="Arial" w:cs="Arial"/>
          <w:iCs/>
          <w:sz w:val="24"/>
          <w:szCs w:val="24"/>
          <w:lang w:val="ro-RO"/>
        </w:rPr>
        <w:t>Figura I.30. Emisii POPs pe sectoare de activitate (grame)</w:t>
      </w:r>
    </w:p>
    <w:p w:rsidR="00587B71" w:rsidRPr="00587B71" w:rsidRDefault="00587B71" w:rsidP="00587B71">
      <w:pPr>
        <w:spacing w:after="0" w:line="240" w:lineRule="auto"/>
        <w:ind w:firstLine="720"/>
        <w:jc w:val="center"/>
        <w:rPr>
          <w:rFonts w:ascii="Arial" w:eastAsia="Times New Roman" w:hAnsi="Arial" w:cs="Arial"/>
          <w:iCs/>
          <w:sz w:val="24"/>
          <w:szCs w:val="24"/>
          <w:lang w:val="ro-RO"/>
        </w:rPr>
      </w:pPr>
    </w:p>
    <w:p w:rsidR="00587B71" w:rsidRPr="00587B71" w:rsidRDefault="00587B71" w:rsidP="00587B71">
      <w:pPr>
        <w:autoSpaceDE w:val="0"/>
        <w:autoSpaceDN w:val="0"/>
        <w:adjustRightInd w:val="0"/>
        <w:spacing w:after="0" w:line="240" w:lineRule="auto"/>
        <w:ind w:firstLine="720"/>
        <w:jc w:val="both"/>
        <w:rPr>
          <w:rFonts w:ascii="Arial" w:eastAsia="Times New Roman" w:hAnsi="Arial" w:cs="Arial"/>
          <w:color w:val="000000"/>
          <w:sz w:val="24"/>
          <w:szCs w:val="24"/>
        </w:rPr>
      </w:pPr>
      <w:r w:rsidRPr="00587B71">
        <w:rPr>
          <w:rFonts w:ascii="Arial" w:eastAsia="Times New Roman" w:hAnsi="Arial" w:cs="Arial"/>
          <w:color w:val="000000"/>
          <w:sz w:val="24"/>
          <w:szCs w:val="24"/>
        </w:rPr>
        <w:t xml:space="preserve">Gazele cu efect acidifiant asupra atmosferei sunt dioxidul de sulf şi oxizii de azot. Aceste gaze, care rezultă în principal din arderea combustibililor fosili în instalaţii de ardere fixe (energetice, industriale), dar şi din transporturi, sunt gaze care pot persista de la câteva ore până la câteva zile în atmosferă, putând fi transportate la sute de kilometri distanţă de locul producerii. Aceşti compuşi sunt prezenţi în toată troposfera, deoarece dispersia lor şi a produşilor lor de transformare se produce cu extindere atât pe verticală cât şi pe orizontală, sub acţiunea vântului şi a mişcărilor verticale ale aerului. </w:t>
      </w:r>
    </w:p>
    <w:p w:rsidR="00587B71" w:rsidRPr="00587B71" w:rsidRDefault="00587B71" w:rsidP="00587B71">
      <w:pPr>
        <w:autoSpaceDE w:val="0"/>
        <w:autoSpaceDN w:val="0"/>
        <w:adjustRightInd w:val="0"/>
        <w:spacing w:after="0" w:line="240" w:lineRule="auto"/>
        <w:ind w:firstLine="720"/>
        <w:jc w:val="both"/>
        <w:rPr>
          <w:rFonts w:ascii="Arial" w:eastAsia="Times New Roman" w:hAnsi="Arial" w:cs="Arial"/>
          <w:color w:val="000000"/>
          <w:sz w:val="24"/>
          <w:szCs w:val="24"/>
        </w:rPr>
      </w:pPr>
      <w:r w:rsidRPr="00587B71">
        <w:rPr>
          <w:rFonts w:ascii="Arial" w:eastAsia="Times New Roman" w:hAnsi="Arial" w:cs="Arial"/>
          <w:color w:val="000000"/>
          <w:sz w:val="24"/>
          <w:szCs w:val="24"/>
        </w:rPr>
        <w:t xml:space="preserve">Procesele de transformare pe care le suferă dioxidul de sulf şi oxizii de azot în atmosferă pot conduce, atunci când concentraţia acestora depăşeşte anumite niveluri critice, la acidifierea atmosferei, la căderea de precipitaţii acide, cu efecte negative asupra calităţii celorlalţi factori de mediu abiotici (apă, sol), dar şi asupra ecosistemelor şi sănătăţii umane. </w:t>
      </w:r>
    </w:p>
    <w:p w:rsidR="00587B71" w:rsidRPr="00587B71" w:rsidRDefault="00587B71" w:rsidP="00587B71">
      <w:pPr>
        <w:autoSpaceDE w:val="0"/>
        <w:autoSpaceDN w:val="0"/>
        <w:adjustRightInd w:val="0"/>
        <w:spacing w:after="0" w:line="240" w:lineRule="auto"/>
        <w:ind w:firstLine="720"/>
        <w:jc w:val="both"/>
        <w:rPr>
          <w:rFonts w:ascii="Arial" w:eastAsia="Times New Roman" w:hAnsi="Arial" w:cs="Arial"/>
          <w:color w:val="000000"/>
          <w:sz w:val="24"/>
          <w:szCs w:val="24"/>
        </w:rPr>
      </w:pPr>
      <w:r w:rsidRPr="00587B71">
        <w:rPr>
          <w:rFonts w:ascii="Arial" w:eastAsia="Times New Roman" w:hAnsi="Arial" w:cs="Arial"/>
          <w:color w:val="000000"/>
          <w:sz w:val="24"/>
          <w:szCs w:val="24"/>
        </w:rPr>
        <w:t>Eutrofizarea este un fenomen care se datorează acumulării, peste un nivel considerat critic, a azotului nutritiv (compuşi cu azot de origine antropică implicaţi în circuitul azotului în natură, emişi în atmosferă sub forma oxizilor de azot şi amoniacului) într-un ecosistem, cu consecinţe negative asupra echilibrului ecologic. Gazele cu efect eutrofizant sunt amoniacul şi oxizii de azot. Amoniacul provine în principal din sursele agricole. Unele cantităţi de amoniac, mai reduse, provin din diverse surse industriale, combustii etc. Ozonul troposferic nu este emis direct în aerul înconjurător, el formându-se prin complexe reacţii chimice între diferiţi poluanţi gazoşi, precursori ai formării ozonului cum ar fi, NOx ce include NO şi NO2 şi NMVOC. La scară continentală, CH4 şi CO au un rol în formarea O3 .</w:t>
      </w:r>
    </w:p>
    <w:p w:rsidR="00587B71" w:rsidRPr="00587B71" w:rsidRDefault="00587B71" w:rsidP="00587B71">
      <w:pPr>
        <w:autoSpaceDE w:val="0"/>
        <w:autoSpaceDN w:val="0"/>
        <w:adjustRightInd w:val="0"/>
        <w:spacing w:after="0" w:line="240" w:lineRule="auto"/>
        <w:jc w:val="both"/>
        <w:rPr>
          <w:rFonts w:ascii="Arial" w:eastAsia="Times New Roman" w:hAnsi="Arial" w:cs="Arial"/>
          <w:color w:val="000000"/>
          <w:sz w:val="24"/>
          <w:szCs w:val="24"/>
        </w:rPr>
      </w:pPr>
    </w:p>
    <w:p w:rsidR="00587B71" w:rsidRPr="00587B71" w:rsidRDefault="00587B71" w:rsidP="00587B71">
      <w:pPr>
        <w:autoSpaceDE w:val="0"/>
        <w:autoSpaceDN w:val="0"/>
        <w:adjustRightInd w:val="0"/>
        <w:spacing w:after="0" w:line="240" w:lineRule="auto"/>
        <w:jc w:val="both"/>
        <w:rPr>
          <w:rFonts w:ascii="Arial" w:eastAsia="Times New Roman" w:hAnsi="Arial" w:cs="Arial"/>
          <w:sz w:val="24"/>
          <w:szCs w:val="24"/>
          <w:lang w:val="ro-RO"/>
        </w:rPr>
      </w:pPr>
      <w:r w:rsidRPr="00587B71">
        <w:rPr>
          <w:rFonts w:ascii="Arial" w:eastAsia="Times New Roman" w:hAnsi="Arial" w:cs="Arial"/>
          <w:sz w:val="24"/>
          <w:szCs w:val="24"/>
          <w:lang w:val="ro-RO"/>
        </w:rPr>
        <w:t xml:space="preserve">Tabelul I.27 Emisii de </w:t>
      </w:r>
      <w:r w:rsidR="00B000B2">
        <w:rPr>
          <w:rFonts w:ascii="Arial" w:eastAsia="Times New Roman" w:hAnsi="Arial" w:cs="Arial"/>
          <w:sz w:val="24"/>
          <w:szCs w:val="24"/>
          <w:lang w:val="ro-RO"/>
        </w:rPr>
        <w:t>substanţe acidifiante 2010-2015</w:t>
      </w:r>
    </w:p>
    <w:tbl>
      <w:tblPr>
        <w:tblpPr w:leftFromText="180" w:rightFromText="180" w:vertAnchor="text" w:horzAnchor="margin" w:tblpY="1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1"/>
        <w:gridCol w:w="1481"/>
        <w:gridCol w:w="1480"/>
        <w:gridCol w:w="1480"/>
        <w:gridCol w:w="1480"/>
        <w:gridCol w:w="1438"/>
        <w:gridCol w:w="1334"/>
      </w:tblGrid>
      <w:tr w:rsidR="00587B71" w:rsidRPr="00587B71" w:rsidTr="00587B71">
        <w:tc>
          <w:tcPr>
            <w:tcW w:w="1223" w:type="dxa"/>
            <w:vAlign w:val="center"/>
          </w:tcPr>
          <w:p w:rsidR="00587B71" w:rsidRPr="00587B71" w:rsidRDefault="00587B71" w:rsidP="00587B71">
            <w:pPr>
              <w:tabs>
                <w:tab w:val="left" w:pos="411"/>
                <w:tab w:val="center" w:pos="4680"/>
                <w:tab w:val="right" w:pos="9360"/>
              </w:tabs>
              <w:spacing w:after="0" w:line="240" w:lineRule="auto"/>
              <w:ind w:left="22"/>
              <w:jc w:val="center"/>
              <w:rPr>
                <w:rFonts w:ascii="Arial" w:eastAsia="Times New Roman" w:hAnsi="Arial" w:cs="Arial"/>
                <w:b/>
                <w:sz w:val="24"/>
                <w:szCs w:val="24"/>
                <w:lang w:val="pt-BR"/>
              </w:rPr>
            </w:pPr>
            <w:r w:rsidRPr="00587B71">
              <w:rPr>
                <w:rFonts w:ascii="Arial" w:eastAsia="Times New Roman" w:hAnsi="Arial" w:cs="Arial"/>
                <w:b/>
                <w:sz w:val="24"/>
                <w:szCs w:val="24"/>
                <w:lang w:val="pt-BR"/>
              </w:rPr>
              <w:t>Poluant</w:t>
            </w:r>
          </w:p>
        </w:tc>
        <w:tc>
          <w:tcPr>
            <w:tcW w:w="1545" w:type="dxa"/>
          </w:tcPr>
          <w:p w:rsidR="00587B71" w:rsidRPr="00587B71" w:rsidRDefault="00587B71" w:rsidP="00587B71">
            <w:pPr>
              <w:tabs>
                <w:tab w:val="center" w:pos="4680"/>
                <w:tab w:val="right" w:pos="9360"/>
              </w:tabs>
              <w:spacing w:after="0" w:line="240" w:lineRule="auto"/>
              <w:ind w:left="22"/>
              <w:jc w:val="center"/>
              <w:rPr>
                <w:rFonts w:ascii="Arial" w:eastAsia="Times New Roman" w:hAnsi="Arial" w:cs="Arial"/>
                <w:b/>
                <w:sz w:val="24"/>
                <w:szCs w:val="24"/>
              </w:rPr>
            </w:pPr>
            <w:r w:rsidRPr="00587B71">
              <w:rPr>
                <w:rFonts w:ascii="Arial" w:eastAsia="Times New Roman" w:hAnsi="Arial" w:cs="Arial"/>
                <w:b/>
                <w:sz w:val="24"/>
                <w:szCs w:val="24"/>
                <w:lang w:val="pt-BR"/>
              </w:rPr>
              <w:t>2010</w:t>
            </w:r>
          </w:p>
        </w:tc>
        <w:tc>
          <w:tcPr>
            <w:tcW w:w="1544" w:type="dxa"/>
          </w:tcPr>
          <w:p w:rsidR="00587B71" w:rsidRPr="00587B71" w:rsidRDefault="00587B71" w:rsidP="00587B71">
            <w:pPr>
              <w:tabs>
                <w:tab w:val="center" w:pos="4680"/>
                <w:tab w:val="right" w:pos="9360"/>
              </w:tabs>
              <w:spacing w:after="0" w:line="240" w:lineRule="auto"/>
              <w:ind w:left="22"/>
              <w:jc w:val="center"/>
              <w:rPr>
                <w:rFonts w:ascii="Arial" w:eastAsia="Times New Roman" w:hAnsi="Arial" w:cs="Arial"/>
                <w:b/>
                <w:sz w:val="24"/>
                <w:szCs w:val="24"/>
                <w:lang w:val="pt-BR"/>
              </w:rPr>
            </w:pPr>
            <w:r w:rsidRPr="00587B71">
              <w:rPr>
                <w:rFonts w:ascii="Arial" w:eastAsia="Times New Roman" w:hAnsi="Arial" w:cs="Arial"/>
                <w:b/>
                <w:sz w:val="24"/>
                <w:szCs w:val="24"/>
                <w:lang w:val="pt-BR"/>
              </w:rPr>
              <w:t>2011</w:t>
            </w:r>
          </w:p>
        </w:tc>
        <w:tc>
          <w:tcPr>
            <w:tcW w:w="1544" w:type="dxa"/>
          </w:tcPr>
          <w:p w:rsidR="00587B71" w:rsidRPr="00587B71" w:rsidRDefault="00587B71" w:rsidP="00587B71">
            <w:pPr>
              <w:tabs>
                <w:tab w:val="center" w:pos="4680"/>
                <w:tab w:val="right" w:pos="9360"/>
              </w:tabs>
              <w:spacing w:after="0" w:line="240" w:lineRule="auto"/>
              <w:ind w:left="22"/>
              <w:jc w:val="center"/>
              <w:rPr>
                <w:rFonts w:ascii="Arial" w:eastAsia="Times New Roman" w:hAnsi="Arial" w:cs="Arial"/>
                <w:b/>
                <w:sz w:val="24"/>
                <w:szCs w:val="24"/>
                <w:lang w:val="pt-BR"/>
              </w:rPr>
            </w:pPr>
            <w:r w:rsidRPr="00587B71">
              <w:rPr>
                <w:rFonts w:ascii="Arial" w:eastAsia="Times New Roman" w:hAnsi="Arial" w:cs="Arial"/>
                <w:b/>
                <w:sz w:val="24"/>
                <w:szCs w:val="24"/>
                <w:lang w:val="pt-BR"/>
              </w:rPr>
              <w:t>2012</w:t>
            </w:r>
          </w:p>
        </w:tc>
        <w:tc>
          <w:tcPr>
            <w:tcW w:w="1544" w:type="dxa"/>
          </w:tcPr>
          <w:p w:rsidR="00587B71" w:rsidRPr="00587B71" w:rsidRDefault="00587B71" w:rsidP="00587B71">
            <w:pPr>
              <w:tabs>
                <w:tab w:val="center" w:pos="4680"/>
                <w:tab w:val="right" w:pos="9360"/>
              </w:tabs>
              <w:spacing w:after="0" w:line="240" w:lineRule="auto"/>
              <w:ind w:left="22"/>
              <w:jc w:val="center"/>
              <w:rPr>
                <w:rFonts w:ascii="Arial" w:eastAsia="Times New Roman" w:hAnsi="Arial" w:cs="Arial"/>
                <w:b/>
                <w:sz w:val="24"/>
                <w:szCs w:val="24"/>
                <w:lang w:val="pt-BR"/>
              </w:rPr>
            </w:pPr>
            <w:r w:rsidRPr="00587B71">
              <w:rPr>
                <w:rFonts w:ascii="Arial" w:eastAsia="Times New Roman" w:hAnsi="Arial" w:cs="Arial"/>
                <w:b/>
                <w:sz w:val="24"/>
                <w:szCs w:val="24"/>
                <w:lang w:val="pt-BR"/>
              </w:rPr>
              <w:t>2013</w:t>
            </w:r>
          </w:p>
        </w:tc>
        <w:tc>
          <w:tcPr>
            <w:tcW w:w="1514" w:type="dxa"/>
          </w:tcPr>
          <w:p w:rsidR="00587B71" w:rsidRPr="00587B71" w:rsidRDefault="00587B71" w:rsidP="00587B71">
            <w:pPr>
              <w:tabs>
                <w:tab w:val="center" w:pos="4680"/>
                <w:tab w:val="right" w:pos="9360"/>
              </w:tabs>
              <w:spacing w:after="0" w:line="240" w:lineRule="auto"/>
              <w:ind w:left="22"/>
              <w:jc w:val="center"/>
              <w:rPr>
                <w:rFonts w:ascii="Arial" w:eastAsia="Times New Roman" w:hAnsi="Arial" w:cs="Arial"/>
                <w:b/>
                <w:sz w:val="24"/>
                <w:szCs w:val="24"/>
                <w:lang w:val="pt-BR"/>
              </w:rPr>
            </w:pPr>
            <w:r w:rsidRPr="00587B71">
              <w:rPr>
                <w:rFonts w:ascii="Arial" w:eastAsia="Times New Roman" w:hAnsi="Arial" w:cs="Arial"/>
                <w:b/>
                <w:sz w:val="24"/>
                <w:szCs w:val="24"/>
                <w:lang w:val="pt-BR"/>
              </w:rPr>
              <w:t>2014</w:t>
            </w:r>
          </w:p>
        </w:tc>
        <w:tc>
          <w:tcPr>
            <w:tcW w:w="1381" w:type="dxa"/>
          </w:tcPr>
          <w:p w:rsidR="00587B71" w:rsidRPr="00587B71" w:rsidRDefault="00D86D23" w:rsidP="00587B71">
            <w:pPr>
              <w:tabs>
                <w:tab w:val="center" w:pos="4680"/>
                <w:tab w:val="right" w:pos="9360"/>
              </w:tabs>
              <w:spacing w:after="0" w:line="240" w:lineRule="auto"/>
              <w:ind w:left="22"/>
              <w:jc w:val="center"/>
              <w:rPr>
                <w:rFonts w:ascii="Arial" w:eastAsia="Times New Roman" w:hAnsi="Arial" w:cs="Arial"/>
                <w:b/>
                <w:sz w:val="24"/>
                <w:szCs w:val="24"/>
                <w:lang w:val="pt-BR"/>
              </w:rPr>
            </w:pPr>
            <w:r>
              <w:rPr>
                <w:rFonts w:ascii="Arial" w:eastAsia="Times New Roman" w:hAnsi="Arial" w:cs="Arial"/>
                <w:b/>
                <w:sz w:val="24"/>
                <w:szCs w:val="24"/>
                <w:lang w:val="pt-BR"/>
              </w:rPr>
              <w:t>2015</w:t>
            </w:r>
          </w:p>
        </w:tc>
      </w:tr>
      <w:tr w:rsidR="00587B71" w:rsidRPr="00587B71" w:rsidTr="00587B71">
        <w:tc>
          <w:tcPr>
            <w:tcW w:w="1223"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sz w:val="24"/>
                <w:szCs w:val="24"/>
                <w:lang w:val="ro-RO"/>
              </w:rPr>
            </w:pPr>
            <w:r w:rsidRPr="00587B71">
              <w:rPr>
                <w:rFonts w:ascii="Arial" w:eastAsia="Times New Roman" w:hAnsi="Arial" w:cs="Arial"/>
                <w:sz w:val="24"/>
                <w:szCs w:val="24"/>
                <w:lang w:val="ro-RO"/>
              </w:rPr>
              <w:t>SO2</w:t>
            </w:r>
          </w:p>
        </w:tc>
        <w:tc>
          <w:tcPr>
            <w:tcW w:w="1545"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sz w:val="24"/>
                <w:szCs w:val="24"/>
                <w:lang w:val="ro-RO"/>
              </w:rPr>
            </w:pPr>
            <w:r w:rsidRPr="00587B71">
              <w:rPr>
                <w:rFonts w:ascii="Arial" w:eastAsia="Times New Roman" w:hAnsi="Arial" w:cs="Arial"/>
                <w:sz w:val="24"/>
                <w:szCs w:val="24"/>
                <w:lang w:val="ro-RO"/>
              </w:rPr>
              <w:t>15,5</w:t>
            </w:r>
          </w:p>
        </w:tc>
        <w:tc>
          <w:tcPr>
            <w:tcW w:w="1544"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sz w:val="24"/>
                <w:szCs w:val="24"/>
                <w:lang w:val="ro-RO"/>
              </w:rPr>
            </w:pPr>
            <w:r w:rsidRPr="00587B71">
              <w:rPr>
                <w:rFonts w:ascii="Arial" w:eastAsia="Times New Roman" w:hAnsi="Arial" w:cs="Arial"/>
                <w:sz w:val="24"/>
                <w:szCs w:val="24"/>
                <w:lang w:val="ro-RO"/>
              </w:rPr>
              <w:t>288,8</w:t>
            </w:r>
          </w:p>
        </w:tc>
        <w:tc>
          <w:tcPr>
            <w:tcW w:w="1544"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sz w:val="24"/>
                <w:szCs w:val="24"/>
                <w:lang w:val="ro-RO"/>
              </w:rPr>
            </w:pPr>
            <w:r w:rsidRPr="00587B71">
              <w:rPr>
                <w:rFonts w:ascii="Arial" w:eastAsia="Times New Roman" w:hAnsi="Arial" w:cs="Arial"/>
                <w:sz w:val="24"/>
                <w:szCs w:val="24"/>
                <w:lang w:val="ro-RO"/>
              </w:rPr>
              <w:t>730</w:t>
            </w:r>
          </w:p>
        </w:tc>
        <w:tc>
          <w:tcPr>
            <w:tcW w:w="1544"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sz w:val="24"/>
                <w:szCs w:val="24"/>
                <w:lang w:val="ro-RO"/>
              </w:rPr>
            </w:pPr>
            <w:r w:rsidRPr="00587B71">
              <w:rPr>
                <w:rFonts w:ascii="Arial" w:eastAsia="Times New Roman" w:hAnsi="Arial" w:cs="Arial"/>
                <w:sz w:val="24"/>
                <w:szCs w:val="24"/>
                <w:lang w:val="ro-RO"/>
              </w:rPr>
              <w:t>75</w:t>
            </w:r>
          </w:p>
        </w:tc>
        <w:tc>
          <w:tcPr>
            <w:tcW w:w="1514"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sz w:val="24"/>
                <w:szCs w:val="24"/>
                <w:lang w:val="ro-RO"/>
              </w:rPr>
            </w:pPr>
            <w:r w:rsidRPr="00587B71">
              <w:rPr>
                <w:rFonts w:ascii="Arial" w:eastAsia="Times New Roman" w:hAnsi="Arial" w:cs="Arial"/>
                <w:sz w:val="24"/>
                <w:szCs w:val="24"/>
                <w:lang w:val="ro-RO"/>
              </w:rPr>
              <w:t>40,97</w:t>
            </w:r>
          </w:p>
        </w:tc>
        <w:tc>
          <w:tcPr>
            <w:tcW w:w="1381" w:type="dxa"/>
          </w:tcPr>
          <w:p w:rsidR="00587B71" w:rsidRPr="00587B71" w:rsidRDefault="00960090" w:rsidP="00587B71">
            <w:pPr>
              <w:autoSpaceDE w:val="0"/>
              <w:autoSpaceDN w:val="0"/>
              <w:adjustRightInd w:val="0"/>
              <w:spacing w:after="0" w:line="240" w:lineRule="auto"/>
              <w:jc w:val="center"/>
              <w:rPr>
                <w:rFonts w:ascii="Arial" w:eastAsia="Times New Roman" w:hAnsi="Arial" w:cs="Arial"/>
                <w:sz w:val="24"/>
                <w:szCs w:val="24"/>
                <w:lang w:val="ro-RO"/>
              </w:rPr>
            </w:pPr>
            <w:r>
              <w:rPr>
                <w:rFonts w:ascii="Arial" w:eastAsia="Times New Roman" w:hAnsi="Arial" w:cs="Arial"/>
                <w:sz w:val="24"/>
                <w:szCs w:val="24"/>
                <w:lang w:val="ro-RO"/>
              </w:rPr>
              <w:t>40,25</w:t>
            </w:r>
          </w:p>
        </w:tc>
      </w:tr>
      <w:tr w:rsidR="00587B71" w:rsidRPr="00587B71" w:rsidTr="00587B71">
        <w:tc>
          <w:tcPr>
            <w:tcW w:w="1223"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sz w:val="24"/>
                <w:szCs w:val="24"/>
                <w:lang w:val="ro-RO"/>
              </w:rPr>
            </w:pPr>
            <w:r w:rsidRPr="00587B71">
              <w:rPr>
                <w:rFonts w:ascii="Arial" w:eastAsia="Times New Roman" w:hAnsi="Arial" w:cs="Arial"/>
                <w:sz w:val="24"/>
                <w:szCs w:val="24"/>
                <w:lang w:val="ro-RO"/>
              </w:rPr>
              <w:t>NOx</w:t>
            </w:r>
          </w:p>
        </w:tc>
        <w:tc>
          <w:tcPr>
            <w:tcW w:w="1545"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sz w:val="24"/>
                <w:szCs w:val="24"/>
                <w:lang w:val="ro-RO"/>
              </w:rPr>
            </w:pPr>
            <w:r w:rsidRPr="00587B71">
              <w:rPr>
                <w:rFonts w:ascii="Arial" w:eastAsia="Times New Roman" w:hAnsi="Arial" w:cs="Arial"/>
                <w:sz w:val="24"/>
                <w:szCs w:val="24"/>
                <w:lang w:val="ro-RO"/>
              </w:rPr>
              <w:t>1520,2</w:t>
            </w:r>
          </w:p>
        </w:tc>
        <w:tc>
          <w:tcPr>
            <w:tcW w:w="1544"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sz w:val="24"/>
                <w:szCs w:val="24"/>
                <w:lang w:val="ro-RO"/>
              </w:rPr>
            </w:pPr>
            <w:r w:rsidRPr="00587B71">
              <w:rPr>
                <w:rFonts w:ascii="Arial" w:eastAsia="Times New Roman" w:hAnsi="Arial" w:cs="Arial"/>
                <w:sz w:val="24"/>
                <w:szCs w:val="24"/>
                <w:lang w:val="ro-RO"/>
              </w:rPr>
              <w:t>1309,7</w:t>
            </w:r>
          </w:p>
        </w:tc>
        <w:tc>
          <w:tcPr>
            <w:tcW w:w="1544"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sz w:val="24"/>
                <w:szCs w:val="24"/>
                <w:lang w:val="ro-RO"/>
              </w:rPr>
            </w:pPr>
            <w:r w:rsidRPr="00587B71">
              <w:rPr>
                <w:rFonts w:ascii="Arial" w:eastAsia="Times New Roman" w:hAnsi="Arial" w:cs="Arial"/>
                <w:sz w:val="24"/>
                <w:szCs w:val="24"/>
                <w:lang w:val="ro-RO"/>
              </w:rPr>
              <w:t>3011,3</w:t>
            </w:r>
          </w:p>
        </w:tc>
        <w:tc>
          <w:tcPr>
            <w:tcW w:w="1544"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sz w:val="24"/>
                <w:szCs w:val="24"/>
                <w:lang w:val="ro-RO"/>
              </w:rPr>
            </w:pPr>
            <w:r w:rsidRPr="00587B71">
              <w:rPr>
                <w:rFonts w:ascii="Arial" w:eastAsia="Times New Roman" w:hAnsi="Arial" w:cs="Arial"/>
                <w:sz w:val="24"/>
                <w:szCs w:val="24"/>
                <w:lang w:val="ro-RO"/>
              </w:rPr>
              <w:t>3753,9</w:t>
            </w:r>
          </w:p>
        </w:tc>
        <w:tc>
          <w:tcPr>
            <w:tcW w:w="1514"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sz w:val="24"/>
                <w:szCs w:val="24"/>
                <w:lang w:val="ro-RO"/>
              </w:rPr>
            </w:pPr>
            <w:r w:rsidRPr="00587B71">
              <w:rPr>
                <w:rFonts w:ascii="Arial" w:eastAsia="Times New Roman" w:hAnsi="Arial" w:cs="Arial"/>
                <w:sz w:val="24"/>
                <w:szCs w:val="24"/>
                <w:lang w:val="ro-RO"/>
              </w:rPr>
              <w:t>886,7</w:t>
            </w:r>
          </w:p>
        </w:tc>
        <w:tc>
          <w:tcPr>
            <w:tcW w:w="1381" w:type="dxa"/>
          </w:tcPr>
          <w:p w:rsidR="00587B71" w:rsidRPr="00587B71" w:rsidRDefault="00960090" w:rsidP="00587B71">
            <w:pPr>
              <w:autoSpaceDE w:val="0"/>
              <w:autoSpaceDN w:val="0"/>
              <w:adjustRightInd w:val="0"/>
              <w:spacing w:after="0" w:line="240" w:lineRule="auto"/>
              <w:jc w:val="center"/>
              <w:rPr>
                <w:rFonts w:ascii="Arial" w:eastAsia="Times New Roman" w:hAnsi="Arial" w:cs="Arial"/>
                <w:sz w:val="24"/>
                <w:szCs w:val="24"/>
                <w:lang w:val="ro-RO"/>
              </w:rPr>
            </w:pPr>
            <w:r>
              <w:rPr>
                <w:rFonts w:ascii="Arial" w:eastAsia="Times New Roman" w:hAnsi="Arial" w:cs="Arial"/>
                <w:sz w:val="24"/>
                <w:szCs w:val="24"/>
                <w:lang w:val="ro-RO"/>
              </w:rPr>
              <w:t>884,24</w:t>
            </w:r>
          </w:p>
        </w:tc>
      </w:tr>
      <w:tr w:rsidR="00587B71" w:rsidRPr="00587B71" w:rsidTr="00587B71">
        <w:tc>
          <w:tcPr>
            <w:tcW w:w="1223"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sz w:val="24"/>
                <w:szCs w:val="24"/>
                <w:lang w:val="ro-RO"/>
              </w:rPr>
            </w:pPr>
            <w:r w:rsidRPr="00587B71">
              <w:rPr>
                <w:rFonts w:ascii="Arial" w:eastAsia="Times New Roman" w:hAnsi="Arial" w:cs="Arial"/>
                <w:sz w:val="24"/>
                <w:szCs w:val="24"/>
                <w:lang w:val="ro-RO"/>
              </w:rPr>
              <w:t>NH3</w:t>
            </w:r>
          </w:p>
        </w:tc>
        <w:tc>
          <w:tcPr>
            <w:tcW w:w="1545"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sz w:val="24"/>
                <w:szCs w:val="24"/>
                <w:lang w:val="ro-RO"/>
              </w:rPr>
            </w:pPr>
            <w:r w:rsidRPr="00587B71">
              <w:rPr>
                <w:rFonts w:ascii="Arial" w:eastAsia="Times New Roman" w:hAnsi="Arial" w:cs="Arial"/>
                <w:sz w:val="24"/>
                <w:szCs w:val="24"/>
                <w:lang w:val="ro-RO"/>
              </w:rPr>
              <w:t>862,9</w:t>
            </w:r>
          </w:p>
        </w:tc>
        <w:tc>
          <w:tcPr>
            <w:tcW w:w="1544"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sz w:val="24"/>
                <w:szCs w:val="24"/>
                <w:lang w:val="ro-RO"/>
              </w:rPr>
            </w:pPr>
            <w:r w:rsidRPr="00587B71">
              <w:rPr>
                <w:rFonts w:ascii="Arial" w:eastAsia="Times New Roman" w:hAnsi="Arial" w:cs="Arial"/>
                <w:sz w:val="24"/>
                <w:szCs w:val="24"/>
                <w:lang w:val="ro-RO"/>
              </w:rPr>
              <w:t>265,5</w:t>
            </w:r>
          </w:p>
        </w:tc>
        <w:tc>
          <w:tcPr>
            <w:tcW w:w="1544"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sz w:val="24"/>
                <w:szCs w:val="24"/>
                <w:lang w:val="ro-RO"/>
              </w:rPr>
            </w:pPr>
            <w:r w:rsidRPr="00587B71">
              <w:rPr>
                <w:rFonts w:ascii="Arial" w:eastAsia="Times New Roman" w:hAnsi="Arial" w:cs="Arial"/>
                <w:sz w:val="24"/>
                <w:szCs w:val="24"/>
                <w:lang w:val="ro-RO"/>
              </w:rPr>
              <w:t>622,6</w:t>
            </w:r>
          </w:p>
        </w:tc>
        <w:tc>
          <w:tcPr>
            <w:tcW w:w="1544"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sz w:val="24"/>
                <w:szCs w:val="24"/>
                <w:lang w:val="ro-RO"/>
              </w:rPr>
            </w:pPr>
            <w:r w:rsidRPr="00587B71">
              <w:rPr>
                <w:rFonts w:ascii="Arial" w:eastAsia="Times New Roman" w:hAnsi="Arial" w:cs="Arial"/>
                <w:sz w:val="24"/>
                <w:szCs w:val="24"/>
                <w:lang w:val="ro-RO"/>
              </w:rPr>
              <w:t>474,9</w:t>
            </w:r>
          </w:p>
        </w:tc>
        <w:tc>
          <w:tcPr>
            <w:tcW w:w="1514" w:type="dxa"/>
          </w:tcPr>
          <w:p w:rsidR="00587B71" w:rsidRPr="00587B71" w:rsidRDefault="00587B71" w:rsidP="00587B71">
            <w:pPr>
              <w:autoSpaceDE w:val="0"/>
              <w:autoSpaceDN w:val="0"/>
              <w:adjustRightInd w:val="0"/>
              <w:spacing w:after="0" w:line="240" w:lineRule="auto"/>
              <w:jc w:val="center"/>
              <w:rPr>
                <w:rFonts w:ascii="Arial" w:eastAsia="Times New Roman" w:hAnsi="Arial" w:cs="Arial"/>
                <w:sz w:val="24"/>
                <w:szCs w:val="24"/>
                <w:lang w:val="ro-RO"/>
              </w:rPr>
            </w:pPr>
            <w:r w:rsidRPr="00587B71">
              <w:rPr>
                <w:rFonts w:ascii="Arial" w:eastAsia="Times New Roman" w:hAnsi="Arial" w:cs="Arial"/>
                <w:sz w:val="24"/>
                <w:szCs w:val="24"/>
                <w:lang w:val="ro-RO"/>
              </w:rPr>
              <w:t>628,8</w:t>
            </w:r>
          </w:p>
        </w:tc>
        <w:tc>
          <w:tcPr>
            <w:tcW w:w="1381" w:type="dxa"/>
          </w:tcPr>
          <w:p w:rsidR="00587B71" w:rsidRPr="00587B71" w:rsidRDefault="00960090" w:rsidP="00587B71">
            <w:pPr>
              <w:autoSpaceDE w:val="0"/>
              <w:autoSpaceDN w:val="0"/>
              <w:adjustRightInd w:val="0"/>
              <w:spacing w:after="0" w:line="240" w:lineRule="auto"/>
              <w:jc w:val="center"/>
              <w:rPr>
                <w:rFonts w:ascii="Arial" w:eastAsia="Times New Roman" w:hAnsi="Arial" w:cs="Arial"/>
                <w:sz w:val="24"/>
                <w:szCs w:val="24"/>
                <w:lang w:val="ro-RO"/>
              </w:rPr>
            </w:pPr>
            <w:r>
              <w:rPr>
                <w:rFonts w:ascii="Arial" w:eastAsia="Times New Roman" w:hAnsi="Arial" w:cs="Arial"/>
                <w:sz w:val="24"/>
                <w:szCs w:val="24"/>
                <w:lang w:val="ro-RO"/>
              </w:rPr>
              <w:t>674,8</w:t>
            </w:r>
          </w:p>
        </w:tc>
      </w:tr>
    </w:tbl>
    <w:p w:rsidR="00587B71" w:rsidRPr="00587B71" w:rsidRDefault="00587B71" w:rsidP="00587B71">
      <w:pPr>
        <w:autoSpaceDE w:val="0"/>
        <w:autoSpaceDN w:val="0"/>
        <w:adjustRightInd w:val="0"/>
        <w:spacing w:after="0" w:line="240" w:lineRule="auto"/>
        <w:jc w:val="both"/>
        <w:rPr>
          <w:rFonts w:ascii="Arial" w:eastAsia="Times New Roman" w:hAnsi="Arial" w:cs="Arial"/>
          <w:sz w:val="24"/>
          <w:szCs w:val="24"/>
          <w:lang w:val="ro-RO"/>
        </w:rPr>
      </w:pPr>
    </w:p>
    <w:p w:rsidR="00587B71" w:rsidRPr="00587B71" w:rsidRDefault="00587B71" w:rsidP="00587B71">
      <w:pPr>
        <w:autoSpaceDE w:val="0"/>
        <w:autoSpaceDN w:val="0"/>
        <w:adjustRightInd w:val="0"/>
        <w:spacing w:after="0" w:line="240" w:lineRule="auto"/>
        <w:ind w:firstLine="720"/>
        <w:jc w:val="center"/>
        <w:rPr>
          <w:rFonts w:ascii="Arial" w:eastAsia="Times New Roman" w:hAnsi="Arial" w:cs="Arial"/>
          <w:color w:val="FF0000"/>
          <w:sz w:val="24"/>
          <w:szCs w:val="24"/>
          <w:lang w:val="ro-RO"/>
        </w:rPr>
      </w:pPr>
      <w:r>
        <w:rPr>
          <w:rFonts w:ascii="Arial" w:eastAsia="Times New Roman" w:hAnsi="Arial" w:cs="Arial"/>
          <w:noProof/>
          <w:color w:val="FF0000"/>
          <w:sz w:val="24"/>
          <w:szCs w:val="24"/>
        </w:rPr>
        <w:lastRenderedPageBreak/>
        <w:drawing>
          <wp:inline distT="0" distB="0" distL="0" distR="0">
            <wp:extent cx="5106837" cy="2329132"/>
            <wp:effectExtent l="0" t="0" r="0" b="0"/>
            <wp:docPr id="96" name="Chart 9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87B71" w:rsidRPr="00587B71" w:rsidRDefault="00587B71" w:rsidP="00587B71">
      <w:pPr>
        <w:spacing w:after="0" w:line="240" w:lineRule="auto"/>
        <w:rPr>
          <w:rFonts w:ascii="Arial" w:eastAsia="Times New Roman" w:hAnsi="Arial" w:cs="Arial"/>
          <w:sz w:val="24"/>
          <w:szCs w:val="24"/>
          <w:lang w:val="ro-RO"/>
        </w:rPr>
      </w:pPr>
      <w:r w:rsidRPr="00587B71">
        <w:rPr>
          <w:rFonts w:ascii="Arial" w:eastAsia="Times New Roman" w:hAnsi="Arial" w:cs="Arial"/>
          <w:sz w:val="24"/>
          <w:szCs w:val="24"/>
          <w:lang w:val="ro-RO"/>
        </w:rPr>
        <w:t xml:space="preserve">             Figura I.32.  Emisiile de </w:t>
      </w:r>
      <w:r w:rsidR="00960090">
        <w:rPr>
          <w:rFonts w:ascii="Arial" w:eastAsia="Times New Roman" w:hAnsi="Arial" w:cs="Arial"/>
          <w:sz w:val="24"/>
          <w:szCs w:val="24"/>
          <w:lang w:val="ro-RO"/>
        </w:rPr>
        <w:t>substanţe acidifiante 2010-2015</w:t>
      </w:r>
    </w:p>
    <w:p w:rsidR="00587B71" w:rsidRPr="00587B71" w:rsidRDefault="00587B71" w:rsidP="00587B71">
      <w:pPr>
        <w:spacing w:after="0" w:line="240" w:lineRule="auto"/>
        <w:ind w:firstLine="708"/>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 xml:space="preserve">                          </w:t>
      </w:r>
    </w:p>
    <w:p w:rsidR="00587B71" w:rsidRPr="00587B71" w:rsidRDefault="00587B71" w:rsidP="00587B71">
      <w:pPr>
        <w:spacing w:after="0" w:line="240" w:lineRule="auto"/>
        <w:rPr>
          <w:rFonts w:ascii="Arial" w:eastAsia="Times New Roman" w:hAnsi="Arial" w:cs="Arial"/>
          <w:b/>
          <w:color w:val="FF0000"/>
          <w:sz w:val="24"/>
          <w:szCs w:val="24"/>
          <w:lang w:val="ro-RO"/>
        </w:rPr>
      </w:pPr>
    </w:p>
    <w:p w:rsidR="00587B71" w:rsidRPr="00587B71" w:rsidRDefault="00587B71" w:rsidP="00587B71">
      <w:pPr>
        <w:spacing w:after="0" w:line="240" w:lineRule="auto"/>
        <w:rPr>
          <w:rFonts w:ascii="Arial" w:eastAsia="Times New Roman" w:hAnsi="Arial" w:cs="Arial"/>
          <w:sz w:val="24"/>
          <w:szCs w:val="24"/>
          <w:lang w:val="ro-RO"/>
        </w:rPr>
      </w:pPr>
      <w:r w:rsidRPr="00587B71">
        <w:rPr>
          <w:rFonts w:ascii="Arial" w:eastAsia="Times New Roman" w:hAnsi="Arial" w:cs="Arial"/>
          <w:sz w:val="24"/>
          <w:szCs w:val="24"/>
          <w:lang w:val="ro-RO"/>
        </w:rPr>
        <w:t>Tabelul I.28 Contribuţia sectoarelor de activitate la emisiile de poluanţi atmosferici cu efect acidifiant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4"/>
        <w:gridCol w:w="2315"/>
        <w:gridCol w:w="1977"/>
        <w:gridCol w:w="2003"/>
        <w:gridCol w:w="1987"/>
      </w:tblGrid>
      <w:tr w:rsidR="00587B71" w:rsidRPr="00B000B2" w:rsidTr="00587B71">
        <w:tc>
          <w:tcPr>
            <w:tcW w:w="1560" w:type="dxa"/>
          </w:tcPr>
          <w:p w:rsidR="00587B71" w:rsidRPr="00B000B2" w:rsidRDefault="00587B71" w:rsidP="00587B71">
            <w:pPr>
              <w:spacing w:after="0" w:line="240" w:lineRule="auto"/>
              <w:jc w:val="center"/>
              <w:rPr>
                <w:rFonts w:ascii="Arial" w:eastAsia="Times New Roman" w:hAnsi="Arial" w:cs="Arial"/>
                <w:b/>
                <w:sz w:val="24"/>
                <w:szCs w:val="24"/>
                <w:lang w:val="ro-RO"/>
              </w:rPr>
            </w:pPr>
            <w:r w:rsidRPr="00B000B2">
              <w:rPr>
                <w:rFonts w:ascii="Arial" w:eastAsia="Times New Roman" w:hAnsi="Arial" w:cs="Arial"/>
                <w:b/>
                <w:sz w:val="24"/>
                <w:szCs w:val="24"/>
                <w:lang w:val="ro-RO"/>
              </w:rPr>
              <w:t>Poluant</w:t>
            </w:r>
          </w:p>
        </w:tc>
        <w:tc>
          <w:tcPr>
            <w:tcW w:w="2450" w:type="dxa"/>
          </w:tcPr>
          <w:p w:rsidR="00587B71" w:rsidRPr="00B000B2" w:rsidRDefault="00587B71" w:rsidP="00587B71">
            <w:pPr>
              <w:spacing w:after="0" w:line="240" w:lineRule="auto"/>
              <w:jc w:val="center"/>
              <w:rPr>
                <w:rFonts w:ascii="Arial" w:eastAsia="Times New Roman" w:hAnsi="Arial" w:cs="Arial"/>
                <w:b/>
                <w:sz w:val="24"/>
                <w:szCs w:val="24"/>
                <w:lang w:val="ro-RO"/>
              </w:rPr>
            </w:pPr>
            <w:r w:rsidRPr="00B000B2">
              <w:rPr>
                <w:rFonts w:ascii="Arial" w:eastAsia="Times New Roman" w:hAnsi="Arial" w:cs="Arial"/>
                <w:b/>
                <w:sz w:val="24"/>
                <w:szCs w:val="24"/>
                <w:lang w:val="ro-RO"/>
              </w:rPr>
              <w:t>Energie</w:t>
            </w:r>
          </w:p>
        </w:tc>
        <w:tc>
          <w:tcPr>
            <w:tcW w:w="2059" w:type="dxa"/>
          </w:tcPr>
          <w:p w:rsidR="00587B71" w:rsidRPr="00B000B2" w:rsidRDefault="00587B71" w:rsidP="00587B71">
            <w:pPr>
              <w:spacing w:after="0" w:line="240" w:lineRule="auto"/>
              <w:jc w:val="center"/>
              <w:rPr>
                <w:rFonts w:ascii="Arial" w:eastAsia="Times New Roman" w:hAnsi="Arial" w:cs="Arial"/>
                <w:b/>
                <w:sz w:val="24"/>
                <w:szCs w:val="24"/>
                <w:lang w:val="ro-RO"/>
              </w:rPr>
            </w:pPr>
            <w:r w:rsidRPr="00B000B2">
              <w:rPr>
                <w:rFonts w:ascii="Arial" w:eastAsia="Times New Roman" w:hAnsi="Arial" w:cs="Arial"/>
                <w:b/>
                <w:sz w:val="24"/>
                <w:szCs w:val="24"/>
                <w:lang w:val="ro-RO"/>
              </w:rPr>
              <w:t>Industrie</w:t>
            </w:r>
          </w:p>
        </w:tc>
        <w:tc>
          <w:tcPr>
            <w:tcW w:w="2059" w:type="dxa"/>
          </w:tcPr>
          <w:p w:rsidR="00587B71" w:rsidRPr="00B000B2" w:rsidRDefault="00587B71" w:rsidP="00587B71">
            <w:pPr>
              <w:spacing w:after="0" w:line="240" w:lineRule="auto"/>
              <w:jc w:val="center"/>
              <w:rPr>
                <w:rFonts w:ascii="Arial" w:eastAsia="Times New Roman" w:hAnsi="Arial" w:cs="Arial"/>
                <w:b/>
                <w:sz w:val="24"/>
                <w:szCs w:val="24"/>
                <w:lang w:val="ro-RO"/>
              </w:rPr>
            </w:pPr>
            <w:r w:rsidRPr="00B000B2">
              <w:rPr>
                <w:rFonts w:ascii="Arial" w:eastAsia="Times New Roman" w:hAnsi="Arial" w:cs="Arial"/>
                <w:b/>
                <w:sz w:val="24"/>
                <w:szCs w:val="24"/>
                <w:lang w:val="ro-RO"/>
              </w:rPr>
              <w:t>Agricultura</w:t>
            </w:r>
          </w:p>
        </w:tc>
        <w:tc>
          <w:tcPr>
            <w:tcW w:w="2059" w:type="dxa"/>
          </w:tcPr>
          <w:p w:rsidR="00587B71" w:rsidRPr="00B000B2" w:rsidRDefault="00587B71" w:rsidP="00587B71">
            <w:pPr>
              <w:spacing w:after="0" w:line="240" w:lineRule="auto"/>
              <w:jc w:val="center"/>
              <w:rPr>
                <w:rFonts w:ascii="Arial" w:eastAsia="Times New Roman" w:hAnsi="Arial" w:cs="Arial"/>
                <w:b/>
                <w:sz w:val="24"/>
                <w:szCs w:val="24"/>
                <w:lang w:val="ro-RO"/>
              </w:rPr>
            </w:pPr>
            <w:r w:rsidRPr="00B000B2">
              <w:rPr>
                <w:rFonts w:ascii="Arial" w:eastAsia="Times New Roman" w:hAnsi="Arial" w:cs="Arial"/>
                <w:b/>
                <w:sz w:val="24"/>
                <w:szCs w:val="24"/>
                <w:lang w:val="ro-RO"/>
              </w:rPr>
              <w:t>Transport</w:t>
            </w:r>
          </w:p>
        </w:tc>
      </w:tr>
      <w:tr w:rsidR="00587B71" w:rsidRPr="00B000B2" w:rsidTr="00587B71">
        <w:tc>
          <w:tcPr>
            <w:tcW w:w="1560" w:type="dxa"/>
          </w:tcPr>
          <w:p w:rsidR="00587B71" w:rsidRPr="00B000B2" w:rsidRDefault="00587B71" w:rsidP="00587B71">
            <w:pPr>
              <w:spacing w:after="0" w:line="240" w:lineRule="auto"/>
              <w:jc w:val="center"/>
              <w:rPr>
                <w:rFonts w:ascii="Arial" w:eastAsia="Times New Roman" w:hAnsi="Arial" w:cs="Arial"/>
                <w:sz w:val="24"/>
                <w:szCs w:val="24"/>
                <w:lang w:val="ro-RO"/>
              </w:rPr>
            </w:pPr>
            <w:r w:rsidRPr="00B000B2">
              <w:rPr>
                <w:rFonts w:ascii="Arial" w:eastAsia="Times New Roman" w:hAnsi="Arial" w:cs="Arial"/>
                <w:sz w:val="24"/>
                <w:szCs w:val="24"/>
                <w:lang w:val="ro-RO"/>
              </w:rPr>
              <w:t>NH3</w:t>
            </w:r>
          </w:p>
        </w:tc>
        <w:tc>
          <w:tcPr>
            <w:tcW w:w="2450" w:type="dxa"/>
          </w:tcPr>
          <w:p w:rsidR="00587B71" w:rsidRPr="00B000B2" w:rsidRDefault="00B000B2" w:rsidP="00587B71">
            <w:pPr>
              <w:spacing w:after="0" w:line="240" w:lineRule="auto"/>
              <w:jc w:val="center"/>
              <w:rPr>
                <w:rFonts w:ascii="Arial" w:eastAsia="Times New Roman" w:hAnsi="Arial" w:cs="Arial"/>
                <w:sz w:val="24"/>
                <w:szCs w:val="24"/>
                <w:lang w:val="ro-RO"/>
              </w:rPr>
            </w:pPr>
            <w:r w:rsidRPr="00B000B2">
              <w:rPr>
                <w:rFonts w:ascii="Arial" w:eastAsia="Times New Roman" w:hAnsi="Arial" w:cs="Arial"/>
                <w:sz w:val="24"/>
                <w:szCs w:val="24"/>
                <w:lang w:val="ro-RO"/>
              </w:rPr>
              <w:t>1.37</w:t>
            </w:r>
          </w:p>
        </w:tc>
        <w:tc>
          <w:tcPr>
            <w:tcW w:w="2059" w:type="dxa"/>
          </w:tcPr>
          <w:p w:rsidR="00587B71" w:rsidRPr="00B000B2" w:rsidRDefault="00587B71" w:rsidP="00587B71">
            <w:pPr>
              <w:spacing w:after="0" w:line="240" w:lineRule="auto"/>
              <w:jc w:val="center"/>
              <w:rPr>
                <w:rFonts w:ascii="Arial" w:eastAsia="Times New Roman" w:hAnsi="Arial" w:cs="Arial"/>
                <w:sz w:val="24"/>
                <w:szCs w:val="24"/>
                <w:lang w:val="ro-RO"/>
              </w:rPr>
            </w:pPr>
            <w:r w:rsidRPr="00B000B2">
              <w:rPr>
                <w:rFonts w:ascii="Arial" w:eastAsia="Times New Roman" w:hAnsi="Arial" w:cs="Arial"/>
                <w:sz w:val="24"/>
                <w:szCs w:val="24"/>
                <w:lang w:val="ro-RO"/>
              </w:rPr>
              <w:t>0</w:t>
            </w:r>
          </w:p>
        </w:tc>
        <w:tc>
          <w:tcPr>
            <w:tcW w:w="2059" w:type="dxa"/>
          </w:tcPr>
          <w:p w:rsidR="00587B71" w:rsidRPr="00B000B2" w:rsidRDefault="00B000B2" w:rsidP="00587B71">
            <w:pPr>
              <w:spacing w:after="0" w:line="240" w:lineRule="auto"/>
              <w:jc w:val="center"/>
              <w:rPr>
                <w:rFonts w:ascii="Arial" w:eastAsia="Times New Roman" w:hAnsi="Arial" w:cs="Arial"/>
                <w:sz w:val="24"/>
                <w:szCs w:val="24"/>
                <w:lang w:val="ro-RO"/>
              </w:rPr>
            </w:pPr>
            <w:r w:rsidRPr="00B000B2">
              <w:rPr>
                <w:rFonts w:ascii="Arial" w:eastAsia="Times New Roman" w:hAnsi="Arial" w:cs="Arial"/>
                <w:sz w:val="24"/>
                <w:szCs w:val="24"/>
                <w:lang w:val="ro-RO"/>
              </w:rPr>
              <w:t>560.08</w:t>
            </w:r>
          </w:p>
        </w:tc>
        <w:tc>
          <w:tcPr>
            <w:tcW w:w="2059" w:type="dxa"/>
          </w:tcPr>
          <w:p w:rsidR="00587B71" w:rsidRPr="00B000B2" w:rsidRDefault="00B000B2" w:rsidP="00587B71">
            <w:pPr>
              <w:spacing w:after="0" w:line="240" w:lineRule="auto"/>
              <w:jc w:val="center"/>
              <w:rPr>
                <w:rFonts w:ascii="Arial" w:eastAsia="Times New Roman" w:hAnsi="Arial" w:cs="Arial"/>
                <w:sz w:val="24"/>
                <w:szCs w:val="24"/>
                <w:lang w:val="ro-RO"/>
              </w:rPr>
            </w:pPr>
            <w:r w:rsidRPr="00B000B2">
              <w:rPr>
                <w:rFonts w:ascii="Arial" w:eastAsia="Times New Roman" w:hAnsi="Arial" w:cs="Arial"/>
                <w:sz w:val="24"/>
                <w:szCs w:val="24"/>
                <w:lang w:val="ro-RO"/>
              </w:rPr>
              <w:t>6.75</w:t>
            </w:r>
          </w:p>
        </w:tc>
      </w:tr>
      <w:tr w:rsidR="00587B71" w:rsidRPr="00B000B2" w:rsidTr="00587B71">
        <w:tc>
          <w:tcPr>
            <w:tcW w:w="1560" w:type="dxa"/>
          </w:tcPr>
          <w:p w:rsidR="00587B71" w:rsidRPr="00B000B2" w:rsidRDefault="00587B71" w:rsidP="00587B71">
            <w:pPr>
              <w:spacing w:after="0" w:line="240" w:lineRule="auto"/>
              <w:jc w:val="center"/>
              <w:rPr>
                <w:rFonts w:ascii="Arial" w:eastAsia="Times New Roman" w:hAnsi="Arial" w:cs="Arial"/>
                <w:sz w:val="24"/>
                <w:szCs w:val="24"/>
                <w:lang w:val="ro-RO"/>
              </w:rPr>
            </w:pPr>
            <w:r w:rsidRPr="00B000B2">
              <w:rPr>
                <w:rFonts w:ascii="Arial" w:eastAsia="Times New Roman" w:hAnsi="Arial" w:cs="Arial"/>
                <w:sz w:val="24"/>
                <w:szCs w:val="24"/>
                <w:lang w:val="ro-RO"/>
              </w:rPr>
              <w:t>SO2</w:t>
            </w:r>
          </w:p>
        </w:tc>
        <w:tc>
          <w:tcPr>
            <w:tcW w:w="2450" w:type="dxa"/>
          </w:tcPr>
          <w:p w:rsidR="00587B71" w:rsidRPr="00B000B2" w:rsidRDefault="00B000B2" w:rsidP="00587B71">
            <w:pPr>
              <w:spacing w:after="0" w:line="240" w:lineRule="auto"/>
              <w:jc w:val="center"/>
              <w:rPr>
                <w:rFonts w:ascii="Arial" w:eastAsia="Times New Roman" w:hAnsi="Arial" w:cs="Arial"/>
                <w:sz w:val="24"/>
                <w:szCs w:val="24"/>
                <w:lang w:val="ro-RO"/>
              </w:rPr>
            </w:pPr>
            <w:r w:rsidRPr="00B000B2">
              <w:rPr>
                <w:rFonts w:ascii="Arial" w:eastAsia="Times New Roman" w:hAnsi="Arial" w:cs="Arial"/>
                <w:sz w:val="24"/>
                <w:szCs w:val="24"/>
                <w:lang w:val="ro-RO"/>
              </w:rPr>
              <w:t>29,80</w:t>
            </w:r>
          </w:p>
        </w:tc>
        <w:tc>
          <w:tcPr>
            <w:tcW w:w="2059" w:type="dxa"/>
          </w:tcPr>
          <w:p w:rsidR="00587B71" w:rsidRPr="00B000B2" w:rsidRDefault="00B000B2" w:rsidP="00587B71">
            <w:pPr>
              <w:spacing w:after="0" w:line="240" w:lineRule="auto"/>
              <w:jc w:val="center"/>
              <w:rPr>
                <w:rFonts w:ascii="Arial" w:eastAsia="Times New Roman" w:hAnsi="Arial" w:cs="Arial"/>
                <w:sz w:val="24"/>
                <w:szCs w:val="24"/>
                <w:lang w:val="ro-RO"/>
              </w:rPr>
            </w:pPr>
            <w:r w:rsidRPr="00B000B2">
              <w:rPr>
                <w:rFonts w:ascii="Arial" w:eastAsia="Times New Roman" w:hAnsi="Arial" w:cs="Arial"/>
                <w:sz w:val="24"/>
                <w:szCs w:val="24"/>
                <w:lang w:val="ro-RO"/>
              </w:rPr>
              <w:t>10,44</w:t>
            </w:r>
          </w:p>
        </w:tc>
        <w:tc>
          <w:tcPr>
            <w:tcW w:w="2059" w:type="dxa"/>
          </w:tcPr>
          <w:p w:rsidR="00587B71" w:rsidRPr="00B000B2" w:rsidRDefault="00587B71" w:rsidP="00587B71">
            <w:pPr>
              <w:spacing w:after="0" w:line="240" w:lineRule="auto"/>
              <w:jc w:val="center"/>
              <w:rPr>
                <w:rFonts w:ascii="Arial" w:eastAsia="Times New Roman" w:hAnsi="Arial" w:cs="Arial"/>
                <w:sz w:val="24"/>
                <w:szCs w:val="24"/>
                <w:lang w:val="ro-RO"/>
              </w:rPr>
            </w:pPr>
            <w:r w:rsidRPr="00B000B2">
              <w:rPr>
                <w:rFonts w:ascii="Arial" w:eastAsia="Times New Roman" w:hAnsi="Arial" w:cs="Arial"/>
                <w:sz w:val="24"/>
                <w:szCs w:val="24"/>
                <w:lang w:val="ro-RO"/>
              </w:rPr>
              <w:t>0</w:t>
            </w:r>
          </w:p>
        </w:tc>
        <w:tc>
          <w:tcPr>
            <w:tcW w:w="2059" w:type="dxa"/>
          </w:tcPr>
          <w:p w:rsidR="00587B71" w:rsidRPr="00B000B2" w:rsidRDefault="00587B71" w:rsidP="00587B71">
            <w:pPr>
              <w:spacing w:after="0" w:line="240" w:lineRule="auto"/>
              <w:jc w:val="center"/>
              <w:rPr>
                <w:rFonts w:ascii="Arial" w:eastAsia="Times New Roman" w:hAnsi="Arial" w:cs="Arial"/>
                <w:sz w:val="24"/>
                <w:szCs w:val="24"/>
                <w:lang w:val="ro-RO"/>
              </w:rPr>
            </w:pPr>
            <w:r w:rsidRPr="00B000B2">
              <w:rPr>
                <w:rFonts w:ascii="Arial" w:eastAsia="Times New Roman" w:hAnsi="Arial" w:cs="Arial"/>
                <w:sz w:val="24"/>
                <w:szCs w:val="24"/>
                <w:lang w:val="ro-RO"/>
              </w:rPr>
              <w:t>0</w:t>
            </w:r>
          </w:p>
        </w:tc>
      </w:tr>
      <w:tr w:rsidR="00587B71" w:rsidRPr="00B000B2" w:rsidTr="00587B71">
        <w:tc>
          <w:tcPr>
            <w:tcW w:w="1560" w:type="dxa"/>
          </w:tcPr>
          <w:p w:rsidR="00587B71" w:rsidRPr="00B000B2" w:rsidRDefault="00587B71" w:rsidP="00587B71">
            <w:pPr>
              <w:spacing w:after="0" w:line="240" w:lineRule="auto"/>
              <w:jc w:val="center"/>
              <w:rPr>
                <w:rFonts w:ascii="Arial" w:eastAsia="Times New Roman" w:hAnsi="Arial" w:cs="Arial"/>
                <w:sz w:val="24"/>
                <w:szCs w:val="24"/>
                <w:lang w:val="ro-RO"/>
              </w:rPr>
            </w:pPr>
            <w:r w:rsidRPr="00B000B2">
              <w:rPr>
                <w:rFonts w:ascii="Arial" w:eastAsia="Times New Roman" w:hAnsi="Arial" w:cs="Arial"/>
                <w:sz w:val="24"/>
                <w:szCs w:val="24"/>
                <w:lang w:val="ro-RO"/>
              </w:rPr>
              <w:t>NOx</w:t>
            </w:r>
          </w:p>
        </w:tc>
        <w:tc>
          <w:tcPr>
            <w:tcW w:w="2450" w:type="dxa"/>
          </w:tcPr>
          <w:p w:rsidR="00587B71" w:rsidRPr="00B000B2" w:rsidRDefault="00587B71" w:rsidP="00587B71">
            <w:pPr>
              <w:spacing w:after="0" w:line="240" w:lineRule="auto"/>
              <w:jc w:val="center"/>
              <w:rPr>
                <w:rFonts w:ascii="Arial" w:eastAsia="Times New Roman" w:hAnsi="Arial" w:cs="Arial"/>
                <w:sz w:val="24"/>
                <w:szCs w:val="24"/>
                <w:lang w:val="ro-RO"/>
              </w:rPr>
            </w:pPr>
            <w:r w:rsidRPr="00B000B2">
              <w:rPr>
                <w:rFonts w:ascii="Arial" w:eastAsia="Times New Roman" w:hAnsi="Arial" w:cs="Arial"/>
                <w:sz w:val="24"/>
                <w:szCs w:val="24"/>
                <w:lang w:val="ro-RO"/>
              </w:rPr>
              <w:t>153</w:t>
            </w:r>
            <w:r w:rsidR="00B000B2" w:rsidRPr="00B000B2">
              <w:rPr>
                <w:rFonts w:ascii="Arial" w:eastAsia="Times New Roman" w:hAnsi="Arial" w:cs="Arial"/>
                <w:sz w:val="24"/>
                <w:szCs w:val="24"/>
                <w:lang w:val="ro-RO"/>
              </w:rPr>
              <w:t>.44</w:t>
            </w:r>
          </w:p>
        </w:tc>
        <w:tc>
          <w:tcPr>
            <w:tcW w:w="2059" w:type="dxa"/>
          </w:tcPr>
          <w:p w:rsidR="00587B71" w:rsidRPr="00B000B2" w:rsidRDefault="00B000B2" w:rsidP="00587B71">
            <w:pPr>
              <w:spacing w:after="0" w:line="240" w:lineRule="auto"/>
              <w:jc w:val="center"/>
              <w:rPr>
                <w:rFonts w:ascii="Arial" w:eastAsia="Times New Roman" w:hAnsi="Arial" w:cs="Arial"/>
                <w:sz w:val="24"/>
                <w:szCs w:val="24"/>
                <w:lang w:val="ro-RO"/>
              </w:rPr>
            </w:pPr>
            <w:r w:rsidRPr="00B000B2">
              <w:rPr>
                <w:rFonts w:ascii="Arial" w:eastAsia="Times New Roman" w:hAnsi="Arial" w:cs="Arial"/>
                <w:sz w:val="24"/>
                <w:szCs w:val="24"/>
                <w:lang w:val="ro-RO"/>
              </w:rPr>
              <w:t>11.43</w:t>
            </w:r>
          </w:p>
        </w:tc>
        <w:tc>
          <w:tcPr>
            <w:tcW w:w="2059" w:type="dxa"/>
          </w:tcPr>
          <w:p w:rsidR="00587B71" w:rsidRPr="00B000B2" w:rsidRDefault="00B000B2" w:rsidP="00587B71">
            <w:pPr>
              <w:spacing w:after="0" w:line="240" w:lineRule="auto"/>
              <w:jc w:val="center"/>
              <w:rPr>
                <w:rFonts w:ascii="Arial" w:eastAsia="Times New Roman" w:hAnsi="Arial" w:cs="Arial"/>
                <w:sz w:val="24"/>
                <w:szCs w:val="24"/>
                <w:lang w:val="ro-RO"/>
              </w:rPr>
            </w:pPr>
            <w:r w:rsidRPr="00B000B2">
              <w:rPr>
                <w:rFonts w:ascii="Arial" w:eastAsia="Times New Roman" w:hAnsi="Arial" w:cs="Arial"/>
                <w:sz w:val="24"/>
                <w:szCs w:val="24"/>
                <w:lang w:val="ro-RO"/>
              </w:rPr>
              <w:t>0.0111</w:t>
            </w:r>
          </w:p>
        </w:tc>
        <w:tc>
          <w:tcPr>
            <w:tcW w:w="2059" w:type="dxa"/>
          </w:tcPr>
          <w:p w:rsidR="00587B71" w:rsidRPr="00B000B2" w:rsidRDefault="00587B71" w:rsidP="00587B71">
            <w:pPr>
              <w:spacing w:after="0" w:line="240" w:lineRule="auto"/>
              <w:jc w:val="center"/>
              <w:rPr>
                <w:rFonts w:ascii="Arial" w:eastAsia="Times New Roman" w:hAnsi="Arial" w:cs="Arial"/>
                <w:sz w:val="24"/>
                <w:szCs w:val="24"/>
                <w:lang w:val="ro-RO"/>
              </w:rPr>
            </w:pPr>
            <w:r w:rsidRPr="00B000B2">
              <w:rPr>
                <w:rFonts w:ascii="Arial" w:eastAsia="Times New Roman" w:hAnsi="Arial" w:cs="Arial"/>
                <w:sz w:val="24"/>
                <w:szCs w:val="24"/>
                <w:lang w:val="ro-RO"/>
              </w:rPr>
              <w:t>610,7</w:t>
            </w:r>
          </w:p>
        </w:tc>
      </w:tr>
    </w:tbl>
    <w:p w:rsidR="00587B71" w:rsidRPr="00587B71" w:rsidRDefault="00587B71" w:rsidP="00587B71">
      <w:pPr>
        <w:spacing w:after="0" w:line="240" w:lineRule="auto"/>
        <w:rPr>
          <w:rFonts w:ascii="Arial" w:eastAsia="Times New Roman" w:hAnsi="Arial" w:cs="Arial"/>
          <w:sz w:val="24"/>
          <w:szCs w:val="24"/>
          <w:lang w:val="ro-RO"/>
        </w:rPr>
      </w:pPr>
    </w:p>
    <w:p w:rsidR="00587B71" w:rsidRPr="00587B71" w:rsidRDefault="00587B71" w:rsidP="00587B71">
      <w:pPr>
        <w:spacing w:after="0" w:line="240" w:lineRule="auto"/>
        <w:rPr>
          <w:rFonts w:ascii="Arial" w:eastAsia="Times New Roman" w:hAnsi="Arial" w:cs="Arial"/>
          <w:b/>
          <w:color w:val="FF0000"/>
          <w:sz w:val="24"/>
          <w:szCs w:val="24"/>
          <w:lang w:val="ro-RO"/>
        </w:rPr>
      </w:pPr>
      <w:r>
        <w:rPr>
          <w:rFonts w:ascii="Arial" w:eastAsia="Times New Roman" w:hAnsi="Arial" w:cs="Arial"/>
          <w:b/>
          <w:noProof/>
          <w:color w:val="FF0000"/>
          <w:sz w:val="24"/>
          <w:szCs w:val="24"/>
        </w:rPr>
        <w:drawing>
          <wp:inline distT="0" distB="0" distL="0" distR="0">
            <wp:extent cx="5779698" cy="1708030"/>
            <wp:effectExtent l="0" t="0" r="0" b="0"/>
            <wp:docPr id="74" name="Chart 7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87B71" w:rsidRPr="00587B71" w:rsidRDefault="00587B71" w:rsidP="00587B71">
      <w:pPr>
        <w:spacing w:after="0" w:line="240" w:lineRule="auto"/>
        <w:rPr>
          <w:rFonts w:ascii="Arial" w:eastAsia="Times New Roman" w:hAnsi="Arial" w:cs="Arial"/>
          <w:sz w:val="24"/>
          <w:szCs w:val="24"/>
          <w:lang w:val="ro-RO"/>
        </w:rPr>
      </w:pPr>
      <w:r w:rsidRPr="00587B71">
        <w:rPr>
          <w:rFonts w:ascii="Arial" w:eastAsia="Times New Roman" w:hAnsi="Arial" w:cs="Arial"/>
          <w:sz w:val="24"/>
          <w:szCs w:val="24"/>
          <w:lang w:val="ro-RO"/>
        </w:rPr>
        <w:t>Figura I.33. Contribuţia sectoarelor de activitate la emisiile de poluanţi atmosferici cu efect acidifiant</w:t>
      </w:r>
    </w:p>
    <w:p w:rsidR="00587B71" w:rsidRPr="00587B71" w:rsidRDefault="00587B71" w:rsidP="00587B71">
      <w:pPr>
        <w:spacing w:after="0" w:line="240" w:lineRule="auto"/>
        <w:rPr>
          <w:rFonts w:ascii="Arial" w:eastAsia="Times New Roman" w:hAnsi="Arial" w:cs="Arial"/>
          <w:b/>
          <w:color w:val="FF0000"/>
          <w:sz w:val="24"/>
          <w:szCs w:val="24"/>
          <w:lang w:val="ro-RO"/>
        </w:rPr>
      </w:pPr>
    </w:p>
    <w:p w:rsidR="00587B71" w:rsidRPr="00587B71" w:rsidRDefault="00587B71" w:rsidP="00587B71">
      <w:pPr>
        <w:spacing w:after="0" w:line="240" w:lineRule="auto"/>
        <w:rPr>
          <w:rFonts w:ascii="Arial" w:eastAsia="Times New Roman" w:hAnsi="Arial" w:cs="Arial"/>
          <w:b/>
          <w:color w:val="FF0000"/>
          <w:sz w:val="24"/>
          <w:szCs w:val="24"/>
          <w:lang w:val="ro-RO"/>
        </w:rPr>
      </w:pPr>
      <w:r>
        <w:rPr>
          <w:rFonts w:ascii="Arial" w:eastAsia="Times New Roman" w:hAnsi="Arial" w:cs="Arial"/>
          <w:b/>
          <w:noProof/>
          <w:color w:val="FF0000"/>
          <w:sz w:val="24"/>
          <w:szCs w:val="24"/>
        </w:rPr>
        <w:lastRenderedPageBreak/>
        <w:drawing>
          <wp:inline distT="0" distB="0" distL="0" distR="0">
            <wp:extent cx="6072996" cy="2173857"/>
            <wp:effectExtent l="0" t="0" r="0" b="0"/>
            <wp:docPr id="73" name="Chart 7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87B71" w:rsidRPr="00587B71" w:rsidRDefault="00587B71" w:rsidP="00587B71">
      <w:pPr>
        <w:spacing w:after="0" w:line="240" w:lineRule="auto"/>
        <w:rPr>
          <w:rFonts w:ascii="Arial" w:eastAsia="Times New Roman" w:hAnsi="Arial" w:cs="Arial"/>
          <w:b/>
          <w:color w:val="FF0000"/>
          <w:sz w:val="24"/>
          <w:szCs w:val="24"/>
          <w:lang w:val="ro-RO"/>
        </w:rPr>
      </w:pPr>
    </w:p>
    <w:p w:rsidR="00587B71" w:rsidRPr="00587B71" w:rsidRDefault="00587B71" w:rsidP="00587B71">
      <w:pPr>
        <w:spacing w:after="0" w:line="240" w:lineRule="auto"/>
        <w:rPr>
          <w:rFonts w:ascii="Arial" w:eastAsia="Times New Roman" w:hAnsi="Arial" w:cs="Arial"/>
          <w:sz w:val="24"/>
          <w:szCs w:val="24"/>
          <w:lang w:val="ro-RO"/>
        </w:rPr>
      </w:pPr>
      <w:r w:rsidRPr="00587B71">
        <w:rPr>
          <w:rFonts w:ascii="Arial" w:eastAsia="Times New Roman" w:hAnsi="Arial" w:cs="Arial"/>
          <w:sz w:val="24"/>
          <w:szCs w:val="24"/>
          <w:lang w:val="ro-RO"/>
        </w:rPr>
        <w:t>Figura I.34. Tendinţa emisiilor de poluanţi atmosferici cu efect acidifiant şi de neutrofizare</w:t>
      </w:r>
    </w:p>
    <w:p w:rsidR="00587B71" w:rsidRPr="00587B71" w:rsidRDefault="00587B71" w:rsidP="00587B71">
      <w:pPr>
        <w:spacing w:after="0" w:line="240" w:lineRule="auto"/>
        <w:rPr>
          <w:rFonts w:ascii="Arial" w:eastAsia="Times New Roman" w:hAnsi="Arial" w:cs="Arial"/>
          <w:sz w:val="24"/>
          <w:szCs w:val="24"/>
          <w:lang w:val="ro-RO"/>
        </w:rPr>
      </w:pPr>
    </w:p>
    <w:p w:rsidR="00587B71" w:rsidRPr="00587B71" w:rsidRDefault="00587B71" w:rsidP="00587B71">
      <w:pPr>
        <w:spacing w:after="0" w:line="240" w:lineRule="auto"/>
        <w:rPr>
          <w:rFonts w:ascii="Arial" w:eastAsia="Times New Roman" w:hAnsi="Arial" w:cs="Arial"/>
          <w:sz w:val="24"/>
          <w:szCs w:val="24"/>
          <w:lang w:val="ro-RO"/>
        </w:rPr>
      </w:pPr>
      <w:r w:rsidRPr="00587B71">
        <w:rPr>
          <w:rFonts w:ascii="Arial" w:eastAsia="Times New Roman" w:hAnsi="Arial" w:cs="Arial"/>
          <w:sz w:val="24"/>
          <w:szCs w:val="24"/>
          <w:lang w:val="ro-RO"/>
        </w:rPr>
        <w:t>Tabelul I.29  Emisii de substatţe acidifiante/cap de locuitor la nivelul judeţului Vaslui</w:t>
      </w:r>
    </w:p>
    <w:tbl>
      <w:tblPr>
        <w:tblW w:w="10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418"/>
        <w:gridCol w:w="1275"/>
        <w:gridCol w:w="1134"/>
        <w:gridCol w:w="1276"/>
        <w:gridCol w:w="1134"/>
        <w:gridCol w:w="1274"/>
      </w:tblGrid>
      <w:tr w:rsidR="00587B71" w:rsidRPr="00587B71" w:rsidTr="007C45A1">
        <w:tc>
          <w:tcPr>
            <w:tcW w:w="2518" w:type="dxa"/>
          </w:tcPr>
          <w:p w:rsidR="00587B71" w:rsidRPr="00587B71" w:rsidRDefault="00587B71" w:rsidP="00587B71">
            <w:pPr>
              <w:spacing w:after="0" w:line="240" w:lineRule="auto"/>
              <w:jc w:val="center"/>
              <w:rPr>
                <w:rFonts w:ascii="Arial" w:eastAsia="Times New Roman" w:hAnsi="Arial" w:cs="Arial"/>
                <w:b/>
                <w:sz w:val="24"/>
                <w:szCs w:val="24"/>
                <w:lang w:val="ro-RO"/>
              </w:rPr>
            </w:pPr>
            <w:r w:rsidRPr="00587B71">
              <w:rPr>
                <w:rFonts w:ascii="Arial" w:eastAsia="Times New Roman" w:hAnsi="Arial" w:cs="Arial"/>
                <w:b/>
                <w:sz w:val="24"/>
                <w:szCs w:val="24"/>
                <w:lang w:val="ro-RO"/>
              </w:rPr>
              <w:t>Anul</w:t>
            </w:r>
          </w:p>
        </w:tc>
        <w:tc>
          <w:tcPr>
            <w:tcW w:w="1418" w:type="dxa"/>
          </w:tcPr>
          <w:p w:rsidR="00587B71" w:rsidRPr="00587B71" w:rsidRDefault="00587B71" w:rsidP="00587B71">
            <w:pPr>
              <w:spacing w:after="0" w:line="240" w:lineRule="auto"/>
              <w:jc w:val="center"/>
              <w:rPr>
                <w:rFonts w:ascii="Arial" w:eastAsia="Times New Roman" w:hAnsi="Arial" w:cs="Arial"/>
                <w:b/>
                <w:sz w:val="24"/>
                <w:szCs w:val="24"/>
                <w:lang w:val="ro-RO"/>
              </w:rPr>
            </w:pPr>
            <w:r w:rsidRPr="00587B71">
              <w:rPr>
                <w:rFonts w:ascii="Arial" w:eastAsia="Times New Roman" w:hAnsi="Arial" w:cs="Arial"/>
                <w:b/>
                <w:sz w:val="24"/>
                <w:szCs w:val="24"/>
                <w:lang w:val="ro-RO"/>
              </w:rPr>
              <w:t>2010</w:t>
            </w:r>
          </w:p>
        </w:tc>
        <w:tc>
          <w:tcPr>
            <w:tcW w:w="1275" w:type="dxa"/>
          </w:tcPr>
          <w:p w:rsidR="00587B71" w:rsidRPr="00587B71" w:rsidRDefault="00587B71" w:rsidP="00587B71">
            <w:pPr>
              <w:spacing w:after="0" w:line="240" w:lineRule="auto"/>
              <w:jc w:val="center"/>
              <w:rPr>
                <w:rFonts w:ascii="Arial" w:eastAsia="Times New Roman" w:hAnsi="Arial" w:cs="Arial"/>
                <w:b/>
                <w:sz w:val="24"/>
                <w:szCs w:val="24"/>
                <w:lang w:val="ro-RO"/>
              </w:rPr>
            </w:pPr>
            <w:r w:rsidRPr="00587B71">
              <w:rPr>
                <w:rFonts w:ascii="Arial" w:eastAsia="Times New Roman" w:hAnsi="Arial" w:cs="Arial"/>
                <w:b/>
                <w:sz w:val="24"/>
                <w:szCs w:val="24"/>
                <w:lang w:val="ro-RO"/>
              </w:rPr>
              <w:t>2011</w:t>
            </w:r>
          </w:p>
        </w:tc>
        <w:tc>
          <w:tcPr>
            <w:tcW w:w="1134" w:type="dxa"/>
          </w:tcPr>
          <w:p w:rsidR="00587B71" w:rsidRPr="00587B71" w:rsidRDefault="00587B71" w:rsidP="00587B71">
            <w:pPr>
              <w:spacing w:after="0" w:line="240" w:lineRule="auto"/>
              <w:jc w:val="center"/>
              <w:rPr>
                <w:rFonts w:ascii="Arial" w:eastAsia="Times New Roman" w:hAnsi="Arial" w:cs="Arial"/>
                <w:b/>
                <w:sz w:val="24"/>
                <w:szCs w:val="24"/>
                <w:lang w:val="ro-RO"/>
              </w:rPr>
            </w:pPr>
            <w:r w:rsidRPr="00587B71">
              <w:rPr>
                <w:rFonts w:ascii="Arial" w:eastAsia="Times New Roman" w:hAnsi="Arial" w:cs="Arial"/>
                <w:b/>
                <w:sz w:val="24"/>
                <w:szCs w:val="24"/>
                <w:lang w:val="ro-RO"/>
              </w:rPr>
              <w:t>2012</w:t>
            </w:r>
          </w:p>
        </w:tc>
        <w:tc>
          <w:tcPr>
            <w:tcW w:w="1276" w:type="dxa"/>
          </w:tcPr>
          <w:p w:rsidR="00587B71" w:rsidRPr="00587B71" w:rsidRDefault="00587B71" w:rsidP="00587B71">
            <w:pPr>
              <w:spacing w:after="0" w:line="240" w:lineRule="auto"/>
              <w:jc w:val="center"/>
              <w:rPr>
                <w:rFonts w:ascii="Arial" w:eastAsia="Times New Roman" w:hAnsi="Arial" w:cs="Arial"/>
                <w:b/>
                <w:sz w:val="24"/>
                <w:szCs w:val="24"/>
                <w:lang w:val="ro-RO"/>
              </w:rPr>
            </w:pPr>
            <w:r w:rsidRPr="00587B71">
              <w:rPr>
                <w:rFonts w:ascii="Arial" w:eastAsia="Times New Roman" w:hAnsi="Arial" w:cs="Arial"/>
                <w:b/>
                <w:sz w:val="24"/>
                <w:szCs w:val="24"/>
                <w:lang w:val="ro-RO"/>
              </w:rPr>
              <w:t>2013</w:t>
            </w:r>
          </w:p>
        </w:tc>
        <w:tc>
          <w:tcPr>
            <w:tcW w:w="1134" w:type="dxa"/>
          </w:tcPr>
          <w:p w:rsidR="00587B71" w:rsidRPr="00587B71" w:rsidRDefault="00587B71" w:rsidP="00587B71">
            <w:pPr>
              <w:spacing w:after="0" w:line="240" w:lineRule="auto"/>
              <w:jc w:val="center"/>
              <w:rPr>
                <w:rFonts w:ascii="Arial" w:eastAsia="Times New Roman" w:hAnsi="Arial" w:cs="Arial"/>
                <w:b/>
                <w:sz w:val="24"/>
                <w:szCs w:val="24"/>
                <w:lang w:val="ro-RO"/>
              </w:rPr>
            </w:pPr>
            <w:r w:rsidRPr="00587B71">
              <w:rPr>
                <w:rFonts w:ascii="Arial" w:eastAsia="Times New Roman" w:hAnsi="Arial" w:cs="Arial"/>
                <w:b/>
                <w:sz w:val="24"/>
                <w:szCs w:val="24"/>
                <w:lang w:val="ro-RO"/>
              </w:rPr>
              <w:t>2014</w:t>
            </w:r>
          </w:p>
        </w:tc>
        <w:tc>
          <w:tcPr>
            <w:tcW w:w="1274" w:type="dxa"/>
          </w:tcPr>
          <w:p w:rsidR="00587B71" w:rsidRPr="00587B71" w:rsidRDefault="001C3346" w:rsidP="00587B71">
            <w:pPr>
              <w:spacing w:after="0" w:line="240" w:lineRule="auto"/>
              <w:jc w:val="center"/>
              <w:rPr>
                <w:rFonts w:ascii="Arial" w:eastAsia="Times New Roman" w:hAnsi="Arial" w:cs="Arial"/>
                <w:b/>
                <w:sz w:val="24"/>
                <w:szCs w:val="24"/>
                <w:lang w:val="ro-RO"/>
              </w:rPr>
            </w:pPr>
            <w:r>
              <w:rPr>
                <w:rFonts w:ascii="Arial" w:eastAsia="Times New Roman" w:hAnsi="Arial" w:cs="Arial"/>
                <w:b/>
                <w:sz w:val="24"/>
                <w:szCs w:val="24"/>
                <w:lang w:val="ro-RO"/>
              </w:rPr>
              <w:t>2015</w:t>
            </w:r>
          </w:p>
        </w:tc>
      </w:tr>
      <w:tr w:rsidR="00587B71" w:rsidRPr="00587B71" w:rsidTr="007C45A1">
        <w:tc>
          <w:tcPr>
            <w:tcW w:w="2518" w:type="dxa"/>
          </w:tcPr>
          <w:p w:rsidR="00587B71" w:rsidRPr="00587B71" w:rsidRDefault="00587B71" w:rsidP="00587B71">
            <w:pPr>
              <w:spacing w:after="0" w:line="240" w:lineRule="auto"/>
              <w:jc w:val="center"/>
              <w:rPr>
                <w:rFonts w:ascii="Arial" w:eastAsia="Times New Roman" w:hAnsi="Arial" w:cs="Arial"/>
                <w:b/>
                <w:sz w:val="24"/>
                <w:szCs w:val="24"/>
                <w:lang w:val="ro-RO"/>
              </w:rPr>
            </w:pPr>
            <w:r w:rsidRPr="00587B71">
              <w:rPr>
                <w:rFonts w:ascii="Arial" w:eastAsia="Times New Roman" w:hAnsi="Arial" w:cs="Arial"/>
                <w:b/>
                <w:sz w:val="24"/>
                <w:szCs w:val="24"/>
                <w:lang w:val="ro-RO"/>
              </w:rPr>
              <w:t>Indice de acidifiere</w:t>
            </w:r>
          </w:p>
        </w:tc>
        <w:tc>
          <w:tcPr>
            <w:tcW w:w="1418" w:type="dxa"/>
          </w:tcPr>
          <w:p w:rsidR="00587B71" w:rsidRPr="00587B71" w:rsidRDefault="00587B71" w:rsidP="00587B71">
            <w:pPr>
              <w:spacing w:after="0" w:line="240" w:lineRule="auto"/>
              <w:jc w:val="center"/>
              <w:rPr>
                <w:rFonts w:ascii="Arial" w:eastAsia="Times New Roman" w:hAnsi="Arial" w:cs="Arial"/>
                <w:b/>
                <w:sz w:val="24"/>
                <w:szCs w:val="24"/>
                <w:lang w:val="ro-RO"/>
              </w:rPr>
            </w:pPr>
            <w:r w:rsidRPr="00587B71">
              <w:rPr>
                <w:rFonts w:ascii="Arial" w:eastAsia="Times New Roman" w:hAnsi="Arial" w:cs="Arial"/>
                <w:b/>
                <w:sz w:val="24"/>
                <w:szCs w:val="24"/>
                <w:lang w:val="ro-RO"/>
              </w:rPr>
              <w:t>82,69</w:t>
            </w:r>
          </w:p>
        </w:tc>
        <w:tc>
          <w:tcPr>
            <w:tcW w:w="1275" w:type="dxa"/>
          </w:tcPr>
          <w:p w:rsidR="00587B71" w:rsidRPr="00587B71" w:rsidRDefault="00587B71" w:rsidP="00587B71">
            <w:pPr>
              <w:spacing w:after="0" w:line="240" w:lineRule="auto"/>
              <w:jc w:val="center"/>
              <w:rPr>
                <w:rFonts w:ascii="Arial" w:eastAsia="Times New Roman" w:hAnsi="Arial" w:cs="Arial"/>
                <w:b/>
                <w:sz w:val="24"/>
                <w:szCs w:val="24"/>
                <w:lang w:val="ro-RO"/>
              </w:rPr>
            </w:pPr>
            <w:r w:rsidRPr="00587B71">
              <w:rPr>
                <w:rFonts w:ascii="Arial" w:eastAsia="Times New Roman" w:hAnsi="Arial" w:cs="Arial"/>
                <w:b/>
                <w:sz w:val="24"/>
                <w:szCs w:val="24"/>
                <w:lang w:val="ro-RO"/>
              </w:rPr>
              <w:t>51,76</w:t>
            </w:r>
          </w:p>
        </w:tc>
        <w:tc>
          <w:tcPr>
            <w:tcW w:w="1134" w:type="dxa"/>
          </w:tcPr>
          <w:p w:rsidR="00587B71" w:rsidRPr="00587B71" w:rsidRDefault="00587B71" w:rsidP="00587B71">
            <w:pPr>
              <w:spacing w:after="0" w:line="240" w:lineRule="auto"/>
              <w:jc w:val="center"/>
              <w:rPr>
                <w:rFonts w:ascii="Arial" w:eastAsia="Times New Roman" w:hAnsi="Arial" w:cs="Arial"/>
                <w:b/>
                <w:sz w:val="24"/>
                <w:szCs w:val="24"/>
                <w:lang w:val="ro-RO"/>
              </w:rPr>
            </w:pPr>
            <w:r w:rsidRPr="00587B71">
              <w:rPr>
                <w:rFonts w:ascii="Arial" w:eastAsia="Times New Roman" w:hAnsi="Arial" w:cs="Arial"/>
                <w:b/>
                <w:sz w:val="24"/>
                <w:szCs w:val="24"/>
                <w:lang w:val="ro-RO"/>
              </w:rPr>
              <w:t>121,79</w:t>
            </w:r>
          </w:p>
        </w:tc>
        <w:tc>
          <w:tcPr>
            <w:tcW w:w="1276" w:type="dxa"/>
          </w:tcPr>
          <w:p w:rsidR="00587B71" w:rsidRPr="00587B71" w:rsidRDefault="00587B71" w:rsidP="00587B71">
            <w:pPr>
              <w:spacing w:after="0" w:line="240" w:lineRule="auto"/>
              <w:jc w:val="center"/>
              <w:rPr>
                <w:rFonts w:ascii="Arial" w:eastAsia="Times New Roman" w:hAnsi="Arial" w:cs="Arial"/>
                <w:b/>
                <w:sz w:val="24"/>
                <w:szCs w:val="24"/>
                <w:lang w:val="ro-RO"/>
              </w:rPr>
            </w:pPr>
            <w:r w:rsidRPr="00587B71">
              <w:rPr>
                <w:rFonts w:ascii="Arial" w:eastAsia="Times New Roman" w:hAnsi="Arial" w:cs="Arial"/>
                <w:b/>
                <w:sz w:val="24"/>
                <w:szCs w:val="24"/>
                <w:lang w:val="ro-RO"/>
              </w:rPr>
              <w:t>133,55</w:t>
            </w:r>
          </w:p>
        </w:tc>
        <w:tc>
          <w:tcPr>
            <w:tcW w:w="1134" w:type="dxa"/>
          </w:tcPr>
          <w:p w:rsidR="00587B71" w:rsidRPr="00587B71" w:rsidRDefault="00587B71" w:rsidP="00587B71">
            <w:pPr>
              <w:spacing w:after="0" w:line="240" w:lineRule="auto"/>
              <w:jc w:val="center"/>
              <w:rPr>
                <w:rFonts w:ascii="Arial" w:eastAsia="Times New Roman" w:hAnsi="Arial" w:cs="Arial"/>
                <w:b/>
                <w:sz w:val="24"/>
                <w:szCs w:val="24"/>
                <w:lang w:val="ro-RO"/>
              </w:rPr>
            </w:pPr>
            <w:r w:rsidRPr="00587B71">
              <w:rPr>
                <w:rFonts w:ascii="Arial" w:eastAsia="Times New Roman" w:hAnsi="Arial" w:cs="Arial"/>
                <w:b/>
                <w:sz w:val="24"/>
                <w:szCs w:val="24"/>
                <w:lang w:val="ro-RO"/>
              </w:rPr>
              <w:t>56,61</w:t>
            </w:r>
          </w:p>
        </w:tc>
        <w:tc>
          <w:tcPr>
            <w:tcW w:w="1274" w:type="dxa"/>
          </w:tcPr>
          <w:p w:rsidR="00587B71" w:rsidRPr="00587B71" w:rsidRDefault="00B8771D" w:rsidP="00587B71">
            <w:pPr>
              <w:spacing w:after="0" w:line="240" w:lineRule="auto"/>
              <w:jc w:val="center"/>
              <w:rPr>
                <w:rFonts w:ascii="Arial" w:eastAsia="Times New Roman" w:hAnsi="Arial" w:cs="Arial"/>
                <w:b/>
                <w:sz w:val="24"/>
                <w:szCs w:val="24"/>
                <w:lang w:val="ro-RO"/>
              </w:rPr>
            </w:pPr>
            <w:r>
              <w:rPr>
                <w:rFonts w:ascii="Arial" w:eastAsia="Times New Roman" w:hAnsi="Arial" w:cs="Arial"/>
                <w:b/>
                <w:sz w:val="24"/>
                <w:szCs w:val="24"/>
                <w:lang w:val="ro-RO"/>
              </w:rPr>
              <w:t>56.64</w:t>
            </w:r>
          </w:p>
        </w:tc>
      </w:tr>
    </w:tbl>
    <w:p w:rsidR="00587B71" w:rsidRDefault="007C45A1" w:rsidP="00587B71">
      <w:pPr>
        <w:spacing w:after="0" w:line="240" w:lineRule="auto"/>
        <w:ind w:firstLine="708"/>
        <w:rPr>
          <w:rFonts w:ascii="Arial" w:eastAsia="Times New Roman" w:hAnsi="Arial" w:cs="Arial"/>
          <w:color w:val="000000"/>
          <w:sz w:val="24"/>
          <w:szCs w:val="24"/>
          <w:lang w:val="ro-RO"/>
        </w:rPr>
      </w:pPr>
      <w:r>
        <w:rPr>
          <w:rFonts w:ascii="Arial" w:eastAsia="Times New Roman" w:hAnsi="Arial" w:cs="Arial"/>
          <w:b/>
          <w:noProof/>
          <w:color w:val="FF0000"/>
          <w:sz w:val="24"/>
          <w:szCs w:val="24"/>
        </w:rPr>
        <w:drawing>
          <wp:anchor distT="0" distB="0" distL="114300" distR="114300" simplePos="0" relativeHeight="251662336" behindDoc="0" locked="0" layoutInCell="1" allowOverlap="1" wp14:anchorId="4F3E792D" wp14:editId="2ABB91C2">
            <wp:simplePos x="0" y="0"/>
            <wp:positionH relativeFrom="column">
              <wp:posOffset>690245</wp:posOffset>
            </wp:positionH>
            <wp:positionV relativeFrom="paragraph">
              <wp:posOffset>565150</wp:posOffset>
            </wp:positionV>
            <wp:extent cx="5800725" cy="2181225"/>
            <wp:effectExtent l="0" t="0" r="0" b="0"/>
            <wp:wrapSquare wrapText="right"/>
            <wp:docPr id="189" name="Chart 1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rsidR="001C3346" w:rsidRPr="00587B71" w:rsidRDefault="001C3346" w:rsidP="00587B71">
      <w:pPr>
        <w:spacing w:after="0" w:line="240" w:lineRule="auto"/>
        <w:ind w:firstLine="708"/>
        <w:rPr>
          <w:rFonts w:ascii="Arial" w:eastAsia="Times New Roman" w:hAnsi="Arial" w:cs="Arial"/>
          <w:color w:val="000000"/>
          <w:sz w:val="24"/>
          <w:szCs w:val="24"/>
          <w:lang w:val="ro-RO"/>
        </w:rPr>
      </w:pPr>
    </w:p>
    <w:p w:rsidR="00587B71" w:rsidRPr="00587B71" w:rsidRDefault="00587B71" w:rsidP="00587B71">
      <w:pPr>
        <w:spacing w:after="0" w:line="240" w:lineRule="auto"/>
        <w:jc w:val="center"/>
        <w:rPr>
          <w:rFonts w:ascii="Arial" w:eastAsia="Times New Roman" w:hAnsi="Arial" w:cs="Arial"/>
          <w:b/>
          <w:color w:val="FF0000"/>
          <w:sz w:val="24"/>
          <w:szCs w:val="24"/>
          <w:lang w:val="ro-RO"/>
        </w:rPr>
      </w:pPr>
    </w:p>
    <w:p w:rsidR="00587B71" w:rsidRPr="00587B71" w:rsidRDefault="00587B71" w:rsidP="00587B71">
      <w:pPr>
        <w:spacing w:after="0" w:line="240" w:lineRule="auto"/>
        <w:jc w:val="center"/>
        <w:rPr>
          <w:rFonts w:ascii="Arial" w:eastAsia="Times New Roman" w:hAnsi="Arial" w:cs="Arial"/>
          <w:sz w:val="24"/>
          <w:szCs w:val="24"/>
          <w:lang w:val="ro-RO"/>
        </w:rPr>
      </w:pPr>
      <w:r w:rsidRPr="00587B71">
        <w:rPr>
          <w:rFonts w:ascii="Arial" w:eastAsia="Times New Roman" w:hAnsi="Arial" w:cs="Arial"/>
          <w:sz w:val="24"/>
          <w:szCs w:val="24"/>
          <w:lang w:val="ro-RO"/>
        </w:rPr>
        <w:t>Figura I.35. Emisii de substanţe acidifiante/cap de locui</w:t>
      </w:r>
      <w:r w:rsidR="001C3346">
        <w:rPr>
          <w:rFonts w:ascii="Arial" w:eastAsia="Times New Roman" w:hAnsi="Arial" w:cs="Arial"/>
          <w:sz w:val="24"/>
          <w:szCs w:val="24"/>
          <w:lang w:val="ro-RO"/>
        </w:rPr>
        <w:t>tor la nivelul judeţului Vaslui</w:t>
      </w:r>
    </w:p>
    <w:p w:rsidR="00587B71" w:rsidRPr="00587B71" w:rsidRDefault="00587B71" w:rsidP="00587B71">
      <w:pPr>
        <w:spacing w:after="0" w:line="240" w:lineRule="auto"/>
        <w:jc w:val="center"/>
        <w:rPr>
          <w:rFonts w:ascii="Arial" w:eastAsia="Times New Roman" w:hAnsi="Arial" w:cs="Arial"/>
          <w:sz w:val="24"/>
          <w:szCs w:val="24"/>
          <w:lang w:val="ro-RO"/>
        </w:rPr>
      </w:pPr>
    </w:p>
    <w:p w:rsidR="00587B71" w:rsidRPr="00587B71" w:rsidRDefault="00587B71" w:rsidP="00587B71">
      <w:pPr>
        <w:autoSpaceDE w:val="0"/>
        <w:autoSpaceDN w:val="0"/>
        <w:adjustRightInd w:val="0"/>
        <w:spacing w:after="0" w:line="240" w:lineRule="auto"/>
        <w:ind w:firstLine="720"/>
        <w:jc w:val="both"/>
        <w:rPr>
          <w:rFonts w:ascii="Arial" w:eastAsia="Times New Roman" w:hAnsi="Arial" w:cs="Arial"/>
          <w:color w:val="000000"/>
          <w:sz w:val="24"/>
          <w:szCs w:val="24"/>
        </w:rPr>
      </w:pPr>
      <w:r w:rsidRPr="00587B71">
        <w:rPr>
          <w:rFonts w:ascii="Arial" w:eastAsia="Times New Roman" w:hAnsi="Arial" w:cs="Arial"/>
          <w:color w:val="000000"/>
          <w:sz w:val="24"/>
          <w:szCs w:val="24"/>
        </w:rPr>
        <w:t>Ozonul troposferic nu este emis direct în aerul înconjurător, el formându-se prin reacţii chimice complexe între diferiţi poluanţi gazoşi, precursori ai formării ozonului cum ar fi, NOx ce include NO şi NO2 şi NMVOC. La scară continentală, CH4 şi CO au un rol în formarea O3 .</w:t>
      </w:r>
    </w:p>
    <w:p w:rsidR="00587B71" w:rsidRPr="00587B71" w:rsidRDefault="00587B71" w:rsidP="00587B71">
      <w:pPr>
        <w:spacing w:after="0" w:line="240" w:lineRule="auto"/>
        <w:rPr>
          <w:rFonts w:ascii="Arial" w:eastAsia="Times New Roman" w:hAnsi="Arial" w:cs="Arial"/>
          <w:b/>
          <w:color w:val="FF0000"/>
          <w:sz w:val="24"/>
          <w:szCs w:val="24"/>
          <w:lang w:val="ro-RO"/>
        </w:rPr>
      </w:pPr>
    </w:p>
    <w:p w:rsidR="00587B71" w:rsidRPr="00587B71" w:rsidRDefault="00587B71" w:rsidP="00587B71">
      <w:pPr>
        <w:spacing w:after="0" w:line="240" w:lineRule="auto"/>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 xml:space="preserve">Tabelul I.30 Emisii de precursori ai ozonului </w:t>
      </w:r>
      <w:r w:rsidR="001C3346">
        <w:rPr>
          <w:rFonts w:ascii="Arial" w:eastAsia="Times New Roman" w:hAnsi="Arial" w:cs="Arial"/>
          <w:color w:val="000000"/>
          <w:sz w:val="24"/>
          <w:szCs w:val="24"/>
          <w:lang w:val="ro-RO"/>
        </w:rPr>
        <w:t>pe sectoare de activitate, tone</w:t>
      </w:r>
    </w:p>
    <w:tbl>
      <w:tblPr>
        <w:tblW w:w="0" w:type="auto"/>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3"/>
        <w:gridCol w:w="1972"/>
        <w:gridCol w:w="1944"/>
        <w:gridCol w:w="1996"/>
        <w:gridCol w:w="1974"/>
      </w:tblGrid>
      <w:tr w:rsidR="00587B71" w:rsidRPr="00587B71" w:rsidTr="00587B71">
        <w:trPr>
          <w:jc w:val="center"/>
        </w:trPr>
        <w:tc>
          <w:tcPr>
            <w:tcW w:w="1384" w:type="dxa"/>
          </w:tcPr>
          <w:p w:rsidR="00587B71" w:rsidRPr="00587B71" w:rsidRDefault="00587B71" w:rsidP="00587B71">
            <w:pPr>
              <w:spacing w:after="0" w:line="240" w:lineRule="auto"/>
              <w:rPr>
                <w:rFonts w:ascii="Arial" w:eastAsia="Times New Roman" w:hAnsi="Arial" w:cs="Arial"/>
                <w:b/>
                <w:color w:val="000000"/>
                <w:sz w:val="24"/>
                <w:szCs w:val="24"/>
                <w:lang w:val="ro-RO"/>
              </w:rPr>
            </w:pPr>
            <w:r w:rsidRPr="00587B71">
              <w:rPr>
                <w:rFonts w:ascii="Arial" w:eastAsia="Times New Roman" w:hAnsi="Arial" w:cs="Arial"/>
                <w:b/>
                <w:color w:val="000000"/>
                <w:sz w:val="24"/>
                <w:szCs w:val="24"/>
                <w:lang w:val="ro-RO"/>
              </w:rPr>
              <w:t>Poluant</w:t>
            </w:r>
          </w:p>
        </w:tc>
        <w:tc>
          <w:tcPr>
            <w:tcW w:w="2059" w:type="dxa"/>
          </w:tcPr>
          <w:p w:rsidR="00587B71" w:rsidRPr="00587B71" w:rsidRDefault="00587B71" w:rsidP="00587B71">
            <w:pPr>
              <w:spacing w:after="0" w:line="240" w:lineRule="auto"/>
              <w:jc w:val="center"/>
              <w:rPr>
                <w:rFonts w:ascii="Arial" w:eastAsia="Times New Roman" w:hAnsi="Arial" w:cs="Arial"/>
                <w:b/>
                <w:color w:val="000000"/>
                <w:sz w:val="24"/>
                <w:szCs w:val="24"/>
                <w:lang w:val="ro-RO"/>
              </w:rPr>
            </w:pPr>
            <w:r w:rsidRPr="00587B71">
              <w:rPr>
                <w:rFonts w:ascii="Arial" w:eastAsia="Times New Roman" w:hAnsi="Arial" w:cs="Arial"/>
                <w:b/>
                <w:color w:val="000000"/>
                <w:sz w:val="24"/>
                <w:szCs w:val="24"/>
                <w:lang w:val="ro-RO"/>
              </w:rPr>
              <w:t>Rezidenţial</w:t>
            </w:r>
          </w:p>
        </w:tc>
        <w:tc>
          <w:tcPr>
            <w:tcW w:w="2059" w:type="dxa"/>
          </w:tcPr>
          <w:p w:rsidR="00587B71" w:rsidRPr="00587B71" w:rsidRDefault="00587B71" w:rsidP="00587B71">
            <w:pPr>
              <w:spacing w:after="0" w:line="240" w:lineRule="auto"/>
              <w:jc w:val="center"/>
              <w:rPr>
                <w:rFonts w:ascii="Arial" w:eastAsia="Times New Roman" w:hAnsi="Arial" w:cs="Arial"/>
                <w:b/>
                <w:color w:val="000000"/>
                <w:sz w:val="24"/>
                <w:szCs w:val="24"/>
                <w:lang w:val="ro-RO"/>
              </w:rPr>
            </w:pPr>
            <w:r w:rsidRPr="00587B71">
              <w:rPr>
                <w:rFonts w:ascii="Arial" w:eastAsia="Times New Roman" w:hAnsi="Arial" w:cs="Arial"/>
                <w:b/>
                <w:color w:val="000000"/>
                <w:sz w:val="24"/>
                <w:szCs w:val="24"/>
                <w:lang w:val="ro-RO"/>
              </w:rPr>
              <w:t>Industrial</w:t>
            </w:r>
          </w:p>
        </w:tc>
        <w:tc>
          <w:tcPr>
            <w:tcW w:w="2059" w:type="dxa"/>
          </w:tcPr>
          <w:p w:rsidR="00587B71" w:rsidRPr="00587B71" w:rsidRDefault="00587B71" w:rsidP="00587B71">
            <w:pPr>
              <w:spacing w:after="0" w:line="240" w:lineRule="auto"/>
              <w:jc w:val="center"/>
              <w:rPr>
                <w:rFonts w:ascii="Arial" w:eastAsia="Times New Roman" w:hAnsi="Arial" w:cs="Arial"/>
                <w:b/>
                <w:color w:val="000000"/>
                <w:sz w:val="24"/>
                <w:szCs w:val="24"/>
                <w:lang w:val="ro-RO"/>
              </w:rPr>
            </w:pPr>
            <w:r w:rsidRPr="00587B71">
              <w:rPr>
                <w:rFonts w:ascii="Arial" w:eastAsia="Times New Roman" w:hAnsi="Arial" w:cs="Arial"/>
                <w:b/>
                <w:color w:val="000000"/>
                <w:sz w:val="24"/>
                <w:szCs w:val="24"/>
                <w:lang w:val="ro-RO"/>
              </w:rPr>
              <w:t>Transporturi</w:t>
            </w:r>
          </w:p>
        </w:tc>
        <w:tc>
          <w:tcPr>
            <w:tcW w:w="2059" w:type="dxa"/>
          </w:tcPr>
          <w:p w:rsidR="00587B71" w:rsidRPr="00587B71" w:rsidRDefault="00587B71" w:rsidP="00587B71">
            <w:pPr>
              <w:spacing w:after="0" w:line="240" w:lineRule="auto"/>
              <w:jc w:val="center"/>
              <w:rPr>
                <w:rFonts w:ascii="Arial" w:eastAsia="Times New Roman" w:hAnsi="Arial" w:cs="Arial"/>
                <w:b/>
                <w:color w:val="000000"/>
                <w:sz w:val="24"/>
                <w:szCs w:val="24"/>
                <w:lang w:val="ro-RO"/>
              </w:rPr>
            </w:pPr>
            <w:r w:rsidRPr="00587B71">
              <w:rPr>
                <w:rFonts w:ascii="Arial" w:eastAsia="Times New Roman" w:hAnsi="Arial" w:cs="Arial"/>
                <w:b/>
                <w:color w:val="000000"/>
                <w:sz w:val="24"/>
                <w:szCs w:val="24"/>
                <w:lang w:val="ro-RO"/>
              </w:rPr>
              <w:t>Agricultura</w:t>
            </w:r>
          </w:p>
        </w:tc>
      </w:tr>
      <w:tr w:rsidR="00587B71" w:rsidRPr="00587B71" w:rsidTr="00587B71">
        <w:trPr>
          <w:trHeight w:val="309"/>
          <w:jc w:val="center"/>
        </w:trPr>
        <w:tc>
          <w:tcPr>
            <w:tcW w:w="1384" w:type="dxa"/>
          </w:tcPr>
          <w:p w:rsidR="00587B71" w:rsidRPr="00587B71" w:rsidRDefault="00587B71" w:rsidP="00587B71">
            <w:pPr>
              <w:spacing w:after="0" w:line="240" w:lineRule="auto"/>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CO</w:t>
            </w:r>
          </w:p>
        </w:tc>
        <w:tc>
          <w:tcPr>
            <w:tcW w:w="2059" w:type="dxa"/>
          </w:tcPr>
          <w:p w:rsidR="00587B71" w:rsidRPr="00587B71" w:rsidRDefault="00587B71" w:rsidP="00587B71">
            <w:pPr>
              <w:spacing w:after="0" w:line="240" w:lineRule="auto"/>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13348</w:t>
            </w:r>
          </w:p>
        </w:tc>
        <w:tc>
          <w:tcPr>
            <w:tcW w:w="2059" w:type="dxa"/>
          </w:tcPr>
          <w:p w:rsidR="00587B71" w:rsidRPr="00587B71" w:rsidRDefault="00587B71" w:rsidP="00B8771D">
            <w:pPr>
              <w:spacing w:after="0" w:line="240" w:lineRule="auto"/>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119</w:t>
            </w:r>
            <w:r w:rsidR="00B8771D">
              <w:rPr>
                <w:rFonts w:ascii="Arial" w:eastAsia="Times New Roman" w:hAnsi="Arial" w:cs="Arial"/>
                <w:color w:val="000000"/>
                <w:sz w:val="24"/>
                <w:szCs w:val="24"/>
                <w:lang w:val="ro-RO"/>
              </w:rPr>
              <w:t>1</w:t>
            </w:r>
          </w:p>
        </w:tc>
        <w:tc>
          <w:tcPr>
            <w:tcW w:w="2059" w:type="dxa"/>
          </w:tcPr>
          <w:p w:rsidR="00587B71" w:rsidRPr="00587B71" w:rsidRDefault="00587B71" w:rsidP="00587B71">
            <w:pPr>
              <w:spacing w:after="0" w:line="240" w:lineRule="auto"/>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1442</w:t>
            </w:r>
            <w:r w:rsidR="00B8771D">
              <w:rPr>
                <w:rFonts w:ascii="Arial" w:eastAsia="Times New Roman" w:hAnsi="Arial" w:cs="Arial"/>
                <w:color w:val="000000"/>
                <w:sz w:val="24"/>
                <w:szCs w:val="24"/>
                <w:lang w:val="ro-RO"/>
              </w:rPr>
              <w:t>.4</w:t>
            </w:r>
          </w:p>
        </w:tc>
        <w:tc>
          <w:tcPr>
            <w:tcW w:w="2059" w:type="dxa"/>
          </w:tcPr>
          <w:p w:rsidR="00587B71" w:rsidRPr="00587B71" w:rsidRDefault="00587B71" w:rsidP="00587B71">
            <w:pPr>
              <w:spacing w:after="0" w:line="240" w:lineRule="auto"/>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2.3</w:t>
            </w:r>
          </w:p>
        </w:tc>
      </w:tr>
      <w:tr w:rsidR="00587B71" w:rsidRPr="00587B71" w:rsidTr="00587B71">
        <w:trPr>
          <w:trHeight w:val="285"/>
          <w:jc w:val="center"/>
        </w:trPr>
        <w:tc>
          <w:tcPr>
            <w:tcW w:w="1384" w:type="dxa"/>
          </w:tcPr>
          <w:p w:rsidR="00587B71" w:rsidRPr="00587B71" w:rsidRDefault="00587B71" w:rsidP="00587B71">
            <w:pPr>
              <w:spacing w:after="0" w:line="240" w:lineRule="auto"/>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NMVOC</w:t>
            </w:r>
          </w:p>
        </w:tc>
        <w:tc>
          <w:tcPr>
            <w:tcW w:w="2059" w:type="dxa"/>
          </w:tcPr>
          <w:p w:rsidR="00587B71" w:rsidRPr="00587B71" w:rsidRDefault="00587B71" w:rsidP="001C3346">
            <w:pPr>
              <w:spacing w:after="0" w:line="240" w:lineRule="auto"/>
              <w:jc w:val="center"/>
              <w:rPr>
                <w:rFonts w:ascii="Arial" w:eastAsia="Times New Roman" w:hAnsi="Arial" w:cs="Arial"/>
                <w:sz w:val="24"/>
                <w:szCs w:val="24"/>
                <w:lang w:val="ro-RO"/>
              </w:rPr>
            </w:pPr>
            <w:r w:rsidRPr="00587B71">
              <w:rPr>
                <w:rFonts w:ascii="Arial" w:eastAsia="Times New Roman" w:hAnsi="Arial" w:cs="Arial"/>
                <w:sz w:val="24"/>
                <w:szCs w:val="24"/>
                <w:lang w:val="ro-RO"/>
              </w:rPr>
              <w:t>26</w:t>
            </w:r>
            <w:r w:rsidR="001C3346">
              <w:rPr>
                <w:rFonts w:ascii="Arial" w:eastAsia="Times New Roman" w:hAnsi="Arial" w:cs="Arial"/>
                <w:sz w:val="24"/>
                <w:szCs w:val="24"/>
                <w:lang w:val="ro-RO"/>
              </w:rPr>
              <w:t>76.9</w:t>
            </w:r>
          </w:p>
        </w:tc>
        <w:tc>
          <w:tcPr>
            <w:tcW w:w="2059" w:type="dxa"/>
          </w:tcPr>
          <w:p w:rsidR="00587B71" w:rsidRPr="00587B71" w:rsidRDefault="00B8771D" w:rsidP="00587B71">
            <w:pPr>
              <w:spacing w:after="0" w:line="240" w:lineRule="auto"/>
              <w:jc w:val="center"/>
              <w:rPr>
                <w:rFonts w:ascii="Arial" w:eastAsia="Times New Roman" w:hAnsi="Arial" w:cs="Arial"/>
                <w:color w:val="000000"/>
                <w:sz w:val="24"/>
                <w:szCs w:val="24"/>
                <w:lang w:val="ro-RO"/>
              </w:rPr>
            </w:pPr>
            <w:r>
              <w:rPr>
                <w:rFonts w:ascii="Arial" w:eastAsia="Times New Roman" w:hAnsi="Arial" w:cs="Arial"/>
                <w:sz w:val="24"/>
                <w:szCs w:val="24"/>
                <w:lang w:val="ro-RO"/>
              </w:rPr>
              <w:t>23.06</w:t>
            </w:r>
          </w:p>
        </w:tc>
        <w:tc>
          <w:tcPr>
            <w:tcW w:w="2059" w:type="dxa"/>
          </w:tcPr>
          <w:p w:rsidR="00587B71" w:rsidRPr="00587B71" w:rsidRDefault="001C3346" w:rsidP="00587B71">
            <w:pPr>
              <w:spacing w:after="0" w:line="240" w:lineRule="auto"/>
              <w:jc w:val="center"/>
              <w:rPr>
                <w:rFonts w:ascii="Arial" w:eastAsia="Times New Roman" w:hAnsi="Arial" w:cs="Arial"/>
                <w:color w:val="000000"/>
                <w:sz w:val="24"/>
                <w:szCs w:val="24"/>
                <w:lang w:val="ro-RO"/>
              </w:rPr>
            </w:pPr>
            <w:r>
              <w:rPr>
                <w:rFonts w:ascii="Arial" w:eastAsia="Times New Roman" w:hAnsi="Arial" w:cs="Arial"/>
                <w:sz w:val="24"/>
                <w:szCs w:val="24"/>
                <w:lang w:val="ro-RO"/>
              </w:rPr>
              <w:t>179.53</w:t>
            </w:r>
          </w:p>
        </w:tc>
        <w:tc>
          <w:tcPr>
            <w:tcW w:w="2059" w:type="dxa"/>
          </w:tcPr>
          <w:p w:rsidR="00587B71" w:rsidRPr="00587B71" w:rsidRDefault="00587B71" w:rsidP="00587B71">
            <w:pPr>
              <w:spacing w:after="0" w:line="240" w:lineRule="auto"/>
              <w:jc w:val="center"/>
              <w:rPr>
                <w:rFonts w:ascii="Arial" w:eastAsia="Times New Roman" w:hAnsi="Arial" w:cs="Arial"/>
                <w:color w:val="000000"/>
                <w:sz w:val="24"/>
                <w:szCs w:val="24"/>
                <w:lang w:val="ro-RO"/>
              </w:rPr>
            </w:pPr>
            <w:r w:rsidRPr="00587B71">
              <w:rPr>
                <w:rFonts w:ascii="Arial" w:eastAsia="Times New Roman" w:hAnsi="Arial" w:cs="Arial"/>
                <w:sz w:val="24"/>
                <w:szCs w:val="24"/>
                <w:lang w:val="ro-RO"/>
              </w:rPr>
              <w:t>322.5</w:t>
            </w:r>
          </w:p>
        </w:tc>
      </w:tr>
      <w:tr w:rsidR="00587B71" w:rsidRPr="00587B71" w:rsidTr="00587B71">
        <w:trPr>
          <w:trHeight w:val="260"/>
          <w:jc w:val="center"/>
        </w:trPr>
        <w:tc>
          <w:tcPr>
            <w:tcW w:w="1384" w:type="dxa"/>
          </w:tcPr>
          <w:p w:rsidR="00587B71" w:rsidRPr="00587B71" w:rsidRDefault="00587B71" w:rsidP="00587B71">
            <w:pPr>
              <w:spacing w:after="0" w:line="240" w:lineRule="auto"/>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N0x</w:t>
            </w:r>
          </w:p>
        </w:tc>
        <w:tc>
          <w:tcPr>
            <w:tcW w:w="2059" w:type="dxa"/>
          </w:tcPr>
          <w:p w:rsidR="00587B71" w:rsidRPr="00587B71" w:rsidRDefault="00587B71" w:rsidP="00587B71">
            <w:pPr>
              <w:spacing w:after="0" w:line="240" w:lineRule="auto"/>
              <w:jc w:val="center"/>
              <w:rPr>
                <w:rFonts w:ascii="Arial" w:eastAsia="Times New Roman" w:hAnsi="Arial" w:cs="Arial"/>
                <w:color w:val="000000"/>
                <w:sz w:val="24"/>
                <w:szCs w:val="24"/>
                <w:lang w:val="ro-RO"/>
              </w:rPr>
            </w:pPr>
            <w:r w:rsidRPr="00587B71">
              <w:rPr>
                <w:rFonts w:ascii="Arial" w:eastAsia="Times New Roman" w:hAnsi="Arial" w:cs="Arial"/>
                <w:sz w:val="24"/>
                <w:szCs w:val="24"/>
                <w:lang w:val="ro-RO"/>
              </w:rPr>
              <w:t>153</w:t>
            </w:r>
            <w:r w:rsidR="001C3346">
              <w:rPr>
                <w:rFonts w:ascii="Arial" w:eastAsia="Times New Roman" w:hAnsi="Arial" w:cs="Arial"/>
                <w:sz w:val="24"/>
                <w:szCs w:val="24"/>
                <w:lang w:val="ro-RO"/>
              </w:rPr>
              <w:t>.44</w:t>
            </w:r>
          </w:p>
        </w:tc>
        <w:tc>
          <w:tcPr>
            <w:tcW w:w="2059" w:type="dxa"/>
          </w:tcPr>
          <w:p w:rsidR="00587B71" w:rsidRPr="00587B71" w:rsidRDefault="001C3346" w:rsidP="00587B71">
            <w:pPr>
              <w:spacing w:after="0" w:line="240" w:lineRule="auto"/>
              <w:jc w:val="center"/>
              <w:rPr>
                <w:rFonts w:ascii="Arial" w:eastAsia="Times New Roman" w:hAnsi="Arial" w:cs="Arial"/>
                <w:color w:val="000000"/>
                <w:sz w:val="24"/>
                <w:szCs w:val="24"/>
                <w:lang w:val="ro-RO"/>
              </w:rPr>
            </w:pPr>
            <w:r>
              <w:rPr>
                <w:rFonts w:ascii="Arial" w:eastAsia="Times New Roman" w:hAnsi="Arial" w:cs="Arial"/>
                <w:sz w:val="24"/>
                <w:szCs w:val="24"/>
                <w:lang w:val="ro-RO"/>
              </w:rPr>
              <w:t>11.43</w:t>
            </w:r>
          </w:p>
        </w:tc>
        <w:tc>
          <w:tcPr>
            <w:tcW w:w="2059" w:type="dxa"/>
          </w:tcPr>
          <w:p w:rsidR="00587B71" w:rsidRPr="00587B71" w:rsidRDefault="00587B71" w:rsidP="00587B71">
            <w:pPr>
              <w:spacing w:after="0" w:line="240" w:lineRule="auto"/>
              <w:jc w:val="center"/>
              <w:rPr>
                <w:rFonts w:ascii="Arial" w:eastAsia="Times New Roman" w:hAnsi="Arial" w:cs="Arial"/>
                <w:color w:val="000000"/>
                <w:sz w:val="24"/>
                <w:szCs w:val="24"/>
                <w:lang w:val="ro-RO"/>
              </w:rPr>
            </w:pPr>
            <w:r w:rsidRPr="00587B71">
              <w:rPr>
                <w:rFonts w:ascii="Arial" w:eastAsia="Times New Roman" w:hAnsi="Arial" w:cs="Arial"/>
                <w:sz w:val="24"/>
                <w:szCs w:val="24"/>
                <w:lang w:val="ro-RO"/>
              </w:rPr>
              <w:t>610.7</w:t>
            </w:r>
          </w:p>
        </w:tc>
        <w:tc>
          <w:tcPr>
            <w:tcW w:w="2059" w:type="dxa"/>
          </w:tcPr>
          <w:p w:rsidR="00587B71" w:rsidRPr="00587B71" w:rsidRDefault="00587B71" w:rsidP="00587B71">
            <w:pPr>
              <w:spacing w:after="0" w:line="240" w:lineRule="auto"/>
              <w:jc w:val="center"/>
              <w:rPr>
                <w:rFonts w:ascii="Arial" w:eastAsia="Times New Roman" w:hAnsi="Arial" w:cs="Arial"/>
                <w:color w:val="000000"/>
                <w:sz w:val="24"/>
                <w:szCs w:val="24"/>
                <w:lang w:val="ro-RO"/>
              </w:rPr>
            </w:pPr>
            <w:r w:rsidRPr="00587B71">
              <w:rPr>
                <w:rFonts w:ascii="Arial" w:eastAsia="Times New Roman" w:hAnsi="Arial" w:cs="Arial"/>
                <w:sz w:val="24"/>
                <w:szCs w:val="24"/>
                <w:lang w:val="ro-RO"/>
              </w:rPr>
              <w:t>8.6</w:t>
            </w:r>
          </w:p>
        </w:tc>
      </w:tr>
      <w:tr w:rsidR="00587B71" w:rsidRPr="00587B71" w:rsidTr="00587B71">
        <w:trPr>
          <w:trHeight w:val="265"/>
          <w:jc w:val="center"/>
        </w:trPr>
        <w:tc>
          <w:tcPr>
            <w:tcW w:w="1384" w:type="dxa"/>
          </w:tcPr>
          <w:p w:rsidR="00587B71" w:rsidRPr="00587B71" w:rsidRDefault="00587B71" w:rsidP="00587B71">
            <w:pPr>
              <w:spacing w:after="0" w:line="240" w:lineRule="auto"/>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CH4</w:t>
            </w:r>
          </w:p>
        </w:tc>
        <w:tc>
          <w:tcPr>
            <w:tcW w:w="2059" w:type="dxa"/>
          </w:tcPr>
          <w:p w:rsidR="00587B71" w:rsidRPr="00587B71" w:rsidRDefault="00587B71" w:rsidP="00587B71">
            <w:pPr>
              <w:spacing w:after="0" w:line="240" w:lineRule="auto"/>
              <w:jc w:val="center"/>
              <w:rPr>
                <w:rFonts w:ascii="Arial" w:eastAsia="Times New Roman" w:hAnsi="Arial" w:cs="Arial"/>
                <w:sz w:val="24"/>
                <w:szCs w:val="24"/>
                <w:lang w:val="ro-RO"/>
              </w:rPr>
            </w:pPr>
            <w:r w:rsidRPr="00587B71">
              <w:rPr>
                <w:rFonts w:ascii="Arial" w:eastAsia="Times New Roman" w:hAnsi="Arial" w:cs="Arial"/>
                <w:sz w:val="24"/>
                <w:szCs w:val="24"/>
                <w:lang w:val="ro-RO"/>
              </w:rPr>
              <w:t>0</w:t>
            </w:r>
          </w:p>
        </w:tc>
        <w:tc>
          <w:tcPr>
            <w:tcW w:w="2059" w:type="dxa"/>
          </w:tcPr>
          <w:p w:rsidR="00587B71" w:rsidRPr="00587B71" w:rsidRDefault="00587B71" w:rsidP="00587B71">
            <w:pPr>
              <w:spacing w:after="0" w:line="240" w:lineRule="auto"/>
              <w:jc w:val="center"/>
              <w:rPr>
                <w:rFonts w:ascii="Arial" w:eastAsia="Times New Roman" w:hAnsi="Arial" w:cs="Arial"/>
                <w:sz w:val="24"/>
                <w:szCs w:val="24"/>
                <w:lang w:val="ro-RO"/>
              </w:rPr>
            </w:pPr>
            <w:r w:rsidRPr="00587B71">
              <w:rPr>
                <w:rFonts w:ascii="Arial" w:eastAsia="Times New Roman" w:hAnsi="Arial" w:cs="Arial"/>
                <w:sz w:val="24"/>
                <w:szCs w:val="24"/>
                <w:lang w:val="ro-RO"/>
              </w:rPr>
              <w:t>0</w:t>
            </w:r>
          </w:p>
        </w:tc>
        <w:tc>
          <w:tcPr>
            <w:tcW w:w="2059" w:type="dxa"/>
          </w:tcPr>
          <w:p w:rsidR="00587B71" w:rsidRPr="00587B71" w:rsidRDefault="00587B71" w:rsidP="001C3346">
            <w:pPr>
              <w:spacing w:after="0" w:line="240" w:lineRule="auto"/>
              <w:jc w:val="center"/>
              <w:rPr>
                <w:rFonts w:ascii="Arial" w:eastAsia="Times New Roman" w:hAnsi="Arial" w:cs="Arial"/>
                <w:sz w:val="24"/>
                <w:szCs w:val="24"/>
                <w:lang w:val="ro-RO"/>
              </w:rPr>
            </w:pPr>
            <w:r w:rsidRPr="00587B71">
              <w:rPr>
                <w:rFonts w:ascii="Arial" w:eastAsia="Times New Roman" w:hAnsi="Arial" w:cs="Arial"/>
                <w:sz w:val="24"/>
                <w:szCs w:val="24"/>
                <w:lang w:val="ro-RO"/>
              </w:rPr>
              <w:t>15,</w:t>
            </w:r>
            <w:r w:rsidR="001C3346">
              <w:rPr>
                <w:rFonts w:ascii="Arial" w:eastAsia="Times New Roman" w:hAnsi="Arial" w:cs="Arial"/>
                <w:sz w:val="24"/>
                <w:szCs w:val="24"/>
                <w:lang w:val="ro-RO"/>
              </w:rPr>
              <w:t>5</w:t>
            </w:r>
          </w:p>
        </w:tc>
        <w:tc>
          <w:tcPr>
            <w:tcW w:w="2059" w:type="dxa"/>
          </w:tcPr>
          <w:p w:rsidR="00587B71" w:rsidRPr="00587B71" w:rsidRDefault="00587B71" w:rsidP="00587B71">
            <w:pPr>
              <w:spacing w:after="0" w:line="240" w:lineRule="auto"/>
              <w:jc w:val="center"/>
              <w:rPr>
                <w:rFonts w:ascii="Arial" w:eastAsia="Times New Roman" w:hAnsi="Arial" w:cs="Arial"/>
                <w:sz w:val="24"/>
                <w:szCs w:val="24"/>
                <w:lang w:val="ro-RO"/>
              </w:rPr>
            </w:pPr>
            <w:r w:rsidRPr="00587B71">
              <w:rPr>
                <w:rFonts w:ascii="Arial" w:eastAsia="Times New Roman" w:hAnsi="Arial" w:cs="Arial"/>
                <w:sz w:val="24"/>
                <w:szCs w:val="24"/>
                <w:lang w:val="ro-RO"/>
              </w:rPr>
              <w:t>0,1</w:t>
            </w:r>
          </w:p>
        </w:tc>
      </w:tr>
    </w:tbl>
    <w:p w:rsidR="00587B71" w:rsidRPr="00587B71" w:rsidRDefault="00587B71" w:rsidP="00587B71">
      <w:pPr>
        <w:spacing w:after="0" w:line="240" w:lineRule="auto"/>
        <w:rPr>
          <w:rFonts w:ascii="Arial" w:eastAsia="Times New Roman" w:hAnsi="Arial" w:cs="Arial"/>
          <w:color w:val="000000"/>
          <w:sz w:val="24"/>
          <w:szCs w:val="24"/>
          <w:lang w:val="ro-RO"/>
        </w:rPr>
      </w:pPr>
    </w:p>
    <w:p w:rsidR="00587B71" w:rsidRPr="00587B71" w:rsidRDefault="00587B71" w:rsidP="00587B71">
      <w:pPr>
        <w:spacing w:after="0" w:line="240" w:lineRule="auto"/>
        <w:jc w:val="center"/>
        <w:rPr>
          <w:rFonts w:ascii="Arial" w:eastAsia="Times New Roman" w:hAnsi="Arial" w:cs="Arial"/>
          <w:color w:val="000000"/>
          <w:sz w:val="24"/>
          <w:szCs w:val="24"/>
          <w:lang w:val="ro-RO"/>
        </w:rPr>
      </w:pPr>
      <w:r>
        <w:rPr>
          <w:rFonts w:ascii="Arial" w:eastAsia="Times New Roman" w:hAnsi="Arial" w:cs="Arial"/>
          <w:noProof/>
          <w:color w:val="000000"/>
          <w:sz w:val="24"/>
          <w:szCs w:val="24"/>
        </w:rPr>
        <w:drawing>
          <wp:inline distT="0" distB="0" distL="0" distR="0">
            <wp:extent cx="5257800" cy="2209800"/>
            <wp:effectExtent l="0" t="0" r="0" b="0"/>
            <wp:docPr id="71" name="Chart 7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87B71" w:rsidRPr="00587B71" w:rsidRDefault="00587B71" w:rsidP="00587B71">
      <w:pPr>
        <w:spacing w:after="0" w:line="240" w:lineRule="auto"/>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 xml:space="preserve">Figura I.36. Emisii de precursori ai ozonului </w:t>
      </w:r>
      <w:r w:rsidR="00F910BE">
        <w:rPr>
          <w:rFonts w:ascii="Arial" w:eastAsia="Times New Roman" w:hAnsi="Arial" w:cs="Arial"/>
          <w:color w:val="000000"/>
          <w:sz w:val="24"/>
          <w:szCs w:val="24"/>
          <w:lang w:val="ro-RO"/>
        </w:rPr>
        <w:t>pe sectoare de activitate, tone</w:t>
      </w:r>
    </w:p>
    <w:p w:rsidR="00341504" w:rsidRDefault="00341504" w:rsidP="00587B71">
      <w:pPr>
        <w:spacing w:after="0" w:line="240" w:lineRule="auto"/>
        <w:rPr>
          <w:rFonts w:ascii="Arial" w:eastAsia="Times New Roman" w:hAnsi="Arial" w:cs="Arial"/>
          <w:color w:val="000000"/>
          <w:sz w:val="24"/>
          <w:szCs w:val="24"/>
          <w:lang w:val="ro-RO"/>
        </w:rPr>
      </w:pPr>
    </w:p>
    <w:p w:rsidR="00587B71" w:rsidRPr="00587B71" w:rsidRDefault="00587B71" w:rsidP="00587B71">
      <w:pPr>
        <w:spacing w:after="0" w:line="240" w:lineRule="auto"/>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Tabelul I.31. Emisii de parti</w:t>
      </w:r>
      <w:r w:rsidR="00933951">
        <w:rPr>
          <w:rFonts w:ascii="Arial" w:eastAsia="Times New Roman" w:hAnsi="Arial" w:cs="Arial"/>
          <w:color w:val="000000"/>
          <w:sz w:val="24"/>
          <w:szCs w:val="24"/>
          <w:lang w:val="ro-RO"/>
        </w:rPr>
        <w:t>cule, pe sectoare de activităţi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0"/>
        <w:gridCol w:w="3287"/>
        <w:gridCol w:w="3287"/>
      </w:tblGrid>
      <w:tr w:rsidR="00587B71" w:rsidRPr="00587B71" w:rsidTr="00587B71">
        <w:tc>
          <w:tcPr>
            <w:tcW w:w="3431" w:type="dxa"/>
          </w:tcPr>
          <w:p w:rsidR="00587B71" w:rsidRPr="00587B71" w:rsidRDefault="00587B71" w:rsidP="00587B71">
            <w:pPr>
              <w:spacing w:after="0" w:line="240" w:lineRule="auto"/>
              <w:rPr>
                <w:rFonts w:ascii="Arial" w:eastAsia="Times New Roman" w:hAnsi="Arial" w:cs="Arial"/>
                <w:b/>
                <w:color w:val="000000"/>
                <w:sz w:val="24"/>
                <w:szCs w:val="24"/>
                <w:lang w:val="ro-RO"/>
              </w:rPr>
            </w:pPr>
            <w:r w:rsidRPr="00587B71">
              <w:rPr>
                <w:rFonts w:ascii="Arial" w:eastAsia="Times New Roman" w:hAnsi="Arial" w:cs="Arial"/>
                <w:b/>
                <w:color w:val="000000"/>
                <w:sz w:val="24"/>
                <w:szCs w:val="24"/>
                <w:lang w:val="ro-RO"/>
              </w:rPr>
              <w:t>Emisii/sector de activitate</w:t>
            </w:r>
          </w:p>
        </w:tc>
        <w:tc>
          <w:tcPr>
            <w:tcW w:w="3432" w:type="dxa"/>
          </w:tcPr>
          <w:p w:rsidR="00587B71" w:rsidRPr="00587B71" w:rsidRDefault="00587B71" w:rsidP="00587B71">
            <w:pPr>
              <w:spacing w:after="0" w:line="240" w:lineRule="auto"/>
              <w:jc w:val="center"/>
              <w:rPr>
                <w:rFonts w:ascii="Arial" w:eastAsia="Times New Roman" w:hAnsi="Arial" w:cs="Arial"/>
                <w:b/>
                <w:color w:val="000000"/>
                <w:sz w:val="24"/>
                <w:szCs w:val="24"/>
                <w:lang w:val="ro-RO"/>
              </w:rPr>
            </w:pPr>
            <w:r w:rsidRPr="00587B71">
              <w:rPr>
                <w:rFonts w:ascii="Arial" w:eastAsia="Times New Roman" w:hAnsi="Arial" w:cs="Arial"/>
                <w:b/>
                <w:color w:val="000000"/>
                <w:sz w:val="24"/>
                <w:szCs w:val="24"/>
                <w:lang w:val="ro-RO"/>
              </w:rPr>
              <w:t>PM10 (tone)</w:t>
            </w:r>
          </w:p>
        </w:tc>
        <w:tc>
          <w:tcPr>
            <w:tcW w:w="3432" w:type="dxa"/>
          </w:tcPr>
          <w:p w:rsidR="00587B71" w:rsidRPr="00587B71" w:rsidRDefault="00587B71" w:rsidP="00587B71">
            <w:pPr>
              <w:spacing w:after="0" w:line="240" w:lineRule="auto"/>
              <w:jc w:val="center"/>
              <w:rPr>
                <w:rFonts w:ascii="Arial" w:eastAsia="Times New Roman" w:hAnsi="Arial" w:cs="Arial"/>
                <w:b/>
                <w:color w:val="000000"/>
                <w:sz w:val="24"/>
                <w:szCs w:val="24"/>
                <w:lang w:val="ro-RO"/>
              </w:rPr>
            </w:pPr>
            <w:r w:rsidRPr="00587B71">
              <w:rPr>
                <w:rFonts w:ascii="Arial" w:eastAsia="Times New Roman" w:hAnsi="Arial" w:cs="Arial"/>
                <w:b/>
                <w:color w:val="000000"/>
                <w:sz w:val="24"/>
                <w:szCs w:val="24"/>
                <w:lang w:val="ro-RO"/>
              </w:rPr>
              <w:t>PM2,5 (tone)</w:t>
            </w:r>
          </w:p>
        </w:tc>
      </w:tr>
      <w:tr w:rsidR="00587B71" w:rsidRPr="00587B71" w:rsidTr="00587B71">
        <w:tc>
          <w:tcPr>
            <w:tcW w:w="3431" w:type="dxa"/>
          </w:tcPr>
          <w:p w:rsidR="00587B71" w:rsidRPr="00587B71" w:rsidRDefault="00587B71" w:rsidP="00587B71">
            <w:pPr>
              <w:spacing w:after="0" w:line="240" w:lineRule="auto"/>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Rezidenţial</w:t>
            </w:r>
          </w:p>
        </w:tc>
        <w:tc>
          <w:tcPr>
            <w:tcW w:w="3432" w:type="dxa"/>
          </w:tcPr>
          <w:p w:rsidR="00587B71" w:rsidRPr="00587B71" w:rsidRDefault="00587B71" w:rsidP="00F910BE">
            <w:pPr>
              <w:spacing w:after="0" w:line="240" w:lineRule="auto"/>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179</w:t>
            </w:r>
            <w:r w:rsidR="00F910BE">
              <w:rPr>
                <w:rFonts w:ascii="Arial" w:eastAsia="Times New Roman" w:hAnsi="Arial" w:cs="Arial"/>
                <w:color w:val="000000"/>
                <w:sz w:val="24"/>
                <w:szCs w:val="24"/>
                <w:lang w:val="ro-RO"/>
              </w:rPr>
              <w:t>5,6</w:t>
            </w:r>
          </w:p>
        </w:tc>
        <w:tc>
          <w:tcPr>
            <w:tcW w:w="3432" w:type="dxa"/>
          </w:tcPr>
          <w:p w:rsidR="00587B71" w:rsidRPr="00587B71" w:rsidRDefault="00F910BE" w:rsidP="00587B71">
            <w:pPr>
              <w:spacing w:after="0" w:line="240" w:lineRule="auto"/>
              <w:jc w:val="center"/>
              <w:rPr>
                <w:rFonts w:ascii="Arial" w:eastAsia="Times New Roman" w:hAnsi="Arial" w:cs="Arial"/>
                <w:color w:val="000000"/>
                <w:sz w:val="24"/>
                <w:szCs w:val="24"/>
                <w:lang w:val="ro-RO"/>
              </w:rPr>
            </w:pPr>
            <w:r>
              <w:rPr>
                <w:rFonts w:ascii="Arial" w:eastAsia="Times New Roman" w:hAnsi="Arial" w:cs="Arial"/>
                <w:color w:val="000000"/>
                <w:sz w:val="24"/>
                <w:szCs w:val="24"/>
                <w:lang w:val="ro-RO"/>
              </w:rPr>
              <w:t>1795,6</w:t>
            </w:r>
          </w:p>
        </w:tc>
      </w:tr>
      <w:tr w:rsidR="00587B71" w:rsidRPr="00587B71" w:rsidTr="00587B71">
        <w:tc>
          <w:tcPr>
            <w:tcW w:w="3431" w:type="dxa"/>
          </w:tcPr>
          <w:p w:rsidR="00587B71" w:rsidRPr="00587B71" w:rsidRDefault="00587B71" w:rsidP="00587B71">
            <w:pPr>
              <w:spacing w:after="0" w:line="240" w:lineRule="auto"/>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Industrial</w:t>
            </w:r>
          </w:p>
        </w:tc>
        <w:tc>
          <w:tcPr>
            <w:tcW w:w="3432" w:type="dxa"/>
          </w:tcPr>
          <w:p w:rsidR="00587B71" w:rsidRPr="00587B71" w:rsidRDefault="00587B71" w:rsidP="00F910BE">
            <w:pPr>
              <w:spacing w:after="0" w:line="240" w:lineRule="auto"/>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317,</w:t>
            </w:r>
            <w:r w:rsidR="00F910BE">
              <w:rPr>
                <w:rFonts w:ascii="Arial" w:eastAsia="Times New Roman" w:hAnsi="Arial" w:cs="Arial"/>
                <w:color w:val="000000"/>
                <w:sz w:val="24"/>
                <w:szCs w:val="24"/>
                <w:lang w:val="ro-RO"/>
              </w:rPr>
              <w:t>8</w:t>
            </w:r>
          </w:p>
        </w:tc>
        <w:tc>
          <w:tcPr>
            <w:tcW w:w="3432" w:type="dxa"/>
          </w:tcPr>
          <w:p w:rsidR="00587B71" w:rsidRPr="00587B71" w:rsidRDefault="00F910BE" w:rsidP="00587B71">
            <w:pPr>
              <w:spacing w:after="0" w:line="240" w:lineRule="auto"/>
              <w:jc w:val="center"/>
              <w:rPr>
                <w:rFonts w:ascii="Arial" w:eastAsia="Times New Roman" w:hAnsi="Arial" w:cs="Arial"/>
                <w:color w:val="000000"/>
                <w:sz w:val="24"/>
                <w:szCs w:val="24"/>
                <w:lang w:val="ro-RO"/>
              </w:rPr>
            </w:pPr>
            <w:r>
              <w:rPr>
                <w:rFonts w:ascii="Arial" w:eastAsia="Times New Roman" w:hAnsi="Arial" w:cs="Arial"/>
                <w:color w:val="000000"/>
                <w:sz w:val="24"/>
                <w:szCs w:val="24"/>
                <w:lang w:val="ro-RO"/>
              </w:rPr>
              <w:t>74</w:t>
            </w:r>
          </w:p>
        </w:tc>
      </w:tr>
      <w:tr w:rsidR="00587B71" w:rsidRPr="00587B71" w:rsidTr="00587B71">
        <w:tc>
          <w:tcPr>
            <w:tcW w:w="3431" w:type="dxa"/>
          </w:tcPr>
          <w:p w:rsidR="00587B71" w:rsidRPr="00587B71" w:rsidRDefault="00587B71" w:rsidP="00587B71">
            <w:pPr>
              <w:spacing w:after="0" w:line="240" w:lineRule="auto"/>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Agricultura</w:t>
            </w:r>
          </w:p>
        </w:tc>
        <w:tc>
          <w:tcPr>
            <w:tcW w:w="3432" w:type="dxa"/>
          </w:tcPr>
          <w:p w:rsidR="00587B71" w:rsidRPr="00587B71" w:rsidRDefault="00F910BE" w:rsidP="00587B71">
            <w:pPr>
              <w:spacing w:after="0" w:line="240" w:lineRule="auto"/>
              <w:jc w:val="center"/>
              <w:rPr>
                <w:rFonts w:ascii="Arial" w:eastAsia="Times New Roman" w:hAnsi="Arial" w:cs="Arial"/>
                <w:color w:val="000000"/>
                <w:sz w:val="24"/>
                <w:szCs w:val="24"/>
                <w:lang w:val="ro-RO"/>
              </w:rPr>
            </w:pPr>
            <w:r>
              <w:rPr>
                <w:rFonts w:ascii="Arial" w:eastAsia="Times New Roman" w:hAnsi="Arial" w:cs="Arial"/>
                <w:color w:val="000000"/>
                <w:sz w:val="24"/>
                <w:szCs w:val="24"/>
                <w:lang w:val="ro-RO"/>
              </w:rPr>
              <w:t>76,1</w:t>
            </w:r>
          </w:p>
        </w:tc>
        <w:tc>
          <w:tcPr>
            <w:tcW w:w="3432" w:type="dxa"/>
          </w:tcPr>
          <w:p w:rsidR="00587B71" w:rsidRPr="00587B71" w:rsidRDefault="00F910BE" w:rsidP="00587B71">
            <w:pPr>
              <w:spacing w:after="0" w:line="240" w:lineRule="auto"/>
              <w:jc w:val="center"/>
              <w:rPr>
                <w:rFonts w:ascii="Arial" w:eastAsia="Times New Roman" w:hAnsi="Arial" w:cs="Arial"/>
                <w:color w:val="000000"/>
                <w:sz w:val="24"/>
                <w:szCs w:val="24"/>
                <w:lang w:val="ro-RO"/>
              </w:rPr>
            </w:pPr>
            <w:r>
              <w:rPr>
                <w:rFonts w:ascii="Arial" w:eastAsia="Times New Roman" w:hAnsi="Arial" w:cs="Arial"/>
                <w:color w:val="000000"/>
                <w:sz w:val="24"/>
                <w:szCs w:val="24"/>
                <w:lang w:val="ro-RO"/>
              </w:rPr>
              <w:t>10,4</w:t>
            </w:r>
          </w:p>
        </w:tc>
      </w:tr>
      <w:tr w:rsidR="00587B71" w:rsidRPr="00587B71" w:rsidTr="00587B71">
        <w:tc>
          <w:tcPr>
            <w:tcW w:w="3431" w:type="dxa"/>
          </w:tcPr>
          <w:p w:rsidR="00587B71" w:rsidRPr="00587B71" w:rsidRDefault="00587B71" w:rsidP="00587B71">
            <w:pPr>
              <w:spacing w:after="0" w:line="240" w:lineRule="auto"/>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Trafic</w:t>
            </w:r>
          </w:p>
        </w:tc>
        <w:tc>
          <w:tcPr>
            <w:tcW w:w="3432" w:type="dxa"/>
          </w:tcPr>
          <w:p w:rsidR="00587B71" w:rsidRPr="00587B71" w:rsidRDefault="00587B71" w:rsidP="00F910BE">
            <w:pPr>
              <w:spacing w:after="0" w:line="240" w:lineRule="auto"/>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34</w:t>
            </w:r>
            <w:r w:rsidR="00F910BE">
              <w:rPr>
                <w:rFonts w:ascii="Arial" w:eastAsia="Times New Roman" w:hAnsi="Arial" w:cs="Arial"/>
                <w:color w:val="000000"/>
                <w:sz w:val="24"/>
                <w:szCs w:val="24"/>
                <w:lang w:val="ro-RO"/>
              </w:rPr>
              <w:t>,01</w:t>
            </w:r>
          </w:p>
        </w:tc>
        <w:tc>
          <w:tcPr>
            <w:tcW w:w="3432" w:type="dxa"/>
          </w:tcPr>
          <w:p w:rsidR="00587B71" w:rsidRPr="00587B71" w:rsidRDefault="00F910BE" w:rsidP="00587B71">
            <w:pPr>
              <w:spacing w:after="0" w:line="240" w:lineRule="auto"/>
              <w:jc w:val="center"/>
              <w:rPr>
                <w:rFonts w:ascii="Arial" w:eastAsia="Times New Roman" w:hAnsi="Arial" w:cs="Arial"/>
                <w:color w:val="000000"/>
                <w:sz w:val="24"/>
                <w:szCs w:val="24"/>
                <w:lang w:val="ro-RO"/>
              </w:rPr>
            </w:pPr>
            <w:r>
              <w:rPr>
                <w:rFonts w:ascii="Arial" w:eastAsia="Times New Roman" w:hAnsi="Arial" w:cs="Arial"/>
                <w:color w:val="000000"/>
                <w:sz w:val="24"/>
                <w:szCs w:val="24"/>
                <w:lang w:val="ro-RO"/>
              </w:rPr>
              <w:t>29.58</w:t>
            </w:r>
          </w:p>
        </w:tc>
      </w:tr>
    </w:tbl>
    <w:p w:rsidR="00587B71" w:rsidRPr="00587B71" w:rsidRDefault="00341504" w:rsidP="00587B71">
      <w:pPr>
        <w:spacing w:after="0" w:line="240" w:lineRule="auto"/>
        <w:rPr>
          <w:rFonts w:ascii="Arial" w:eastAsia="Times New Roman" w:hAnsi="Arial" w:cs="Arial"/>
          <w:color w:val="000000"/>
          <w:sz w:val="24"/>
          <w:szCs w:val="24"/>
          <w:lang w:val="ro-RO"/>
        </w:rPr>
      </w:pPr>
      <w:r>
        <w:rPr>
          <w:rFonts w:ascii="Arial" w:eastAsia="Times New Roman" w:hAnsi="Arial" w:cs="Arial"/>
          <w:noProof/>
          <w:color w:val="000000"/>
          <w:sz w:val="24"/>
          <w:szCs w:val="24"/>
        </w:rPr>
        <w:drawing>
          <wp:anchor distT="0" distB="0" distL="114300" distR="114300" simplePos="0" relativeHeight="251660288" behindDoc="0" locked="0" layoutInCell="1" allowOverlap="1" wp14:anchorId="69AAB172" wp14:editId="54664F6F">
            <wp:simplePos x="0" y="0"/>
            <wp:positionH relativeFrom="column">
              <wp:posOffset>537845</wp:posOffset>
            </wp:positionH>
            <wp:positionV relativeFrom="paragraph">
              <wp:posOffset>186690</wp:posOffset>
            </wp:positionV>
            <wp:extent cx="5410200" cy="2171700"/>
            <wp:effectExtent l="0" t="0" r="0" b="0"/>
            <wp:wrapSquare wrapText="right"/>
            <wp:docPr id="188" name="Chart 18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p>
    <w:p w:rsidR="00587B71" w:rsidRPr="00587B71" w:rsidRDefault="00587B71" w:rsidP="007C45A1">
      <w:pPr>
        <w:spacing w:after="0" w:line="240" w:lineRule="auto"/>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br w:type="textWrapping" w:clear="all"/>
        <w:t xml:space="preserve">Figura I.37. Emisii de PM10 şi PM2,5 </w:t>
      </w:r>
      <w:r w:rsidR="00933951">
        <w:rPr>
          <w:rFonts w:ascii="Arial" w:eastAsia="Times New Roman" w:hAnsi="Arial" w:cs="Arial"/>
          <w:color w:val="000000"/>
          <w:sz w:val="24"/>
          <w:szCs w:val="24"/>
          <w:lang w:val="ro-RO"/>
        </w:rPr>
        <w:t>pe sectoare de activitate, tone</w:t>
      </w:r>
    </w:p>
    <w:p w:rsidR="00587B71" w:rsidRPr="00587B71" w:rsidRDefault="00587B71" w:rsidP="00587B71">
      <w:pPr>
        <w:spacing w:after="0" w:line="240" w:lineRule="auto"/>
        <w:jc w:val="center"/>
        <w:rPr>
          <w:rFonts w:ascii="Arial" w:eastAsia="Times New Roman" w:hAnsi="Arial" w:cs="Arial"/>
          <w:color w:val="000000"/>
          <w:sz w:val="24"/>
          <w:szCs w:val="24"/>
          <w:lang w:val="ro-RO"/>
        </w:rPr>
      </w:pPr>
    </w:p>
    <w:p w:rsidR="00587B71" w:rsidRPr="00587B71" w:rsidRDefault="00587B71" w:rsidP="00587B71">
      <w:pPr>
        <w:spacing w:after="0" w:line="240" w:lineRule="auto"/>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I.2.1.1. Energia</w:t>
      </w:r>
    </w:p>
    <w:p w:rsidR="00587B71" w:rsidRPr="00587B71" w:rsidRDefault="00587B71" w:rsidP="00587B71">
      <w:pPr>
        <w:spacing w:after="0" w:line="240" w:lineRule="auto"/>
        <w:rPr>
          <w:rFonts w:ascii="Arial" w:eastAsia="Times New Roman" w:hAnsi="Arial" w:cs="Arial"/>
          <w:b/>
          <w:color w:val="000000"/>
          <w:sz w:val="24"/>
          <w:szCs w:val="24"/>
          <w:lang w:val="ro-RO"/>
        </w:rPr>
      </w:pPr>
    </w:p>
    <w:p w:rsidR="00587B71" w:rsidRPr="00587B71" w:rsidRDefault="00587B71" w:rsidP="00587B71">
      <w:pPr>
        <w:spacing w:after="0" w:line="240" w:lineRule="auto"/>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Tabelul I.32. Emisii rezultate din producerea de ene</w:t>
      </w:r>
      <w:r w:rsidR="00F910BE">
        <w:rPr>
          <w:rFonts w:ascii="Arial" w:eastAsia="Times New Roman" w:hAnsi="Arial" w:cs="Arial"/>
          <w:color w:val="000000"/>
          <w:sz w:val="24"/>
          <w:szCs w:val="24"/>
          <w:lang w:val="ro-RO"/>
        </w:rPr>
        <w:t>rgie electrica şi termica, tone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5"/>
        <w:gridCol w:w="1235"/>
        <w:gridCol w:w="1504"/>
        <w:gridCol w:w="1390"/>
        <w:gridCol w:w="1375"/>
        <w:gridCol w:w="965"/>
      </w:tblGrid>
      <w:tr w:rsidR="00587B71" w:rsidRPr="00587B71" w:rsidTr="00587B71">
        <w:tc>
          <w:tcPr>
            <w:tcW w:w="3652" w:type="dxa"/>
          </w:tcPr>
          <w:p w:rsidR="00587B71" w:rsidRPr="00587B71" w:rsidRDefault="00587B71" w:rsidP="00587B71">
            <w:pPr>
              <w:spacing w:after="0" w:line="240" w:lineRule="auto"/>
              <w:rPr>
                <w:rFonts w:ascii="Arial" w:eastAsia="Times New Roman" w:hAnsi="Arial" w:cs="Arial"/>
                <w:b/>
                <w:color w:val="000000"/>
                <w:sz w:val="24"/>
                <w:szCs w:val="24"/>
                <w:lang w:val="ro-RO"/>
              </w:rPr>
            </w:pPr>
            <w:r w:rsidRPr="00587B71">
              <w:rPr>
                <w:rFonts w:ascii="Arial" w:eastAsia="Times New Roman" w:hAnsi="Arial" w:cs="Arial"/>
                <w:b/>
                <w:color w:val="000000"/>
                <w:sz w:val="24"/>
                <w:szCs w:val="24"/>
                <w:lang w:val="ro-RO"/>
              </w:rPr>
              <w:t>Poluant</w:t>
            </w:r>
          </w:p>
        </w:tc>
        <w:tc>
          <w:tcPr>
            <w:tcW w:w="1276" w:type="dxa"/>
          </w:tcPr>
          <w:p w:rsidR="00587B71" w:rsidRPr="00587B71" w:rsidRDefault="00587B71" w:rsidP="00587B71">
            <w:pPr>
              <w:spacing w:after="0" w:line="240" w:lineRule="auto"/>
              <w:jc w:val="center"/>
              <w:rPr>
                <w:rFonts w:ascii="Arial" w:eastAsia="Times New Roman" w:hAnsi="Arial" w:cs="Arial"/>
                <w:b/>
                <w:color w:val="000000"/>
                <w:sz w:val="24"/>
                <w:szCs w:val="24"/>
                <w:lang w:val="ro-RO"/>
              </w:rPr>
            </w:pPr>
            <w:r w:rsidRPr="00587B71">
              <w:rPr>
                <w:rFonts w:ascii="Arial" w:eastAsia="Times New Roman" w:hAnsi="Arial" w:cs="Arial"/>
                <w:b/>
                <w:color w:val="000000"/>
                <w:sz w:val="24"/>
                <w:szCs w:val="24"/>
                <w:lang w:val="ro-RO"/>
              </w:rPr>
              <w:t>SO2</w:t>
            </w:r>
          </w:p>
        </w:tc>
        <w:tc>
          <w:tcPr>
            <w:tcW w:w="1559" w:type="dxa"/>
          </w:tcPr>
          <w:p w:rsidR="00587B71" w:rsidRPr="00587B71" w:rsidRDefault="00587B71" w:rsidP="00587B71">
            <w:pPr>
              <w:spacing w:after="0" w:line="240" w:lineRule="auto"/>
              <w:jc w:val="center"/>
              <w:rPr>
                <w:rFonts w:ascii="Arial" w:eastAsia="Times New Roman" w:hAnsi="Arial" w:cs="Arial"/>
                <w:b/>
                <w:color w:val="000000"/>
                <w:sz w:val="24"/>
                <w:szCs w:val="24"/>
                <w:lang w:val="ro-RO"/>
              </w:rPr>
            </w:pPr>
            <w:r w:rsidRPr="00587B71">
              <w:rPr>
                <w:rFonts w:ascii="Arial" w:eastAsia="Times New Roman" w:hAnsi="Arial" w:cs="Arial"/>
                <w:b/>
                <w:color w:val="000000"/>
                <w:sz w:val="24"/>
                <w:szCs w:val="24"/>
                <w:lang w:val="ro-RO"/>
              </w:rPr>
              <w:t>NOx</w:t>
            </w:r>
          </w:p>
        </w:tc>
        <w:tc>
          <w:tcPr>
            <w:tcW w:w="1418" w:type="dxa"/>
          </w:tcPr>
          <w:p w:rsidR="00587B71" w:rsidRPr="00587B71" w:rsidRDefault="00587B71" w:rsidP="00587B71">
            <w:pPr>
              <w:spacing w:after="0" w:line="240" w:lineRule="auto"/>
              <w:jc w:val="center"/>
              <w:rPr>
                <w:rFonts w:ascii="Arial" w:eastAsia="Times New Roman" w:hAnsi="Arial" w:cs="Arial"/>
                <w:b/>
                <w:color w:val="000000"/>
                <w:sz w:val="24"/>
                <w:szCs w:val="24"/>
                <w:lang w:val="ro-RO"/>
              </w:rPr>
            </w:pPr>
            <w:r w:rsidRPr="00587B71">
              <w:rPr>
                <w:rFonts w:ascii="Arial" w:eastAsia="Times New Roman" w:hAnsi="Arial" w:cs="Arial"/>
                <w:b/>
                <w:color w:val="000000"/>
                <w:sz w:val="24"/>
                <w:szCs w:val="24"/>
                <w:lang w:val="ro-RO"/>
              </w:rPr>
              <w:t>NMVOC</w:t>
            </w:r>
          </w:p>
        </w:tc>
        <w:tc>
          <w:tcPr>
            <w:tcW w:w="1417" w:type="dxa"/>
          </w:tcPr>
          <w:p w:rsidR="00587B71" w:rsidRPr="00587B71" w:rsidRDefault="00587B71" w:rsidP="00587B71">
            <w:pPr>
              <w:spacing w:after="0" w:line="240" w:lineRule="auto"/>
              <w:jc w:val="center"/>
              <w:rPr>
                <w:rFonts w:ascii="Arial" w:eastAsia="Times New Roman" w:hAnsi="Arial" w:cs="Arial"/>
                <w:b/>
                <w:color w:val="000000"/>
                <w:sz w:val="24"/>
                <w:szCs w:val="24"/>
                <w:lang w:val="ro-RO"/>
              </w:rPr>
            </w:pPr>
            <w:r w:rsidRPr="00587B71">
              <w:rPr>
                <w:rFonts w:ascii="Arial" w:eastAsia="Times New Roman" w:hAnsi="Arial" w:cs="Arial"/>
                <w:b/>
                <w:color w:val="000000"/>
                <w:sz w:val="24"/>
                <w:szCs w:val="24"/>
                <w:lang w:val="ro-RO"/>
              </w:rPr>
              <w:t>PM10</w:t>
            </w:r>
          </w:p>
        </w:tc>
        <w:tc>
          <w:tcPr>
            <w:tcW w:w="973" w:type="dxa"/>
          </w:tcPr>
          <w:p w:rsidR="00587B71" w:rsidRPr="00587B71" w:rsidRDefault="00587B71" w:rsidP="00587B71">
            <w:pPr>
              <w:spacing w:after="0" w:line="240" w:lineRule="auto"/>
              <w:jc w:val="center"/>
              <w:rPr>
                <w:rFonts w:ascii="Arial" w:eastAsia="Times New Roman" w:hAnsi="Arial" w:cs="Arial"/>
                <w:b/>
                <w:color w:val="000000"/>
                <w:sz w:val="24"/>
                <w:szCs w:val="24"/>
                <w:lang w:val="ro-RO"/>
              </w:rPr>
            </w:pPr>
            <w:r w:rsidRPr="00587B71">
              <w:rPr>
                <w:rFonts w:ascii="Arial" w:eastAsia="Times New Roman" w:hAnsi="Arial" w:cs="Arial"/>
                <w:b/>
                <w:color w:val="000000"/>
                <w:sz w:val="24"/>
                <w:szCs w:val="24"/>
                <w:lang w:val="ro-RO"/>
              </w:rPr>
              <w:t>CO</w:t>
            </w:r>
          </w:p>
        </w:tc>
      </w:tr>
      <w:tr w:rsidR="00587B71" w:rsidRPr="00587B71" w:rsidTr="00587B71">
        <w:tc>
          <w:tcPr>
            <w:tcW w:w="3652" w:type="dxa"/>
          </w:tcPr>
          <w:p w:rsidR="00587B71" w:rsidRPr="00587B71" w:rsidRDefault="00587B71" w:rsidP="00587B71">
            <w:pPr>
              <w:spacing w:after="0" w:line="240" w:lineRule="auto"/>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Producţie de energie electrica si termică</w:t>
            </w:r>
          </w:p>
        </w:tc>
        <w:tc>
          <w:tcPr>
            <w:tcW w:w="1276" w:type="dxa"/>
          </w:tcPr>
          <w:p w:rsidR="00587B71" w:rsidRPr="00587B71" w:rsidRDefault="00587B71" w:rsidP="00587B71">
            <w:pPr>
              <w:spacing w:after="0" w:line="240" w:lineRule="auto"/>
              <w:jc w:val="center"/>
              <w:rPr>
                <w:rFonts w:ascii="Arial" w:eastAsia="Times New Roman" w:hAnsi="Arial" w:cs="Arial"/>
                <w:color w:val="000000"/>
                <w:sz w:val="24"/>
                <w:szCs w:val="24"/>
                <w:lang w:val="ro-RO"/>
              </w:rPr>
            </w:pPr>
          </w:p>
          <w:p w:rsidR="00587B71" w:rsidRPr="00587B71" w:rsidRDefault="00587B71" w:rsidP="00587B71">
            <w:pPr>
              <w:spacing w:after="0" w:line="240" w:lineRule="auto"/>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24,11</w:t>
            </w:r>
          </w:p>
        </w:tc>
        <w:tc>
          <w:tcPr>
            <w:tcW w:w="1559" w:type="dxa"/>
          </w:tcPr>
          <w:p w:rsidR="00587B71" w:rsidRPr="00587B71" w:rsidRDefault="00587B71" w:rsidP="00587B71">
            <w:pPr>
              <w:spacing w:after="0" w:line="240" w:lineRule="auto"/>
              <w:jc w:val="center"/>
              <w:rPr>
                <w:rFonts w:ascii="Arial" w:eastAsia="Times New Roman" w:hAnsi="Arial" w:cs="Arial"/>
                <w:color w:val="000000"/>
                <w:sz w:val="24"/>
                <w:szCs w:val="24"/>
                <w:lang w:val="ro-RO"/>
              </w:rPr>
            </w:pPr>
          </w:p>
          <w:p w:rsidR="00587B71" w:rsidRPr="00587B71" w:rsidRDefault="00136324" w:rsidP="00587B71">
            <w:pPr>
              <w:spacing w:after="0" w:line="240" w:lineRule="auto"/>
              <w:jc w:val="center"/>
              <w:rPr>
                <w:rFonts w:ascii="Arial" w:eastAsia="Times New Roman" w:hAnsi="Arial" w:cs="Arial"/>
                <w:color w:val="000000"/>
                <w:sz w:val="24"/>
                <w:szCs w:val="24"/>
                <w:lang w:val="ro-RO"/>
              </w:rPr>
            </w:pPr>
            <w:r>
              <w:rPr>
                <w:rFonts w:ascii="Arial" w:eastAsia="Times New Roman" w:hAnsi="Arial" w:cs="Arial"/>
                <w:color w:val="000000"/>
                <w:sz w:val="24"/>
                <w:szCs w:val="24"/>
                <w:lang w:val="ro-RO"/>
              </w:rPr>
              <w:t>153,44</w:t>
            </w:r>
          </w:p>
        </w:tc>
        <w:tc>
          <w:tcPr>
            <w:tcW w:w="1418" w:type="dxa"/>
          </w:tcPr>
          <w:p w:rsidR="00587B71" w:rsidRPr="00587B71" w:rsidRDefault="00587B71" w:rsidP="00587B71">
            <w:pPr>
              <w:spacing w:after="0" w:line="240" w:lineRule="auto"/>
              <w:jc w:val="center"/>
              <w:rPr>
                <w:rFonts w:ascii="Arial" w:eastAsia="Times New Roman" w:hAnsi="Arial" w:cs="Arial"/>
                <w:color w:val="000000"/>
                <w:sz w:val="24"/>
                <w:szCs w:val="24"/>
                <w:lang w:val="ro-RO"/>
              </w:rPr>
            </w:pPr>
          </w:p>
          <w:p w:rsidR="00587B71" w:rsidRPr="00587B71" w:rsidRDefault="00587B71" w:rsidP="00F910BE">
            <w:pPr>
              <w:spacing w:after="0" w:line="240" w:lineRule="auto"/>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26</w:t>
            </w:r>
            <w:r w:rsidR="00136324">
              <w:rPr>
                <w:rFonts w:ascii="Arial" w:eastAsia="Times New Roman" w:hAnsi="Arial" w:cs="Arial"/>
                <w:color w:val="000000"/>
                <w:sz w:val="24"/>
                <w:szCs w:val="24"/>
                <w:lang w:val="ro-RO"/>
              </w:rPr>
              <w:t>76,</w:t>
            </w:r>
            <w:r w:rsidR="00F910BE">
              <w:rPr>
                <w:rFonts w:ascii="Arial" w:eastAsia="Times New Roman" w:hAnsi="Arial" w:cs="Arial"/>
                <w:color w:val="000000"/>
                <w:sz w:val="24"/>
                <w:szCs w:val="24"/>
                <w:lang w:val="ro-RO"/>
              </w:rPr>
              <w:t>9</w:t>
            </w:r>
          </w:p>
        </w:tc>
        <w:tc>
          <w:tcPr>
            <w:tcW w:w="1417" w:type="dxa"/>
          </w:tcPr>
          <w:p w:rsidR="00587B71" w:rsidRPr="00587B71" w:rsidRDefault="00587B71" w:rsidP="00587B71">
            <w:pPr>
              <w:spacing w:after="0" w:line="240" w:lineRule="auto"/>
              <w:jc w:val="center"/>
              <w:rPr>
                <w:rFonts w:ascii="Arial" w:eastAsia="Times New Roman" w:hAnsi="Arial" w:cs="Arial"/>
                <w:color w:val="000000"/>
                <w:sz w:val="24"/>
                <w:szCs w:val="24"/>
                <w:lang w:val="ro-RO"/>
              </w:rPr>
            </w:pPr>
          </w:p>
          <w:p w:rsidR="00587B71" w:rsidRPr="00587B71" w:rsidRDefault="00587B71" w:rsidP="00136324">
            <w:pPr>
              <w:spacing w:after="0" w:line="240" w:lineRule="auto"/>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179</w:t>
            </w:r>
            <w:r w:rsidR="00136324">
              <w:rPr>
                <w:rFonts w:ascii="Arial" w:eastAsia="Times New Roman" w:hAnsi="Arial" w:cs="Arial"/>
                <w:color w:val="000000"/>
                <w:sz w:val="24"/>
                <w:szCs w:val="24"/>
                <w:lang w:val="ro-RO"/>
              </w:rPr>
              <w:t>5,6</w:t>
            </w:r>
          </w:p>
        </w:tc>
        <w:tc>
          <w:tcPr>
            <w:tcW w:w="973" w:type="dxa"/>
          </w:tcPr>
          <w:p w:rsidR="00587B71" w:rsidRPr="00587B71" w:rsidRDefault="00587B71" w:rsidP="00587B71">
            <w:pPr>
              <w:spacing w:after="0" w:line="240" w:lineRule="auto"/>
              <w:jc w:val="center"/>
              <w:rPr>
                <w:rFonts w:ascii="Arial" w:eastAsia="Times New Roman" w:hAnsi="Arial" w:cs="Arial"/>
                <w:color w:val="000000"/>
                <w:sz w:val="24"/>
                <w:szCs w:val="24"/>
                <w:lang w:val="ro-RO"/>
              </w:rPr>
            </w:pPr>
          </w:p>
          <w:p w:rsidR="00587B71" w:rsidRPr="00587B71" w:rsidRDefault="00587B71" w:rsidP="00587B71">
            <w:pPr>
              <w:spacing w:after="0" w:line="240" w:lineRule="auto"/>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13348</w:t>
            </w:r>
          </w:p>
        </w:tc>
      </w:tr>
    </w:tbl>
    <w:p w:rsidR="00587B71" w:rsidRPr="00587B71" w:rsidRDefault="00587B71" w:rsidP="00587B71">
      <w:pPr>
        <w:spacing w:after="0" w:line="240" w:lineRule="auto"/>
        <w:jc w:val="center"/>
        <w:rPr>
          <w:rFonts w:ascii="Arial" w:eastAsia="Times New Roman" w:hAnsi="Arial" w:cs="Arial"/>
          <w:b/>
          <w:color w:val="000000"/>
          <w:sz w:val="24"/>
          <w:szCs w:val="24"/>
          <w:lang w:val="ro-RO"/>
        </w:rPr>
      </w:pPr>
      <w:r>
        <w:rPr>
          <w:rFonts w:ascii="Arial" w:eastAsia="Times New Roman" w:hAnsi="Arial" w:cs="Arial"/>
          <w:b/>
          <w:noProof/>
          <w:color w:val="000000"/>
          <w:sz w:val="24"/>
          <w:szCs w:val="24"/>
        </w:rPr>
        <w:lastRenderedPageBreak/>
        <w:drawing>
          <wp:inline distT="0" distB="0" distL="0" distR="0">
            <wp:extent cx="5410200" cy="1828800"/>
            <wp:effectExtent l="0" t="0" r="0" b="0"/>
            <wp:docPr id="64" name="Chart 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87B71" w:rsidRPr="00587B71" w:rsidRDefault="00587B71" w:rsidP="00587B71">
      <w:pPr>
        <w:spacing w:after="0" w:line="240" w:lineRule="auto"/>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Figura I.38. Emisii rezultate din producerea de ene</w:t>
      </w:r>
      <w:r w:rsidR="00136324">
        <w:rPr>
          <w:rFonts w:ascii="Arial" w:eastAsia="Times New Roman" w:hAnsi="Arial" w:cs="Arial"/>
          <w:color w:val="000000"/>
          <w:sz w:val="24"/>
          <w:szCs w:val="24"/>
          <w:lang w:val="ro-RO"/>
        </w:rPr>
        <w:t>rgie electrică şi termică, tone</w:t>
      </w:r>
    </w:p>
    <w:p w:rsidR="00341504" w:rsidRDefault="00341504" w:rsidP="00587B71">
      <w:pPr>
        <w:keepNext/>
        <w:spacing w:after="0" w:line="240" w:lineRule="auto"/>
        <w:jc w:val="both"/>
        <w:outlineLvl w:val="2"/>
        <w:rPr>
          <w:rFonts w:ascii="Arial" w:eastAsia="Times New Roman" w:hAnsi="Arial" w:cs="Arial"/>
          <w:bCs/>
          <w:color w:val="000000"/>
          <w:sz w:val="24"/>
          <w:szCs w:val="24"/>
          <w:lang w:val="ro-RO"/>
        </w:rPr>
      </w:pPr>
    </w:p>
    <w:p w:rsidR="00587B71" w:rsidRPr="00587B71" w:rsidRDefault="00587B71" w:rsidP="00587B71">
      <w:pPr>
        <w:keepNext/>
        <w:spacing w:after="0" w:line="240" w:lineRule="auto"/>
        <w:jc w:val="both"/>
        <w:outlineLvl w:val="2"/>
        <w:rPr>
          <w:rFonts w:ascii="Arial" w:eastAsia="Times New Roman" w:hAnsi="Arial" w:cs="Arial"/>
          <w:bCs/>
          <w:color w:val="000000"/>
          <w:sz w:val="24"/>
          <w:szCs w:val="24"/>
          <w:lang w:val="ro-RO"/>
        </w:rPr>
      </w:pPr>
      <w:r w:rsidRPr="00587B71">
        <w:rPr>
          <w:rFonts w:ascii="Arial" w:eastAsia="Times New Roman" w:hAnsi="Arial" w:cs="Arial"/>
          <w:bCs/>
          <w:color w:val="000000"/>
          <w:sz w:val="24"/>
          <w:szCs w:val="24"/>
          <w:lang w:val="ro-RO"/>
        </w:rPr>
        <w:t>I.2.1.2. Industria</w:t>
      </w:r>
    </w:p>
    <w:p w:rsidR="00587B71" w:rsidRPr="00587B71" w:rsidRDefault="00587B71" w:rsidP="00587B71">
      <w:pPr>
        <w:spacing w:after="0" w:line="240" w:lineRule="auto"/>
        <w:rPr>
          <w:rFonts w:ascii="Times New Roman" w:eastAsia="Times New Roman" w:hAnsi="Times New Roman" w:cs="Times New Roman"/>
          <w:sz w:val="24"/>
          <w:szCs w:val="24"/>
          <w:lang w:val="ro-RO"/>
        </w:rPr>
      </w:pPr>
    </w:p>
    <w:p w:rsidR="00587B71" w:rsidRPr="00587B71" w:rsidRDefault="00587B71" w:rsidP="00587B71">
      <w:pPr>
        <w:spacing w:after="0" w:line="240" w:lineRule="atLeast"/>
        <w:ind w:firstLine="720"/>
        <w:jc w:val="both"/>
        <w:rPr>
          <w:rFonts w:ascii="Arial" w:eastAsia="Times New Roman" w:hAnsi="Arial" w:cs="Arial"/>
          <w:color w:val="000000"/>
          <w:sz w:val="24"/>
          <w:szCs w:val="24"/>
        </w:rPr>
      </w:pPr>
      <w:r w:rsidRPr="00587B71">
        <w:rPr>
          <w:rFonts w:ascii="Arial" w:eastAsia="Times New Roman" w:hAnsi="Arial" w:cs="Arial"/>
          <w:color w:val="191919"/>
          <w:sz w:val="24"/>
          <w:szCs w:val="24"/>
        </w:rPr>
        <w:t xml:space="preserve">Controlul instalaţiilor industriale- astfel încât emisiile, deşeurile rezultate şi consumurile de energie să fie cât mai mici, a făcut obiectul unei legislaţii la nivelul Uniunii </w:t>
      </w:r>
      <w:r w:rsidRPr="00587B71">
        <w:rPr>
          <w:rFonts w:ascii="Arial" w:eastAsia="Times New Roman" w:hAnsi="Arial" w:cs="Arial"/>
          <w:color w:val="000000"/>
          <w:sz w:val="24"/>
          <w:szCs w:val="24"/>
        </w:rPr>
        <w:t xml:space="preserve">Europene care a condus, în cele din urmă, la adoptarea mai multor directive. </w:t>
      </w:r>
      <w:r w:rsidRPr="00587B71">
        <w:rPr>
          <w:rFonts w:ascii="Arial" w:eastAsia="Times New Roman" w:hAnsi="Arial" w:cs="Arial"/>
          <w:color w:val="000000"/>
          <w:sz w:val="24"/>
          <w:szCs w:val="24"/>
          <w:lang w:val="ro-RO"/>
        </w:rPr>
        <w:t xml:space="preserve">Directiva 2010/75/EU privind emisiile industriale (IED) este una dintre directivele care se adresează direct activităţilor industriale şi prevede principiile esenţiale care guvernează autorizarea şi controlul instalaţiilor, pe baza unei abordări integrate şi prin aplicarea celor mai bune tehnici disponibile (BAT- </w:t>
      </w:r>
      <w:r w:rsidRPr="00587B71">
        <w:rPr>
          <w:rFonts w:ascii="Arial" w:eastAsia="Times New Roman" w:hAnsi="Arial" w:cs="Arial"/>
          <w:i/>
          <w:iCs/>
          <w:color w:val="000000"/>
          <w:sz w:val="24"/>
          <w:szCs w:val="24"/>
          <w:lang w:val="ro-RO"/>
        </w:rPr>
        <w:t>best available techniques</w:t>
      </w:r>
      <w:r w:rsidRPr="00587B71">
        <w:rPr>
          <w:rFonts w:ascii="Arial" w:eastAsia="Times New Roman" w:hAnsi="Arial" w:cs="Arial"/>
          <w:color w:val="000000"/>
          <w:sz w:val="24"/>
          <w:szCs w:val="24"/>
          <w:lang w:val="ro-RO"/>
        </w:rPr>
        <w:t>), care reprezintă tehnicile cele mai eficiente pentru atingerea unui nivel înalt de protecţie a mediului, luând în considerare costurile şi beneficiile.</w:t>
      </w:r>
    </w:p>
    <w:p w:rsidR="00587B71" w:rsidRPr="00587B71" w:rsidRDefault="00587B71" w:rsidP="00587B71">
      <w:pPr>
        <w:spacing w:after="120" w:line="240" w:lineRule="auto"/>
        <w:ind w:firstLine="720"/>
        <w:jc w:val="both"/>
        <w:rPr>
          <w:rFonts w:ascii="Arial" w:eastAsia="Times New Roman" w:hAnsi="Arial" w:cs="Arial"/>
          <w:color w:val="000000"/>
          <w:sz w:val="24"/>
          <w:szCs w:val="24"/>
        </w:rPr>
      </w:pPr>
      <w:r w:rsidRPr="00587B71">
        <w:rPr>
          <w:rFonts w:ascii="Arial" w:eastAsia="Times New Roman" w:hAnsi="Arial" w:cs="Arial"/>
          <w:color w:val="000000"/>
          <w:sz w:val="24"/>
          <w:szCs w:val="24"/>
        </w:rPr>
        <w:t xml:space="preserve">La nivelul judeţului Vaslui, reprezentative pentru acest sector sunt: industria uleiurilor vegetale, creşterea păsărilor pentru carne şi ouă, industria textilă, industria de morǎrit şi panificaţie. </w:t>
      </w:r>
    </w:p>
    <w:p w:rsidR="00587B71" w:rsidRPr="00587B71" w:rsidRDefault="00587B71" w:rsidP="00587B71">
      <w:pPr>
        <w:tabs>
          <w:tab w:val="center" w:pos="4680"/>
          <w:tab w:val="right" w:pos="9360"/>
        </w:tabs>
        <w:spacing w:after="0" w:line="264" w:lineRule="auto"/>
        <w:ind w:firstLine="708"/>
        <w:jc w:val="both"/>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 xml:space="preserve">În anul 2015, s-au inventariat 27 instalaţii industriale care intră sub incidenţa Directivei IED, clasificate astfel: </w:t>
      </w:r>
    </w:p>
    <w:p w:rsidR="00587B71" w:rsidRPr="00587B71" w:rsidRDefault="00587B71" w:rsidP="00587B71">
      <w:pPr>
        <w:numPr>
          <w:ilvl w:val="0"/>
          <w:numId w:val="5"/>
        </w:numPr>
        <w:autoSpaceDE w:val="0"/>
        <w:autoSpaceDN w:val="0"/>
        <w:adjustRightInd w:val="0"/>
        <w:spacing w:after="0" w:line="240" w:lineRule="auto"/>
        <w:jc w:val="both"/>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industria mineralelor- Instalaţii pentru fabricarea produselor ceramice prin ardere, în special a ţiglelor, a cărămizilor, a cărămizilor refractare, a dalelor, a plăcilor de gresie sau de faianţă: SC CĂRĂMIZI SRL Vaslui;</w:t>
      </w:r>
    </w:p>
    <w:p w:rsidR="00587B71" w:rsidRPr="00587B71" w:rsidRDefault="00587B71" w:rsidP="00587B71">
      <w:pPr>
        <w:numPr>
          <w:ilvl w:val="0"/>
          <w:numId w:val="5"/>
        </w:numPr>
        <w:autoSpaceDE w:val="0"/>
        <w:autoSpaceDN w:val="0"/>
        <w:adjustRightInd w:val="0"/>
        <w:spacing w:after="0" w:line="240" w:lineRule="auto"/>
        <w:jc w:val="both"/>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instalaţii chimice pentru producerea de substanţe chimice organice de bază: SC STEMAR SRL Vaslui;</w:t>
      </w:r>
    </w:p>
    <w:p w:rsidR="00587B71" w:rsidRPr="00587B71" w:rsidRDefault="00587B71" w:rsidP="00587B71">
      <w:pPr>
        <w:numPr>
          <w:ilvl w:val="0"/>
          <w:numId w:val="5"/>
        </w:numPr>
        <w:autoSpaceDE w:val="0"/>
        <w:autoSpaceDN w:val="0"/>
        <w:adjustRightInd w:val="0"/>
        <w:spacing w:after="0" w:line="240" w:lineRule="auto"/>
        <w:jc w:val="both"/>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industrii energetice- Instalaţii de ardere cu o putere termică nominală mai mare de 50 MW: SC TERMICA Vaslui SA – este în conservare din ianuarie 2009;</w:t>
      </w:r>
    </w:p>
    <w:p w:rsidR="00587B71" w:rsidRPr="00587B71" w:rsidRDefault="00587B71" w:rsidP="00587B71">
      <w:pPr>
        <w:numPr>
          <w:ilvl w:val="0"/>
          <w:numId w:val="5"/>
        </w:numPr>
        <w:autoSpaceDE w:val="0"/>
        <w:autoSpaceDN w:val="0"/>
        <w:adjustRightInd w:val="0"/>
        <w:spacing w:after="0" w:line="240" w:lineRule="auto"/>
        <w:jc w:val="both"/>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gestiunea deşeurilor- depozite de deşeuri care primesc mai mult de 10 tone deşeuri/zi sau având o capacitate totală mai mare de 25 000 tone deşeuri, cu excepţia depozitelor de deşeuri inerte: SC RULMENŢI SA Bârlad;</w:t>
      </w:r>
    </w:p>
    <w:p w:rsidR="00587B71" w:rsidRPr="00587B71" w:rsidRDefault="00587B71" w:rsidP="00587B71">
      <w:pPr>
        <w:numPr>
          <w:ilvl w:val="0"/>
          <w:numId w:val="5"/>
        </w:numPr>
        <w:autoSpaceDE w:val="0"/>
        <w:autoSpaceDN w:val="0"/>
        <w:adjustRightInd w:val="0"/>
        <w:spacing w:after="0" w:line="240" w:lineRule="auto"/>
        <w:jc w:val="both"/>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instalaţii pentru pretratare (operaţiuni precum: spălare, albire, mercerizare) sau vopsire a fibrelor ori textilelor: SC VASTEX SA Vaslui;</w:t>
      </w:r>
    </w:p>
    <w:p w:rsidR="00587B71" w:rsidRPr="00587B71" w:rsidRDefault="00587B71" w:rsidP="00587B71">
      <w:pPr>
        <w:numPr>
          <w:ilvl w:val="0"/>
          <w:numId w:val="5"/>
        </w:numPr>
        <w:autoSpaceDE w:val="0"/>
        <w:autoSpaceDN w:val="0"/>
        <w:adjustRightInd w:val="0"/>
        <w:spacing w:after="0" w:line="240" w:lineRule="auto"/>
        <w:jc w:val="both"/>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instalaţii pentru creşterea intensivă a păsărilor: SC VANBET SRL- ferma Munteni de Jos şi Rebricea, SC SAGEM SRL Roşieşti- ferma Gară Roşieşti, SC SAFIR SRL – ferma Micleşti, SC INTERAGROALIMENT SA- ferma Simila, SC PUI-PROD UD SRL Lipovăţ, SC ROSAVIS PROD SRL – ferma Gară Roşieşti, SC MORANDI-COM SRL – ferma Lipovăţ, respectiv ferma Bălteni, SC VANBET SRL ferma Sălcioara şi ferma Gara Banca, SC A&amp;A FARMS SRL – ferma Bogeşti, ferma Voineşti;</w:t>
      </w:r>
    </w:p>
    <w:p w:rsidR="00587B71" w:rsidRPr="00587B71" w:rsidRDefault="00587B71" w:rsidP="00587B71">
      <w:pPr>
        <w:numPr>
          <w:ilvl w:val="0"/>
          <w:numId w:val="5"/>
        </w:numPr>
        <w:autoSpaceDE w:val="0"/>
        <w:autoSpaceDN w:val="0"/>
        <w:adjustRightInd w:val="0"/>
        <w:spacing w:after="0" w:line="240" w:lineRule="auto"/>
        <w:jc w:val="both"/>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lastRenderedPageBreak/>
        <w:t>instalaţii pentru creşterea intensivă a porcilor: SC WOLF VALLEY SRL – ferma Negreşti;</w:t>
      </w:r>
    </w:p>
    <w:p w:rsidR="00587B71" w:rsidRPr="00587B71" w:rsidRDefault="00587B71" w:rsidP="00587B71">
      <w:pPr>
        <w:numPr>
          <w:ilvl w:val="0"/>
          <w:numId w:val="5"/>
        </w:numPr>
        <w:autoSpaceDE w:val="0"/>
        <w:autoSpaceDN w:val="0"/>
        <w:adjustRightInd w:val="0"/>
        <w:spacing w:after="0" w:line="240" w:lineRule="auto"/>
        <w:jc w:val="both"/>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it-IT"/>
        </w:rPr>
        <w:t>instalaţii pentru f</w:t>
      </w:r>
      <w:r w:rsidRPr="00587B71">
        <w:rPr>
          <w:rFonts w:ascii="Arial" w:eastAsia="Times New Roman" w:hAnsi="Arial" w:cs="Arial"/>
          <w:color w:val="000000"/>
          <w:sz w:val="24"/>
          <w:szCs w:val="24"/>
          <w:lang w:val="ro-RO"/>
        </w:rPr>
        <w:t>abricarea preparatelor pentru hrana animalelor de fermă: SC NUTRIVA SRL. Gara Rosiesti;</w:t>
      </w:r>
    </w:p>
    <w:p w:rsidR="00587B71" w:rsidRPr="00587B71" w:rsidRDefault="00587B71" w:rsidP="00587B71">
      <w:pPr>
        <w:numPr>
          <w:ilvl w:val="0"/>
          <w:numId w:val="5"/>
        </w:numPr>
        <w:autoSpaceDE w:val="0"/>
        <w:autoSpaceDN w:val="0"/>
        <w:adjustRightInd w:val="0"/>
        <w:spacing w:after="0" w:line="240" w:lineRule="auto"/>
        <w:jc w:val="both"/>
        <w:rPr>
          <w:rFonts w:ascii="Arial" w:eastAsia="Times New Roman" w:hAnsi="Arial" w:cs="Arial"/>
          <w:color w:val="000000"/>
          <w:sz w:val="24"/>
          <w:szCs w:val="24"/>
          <w:lang w:val="it-IT"/>
        </w:rPr>
      </w:pPr>
      <w:r w:rsidRPr="00587B71">
        <w:rPr>
          <w:rFonts w:ascii="Arial" w:eastAsia="Times New Roman" w:hAnsi="Arial" w:cs="Arial"/>
          <w:color w:val="000000"/>
          <w:sz w:val="24"/>
          <w:szCs w:val="24"/>
          <w:lang w:val="it-IT"/>
        </w:rPr>
        <w:t>instalaţii chimice pentru producerea de substanţe chimice organice de bază: S.C.  ULEROM S.A. Vaslui;</w:t>
      </w:r>
    </w:p>
    <w:p w:rsidR="00587B71" w:rsidRPr="00587B71" w:rsidRDefault="00587B71" w:rsidP="00587B71">
      <w:pPr>
        <w:numPr>
          <w:ilvl w:val="0"/>
          <w:numId w:val="5"/>
        </w:numPr>
        <w:autoSpaceDE w:val="0"/>
        <w:autoSpaceDN w:val="0"/>
        <w:adjustRightInd w:val="0"/>
        <w:spacing w:after="0" w:line="240" w:lineRule="auto"/>
        <w:jc w:val="both"/>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it-IT"/>
        </w:rPr>
        <w:t>i</w:t>
      </w:r>
      <w:r w:rsidRPr="00587B71">
        <w:rPr>
          <w:rFonts w:ascii="Arial" w:eastAsia="Times New Roman" w:hAnsi="Arial" w:cs="Arial"/>
          <w:color w:val="000000"/>
          <w:sz w:val="24"/>
          <w:szCs w:val="24"/>
          <w:lang w:val="ro-RO"/>
        </w:rPr>
        <w:t>nstalaţie de prelucrare a produselor obtinute din prelucrarea ţiţeiului şi a deşeurilor petroliere SC BLACK BITUMEN FACTORY SRL – punct de lucru Vaslui;</w:t>
      </w:r>
    </w:p>
    <w:p w:rsidR="00587B71" w:rsidRPr="00587B71" w:rsidRDefault="00587B71" w:rsidP="00587B71">
      <w:pPr>
        <w:numPr>
          <w:ilvl w:val="0"/>
          <w:numId w:val="5"/>
        </w:numPr>
        <w:autoSpaceDE w:val="0"/>
        <w:autoSpaceDN w:val="0"/>
        <w:adjustRightInd w:val="0"/>
        <w:spacing w:after="0" w:line="240" w:lineRule="auto"/>
        <w:jc w:val="both"/>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instalaţie chimică pentru producerea de substanţe chimice organice de bază, cum ar fi cauciucuri sintetice</w:t>
      </w:r>
      <w:r w:rsidRPr="00587B71">
        <w:rPr>
          <w:rFonts w:ascii="Times New Roman" w:eastAsia="Times New Roman" w:hAnsi="Times New Roman" w:cs="Arial"/>
          <w:color w:val="000000"/>
          <w:sz w:val="28"/>
          <w:szCs w:val="28"/>
          <w:lang w:val="ro-RO"/>
        </w:rPr>
        <w:t> </w:t>
      </w:r>
      <w:r w:rsidRPr="00587B71">
        <w:rPr>
          <w:rFonts w:ascii="Arial" w:eastAsia="Times New Roman" w:hAnsi="Arial" w:cs="Arial"/>
          <w:color w:val="000000"/>
          <w:sz w:val="24"/>
          <w:szCs w:val="24"/>
          <w:lang w:val="ro-RO"/>
        </w:rPr>
        <w:t xml:space="preserve"> SC FLOMOPOL SRL Vaslui;</w:t>
      </w:r>
    </w:p>
    <w:p w:rsidR="00587B71" w:rsidRPr="00587B71" w:rsidRDefault="00587B71" w:rsidP="00587B71">
      <w:pPr>
        <w:numPr>
          <w:ilvl w:val="0"/>
          <w:numId w:val="5"/>
        </w:numPr>
        <w:autoSpaceDE w:val="0"/>
        <w:autoSpaceDN w:val="0"/>
        <w:adjustRightInd w:val="0"/>
        <w:spacing w:after="0" w:line="240" w:lineRule="auto"/>
        <w:jc w:val="both"/>
        <w:rPr>
          <w:rFonts w:ascii="Arial" w:eastAsia="Times New Roman" w:hAnsi="Arial" w:cs="Arial"/>
          <w:color w:val="000000"/>
          <w:sz w:val="24"/>
          <w:szCs w:val="24"/>
          <w:lang w:val="it-IT"/>
        </w:rPr>
      </w:pPr>
      <w:r w:rsidRPr="00587B71">
        <w:rPr>
          <w:rFonts w:ascii="Arial" w:eastAsia="Times New Roman" w:hAnsi="Arial" w:cs="Arial"/>
          <w:bCs/>
          <w:color w:val="000000"/>
          <w:sz w:val="24"/>
          <w:szCs w:val="24"/>
          <w:lang w:val="ro-RO" w:eastAsia="ar-SA"/>
        </w:rPr>
        <w:t>abatoare cu o capacitate de procesare a carcaselor de animale mai mare de 50 tone / zi</w:t>
      </w:r>
      <w:r w:rsidRPr="00587B71">
        <w:rPr>
          <w:rFonts w:ascii="Arial" w:eastAsia="Times New Roman" w:hAnsi="Arial" w:cs="Arial"/>
          <w:b/>
          <w:i/>
          <w:color w:val="000000"/>
          <w:sz w:val="32"/>
          <w:szCs w:val="32"/>
          <w:lang w:val="it-IT"/>
        </w:rPr>
        <w:t xml:space="preserve"> </w:t>
      </w:r>
      <w:r w:rsidRPr="00587B71">
        <w:rPr>
          <w:rFonts w:ascii="Arial" w:eastAsia="Times New Roman" w:hAnsi="Arial" w:cs="Arial"/>
          <w:color w:val="000000"/>
          <w:sz w:val="24"/>
          <w:szCs w:val="24"/>
          <w:lang w:val="it-IT"/>
        </w:rPr>
        <w:t xml:space="preserve">SC SAFIR SRL Văleni- abator Vaslui şi </w:t>
      </w:r>
      <w:r w:rsidRPr="00587B71">
        <w:rPr>
          <w:rFonts w:ascii="Arial" w:eastAsia="Times New Roman" w:hAnsi="Arial" w:cs="Arial"/>
          <w:color w:val="000000"/>
          <w:sz w:val="24"/>
          <w:szCs w:val="24"/>
          <w:lang w:val="ro-RO"/>
        </w:rPr>
        <w:t>SC VANBET SRL- abator Strimtura Mitoc</w:t>
      </w:r>
      <w:r w:rsidRPr="00587B71">
        <w:rPr>
          <w:rFonts w:ascii="Arial" w:eastAsia="Times New Roman" w:hAnsi="Arial" w:cs="Arial"/>
          <w:color w:val="000000"/>
          <w:sz w:val="24"/>
          <w:szCs w:val="24"/>
          <w:lang w:val="it-IT"/>
        </w:rPr>
        <w:t xml:space="preserve">; </w:t>
      </w:r>
    </w:p>
    <w:p w:rsidR="00587B71" w:rsidRPr="00587B71" w:rsidRDefault="00587B71" w:rsidP="00587B71">
      <w:pPr>
        <w:numPr>
          <w:ilvl w:val="0"/>
          <w:numId w:val="5"/>
        </w:numPr>
        <w:autoSpaceDE w:val="0"/>
        <w:autoSpaceDN w:val="0"/>
        <w:adjustRightInd w:val="0"/>
        <w:spacing w:after="0" w:line="240" w:lineRule="auto"/>
        <w:jc w:val="both"/>
        <w:rPr>
          <w:rFonts w:ascii="Arial" w:eastAsia="Times New Roman" w:hAnsi="Arial" w:cs="Arial"/>
          <w:color w:val="000000"/>
          <w:sz w:val="24"/>
          <w:szCs w:val="24"/>
          <w:lang w:val="it-IT"/>
        </w:rPr>
      </w:pPr>
      <w:r w:rsidRPr="00587B71">
        <w:rPr>
          <w:rFonts w:ascii="Arial" w:eastAsia="Times New Roman" w:hAnsi="Arial" w:cs="Arial"/>
          <w:color w:val="000000"/>
          <w:sz w:val="24"/>
          <w:szCs w:val="24"/>
          <w:lang w:val="it-IT"/>
        </w:rPr>
        <w:t>instalaţie pentru eliminarea sau valorificarea carcaselor de animale şi a deşeurilor de animale având o capacitate de tratare ce depăşeşte 10 t/zi: SC AVICOM SA Munteni de Jos;</w:t>
      </w:r>
    </w:p>
    <w:p w:rsidR="00587B71" w:rsidRPr="00587B71" w:rsidRDefault="00587B71" w:rsidP="00587B71">
      <w:pPr>
        <w:numPr>
          <w:ilvl w:val="0"/>
          <w:numId w:val="5"/>
        </w:numPr>
        <w:autoSpaceDE w:val="0"/>
        <w:autoSpaceDN w:val="0"/>
        <w:adjustRightInd w:val="0"/>
        <w:spacing w:after="0" w:line="240" w:lineRule="auto"/>
        <w:jc w:val="both"/>
        <w:rPr>
          <w:rFonts w:ascii="Arial" w:eastAsia="Times New Roman" w:hAnsi="Arial" w:cs="Arial"/>
          <w:color w:val="000000"/>
          <w:sz w:val="24"/>
          <w:szCs w:val="24"/>
          <w:lang w:val="it-IT"/>
        </w:rPr>
      </w:pPr>
      <w:r w:rsidRPr="00587B71">
        <w:rPr>
          <w:rFonts w:ascii="Arial" w:eastAsia="Times New Roman" w:hAnsi="Arial" w:cs="Arial"/>
          <w:color w:val="000000"/>
          <w:sz w:val="24"/>
          <w:szCs w:val="24"/>
          <w:lang w:val="it-IT"/>
        </w:rPr>
        <w:t>instalaţie pentru fabricarea făinurilor proteice şi incinerator deşeuri de origine animală – SC SAFIR SRL Văleni – Punct de lucru Chiţcani, judeţul Vaslui.</w:t>
      </w:r>
    </w:p>
    <w:p w:rsidR="00587B71" w:rsidRPr="00587B71" w:rsidRDefault="00587B71" w:rsidP="00587B71">
      <w:pPr>
        <w:autoSpaceDE w:val="0"/>
        <w:autoSpaceDN w:val="0"/>
        <w:adjustRightInd w:val="0"/>
        <w:spacing w:after="0" w:line="240" w:lineRule="auto"/>
        <w:ind w:left="360"/>
        <w:jc w:val="both"/>
        <w:rPr>
          <w:rFonts w:ascii="Arial" w:eastAsia="Times New Roman" w:hAnsi="Arial" w:cs="Arial"/>
          <w:color w:val="000000"/>
          <w:sz w:val="24"/>
          <w:szCs w:val="24"/>
          <w:lang w:val="it-IT"/>
        </w:rPr>
      </w:pPr>
    </w:p>
    <w:p w:rsidR="00587B71" w:rsidRPr="00587B71" w:rsidRDefault="00587B71" w:rsidP="00587B71">
      <w:pPr>
        <w:autoSpaceDE w:val="0"/>
        <w:autoSpaceDN w:val="0"/>
        <w:adjustRightInd w:val="0"/>
        <w:spacing w:after="0" w:line="240" w:lineRule="auto"/>
        <w:jc w:val="both"/>
        <w:rPr>
          <w:rFonts w:ascii="Arial" w:eastAsia="Times New Roman" w:hAnsi="Arial" w:cs="Arial"/>
          <w:i/>
          <w:color w:val="000000"/>
          <w:sz w:val="24"/>
          <w:szCs w:val="24"/>
          <w:lang w:val="it-IT"/>
        </w:rPr>
      </w:pPr>
      <w:r w:rsidRPr="00587B71">
        <w:rPr>
          <w:rFonts w:ascii="Arial" w:eastAsia="Times New Roman" w:hAnsi="Arial" w:cs="Arial"/>
          <w:i/>
          <w:color w:val="000000"/>
          <w:sz w:val="24"/>
          <w:szCs w:val="24"/>
          <w:lang w:val="it-IT"/>
        </w:rPr>
        <w:t xml:space="preserve">Registrul E-PRTR- conform Regulamentului C.E. 166/2006 privind înfiinţarea Registrului European al Poluanţilor Emişi şi Transferaţi </w:t>
      </w:r>
    </w:p>
    <w:p w:rsidR="00587B71" w:rsidRPr="00587B71" w:rsidRDefault="00587B71" w:rsidP="00587B71">
      <w:pPr>
        <w:autoSpaceDE w:val="0"/>
        <w:autoSpaceDN w:val="0"/>
        <w:adjustRightInd w:val="0"/>
        <w:spacing w:after="0" w:line="240" w:lineRule="auto"/>
        <w:ind w:firstLine="720"/>
        <w:jc w:val="both"/>
        <w:rPr>
          <w:rFonts w:ascii="Arial" w:eastAsia="Times New Roman" w:hAnsi="Arial" w:cs="Arial"/>
          <w:color w:val="000000"/>
          <w:sz w:val="24"/>
          <w:szCs w:val="24"/>
          <w:lang w:val="it-IT"/>
        </w:rPr>
      </w:pPr>
      <w:r w:rsidRPr="00587B71">
        <w:rPr>
          <w:rFonts w:ascii="Arial" w:eastAsia="Times New Roman" w:hAnsi="Arial" w:cs="Arial"/>
          <w:color w:val="000000"/>
          <w:sz w:val="24"/>
          <w:szCs w:val="24"/>
          <w:lang w:val="it-IT"/>
        </w:rPr>
        <w:t>Scopul Registrului E – PRTR îl reprezintă îmbunătăţirea accesului publicului la informaţia de mediu prin înfiinţarea unei baze de date electronice integrate la nivelul intregii Comunităţi. Registrul European are drept scop să informeze publicul cu privire la emisiile importante de poluanţi ce rezultă în special, de la activităţile care intră sub incidenţa Directivei 2010/75/EU privind emisiile industriale(IED).</w:t>
      </w:r>
    </w:p>
    <w:p w:rsidR="00587B71" w:rsidRPr="00587B71" w:rsidRDefault="00587B71" w:rsidP="00587B71">
      <w:pPr>
        <w:autoSpaceDE w:val="0"/>
        <w:autoSpaceDN w:val="0"/>
        <w:adjustRightInd w:val="0"/>
        <w:spacing w:after="0" w:line="240" w:lineRule="auto"/>
        <w:ind w:firstLine="720"/>
        <w:jc w:val="both"/>
        <w:rPr>
          <w:rFonts w:ascii="Arial" w:eastAsia="Times New Roman" w:hAnsi="Arial" w:cs="Arial"/>
          <w:color w:val="000000"/>
          <w:sz w:val="24"/>
          <w:szCs w:val="24"/>
          <w:lang w:val="it-IT"/>
        </w:rPr>
      </w:pPr>
      <w:r w:rsidRPr="00587B71">
        <w:rPr>
          <w:rFonts w:ascii="Arial" w:eastAsia="Times New Roman" w:hAnsi="Arial" w:cs="Arial"/>
          <w:color w:val="000000"/>
          <w:sz w:val="24"/>
          <w:szCs w:val="24"/>
          <w:lang w:val="it-IT"/>
        </w:rPr>
        <w:t>În anul 2015, la nivelul judeţului Vaslui, s-a realizat reinventarierea instalaţiilor, emisiilor şi deşeurilor provenite de la instalaţiile sau activităţile care intră sub incidenţa Directivei IED şi cele non- IED:</w:t>
      </w:r>
    </w:p>
    <w:p w:rsidR="00587B71" w:rsidRPr="00587B71" w:rsidRDefault="00587B71" w:rsidP="00587B71">
      <w:pPr>
        <w:autoSpaceDE w:val="0"/>
        <w:autoSpaceDN w:val="0"/>
        <w:adjustRightInd w:val="0"/>
        <w:spacing w:after="0" w:line="240" w:lineRule="auto"/>
        <w:ind w:firstLine="720"/>
        <w:rPr>
          <w:rFonts w:ascii="Arial" w:eastAsia="Times New Roman" w:hAnsi="Arial" w:cs="Arial"/>
          <w:color w:val="000000"/>
          <w:sz w:val="24"/>
          <w:szCs w:val="24"/>
          <w:lang w:val="it-IT"/>
        </w:rPr>
      </w:pPr>
      <w:r w:rsidRPr="00587B71">
        <w:rPr>
          <w:rFonts w:ascii="Arial" w:eastAsia="Times New Roman" w:hAnsi="Arial" w:cs="Arial"/>
          <w:color w:val="000000"/>
          <w:sz w:val="24"/>
          <w:szCs w:val="24"/>
          <w:lang w:val="it-IT"/>
        </w:rPr>
        <w:t>Activităţile/instalaţiile care au facut raportările sunt în număr de 27:</w:t>
      </w:r>
    </w:p>
    <w:p w:rsidR="00587B71" w:rsidRPr="00587B71" w:rsidRDefault="00587B71" w:rsidP="00587B71">
      <w:pPr>
        <w:numPr>
          <w:ilvl w:val="0"/>
          <w:numId w:val="5"/>
        </w:numPr>
        <w:autoSpaceDE w:val="0"/>
        <w:autoSpaceDN w:val="0"/>
        <w:adjustRightInd w:val="0"/>
        <w:spacing w:after="0" w:line="240" w:lineRule="auto"/>
        <w:jc w:val="both"/>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industria mineralelor- Instalaţii pentru fabricarea produselor ceramice prin ardere, în special a ţiglelor, a cărămizilor, a cărămizilor refractare, a dalelor, a plăcilor de gresie sau de faianţă: SC CĂRĂMIZI SRL Vaslui;</w:t>
      </w:r>
    </w:p>
    <w:p w:rsidR="00587B71" w:rsidRPr="00587B71" w:rsidRDefault="00587B71" w:rsidP="00587B71">
      <w:pPr>
        <w:numPr>
          <w:ilvl w:val="0"/>
          <w:numId w:val="5"/>
        </w:numPr>
        <w:autoSpaceDE w:val="0"/>
        <w:autoSpaceDN w:val="0"/>
        <w:adjustRightInd w:val="0"/>
        <w:spacing w:after="0" w:line="240" w:lineRule="auto"/>
        <w:jc w:val="both"/>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instalaţii chimice pentru producerea de substanţe chimice organice de bază: SC STEMAR SRL Vaslui;</w:t>
      </w:r>
    </w:p>
    <w:p w:rsidR="00587B71" w:rsidRPr="00587B71" w:rsidRDefault="00587B71" w:rsidP="00587B71">
      <w:pPr>
        <w:numPr>
          <w:ilvl w:val="0"/>
          <w:numId w:val="5"/>
        </w:numPr>
        <w:autoSpaceDE w:val="0"/>
        <w:autoSpaceDN w:val="0"/>
        <w:adjustRightInd w:val="0"/>
        <w:spacing w:after="0" w:line="240" w:lineRule="auto"/>
        <w:jc w:val="both"/>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industrii energetice- Instalaţii de ardere cu o putere termică nominală mai mare de 50 MW: SC TERMICA Vaslui SA – este în conservare din ianuarie 2009;</w:t>
      </w:r>
    </w:p>
    <w:p w:rsidR="00587B71" w:rsidRPr="00587B71" w:rsidRDefault="00587B71" w:rsidP="00587B71">
      <w:pPr>
        <w:numPr>
          <w:ilvl w:val="0"/>
          <w:numId w:val="5"/>
        </w:numPr>
        <w:autoSpaceDE w:val="0"/>
        <w:autoSpaceDN w:val="0"/>
        <w:adjustRightInd w:val="0"/>
        <w:spacing w:after="0" w:line="240" w:lineRule="auto"/>
        <w:jc w:val="both"/>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gestiunea deşeurilor- depozite de deşeuri care primesc mai mult de 10 tone deşeuri/zi sau având o capacitate totală mai mare de 25 000 tone deşeuri, cu excepţia depozitelor de deşeuri inerte: SC RULMENŢI SA Bârlad;</w:t>
      </w:r>
    </w:p>
    <w:p w:rsidR="00587B71" w:rsidRPr="00587B71" w:rsidRDefault="00587B71" w:rsidP="00587B71">
      <w:pPr>
        <w:numPr>
          <w:ilvl w:val="0"/>
          <w:numId w:val="5"/>
        </w:numPr>
        <w:autoSpaceDE w:val="0"/>
        <w:autoSpaceDN w:val="0"/>
        <w:adjustRightInd w:val="0"/>
        <w:spacing w:after="0" w:line="240" w:lineRule="auto"/>
        <w:jc w:val="both"/>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instalaţii pentru pretratare (operaţiuni precum: spălare, albire, mercerizare) sau vopsire a fibrelor ori textilelor: SC VASTEX SA Vaslui;</w:t>
      </w:r>
    </w:p>
    <w:p w:rsidR="00587B71" w:rsidRPr="00587B71" w:rsidRDefault="00587B71" w:rsidP="00587B71">
      <w:pPr>
        <w:numPr>
          <w:ilvl w:val="0"/>
          <w:numId w:val="5"/>
        </w:numPr>
        <w:autoSpaceDE w:val="0"/>
        <w:autoSpaceDN w:val="0"/>
        <w:adjustRightInd w:val="0"/>
        <w:spacing w:after="0" w:line="240" w:lineRule="auto"/>
        <w:jc w:val="both"/>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instalaţii pentru creşterea intensivă a păsărilor: SC VANBET SRL- ferma Munteni de Jos şi Rebricea, SC SAGEM SRL Roşieşti- ferma Gară Roşieşti, SC SAFIR SRL – ferma Micleşti, SC INTERAGROALIMENT SA- ferma Simila, SC PUI-PROD UD SRL Lipovăţ, SC ROSAVIS PROD SRL – ferma Gară Roşieşti, SC MORANDI-COM SRL – ferma Lipovăţ, respectiv ferma Bălteni, SC VANBET SRL ferma Sălcioara şi ferma Gara Banca, SC A&amp;A FARMS SRL – ferma Bogeşti, ferma Voineşti;</w:t>
      </w:r>
    </w:p>
    <w:p w:rsidR="00587B71" w:rsidRPr="00587B71" w:rsidRDefault="00587B71" w:rsidP="00587B71">
      <w:pPr>
        <w:numPr>
          <w:ilvl w:val="0"/>
          <w:numId w:val="5"/>
        </w:numPr>
        <w:autoSpaceDE w:val="0"/>
        <w:autoSpaceDN w:val="0"/>
        <w:adjustRightInd w:val="0"/>
        <w:spacing w:after="0" w:line="240" w:lineRule="auto"/>
        <w:jc w:val="both"/>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lastRenderedPageBreak/>
        <w:t>instalaţii pentru creşterea intensivă a porcilor: SC WOLF VALLEY SRL – ferma Negreşti;</w:t>
      </w:r>
    </w:p>
    <w:p w:rsidR="00587B71" w:rsidRPr="00587B71" w:rsidRDefault="00587B71" w:rsidP="00587B71">
      <w:pPr>
        <w:numPr>
          <w:ilvl w:val="0"/>
          <w:numId w:val="5"/>
        </w:numPr>
        <w:autoSpaceDE w:val="0"/>
        <w:autoSpaceDN w:val="0"/>
        <w:adjustRightInd w:val="0"/>
        <w:spacing w:after="0" w:line="240" w:lineRule="auto"/>
        <w:jc w:val="both"/>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it-IT"/>
        </w:rPr>
        <w:t>instalaţii pentru f</w:t>
      </w:r>
      <w:r w:rsidRPr="00587B71">
        <w:rPr>
          <w:rFonts w:ascii="Arial" w:eastAsia="Times New Roman" w:hAnsi="Arial" w:cs="Arial"/>
          <w:color w:val="000000"/>
          <w:sz w:val="24"/>
          <w:szCs w:val="24"/>
          <w:lang w:val="ro-RO"/>
        </w:rPr>
        <w:t>abricarea preparatelor pentru hrana animalelor de fermă: SC NUTRIVA SRL. Gara Rosiesti;</w:t>
      </w:r>
    </w:p>
    <w:p w:rsidR="00587B71" w:rsidRPr="00587B71" w:rsidRDefault="00587B71" w:rsidP="00587B71">
      <w:pPr>
        <w:numPr>
          <w:ilvl w:val="0"/>
          <w:numId w:val="5"/>
        </w:numPr>
        <w:autoSpaceDE w:val="0"/>
        <w:autoSpaceDN w:val="0"/>
        <w:adjustRightInd w:val="0"/>
        <w:spacing w:after="0" w:line="240" w:lineRule="auto"/>
        <w:jc w:val="both"/>
        <w:rPr>
          <w:rFonts w:ascii="Arial" w:eastAsia="Times New Roman" w:hAnsi="Arial" w:cs="Arial"/>
          <w:color w:val="000000"/>
          <w:sz w:val="24"/>
          <w:szCs w:val="24"/>
          <w:lang w:val="it-IT"/>
        </w:rPr>
      </w:pPr>
      <w:r w:rsidRPr="00587B71">
        <w:rPr>
          <w:rFonts w:ascii="Arial" w:eastAsia="Times New Roman" w:hAnsi="Arial" w:cs="Arial"/>
          <w:color w:val="000000"/>
          <w:sz w:val="24"/>
          <w:szCs w:val="24"/>
          <w:lang w:val="it-IT"/>
        </w:rPr>
        <w:t>instalaţii chimice pentru producerea de substanţe chimice organice de bază: S.C.  ULEROM S.A. Vaslui;</w:t>
      </w:r>
    </w:p>
    <w:p w:rsidR="00587B71" w:rsidRPr="00587B71" w:rsidRDefault="00587B71" w:rsidP="00587B71">
      <w:pPr>
        <w:numPr>
          <w:ilvl w:val="0"/>
          <w:numId w:val="5"/>
        </w:numPr>
        <w:autoSpaceDE w:val="0"/>
        <w:autoSpaceDN w:val="0"/>
        <w:adjustRightInd w:val="0"/>
        <w:spacing w:after="0" w:line="240" w:lineRule="auto"/>
        <w:jc w:val="both"/>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it-IT"/>
        </w:rPr>
        <w:t>i</w:t>
      </w:r>
      <w:r w:rsidRPr="00587B71">
        <w:rPr>
          <w:rFonts w:ascii="Arial" w:eastAsia="Times New Roman" w:hAnsi="Arial" w:cs="Arial"/>
          <w:color w:val="000000"/>
          <w:sz w:val="24"/>
          <w:szCs w:val="24"/>
          <w:lang w:val="ro-RO"/>
        </w:rPr>
        <w:t>nstalaţie de prelucrare a produselor obtinute din prelucrarea ţiţeiului şi a deşeurilor petroliere SC BLACK BITUMEN FACTORY SRL – punct de lucru Vaslui;</w:t>
      </w:r>
    </w:p>
    <w:p w:rsidR="00587B71" w:rsidRPr="00587B71" w:rsidRDefault="00587B71" w:rsidP="00587B71">
      <w:pPr>
        <w:numPr>
          <w:ilvl w:val="0"/>
          <w:numId w:val="5"/>
        </w:numPr>
        <w:autoSpaceDE w:val="0"/>
        <w:autoSpaceDN w:val="0"/>
        <w:adjustRightInd w:val="0"/>
        <w:spacing w:after="0" w:line="240" w:lineRule="auto"/>
        <w:jc w:val="both"/>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instalaţie chimică pentru producerea de substanţe chimice organice de bază, cum ar fi cauciucuri sintetice</w:t>
      </w:r>
      <w:r w:rsidRPr="00587B71">
        <w:rPr>
          <w:rFonts w:ascii="Times New Roman" w:eastAsia="Times New Roman" w:hAnsi="Times New Roman" w:cs="Arial"/>
          <w:color w:val="000000"/>
          <w:sz w:val="28"/>
          <w:szCs w:val="28"/>
          <w:lang w:val="ro-RO"/>
        </w:rPr>
        <w:t> </w:t>
      </w:r>
      <w:r w:rsidRPr="00587B71">
        <w:rPr>
          <w:rFonts w:ascii="Arial" w:eastAsia="Times New Roman" w:hAnsi="Arial" w:cs="Arial"/>
          <w:color w:val="000000"/>
          <w:sz w:val="24"/>
          <w:szCs w:val="24"/>
          <w:lang w:val="ro-RO"/>
        </w:rPr>
        <w:t xml:space="preserve"> SC FLOMOPOL SRL Vaslui;</w:t>
      </w:r>
    </w:p>
    <w:p w:rsidR="00587B71" w:rsidRPr="00587B71" w:rsidRDefault="00587B71" w:rsidP="00587B71">
      <w:pPr>
        <w:numPr>
          <w:ilvl w:val="0"/>
          <w:numId w:val="5"/>
        </w:numPr>
        <w:autoSpaceDE w:val="0"/>
        <w:autoSpaceDN w:val="0"/>
        <w:adjustRightInd w:val="0"/>
        <w:spacing w:after="0" w:line="240" w:lineRule="auto"/>
        <w:jc w:val="both"/>
        <w:rPr>
          <w:rFonts w:ascii="Arial" w:eastAsia="Times New Roman" w:hAnsi="Arial" w:cs="Arial"/>
          <w:color w:val="000000"/>
          <w:sz w:val="24"/>
          <w:szCs w:val="24"/>
          <w:lang w:val="it-IT"/>
        </w:rPr>
      </w:pPr>
      <w:r w:rsidRPr="00587B71">
        <w:rPr>
          <w:rFonts w:ascii="Arial" w:eastAsia="Times New Roman" w:hAnsi="Arial" w:cs="Arial"/>
          <w:bCs/>
          <w:color w:val="000000"/>
          <w:sz w:val="24"/>
          <w:szCs w:val="24"/>
          <w:lang w:val="ro-RO" w:eastAsia="ar-SA"/>
        </w:rPr>
        <w:t>abatoare cu o capacitate de procesare a carcaselor de animale mai mare de 50 tone / zi</w:t>
      </w:r>
      <w:r w:rsidRPr="00587B71">
        <w:rPr>
          <w:rFonts w:ascii="Arial" w:eastAsia="Times New Roman" w:hAnsi="Arial" w:cs="Arial"/>
          <w:b/>
          <w:i/>
          <w:color w:val="000000"/>
          <w:sz w:val="32"/>
          <w:szCs w:val="32"/>
          <w:lang w:val="it-IT"/>
        </w:rPr>
        <w:t xml:space="preserve"> </w:t>
      </w:r>
      <w:r w:rsidRPr="00587B71">
        <w:rPr>
          <w:rFonts w:ascii="Arial" w:eastAsia="Times New Roman" w:hAnsi="Arial" w:cs="Arial"/>
          <w:color w:val="000000"/>
          <w:sz w:val="24"/>
          <w:szCs w:val="24"/>
          <w:lang w:val="it-IT"/>
        </w:rPr>
        <w:t xml:space="preserve">SC SAFIR SRL Văleni- abator Vaslui şi </w:t>
      </w:r>
      <w:r w:rsidRPr="00587B71">
        <w:rPr>
          <w:rFonts w:ascii="Arial" w:eastAsia="Times New Roman" w:hAnsi="Arial" w:cs="Arial"/>
          <w:color w:val="000000"/>
          <w:sz w:val="24"/>
          <w:szCs w:val="24"/>
          <w:lang w:val="ro-RO"/>
        </w:rPr>
        <w:t>SC VANBET SRL- abator Strimtura Mitoc</w:t>
      </w:r>
      <w:r w:rsidRPr="00587B71">
        <w:rPr>
          <w:rFonts w:ascii="Arial" w:eastAsia="Times New Roman" w:hAnsi="Arial" w:cs="Arial"/>
          <w:color w:val="000000"/>
          <w:sz w:val="24"/>
          <w:szCs w:val="24"/>
          <w:lang w:val="it-IT"/>
        </w:rPr>
        <w:t xml:space="preserve">; </w:t>
      </w:r>
    </w:p>
    <w:p w:rsidR="00587B71" w:rsidRPr="00587B71" w:rsidRDefault="00587B71" w:rsidP="00587B71">
      <w:pPr>
        <w:numPr>
          <w:ilvl w:val="0"/>
          <w:numId w:val="5"/>
        </w:numPr>
        <w:autoSpaceDE w:val="0"/>
        <w:autoSpaceDN w:val="0"/>
        <w:adjustRightInd w:val="0"/>
        <w:spacing w:after="0" w:line="240" w:lineRule="auto"/>
        <w:jc w:val="both"/>
        <w:rPr>
          <w:rFonts w:ascii="Arial" w:eastAsia="Times New Roman" w:hAnsi="Arial" w:cs="Arial"/>
          <w:color w:val="000000"/>
          <w:sz w:val="24"/>
          <w:szCs w:val="24"/>
          <w:lang w:val="it-IT"/>
        </w:rPr>
      </w:pPr>
      <w:r w:rsidRPr="00587B71">
        <w:rPr>
          <w:rFonts w:ascii="Arial" w:eastAsia="Times New Roman" w:hAnsi="Arial" w:cs="Arial"/>
          <w:color w:val="000000"/>
          <w:sz w:val="24"/>
          <w:szCs w:val="24"/>
          <w:lang w:val="it-IT"/>
        </w:rPr>
        <w:t>instalaţie pentru eliminarea sau valorificarea carcaselor de animale şi a deşeurilor de animale având o capacitate de tratare ce depăşeşte 10 t/zi: SC AVICOM SA Munteni de Jos;</w:t>
      </w:r>
    </w:p>
    <w:p w:rsidR="00587B71" w:rsidRPr="00587B71" w:rsidRDefault="00587B71" w:rsidP="00587B71">
      <w:pPr>
        <w:numPr>
          <w:ilvl w:val="0"/>
          <w:numId w:val="5"/>
        </w:numPr>
        <w:autoSpaceDE w:val="0"/>
        <w:autoSpaceDN w:val="0"/>
        <w:adjustRightInd w:val="0"/>
        <w:spacing w:after="0" w:line="240" w:lineRule="auto"/>
        <w:jc w:val="both"/>
        <w:rPr>
          <w:rFonts w:ascii="Arial" w:eastAsia="Times New Roman" w:hAnsi="Arial" w:cs="Arial"/>
          <w:color w:val="000000"/>
          <w:sz w:val="24"/>
          <w:szCs w:val="24"/>
          <w:lang w:val="it-IT"/>
        </w:rPr>
      </w:pPr>
      <w:r w:rsidRPr="00587B71">
        <w:rPr>
          <w:rFonts w:ascii="Arial" w:eastAsia="Times New Roman" w:hAnsi="Arial" w:cs="Arial"/>
          <w:color w:val="000000"/>
          <w:sz w:val="24"/>
          <w:szCs w:val="24"/>
          <w:lang w:val="it-IT"/>
        </w:rPr>
        <w:t>instalaţie pentru fabricarea făinurilor proteice şi incinerator deşeuri de origine animală – SC SAFIR SRL Văleni – Punct de lucru Chiţcani, judeţul Vaslui.</w:t>
      </w:r>
    </w:p>
    <w:p w:rsidR="00587B71" w:rsidRPr="00587B71" w:rsidRDefault="00587B71" w:rsidP="00587B71">
      <w:pPr>
        <w:autoSpaceDE w:val="0"/>
        <w:autoSpaceDN w:val="0"/>
        <w:adjustRightInd w:val="0"/>
        <w:spacing w:after="0" w:line="240" w:lineRule="auto"/>
        <w:ind w:firstLine="360"/>
        <w:jc w:val="both"/>
        <w:rPr>
          <w:rFonts w:ascii="Arial" w:eastAsia="Times New Roman" w:hAnsi="Arial" w:cs="Arial"/>
          <w:color w:val="000000"/>
          <w:sz w:val="24"/>
          <w:szCs w:val="24"/>
          <w:lang w:val="it-IT"/>
        </w:rPr>
      </w:pPr>
      <w:r w:rsidRPr="00587B71">
        <w:rPr>
          <w:rFonts w:ascii="Arial" w:eastAsia="Times New Roman" w:hAnsi="Arial" w:cs="Arial"/>
          <w:color w:val="000000"/>
          <w:sz w:val="24"/>
          <w:szCs w:val="24"/>
          <w:lang w:val="it-IT"/>
        </w:rPr>
        <w:t>-    1 staţie de epurare ape uzate (Vaslui)– cod E – PRTR 5 (d) (operator non IED).</w:t>
      </w:r>
    </w:p>
    <w:p w:rsidR="00587B71" w:rsidRPr="00587B71" w:rsidRDefault="00587B71" w:rsidP="00587B71">
      <w:pPr>
        <w:autoSpaceDE w:val="0"/>
        <w:autoSpaceDN w:val="0"/>
        <w:adjustRightInd w:val="0"/>
        <w:spacing w:after="0" w:line="240" w:lineRule="auto"/>
        <w:ind w:firstLine="720"/>
        <w:jc w:val="both"/>
        <w:rPr>
          <w:rFonts w:ascii="Arial" w:eastAsia="Times New Roman" w:hAnsi="Arial" w:cs="Arial"/>
          <w:color w:val="000000"/>
          <w:sz w:val="24"/>
          <w:szCs w:val="24"/>
          <w:lang w:val="it-IT"/>
        </w:rPr>
      </w:pPr>
      <w:r w:rsidRPr="00587B71">
        <w:rPr>
          <w:rFonts w:ascii="Arial" w:eastAsia="Times New Roman" w:hAnsi="Arial" w:cs="Arial"/>
          <w:color w:val="000000"/>
          <w:sz w:val="24"/>
          <w:szCs w:val="24"/>
          <w:lang w:val="it-IT"/>
        </w:rPr>
        <w:t>În Registrul E – PRTR- 2014 au intrat 15 instalaţii la care s-au depăşit valorile de prag la: emisiile în aer- 8 instalaţii, emisii în aer şi transfer de deşeuri nepericuloase în afara amplasamentului-2, transfer de deşeuri periculoase în afara amplasamentului-4, emisii în apă-1.</w:t>
      </w:r>
    </w:p>
    <w:p w:rsidR="00587B71" w:rsidRPr="00587B71" w:rsidRDefault="00587B71" w:rsidP="00587B71">
      <w:pPr>
        <w:autoSpaceDE w:val="0"/>
        <w:autoSpaceDN w:val="0"/>
        <w:adjustRightInd w:val="0"/>
        <w:spacing w:after="0" w:line="240" w:lineRule="auto"/>
        <w:ind w:firstLine="720"/>
        <w:jc w:val="both"/>
        <w:rPr>
          <w:rFonts w:ascii="Arial" w:eastAsia="Times New Roman" w:hAnsi="Arial" w:cs="Arial"/>
          <w:color w:val="000000"/>
          <w:sz w:val="24"/>
          <w:szCs w:val="24"/>
          <w:lang w:val="it-IT"/>
        </w:rPr>
      </w:pPr>
    </w:p>
    <w:p w:rsidR="00587B71" w:rsidRPr="00587B71" w:rsidRDefault="00587B71" w:rsidP="00587B71">
      <w:pPr>
        <w:spacing w:after="0" w:line="240" w:lineRule="auto"/>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Tabelul I.33. Emisii rezultat</w:t>
      </w:r>
      <w:r w:rsidR="00136324">
        <w:rPr>
          <w:rFonts w:ascii="Arial" w:eastAsia="Times New Roman" w:hAnsi="Arial" w:cs="Arial"/>
          <w:color w:val="000000"/>
          <w:sz w:val="24"/>
          <w:szCs w:val="24"/>
          <w:lang w:val="ro-RO"/>
        </w:rPr>
        <w:t>e din sectorul industrial, tone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6"/>
        <w:gridCol w:w="1497"/>
        <w:gridCol w:w="1357"/>
        <w:gridCol w:w="1392"/>
        <w:gridCol w:w="1238"/>
        <w:gridCol w:w="1084"/>
      </w:tblGrid>
      <w:tr w:rsidR="00587B71" w:rsidRPr="00587B71" w:rsidTr="00587B71">
        <w:tc>
          <w:tcPr>
            <w:tcW w:w="3260" w:type="dxa"/>
          </w:tcPr>
          <w:p w:rsidR="00587B71" w:rsidRPr="00587B71" w:rsidRDefault="00587B71" w:rsidP="00587B71">
            <w:pPr>
              <w:spacing w:after="0" w:line="240" w:lineRule="auto"/>
              <w:rPr>
                <w:rFonts w:ascii="Arial" w:eastAsia="Times New Roman" w:hAnsi="Arial" w:cs="Arial"/>
                <w:b/>
                <w:color w:val="000000"/>
                <w:sz w:val="24"/>
                <w:szCs w:val="24"/>
                <w:lang w:val="ro-RO"/>
              </w:rPr>
            </w:pPr>
            <w:r w:rsidRPr="00587B71">
              <w:rPr>
                <w:rFonts w:ascii="Arial" w:eastAsia="Times New Roman" w:hAnsi="Arial" w:cs="Arial"/>
                <w:b/>
                <w:color w:val="000000"/>
                <w:sz w:val="24"/>
                <w:szCs w:val="24"/>
                <w:lang w:val="ro-RO"/>
              </w:rPr>
              <w:t>Poluant</w:t>
            </w:r>
          </w:p>
        </w:tc>
        <w:tc>
          <w:tcPr>
            <w:tcW w:w="1560" w:type="dxa"/>
          </w:tcPr>
          <w:p w:rsidR="00587B71" w:rsidRPr="00587B71" w:rsidRDefault="00587B71" w:rsidP="00587B71">
            <w:pPr>
              <w:spacing w:after="0" w:line="240" w:lineRule="auto"/>
              <w:jc w:val="center"/>
              <w:rPr>
                <w:rFonts w:ascii="Arial" w:eastAsia="Times New Roman" w:hAnsi="Arial" w:cs="Arial"/>
                <w:b/>
                <w:color w:val="000000"/>
                <w:sz w:val="24"/>
                <w:szCs w:val="24"/>
                <w:lang w:val="ro-RO"/>
              </w:rPr>
            </w:pPr>
            <w:r w:rsidRPr="00587B71">
              <w:rPr>
                <w:rFonts w:ascii="Arial" w:eastAsia="Times New Roman" w:hAnsi="Arial" w:cs="Arial"/>
                <w:b/>
                <w:color w:val="000000"/>
                <w:sz w:val="24"/>
                <w:szCs w:val="24"/>
                <w:lang w:val="ro-RO"/>
              </w:rPr>
              <w:t>SO2</w:t>
            </w:r>
          </w:p>
        </w:tc>
        <w:tc>
          <w:tcPr>
            <w:tcW w:w="1417" w:type="dxa"/>
          </w:tcPr>
          <w:p w:rsidR="00587B71" w:rsidRPr="00587B71" w:rsidRDefault="00587B71" w:rsidP="00587B71">
            <w:pPr>
              <w:spacing w:after="0" w:line="240" w:lineRule="auto"/>
              <w:jc w:val="center"/>
              <w:rPr>
                <w:rFonts w:ascii="Arial" w:eastAsia="Times New Roman" w:hAnsi="Arial" w:cs="Arial"/>
                <w:b/>
                <w:color w:val="000000"/>
                <w:sz w:val="24"/>
                <w:szCs w:val="24"/>
                <w:lang w:val="ro-RO"/>
              </w:rPr>
            </w:pPr>
            <w:r w:rsidRPr="00587B71">
              <w:rPr>
                <w:rFonts w:ascii="Arial" w:eastAsia="Times New Roman" w:hAnsi="Arial" w:cs="Arial"/>
                <w:b/>
                <w:color w:val="000000"/>
                <w:sz w:val="24"/>
                <w:szCs w:val="24"/>
                <w:lang w:val="ro-RO"/>
              </w:rPr>
              <w:t>NOx</w:t>
            </w:r>
          </w:p>
        </w:tc>
        <w:tc>
          <w:tcPr>
            <w:tcW w:w="1418" w:type="dxa"/>
          </w:tcPr>
          <w:p w:rsidR="00587B71" w:rsidRPr="00587B71" w:rsidRDefault="00587B71" w:rsidP="00587B71">
            <w:pPr>
              <w:spacing w:after="0" w:line="240" w:lineRule="auto"/>
              <w:jc w:val="center"/>
              <w:rPr>
                <w:rFonts w:ascii="Arial" w:eastAsia="Times New Roman" w:hAnsi="Arial" w:cs="Arial"/>
                <w:b/>
                <w:color w:val="000000"/>
                <w:sz w:val="24"/>
                <w:szCs w:val="24"/>
                <w:lang w:val="ro-RO"/>
              </w:rPr>
            </w:pPr>
            <w:r w:rsidRPr="00587B71">
              <w:rPr>
                <w:rFonts w:ascii="Arial" w:eastAsia="Times New Roman" w:hAnsi="Arial" w:cs="Arial"/>
                <w:b/>
                <w:color w:val="000000"/>
                <w:sz w:val="24"/>
                <w:szCs w:val="24"/>
                <w:lang w:val="ro-RO"/>
              </w:rPr>
              <w:t>NMVOC</w:t>
            </w:r>
          </w:p>
        </w:tc>
        <w:tc>
          <w:tcPr>
            <w:tcW w:w="1275" w:type="dxa"/>
          </w:tcPr>
          <w:p w:rsidR="00587B71" w:rsidRPr="00587B71" w:rsidRDefault="00587B71" w:rsidP="00587B71">
            <w:pPr>
              <w:spacing w:after="0" w:line="240" w:lineRule="auto"/>
              <w:jc w:val="center"/>
              <w:rPr>
                <w:rFonts w:ascii="Arial" w:eastAsia="Times New Roman" w:hAnsi="Arial" w:cs="Arial"/>
                <w:b/>
                <w:color w:val="000000"/>
                <w:sz w:val="24"/>
                <w:szCs w:val="24"/>
                <w:lang w:val="ro-RO"/>
              </w:rPr>
            </w:pPr>
            <w:r w:rsidRPr="00587B71">
              <w:rPr>
                <w:rFonts w:ascii="Arial" w:eastAsia="Times New Roman" w:hAnsi="Arial" w:cs="Arial"/>
                <w:b/>
                <w:color w:val="000000"/>
                <w:sz w:val="24"/>
                <w:szCs w:val="24"/>
                <w:lang w:val="ro-RO"/>
              </w:rPr>
              <w:t>PM10</w:t>
            </w:r>
          </w:p>
        </w:tc>
        <w:tc>
          <w:tcPr>
            <w:tcW w:w="1115" w:type="dxa"/>
          </w:tcPr>
          <w:p w:rsidR="00587B71" w:rsidRPr="00587B71" w:rsidRDefault="00587B71" w:rsidP="00587B71">
            <w:pPr>
              <w:spacing w:after="0" w:line="240" w:lineRule="auto"/>
              <w:jc w:val="center"/>
              <w:rPr>
                <w:rFonts w:ascii="Arial" w:eastAsia="Times New Roman" w:hAnsi="Arial" w:cs="Arial"/>
                <w:b/>
                <w:color w:val="000000"/>
                <w:sz w:val="24"/>
                <w:szCs w:val="24"/>
                <w:lang w:val="ro-RO"/>
              </w:rPr>
            </w:pPr>
            <w:r w:rsidRPr="00587B71">
              <w:rPr>
                <w:rFonts w:ascii="Arial" w:eastAsia="Times New Roman" w:hAnsi="Arial" w:cs="Arial"/>
                <w:b/>
                <w:color w:val="000000"/>
                <w:sz w:val="24"/>
                <w:szCs w:val="24"/>
                <w:lang w:val="ro-RO"/>
              </w:rPr>
              <w:t>CO</w:t>
            </w:r>
          </w:p>
        </w:tc>
      </w:tr>
      <w:tr w:rsidR="00587B71" w:rsidRPr="00587B71" w:rsidTr="00587B71">
        <w:tc>
          <w:tcPr>
            <w:tcW w:w="3260" w:type="dxa"/>
          </w:tcPr>
          <w:p w:rsidR="00587B71" w:rsidRPr="00587B71" w:rsidRDefault="00587B71" w:rsidP="00587B71">
            <w:pPr>
              <w:spacing w:after="0" w:line="240" w:lineRule="auto"/>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Producţie de energie electrica si termică</w:t>
            </w:r>
          </w:p>
        </w:tc>
        <w:tc>
          <w:tcPr>
            <w:tcW w:w="1560" w:type="dxa"/>
          </w:tcPr>
          <w:p w:rsidR="00587B71" w:rsidRPr="00587B71" w:rsidRDefault="00587B71" w:rsidP="00587B71">
            <w:pPr>
              <w:spacing w:after="0" w:line="240" w:lineRule="auto"/>
              <w:jc w:val="center"/>
              <w:rPr>
                <w:rFonts w:ascii="Arial" w:eastAsia="Times New Roman" w:hAnsi="Arial" w:cs="Arial"/>
                <w:color w:val="000000"/>
                <w:sz w:val="24"/>
                <w:szCs w:val="24"/>
                <w:lang w:val="ro-RO"/>
              </w:rPr>
            </w:pPr>
          </w:p>
          <w:p w:rsidR="00587B71" w:rsidRPr="00587B71" w:rsidRDefault="00136324" w:rsidP="00587B71">
            <w:pPr>
              <w:spacing w:after="0" w:line="240" w:lineRule="auto"/>
              <w:jc w:val="center"/>
              <w:rPr>
                <w:rFonts w:ascii="Arial" w:eastAsia="Times New Roman" w:hAnsi="Arial" w:cs="Arial"/>
                <w:color w:val="000000"/>
                <w:sz w:val="24"/>
                <w:szCs w:val="24"/>
                <w:lang w:val="ro-RO"/>
              </w:rPr>
            </w:pPr>
            <w:r>
              <w:rPr>
                <w:rFonts w:ascii="Arial" w:eastAsia="Times New Roman" w:hAnsi="Arial" w:cs="Arial"/>
                <w:color w:val="000000"/>
                <w:sz w:val="24"/>
                <w:szCs w:val="24"/>
                <w:lang w:val="ro-RO"/>
              </w:rPr>
              <w:t>16.14</w:t>
            </w:r>
          </w:p>
        </w:tc>
        <w:tc>
          <w:tcPr>
            <w:tcW w:w="1417" w:type="dxa"/>
          </w:tcPr>
          <w:p w:rsidR="00587B71" w:rsidRPr="00587B71" w:rsidRDefault="00587B71" w:rsidP="00587B71">
            <w:pPr>
              <w:spacing w:after="0" w:line="240" w:lineRule="auto"/>
              <w:jc w:val="center"/>
              <w:rPr>
                <w:rFonts w:ascii="Arial" w:eastAsia="Times New Roman" w:hAnsi="Arial" w:cs="Arial"/>
                <w:color w:val="000000"/>
                <w:sz w:val="24"/>
                <w:szCs w:val="24"/>
                <w:lang w:val="ro-RO"/>
              </w:rPr>
            </w:pPr>
          </w:p>
          <w:p w:rsidR="00587B71" w:rsidRPr="00587B71" w:rsidRDefault="00587B71" w:rsidP="00587B71">
            <w:pPr>
              <w:spacing w:after="0" w:line="240" w:lineRule="auto"/>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102</w:t>
            </w:r>
          </w:p>
        </w:tc>
        <w:tc>
          <w:tcPr>
            <w:tcW w:w="1418" w:type="dxa"/>
          </w:tcPr>
          <w:p w:rsidR="00587B71" w:rsidRPr="00587B71" w:rsidRDefault="00587B71" w:rsidP="00587B71">
            <w:pPr>
              <w:spacing w:after="0" w:line="240" w:lineRule="auto"/>
              <w:jc w:val="center"/>
              <w:rPr>
                <w:rFonts w:ascii="Arial" w:eastAsia="Times New Roman" w:hAnsi="Arial" w:cs="Arial"/>
                <w:color w:val="000000"/>
                <w:sz w:val="24"/>
                <w:szCs w:val="24"/>
                <w:lang w:val="ro-RO"/>
              </w:rPr>
            </w:pPr>
          </w:p>
          <w:p w:rsidR="00587B71" w:rsidRPr="00587B71" w:rsidRDefault="00587B71" w:rsidP="00587B71">
            <w:pPr>
              <w:spacing w:after="0" w:line="240" w:lineRule="auto"/>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101,6</w:t>
            </w:r>
          </w:p>
        </w:tc>
        <w:tc>
          <w:tcPr>
            <w:tcW w:w="1275" w:type="dxa"/>
          </w:tcPr>
          <w:p w:rsidR="00587B71" w:rsidRPr="00587B71" w:rsidRDefault="00587B71" w:rsidP="00587B71">
            <w:pPr>
              <w:spacing w:after="0" w:line="240" w:lineRule="auto"/>
              <w:jc w:val="center"/>
              <w:rPr>
                <w:rFonts w:ascii="Arial" w:eastAsia="Times New Roman" w:hAnsi="Arial" w:cs="Arial"/>
                <w:color w:val="000000"/>
                <w:sz w:val="24"/>
                <w:szCs w:val="24"/>
                <w:lang w:val="ro-RO"/>
              </w:rPr>
            </w:pPr>
          </w:p>
          <w:p w:rsidR="00587B71" w:rsidRPr="00587B71" w:rsidRDefault="00587B71" w:rsidP="00587B71">
            <w:pPr>
              <w:spacing w:after="0" w:line="240" w:lineRule="auto"/>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48,2</w:t>
            </w:r>
          </w:p>
        </w:tc>
        <w:tc>
          <w:tcPr>
            <w:tcW w:w="1115" w:type="dxa"/>
          </w:tcPr>
          <w:p w:rsidR="00587B71" w:rsidRPr="00587B71" w:rsidRDefault="00587B71" w:rsidP="00587B71">
            <w:pPr>
              <w:spacing w:after="0" w:line="240" w:lineRule="auto"/>
              <w:jc w:val="center"/>
              <w:rPr>
                <w:rFonts w:ascii="Arial" w:eastAsia="Times New Roman" w:hAnsi="Arial" w:cs="Arial"/>
                <w:color w:val="000000"/>
                <w:sz w:val="24"/>
                <w:szCs w:val="24"/>
                <w:lang w:val="ro-RO"/>
              </w:rPr>
            </w:pPr>
          </w:p>
          <w:p w:rsidR="00587B71" w:rsidRPr="00587B71" w:rsidRDefault="00587B71" w:rsidP="00587B71">
            <w:pPr>
              <w:spacing w:after="0" w:line="240" w:lineRule="auto"/>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1192</w:t>
            </w:r>
          </w:p>
        </w:tc>
      </w:tr>
    </w:tbl>
    <w:p w:rsidR="00587B71" w:rsidRPr="00587B71" w:rsidRDefault="00587B71" w:rsidP="00587B71">
      <w:pPr>
        <w:spacing w:after="0" w:line="240" w:lineRule="auto"/>
        <w:rPr>
          <w:rFonts w:ascii="Arial" w:eastAsia="Times New Roman" w:hAnsi="Arial" w:cs="Arial"/>
          <w:b/>
          <w:color w:val="000000"/>
          <w:sz w:val="24"/>
          <w:szCs w:val="24"/>
          <w:lang w:val="ro-RO"/>
        </w:rPr>
      </w:pPr>
    </w:p>
    <w:p w:rsidR="00587B71" w:rsidRPr="00587B71" w:rsidRDefault="00587B71" w:rsidP="00587B71">
      <w:pPr>
        <w:spacing w:after="0" w:line="240" w:lineRule="auto"/>
        <w:jc w:val="center"/>
        <w:rPr>
          <w:rFonts w:ascii="Arial" w:eastAsia="Times New Roman" w:hAnsi="Arial" w:cs="Arial"/>
          <w:b/>
          <w:color w:val="000000"/>
          <w:sz w:val="24"/>
          <w:szCs w:val="24"/>
          <w:lang w:val="ro-RO"/>
        </w:rPr>
      </w:pPr>
      <w:r>
        <w:rPr>
          <w:rFonts w:ascii="Arial" w:eastAsia="Times New Roman" w:hAnsi="Arial" w:cs="Arial"/>
          <w:b/>
          <w:noProof/>
          <w:color w:val="000000"/>
          <w:sz w:val="24"/>
          <w:szCs w:val="24"/>
        </w:rPr>
        <w:drawing>
          <wp:inline distT="0" distB="0" distL="0" distR="0">
            <wp:extent cx="5400136" cy="2294626"/>
            <wp:effectExtent l="0" t="0" r="0" b="0"/>
            <wp:docPr id="58" name="Chart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87B71" w:rsidRPr="00587B71" w:rsidRDefault="00587B71" w:rsidP="00587B71">
      <w:pPr>
        <w:spacing w:after="0" w:line="240" w:lineRule="auto"/>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Figura I.39. Emisii rezultat</w:t>
      </w:r>
      <w:r w:rsidR="00933951">
        <w:rPr>
          <w:rFonts w:ascii="Arial" w:eastAsia="Times New Roman" w:hAnsi="Arial" w:cs="Arial"/>
          <w:color w:val="000000"/>
          <w:sz w:val="24"/>
          <w:szCs w:val="24"/>
          <w:lang w:val="ro-RO"/>
        </w:rPr>
        <w:t>e din sectorul industrial, tone</w:t>
      </w:r>
    </w:p>
    <w:p w:rsidR="00341504" w:rsidRPr="00587B71" w:rsidRDefault="00341504" w:rsidP="00587B71">
      <w:pPr>
        <w:spacing w:after="0" w:line="240" w:lineRule="auto"/>
        <w:jc w:val="center"/>
        <w:rPr>
          <w:rFonts w:ascii="Arial" w:eastAsia="Times New Roman" w:hAnsi="Arial" w:cs="Arial"/>
          <w:color w:val="000000"/>
          <w:sz w:val="24"/>
          <w:szCs w:val="24"/>
          <w:lang w:val="ro-RO"/>
        </w:rPr>
      </w:pPr>
    </w:p>
    <w:p w:rsidR="00587B71" w:rsidRPr="00587B71" w:rsidRDefault="00587B71" w:rsidP="00587B71">
      <w:pPr>
        <w:widowControl w:val="0"/>
        <w:spacing w:after="0" w:line="240" w:lineRule="auto"/>
        <w:ind w:firstLine="720"/>
        <w:jc w:val="both"/>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I.2.1.3. Transportul</w:t>
      </w:r>
    </w:p>
    <w:p w:rsidR="00587B71" w:rsidRPr="00587B71" w:rsidRDefault="00587B71" w:rsidP="00587B71">
      <w:pPr>
        <w:widowControl w:val="0"/>
        <w:spacing w:after="0" w:line="240" w:lineRule="auto"/>
        <w:ind w:firstLine="720"/>
        <w:jc w:val="both"/>
        <w:rPr>
          <w:rFonts w:ascii="Arial" w:eastAsia="Times New Roman" w:hAnsi="Arial" w:cs="Arial"/>
          <w:color w:val="000000"/>
          <w:sz w:val="24"/>
          <w:szCs w:val="24"/>
          <w:lang w:val="ro-RO"/>
        </w:rPr>
      </w:pPr>
    </w:p>
    <w:p w:rsidR="00587B71" w:rsidRPr="00587B71" w:rsidRDefault="00587B71" w:rsidP="00587B71">
      <w:pPr>
        <w:widowControl w:val="0"/>
        <w:spacing w:after="0" w:line="240" w:lineRule="auto"/>
        <w:ind w:firstLine="720"/>
        <w:jc w:val="both"/>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 xml:space="preserve">Autovehiculele evacuează un mare număr de poluanţi, studiile efectuate la nivel internaţional permiţând cuantificarea poluanţilor emişi de traficul rutier. </w:t>
      </w:r>
    </w:p>
    <w:p w:rsidR="00587B71" w:rsidRPr="00587B71" w:rsidRDefault="00587B71" w:rsidP="00587B71">
      <w:pPr>
        <w:widowControl w:val="0"/>
        <w:spacing w:after="0" w:line="240" w:lineRule="auto"/>
        <w:ind w:firstLine="720"/>
        <w:jc w:val="both"/>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lastRenderedPageBreak/>
        <w:t>Autovehiculul constituie un factor cu o nocivitate agresivă, îndeosebi în mediul urban, unde deţine circa 60 % din ponderea emisiilor poluante. Poluanţii rezultaţi în urma procesului de ardere al combustibilului fosil în motorul cu ardere internă sunt diversificaţi şi au un mecanism al genezei diferit, funcţie de categoria de carburant.( sursa:„Efectele poluării aerului aerului datorate activităţii de transport auto”,</w:t>
      </w:r>
      <w:r w:rsidRPr="00587B71">
        <w:rPr>
          <w:rFonts w:ascii="Times New Roman" w:eastAsia="Times New Roman" w:hAnsi="Times New Roman" w:cs="Times New Roman" w:hint="eastAsia"/>
          <w:sz w:val="24"/>
          <w:szCs w:val="24"/>
        </w:rPr>
        <w:t xml:space="preserve"> </w:t>
      </w:r>
      <w:r w:rsidRPr="00587B71">
        <w:rPr>
          <w:rFonts w:ascii="Arial" w:eastAsia="Times New Roman" w:hAnsi="Arial" w:cs="Arial" w:hint="eastAsia"/>
          <w:color w:val="000000"/>
          <w:sz w:val="24"/>
          <w:szCs w:val="24"/>
          <w:lang w:val="ro-RO"/>
        </w:rPr>
        <w:t>Buletinul AGIR nr. 4/2009</w:t>
      </w:r>
      <w:r w:rsidRPr="00587B71">
        <w:rPr>
          <w:rFonts w:ascii="Arial" w:eastAsia="Times New Roman" w:hAnsi="Arial" w:cs="Arial"/>
          <w:color w:val="000000"/>
          <w:sz w:val="24"/>
          <w:szCs w:val="24"/>
          <w:lang w:val="ro-RO"/>
        </w:rPr>
        <w:t>).</w:t>
      </w:r>
    </w:p>
    <w:p w:rsidR="00587B71" w:rsidRPr="00587B71" w:rsidRDefault="00587B71" w:rsidP="00587B71">
      <w:pPr>
        <w:widowControl w:val="0"/>
        <w:spacing w:after="0" w:line="240" w:lineRule="auto"/>
        <w:ind w:firstLine="720"/>
        <w:jc w:val="both"/>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În localităţile urbane din judeţul Vaslui, poluarea atmosferei datorată traficului urban nu ridică probleme deosebite. Emisiile din traficul rutier, estimate pentru perioada 2010-2015, sunt prezentate în tabelul de mai jos:</w:t>
      </w:r>
    </w:p>
    <w:p w:rsidR="00587B71" w:rsidRPr="00587B71" w:rsidRDefault="00587B71" w:rsidP="00587B71">
      <w:pPr>
        <w:widowControl w:val="0"/>
        <w:spacing w:after="0" w:line="240" w:lineRule="auto"/>
        <w:jc w:val="both"/>
        <w:rPr>
          <w:rFonts w:ascii="Arial" w:eastAsia="Times New Roman" w:hAnsi="Arial" w:cs="Arial"/>
          <w:color w:val="FF0000"/>
          <w:sz w:val="24"/>
          <w:szCs w:val="24"/>
          <w:lang w:val="ro-RO"/>
        </w:rPr>
      </w:pPr>
    </w:p>
    <w:p w:rsidR="00587B71" w:rsidRPr="00587B71" w:rsidRDefault="00587B71" w:rsidP="00587B71">
      <w:pPr>
        <w:widowControl w:val="0"/>
        <w:shd w:val="clear" w:color="auto" w:fill="FFFFFF"/>
        <w:spacing w:after="0" w:line="240" w:lineRule="auto"/>
        <w:rPr>
          <w:rFonts w:ascii="Arial" w:eastAsia="Times New Roman" w:hAnsi="Arial" w:cs="Arial"/>
          <w:color w:val="000000"/>
          <w:sz w:val="24"/>
          <w:szCs w:val="24"/>
          <w:shd w:val="clear" w:color="auto" w:fill="FFFFFF"/>
          <w:lang w:val="ro-RO"/>
        </w:rPr>
      </w:pPr>
      <w:r w:rsidRPr="00587B71">
        <w:rPr>
          <w:rFonts w:ascii="Arial" w:eastAsia="Times New Roman" w:hAnsi="Arial" w:cs="Arial"/>
          <w:color w:val="000000"/>
          <w:sz w:val="24"/>
          <w:szCs w:val="24"/>
          <w:shd w:val="clear" w:color="auto" w:fill="FFFFFF"/>
          <w:lang w:val="ro-RO"/>
        </w:rPr>
        <w:t>Tabelul I.34. Emisiile de poluanţi atmosferici proveniţi din transportul rutier, în judeţul Vaslui</w:t>
      </w:r>
    </w:p>
    <w:tbl>
      <w:tblPr>
        <w:tblW w:w="9048" w:type="dxa"/>
        <w:jc w:val="center"/>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6"/>
        <w:gridCol w:w="951"/>
        <w:gridCol w:w="951"/>
        <w:gridCol w:w="723"/>
        <w:gridCol w:w="723"/>
        <w:gridCol w:w="1110"/>
        <w:gridCol w:w="723"/>
        <w:gridCol w:w="754"/>
        <w:gridCol w:w="817"/>
      </w:tblGrid>
      <w:tr w:rsidR="00587B71" w:rsidRPr="00587B71" w:rsidTr="00587B71">
        <w:trPr>
          <w:trHeight w:val="262"/>
          <w:jc w:val="center"/>
        </w:trPr>
        <w:tc>
          <w:tcPr>
            <w:tcW w:w="2296" w:type="dxa"/>
            <w:shd w:val="clear" w:color="auto" w:fill="FFFFFF"/>
            <w:noWrap/>
          </w:tcPr>
          <w:p w:rsidR="00587B71" w:rsidRPr="00587B71" w:rsidRDefault="00587B71" w:rsidP="00587B71">
            <w:pPr>
              <w:widowControl w:val="0"/>
              <w:spacing w:after="0" w:line="240" w:lineRule="auto"/>
              <w:jc w:val="center"/>
              <w:rPr>
                <w:rFonts w:ascii="Arial" w:eastAsia="Times New Roman" w:hAnsi="Arial" w:cs="Arial"/>
                <w:b/>
                <w:color w:val="000000"/>
                <w:sz w:val="24"/>
                <w:szCs w:val="24"/>
              </w:rPr>
            </w:pPr>
            <w:r w:rsidRPr="00587B71">
              <w:rPr>
                <w:rFonts w:ascii="Arial" w:eastAsia="Times New Roman" w:hAnsi="Arial" w:cs="Arial"/>
                <w:b/>
                <w:color w:val="000000"/>
                <w:sz w:val="24"/>
                <w:szCs w:val="24"/>
              </w:rPr>
              <w:t>Emisii din traficul rutier</w:t>
            </w:r>
          </w:p>
        </w:tc>
        <w:tc>
          <w:tcPr>
            <w:tcW w:w="951" w:type="dxa"/>
            <w:shd w:val="clear" w:color="auto" w:fill="FFFFFF"/>
          </w:tcPr>
          <w:p w:rsidR="00587B71" w:rsidRPr="00587B71" w:rsidRDefault="00587B71" w:rsidP="00587B71">
            <w:pPr>
              <w:widowControl w:val="0"/>
              <w:spacing w:after="0" w:line="240" w:lineRule="auto"/>
              <w:jc w:val="center"/>
              <w:rPr>
                <w:rFonts w:ascii="Arial" w:eastAsia="Times New Roman" w:hAnsi="Arial" w:cs="Arial"/>
                <w:b/>
                <w:color w:val="000000"/>
                <w:sz w:val="24"/>
                <w:szCs w:val="24"/>
                <w:vertAlign w:val="subscript"/>
              </w:rPr>
            </w:pPr>
            <w:r w:rsidRPr="00587B71">
              <w:rPr>
                <w:rFonts w:ascii="Arial" w:eastAsia="Times New Roman" w:hAnsi="Arial" w:cs="Arial"/>
                <w:b/>
                <w:color w:val="000000"/>
                <w:sz w:val="24"/>
                <w:szCs w:val="24"/>
              </w:rPr>
              <w:t>NO</w:t>
            </w:r>
            <w:r w:rsidRPr="00587B71">
              <w:rPr>
                <w:rFonts w:ascii="Arial" w:eastAsia="Times New Roman" w:hAnsi="Arial" w:cs="Arial"/>
                <w:b/>
                <w:color w:val="000000"/>
                <w:sz w:val="24"/>
                <w:szCs w:val="24"/>
                <w:vertAlign w:val="subscript"/>
              </w:rPr>
              <w:t>X</w:t>
            </w:r>
          </w:p>
          <w:p w:rsidR="00587B71" w:rsidRPr="00587B71" w:rsidRDefault="00587B71" w:rsidP="00587B71">
            <w:pPr>
              <w:widowControl w:val="0"/>
              <w:spacing w:after="0" w:line="240" w:lineRule="auto"/>
              <w:jc w:val="center"/>
              <w:rPr>
                <w:rFonts w:ascii="Arial" w:eastAsia="Times New Roman" w:hAnsi="Arial" w:cs="Arial"/>
                <w:b/>
                <w:color w:val="000000"/>
                <w:sz w:val="24"/>
                <w:szCs w:val="24"/>
              </w:rPr>
            </w:pPr>
            <w:r w:rsidRPr="00587B71">
              <w:rPr>
                <w:rFonts w:ascii="Arial" w:eastAsia="Times New Roman" w:hAnsi="Arial" w:cs="Arial"/>
                <w:b/>
                <w:color w:val="000000"/>
                <w:sz w:val="24"/>
                <w:szCs w:val="24"/>
              </w:rPr>
              <w:t>tone</w:t>
            </w:r>
          </w:p>
        </w:tc>
        <w:tc>
          <w:tcPr>
            <w:tcW w:w="951" w:type="dxa"/>
            <w:shd w:val="clear" w:color="auto" w:fill="FFFFFF"/>
          </w:tcPr>
          <w:p w:rsidR="00587B71" w:rsidRPr="00587B71" w:rsidRDefault="00587B71" w:rsidP="00587B71">
            <w:pPr>
              <w:widowControl w:val="0"/>
              <w:spacing w:after="0" w:line="240" w:lineRule="auto"/>
              <w:jc w:val="center"/>
              <w:rPr>
                <w:rFonts w:ascii="Arial" w:eastAsia="Times New Roman" w:hAnsi="Arial" w:cs="Arial"/>
                <w:b/>
                <w:color w:val="000000"/>
                <w:sz w:val="24"/>
                <w:szCs w:val="24"/>
              </w:rPr>
            </w:pPr>
            <w:r w:rsidRPr="00587B71">
              <w:rPr>
                <w:rFonts w:ascii="Arial" w:eastAsia="Times New Roman" w:hAnsi="Arial" w:cs="Arial"/>
                <w:b/>
                <w:color w:val="000000"/>
                <w:sz w:val="24"/>
                <w:szCs w:val="24"/>
              </w:rPr>
              <w:t>CO</w:t>
            </w:r>
          </w:p>
          <w:p w:rsidR="00587B71" w:rsidRPr="00587B71" w:rsidRDefault="00587B71" w:rsidP="00587B71">
            <w:pPr>
              <w:widowControl w:val="0"/>
              <w:spacing w:after="0" w:line="240" w:lineRule="auto"/>
              <w:jc w:val="center"/>
              <w:rPr>
                <w:rFonts w:ascii="Arial" w:eastAsia="Times New Roman" w:hAnsi="Arial" w:cs="Arial"/>
                <w:b/>
                <w:color w:val="000000"/>
                <w:sz w:val="24"/>
                <w:szCs w:val="24"/>
              </w:rPr>
            </w:pPr>
            <w:r w:rsidRPr="00587B71">
              <w:rPr>
                <w:rFonts w:ascii="Arial" w:eastAsia="Times New Roman" w:hAnsi="Arial" w:cs="Arial"/>
                <w:b/>
                <w:color w:val="000000"/>
                <w:sz w:val="24"/>
                <w:szCs w:val="24"/>
              </w:rPr>
              <w:t>tone</w:t>
            </w:r>
          </w:p>
        </w:tc>
        <w:tc>
          <w:tcPr>
            <w:tcW w:w="723" w:type="dxa"/>
            <w:shd w:val="clear" w:color="auto" w:fill="FFFFFF"/>
          </w:tcPr>
          <w:p w:rsidR="00587B71" w:rsidRPr="00587B71" w:rsidRDefault="00587B71" w:rsidP="00587B71">
            <w:pPr>
              <w:widowControl w:val="0"/>
              <w:spacing w:after="0" w:line="240" w:lineRule="auto"/>
              <w:jc w:val="center"/>
              <w:rPr>
                <w:rFonts w:ascii="Arial" w:eastAsia="Times New Roman" w:hAnsi="Arial" w:cs="Arial"/>
                <w:b/>
                <w:color w:val="000000"/>
                <w:sz w:val="24"/>
                <w:szCs w:val="24"/>
                <w:vertAlign w:val="subscript"/>
              </w:rPr>
            </w:pPr>
            <w:r w:rsidRPr="00587B71">
              <w:rPr>
                <w:rFonts w:ascii="Arial" w:eastAsia="Times New Roman" w:hAnsi="Arial" w:cs="Arial"/>
                <w:b/>
                <w:color w:val="000000"/>
                <w:sz w:val="24"/>
                <w:szCs w:val="24"/>
              </w:rPr>
              <w:t>NH</w:t>
            </w:r>
            <w:r w:rsidRPr="00587B71">
              <w:rPr>
                <w:rFonts w:ascii="Arial" w:eastAsia="Times New Roman" w:hAnsi="Arial" w:cs="Arial"/>
                <w:b/>
                <w:color w:val="000000"/>
                <w:sz w:val="24"/>
                <w:szCs w:val="24"/>
                <w:vertAlign w:val="subscript"/>
              </w:rPr>
              <w:t>3</w:t>
            </w:r>
          </w:p>
          <w:p w:rsidR="00587B71" w:rsidRPr="00587B71" w:rsidRDefault="00587B71" w:rsidP="00587B71">
            <w:pPr>
              <w:widowControl w:val="0"/>
              <w:spacing w:after="0" w:line="240" w:lineRule="auto"/>
              <w:jc w:val="center"/>
              <w:rPr>
                <w:rFonts w:ascii="Arial" w:eastAsia="Times New Roman" w:hAnsi="Arial" w:cs="Arial"/>
                <w:b/>
                <w:color w:val="000000"/>
                <w:sz w:val="24"/>
                <w:szCs w:val="24"/>
              </w:rPr>
            </w:pPr>
            <w:r w:rsidRPr="00587B71">
              <w:rPr>
                <w:rFonts w:ascii="Arial" w:eastAsia="Times New Roman" w:hAnsi="Arial" w:cs="Arial"/>
                <w:b/>
                <w:color w:val="000000"/>
                <w:sz w:val="24"/>
                <w:szCs w:val="24"/>
              </w:rPr>
              <w:t>tone</w:t>
            </w:r>
          </w:p>
        </w:tc>
        <w:tc>
          <w:tcPr>
            <w:tcW w:w="723" w:type="dxa"/>
            <w:shd w:val="clear" w:color="auto" w:fill="FFFFFF"/>
          </w:tcPr>
          <w:p w:rsidR="00587B71" w:rsidRPr="00587B71" w:rsidRDefault="00587B71" w:rsidP="00587B71">
            <w:pPr>
              <w:widowControl w:val="0"/>
              <w:spacing w:after="0" w:line="240" w:lineRule="auto"/>
              <w:jc w:val="center"/>
              <w:rPr>
                <w:rFonts w:ascii="Arial" w:eastAsia="Times New Roman" w:hAnsi="Arial" w:cs="Arial"/>
                <w:b/>
                <w:color w:val="000000"/>
                <w:sz w:val="24"/>
                <w:szCs w:val="24"/>
              </w:rPr>
            </w:pPr>
            <w:r w:rsidRPr="00587B71">
              <w:rPr>
                <w:rFonts w:ascii="Arial" w:eastAsia="Times New Roman" w:hAnsi="Arial" w:cs="Arial"/>
                <w:b/>
                <w:color w:val="000000"/>
                <w:sz w:val="24"/>
                <w:szCs w:val="24"/>
              </w:rPr>
              <w:t>N</w:t>
            </w:r>
            <w:r w:rsidRPr="00587B71">
              <w:rPr>
                <w:rFonts w:ascii="Arial" w:eastAsia="Times New Roman" w:hAnsi="Arial" w:cs="Arial"/>
                <w:b/>
                <w:color w:val="000000"/>
                <w:sz w:val="24"/>
                <w:szCs w:val="24"/>
                <w:vertAlign w:val="subscript"/>
              </w:rPr>
              <w:t>2</w:t>
            </w:r>
            <w:r w:rsidRPr="00587B71">
              <w:rPr>
                <w:rFonts w:ascii="Arial" w:eastAsia="Times New Roman" w:hAnsi="Arial" w:cs="Arial"/>
                <w:b/>
                <w:color w:val="000000"/>
                <w:sz w:val="24"/>
                <w:szCs w:val="24"/>
              </w:rPr>
              <w:t>O</w:t>
            </w:r>
          </w:p>
          <w:p w:rsidR="00587B71" w:rsidRPr="00587B71" w:rsidRDefault="00587B71" w:rsidP="00587B71">
            <w:pPr>
              <w:widowControl w:val="0"/>
              <w:spacing w:after="0" w:line="240" w:lineRule="auto"/>
              <w:jc w:val="center"/>
              <w:rPr>
                <w:rFonts w:ascii="Arial" w:eastAsia="Times New Roman" w:hAnsi="Arial" w:cs="Arial"/>
                <w:b/>
                <w:color w:val="000000"/>
                <w:sz w:val="24"/>
                <w:szCs w:val="24"/>
              </w:rPr>
            </w:pPr>
            <w:r w:rsidRPr="00587B71">
              <w:rPr>
                <w:rFonts w:ascii="Arial" w:eastAsia="Times New Roman" w:hAnsi="Arial" w:cs="Arial"/>
                <w:b/>
                <w:color w:val="000000"/>
                <w:sz w:val="24"/>
                <w:szCs w:val="24"/>
              </w:rPr>
              <w:t>tone</w:t>
            </w:r>
          </w:p>
        </w:tc>
        <w:tc>
          <w:tcPr>
            <w:tcW w:w="1110" w:type="dxa"/>
            <w:shd w:val="clear" w:color="auto" w:fill="FFFFFF"/>
          </w:tcPr>
          <w:p w:rsidR="00587B71" w:rsidRPr="00587B71" w:rsidRDefault="00587B71" w:rsidP="00587B71">
            <w:pPr>
              <w:widowControl w:val="0"/>
              <w:spacing w:after="0" w:line="240" w:lineRule="auto"/>
              <w:jc w:val="center"/>
              <w:rPr>
                <w:rFonts w:ascii="Arial" w:eastAsia="Times New Roman" w:hAnsi="Arial" w:cs="Arial"/>
                <w:b/>
                <w:color w:val="000000"/>
                <w:sz w:val="24"/>
                <w:szCs w:val="24"/>
              </w:rPr>
            </w:pPr>
            <w:r w:rsidRPr="00587B71">
              <w:rPr>
                <w:rFonts w:ascii="Arial" w:eastAsia="Times New Roman" w:hAnsi="Arial" w:cs="Arial"/>
                <w:b/>
                <w:color w:val="000000"/>
                <w:sz w:val="24"/>
                <w:szCs w:val="24"/>
              </w:rPr>
              <w:t>NMVOC</w:t>
            </w:r>
          </w:p>
          <w:p w:rsidR="00587B71" w:rsidRPr="00587B71" w:rsidRDefault="00587B71" w:rsidP="00587B71">
            <w:pPr>
              <w:widowControl w:val="0"/>
              <w:spacing w:after="0" w:line="240" w:lineRule="auto"/>
              <w:jc w:val="center"/>
              <w:rPr>
                <w:rFonts w:ascii="Arial" w:eastAsia="Times New Roman" w:hAnsi="Arial" w:cs="Arial"/>
                <w:b/>
                <w:color w:val="000000"/>
                <w:sz w:val="24"/>
                <w:szCs w:val="24"/>
              </w:rPr>
            </w:pPr>
            <w:r w:rsidRPr="00587B71">
              <w:rPr>
                <w:rFonts w:ascii="Arial" w:eastAsia="Times New Roman" w:hAnsi="Arial" w:cs="Arial"/>
                <w:b/>
                <w:color w:val="000000"/>
                <w:sz w:val="24"/>
                <w:szCs w:val="24"/>
              </w:rPr>
              <w:t>tone</w:t>
            </w:r>
          </w:p>
        </w:tc>
        <w:tc>
          <w:tcPr>
            <w:tcW w:w="723" w:type="dxa"/>
            <w:shd w:val="clear" w:color="auto" w:fill="FFFFFF"/>
          </w:tcPr>
          <w:p w:rsidR="00587B71" w:rsidRPr="00587B71" w:rsidRDefault="00587B71" w:rsidP="00587B71">
            <w:pPr>
              <w:widowControl w:val="0"/>
              <w:spacing w:after="0" w:line="240" w:lineRule="auto"/>
              <w:jc w:val="center"/>
              <w:rPr>
                <w:rFonts w:ascii="Arial" w:eastAsia="Times New Roman" w:hAnsi="Arial" w:cs="Arial"/>
                <w:b/>
                <w:color w:val="000000"/>
                <w:sz w:val="24"/>
                <w:szCs w:val="24"/>
                <w:vertAlign w:val="subscript"/>
              </w:rPr>
            </w:pPr>
            <w:r w:rsidRPr="00587B71">
              <w:rPr>
                <w:rFonts w:ascii="Arial" w:eastAsia="Times New Roman" w:hAnsi="Arial" w:cs="Arial"/>
                <w:b/>
                <w:color w:val="000000"/>
                <w:sz w:val="24"/>
                <w:szCs w:val="24"/>
              </w:rPr>
              <w:t>CH</w:t>
            </w:r>
            <w:r w:rsidRPr="00587B71">
              <w:rPr>
                <w:rFonts w:ascii="Arial" w:eastAsia="Times New Roman" w:hAnsi="Arial" w:cs="Arial"/>
                <w:b/>
                <w:color w:val="000000"/>
                <w:sz w:val="24"/>
                <w:szCs w:val="24"/>
                <w:vertAlign w:val="subscript"/>
              </w:rPr>
              <w:t>4</w:t>
            </w:r>
          </w:p>
          <w:p w:rsidR="00587B71" w:rsidRPr="00587B71" w:rsidRDefault="00587B71" w:rsidP="00587B71">
            <w:pPr>
              <w:widowControl w:val="0"/>
              <w:spacing w:after="0" w:line="240" w:lineRule="auto"/>
              <w:jc w:val="center"/>
              <w:rPr>
                <w:rFonts w:ascii="Arial" w:eastAsia="Times New Roman" w:hAnsi="Arial" w:cs="Arial"/>
                <w:b/>
                <w:color w:val="000000"/>
                <w:sz w:val="24"/>
                <w:szCs w:val="24"/>
              </w:rPr>
            </w:pPr>
            <w:r w:rsidRPr="00587B71">
              <w:rPr>
                <w:rFonts w:ascii="Arial" w:eastAsia="Times New Roman" w:hAnsi="Arial" w:cs="Arial"/>
                <w:b/>
                <w:color w:val="000000"/>
                <w:sz w:val="24"/>
                <w:szCs w:val="24"/>
              </w:rPr>
              <w:t>tone</w:t>
            </w:r>
          </w:p>
        </w:tc>
        <w:tc>
          <w:tcPr>
            <w:tcW w:w="754" w:type="dxa"/>
            <w:shd w:val="clear" w:color="auto" w:fill="FFFFFF"/>
          </w:tcPr>
          <w:p w:rsidR="00587B71" w:rsidRPr="00587B71" w:rsidRDefault="00587B71" w:rsidP="00587B71">
            <w:pPr>
              <w:widowControl w:val="0"/>
              <w:spacing w:after="0" w:line="240" w:lineRule="auto"/>
              <w:jc w:val="center"/>
              <w:rPr>
                <w:rFonts w:ascii="Arial" w:eastAsia="Times New Roman" w:hAnsi="Arial" w:cs="Arial"/>
                <w:b/>
                <w:color w:val="000000"/>
                <w:sz w:val="24"/>
                <w:szCs w:val="24"/>
                <w:vertAlign w:val="subscript"/>
              </w:rPr>
            </w:pPr>
            <w:r w:rsidRPr="00587B71">
              <w:rPr>
                <w:rFonts w:ascii="Arial" w:eastAsia="Times New Roman" w:hAnsi="Arial" w:cs="Arial"/>
                <w:b/>
                <w:color w:val="000000"/>
                <w:sz w:val="24"/>
                <w:szCs w:val="24"/>
              </w:rPr>
              <w:t>PM</w:t>
            </w:r>
            <w:r w:rsidRPr="00587B71">
              <w:rPr>
                <w:rFonts w:ascii="Arial" w:eastAsia="Times New Roman" w:hAnsi="Arial" w:cs="Arial"/>
                <w:b/>
                <w:color w:val="000000"/>
                <w:sz w:val="24"/>
                <w:szCs w:val="24"/>
                <w:vertAlign w:val="subscript"/>
              </w:rPr>
              <w:t>10</w:t>
            </w:r>
          </w:p>
          <w:p w:rsidR="00587B71" w:rsidRPr="00587B71" w:rsidRDefault="00587B71" w:rsidP="00587B71">
            <w:pPr>
              <w:widowControl w:val="0"/>
              <w:spacing w:after="0" w:line="240" w:lineRule="auto"/>
              <w:jc w:val="center"/>
              <w:rPr>
                <w:rFonts w:ascii="Arial" w:eastAsia="Times New Roman" w:hAnsi="Arial" w:cs="Arial"/>
                <w:b/>
                <w:color w:val="000000"/>
                <w:sz w:val="24"/>
                <w:szCs w:val="24"/>
              </w:rPr>
            </w:pPr>
            <w:r w:rsidRPr="00587B71">
              <w:rPr>
                <w:rFonts w:ascii="Arial" w:eastAsia="Times New Roman" w:hAnsi="Arial" w:cs="Arial"/>
                <w:b/>
                <w:color w:val="000000"/>
                <w:sz w:val="24"/>
                <w:szCs w:val="24"/>
              </w:rPr>
              <w:t>tone</w:t>
            </w:r>
          </w:p>
        </w:tc>
        <w:tc>
          <w:tcPr>
            <w:tcW w:w="817" w:type="dxa"/>
            <w:shd w:val="clear" w:color="auto" w:fill="FFFFFF"/>
          </w:tcPr>
          <w:p w:rsidR="00587B71" w:rsidRPr="00587B71" w:rsidRDefault="00587B71" w:rsidP="00587B71">
            <w:pPr>
              <w:widowControl w:val="0"/>
              <w:spacing w:after="0" w:line="240" w:lineRule="auto"/>
              <w:jc w:val="center"/>
              <w:rPr>
                <w:rFonts w:ascii="Arial" w:eastAsia="Times New Roman" w:hAnsi="Arial" w:cs="Arial"/>
                <w:b/>
                <w:color w:val="000000"/>
                <w:sz w:val="24"/>
                <w:szCs w:val="24"/>
              </w:rPr>
            </w:pPr>
            <w:r w:rsidRPr="00587B71">
              <w:rPr>
                <w:rFonts w:ascii="Arial" w:eastAsia="Times New Roman" w:hAnsi="Arial" w:cs="Arial"/>
                <w:b/>
                <w:color w:val="000000"/>
                <w:sz w:val="24"/>
                <w:szCs w:val="24"/>
              </w:rPr>
              <w:t>CO2</w:t>
            </w:r>
          </w:p>
          <w:p w:rsidR="00587B71" w:rsidRPr="00587B71" w:rsidRDefault="00587B71" w:rsidP="00587B71">
            <w:pPr>
              <w:widowControl w:val="0"/>
              <w:spacing w:after="0" w:line="240" w:lineRule="auto"/>
              <w:jc w:val="center"/>
              <w:rPr>
                <w:rFonts w:ascii="Arial" w:eastAsia="Times New Roman" w:hAnsi="Arial" w:cs="Arial"/>
                <w:b/>
                <w:color w:val="000000"/>
                <w:sz w:val="24"/>
                <w:szCs w:val="24"/>
              </w:rPr>
            </w:pPr>
            <w:r w:rsidRPr="00587B71">
              <w:rPr>
                <w:rFonts w:ascii="Arial" w:eastAsia="Times New Roman" w:hAnsi="Arial" w:cs="Arial"/>
                <w:b/>
                <w:color w:val="000000"/>
                <w:sz w:val="24"/>
                <w:szCs w:val="24"/>
              </w:rPr>
              <w:t>mii tone</w:t>
            </w:r>
          </w:p>
        </w:tc>
      </w:tr>
      <w:tr w:rsidR="00587B71" w:rsidRPr="00587B71" w:rsidTr="00587B71">
        <w:trPr>
          <w:trHeight w:val="262"/>
          <w:jc w:val="center"/>
        </w:trPr>
        <w:tc>
          <w:tcPr>
            <w:tcW w:w="2296" w:type="dxa"/>
            <w:noWrap/>
            <w:vAlign w:val="center"/>
          </w:tcPr>
          <w:p w:rsidR="00587B71" w:rsidRPr="00587B71" w:rsidRDefault="00587B71" w:rsidP="00587B71">
            <w:pPr>
              <w:widowControl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2010</w:t>
            </w:r>
          </w:p>
        </w:tc>
        <w:tc>
          <w:tcPr>
            <w:tcW w:w="951" w:type="dxa"/>
            <w:shd w:val="clear" w:color="auto" w:fill="FFFFFF"/>
            <w:vAlign w:val="center"/>
          </w:tcPr>
          <w:p w:rsidR="00587B71" w:rsidRPr="00587B71" w:rsidRDefault="00587B71" w:rsidP="00587B71">
            <w:pPr>
              <w:widowControl w:val="0"/>
              <w:spacing w:after="0" w:line="240" w:lineRule="auto"/>
              <w:jc w:val="center"/>
              <w:rPr>
                <w:rFonts w:ascii="Arial" w:eastAsia="Times New Roman" w:hAnsi="Arial" w:cs="Arial"/>
                <w:color w:val="000000"/>
                <w:sz w:val="24"/>
                <w:szCs w:val="24"/>
                <w:lang w:eastAsia="ro-RO"/>
              </w:rPr>
            </w:pPr>
            <w:r w:rsidRPr="00587B71">
              <w:rPr>
                <w:rFonts w:ascii="Arial" w:eastAsia="Times New Roman" w:hAnsi="Arial" w:cs="Arial"/>
                <w:color w:val="000000"/>
                <w:sz w:val="24"/>
                <w:szCs w:val="24"/>
                <w:lang w:eastAsia="ro-RO"/>
              </w:rPr>
              <w:t>1321</w:t>
            </w:r>
          </w:p>
        </w:tc>
        <w:tc>
          <w:tcPr>
            <w:tcW w:w="951" w:type="dxa"/>
            <w:shd w:val="clear" w:color="auto" w:fill="FFFFFF"/>
            <w:vAlign w:val="center"/>
          </w:tcPr>
          <w:p w:rsidR="00587B71" w:rsidRPr="00587B71" w:rsidRDefault="00587B71" w:rsidP="00587B71">
            <w:pPr>
              <w:widowControl w:val="0"/>
              <w:spacing w:after="0" w:line="240" w:lineRule="auto"/>
              <w:jc w:val="center"/>
              <w:rPr>
                <w:rFonts w:ascii="Arial" w:eastAsia="Times New Roman" w:hAnsi="Arial" w:cs="Arial"/>
                <w:color w:val="000000"/>
                <w:sz w:val="24"/>
                <w:szCs w:val="24"/>
                <w:lang w:eastAsia="ro-RO"/>
              </w:rPr>
            </w:pPr>
            <w:r w:rsidRPr="00587B71">
              <w:rPr>
                <w:rFonts w:ascii="Arial" w:eastAsia="Times New Roman" w:hAnsi="Arial" w:cs="Arial"/>
                <w:color w:val="000000"/>
                <w:sz w:val="24"/>
                <w:szCs w:val="24"/>
                <w:lang w:eastAsia="ro-RO"/>
              </w:rPr>
              <w:t>3803,9</w:t>
            </w:r>
          </w:p>
        </w:tc>
        <w:tc>
          <w:tcPr>
            <w:tcW w:w="723" w:type="dxa"/>
            <w:shd w:val="clear" w:color="auto" w:fill="FFFFFF"/>
            <w:vAlign w:val="center"/>
          </w:tcPr>
          <w:p w:rsidR="00587B71" w:rsidRPr="00587B71" w:rsidRDefault="00587B71" w:rsidP="00587B71">
            <w:pPr>
              <w:widowControl w:val="0"/>
              <w:spacing w:after="0" w:line="240" w:lineRule="auto"/>
              <w:jc w:val="center"/>
              <w:rPr>
                <w:rFonts w:ascii="Arial" w:eastAsia="Times New Roman" w:hAnsi="Arial" w:cs="Arial"/>
                <w:color w:val="000000"/>
                <w:sz w:val="24"/>
                <w:szCs w:val="24"/>
                <w:lang w:eastAsia="ro-RO"/>
              </w:rPr>
            </w:pPr>
            <w:r w:rsidRPr="00587B71">
              <w:rPr>
                <w:rFonts w:ascii="Arial" w:eastAsia="Times New Roman" w:hAnsi="Arial" w:cs="Arial"/>
                <w:color w:val="000000"/>
                <w:sz w:val="24"/>
                <w:szCs w:val="24"/>
                <w:lang w:eastAsia="ro-RO"/>
              </w:rPr>
              <w:t>9,9</w:t>
            </w:r>
          </w:p>
        </w:tc>
        <w:tc>
          <w:tcPr>
            <w:tcW w:w="723" w:type="dxa"/>
            <w:shd w:val="clear" w:color="auto" w:fill="FFFFFF"/>
            <w:vAlign w:val="center"/>
          </w:tcPr>
          <w:p w:rsidR="00587B71" w:rsidRPr="00587B71" w:rsidRDefault="00587B71" w:rsidP="00587B71">
            <w:pPr>
              <w:widowControl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5,6</w:t>
            </w:r>
          </w:p>
        </w:tc>
        <w:tc>
          <w:tcPr>
            <w:tcW w:w="1110" w:type="dxa"/>
            <w:shd w:val="clear" w:color="auto" w:fill="FFFFFF"/>
            <w:vAlign w:val="center"/>
          </w:tcPr>
          <w:p w:rsidR="00587B71" w:rsidRPr="00587B71" w:rsidRDefault="00587B71" w:rsidP="00587B71">
            <w:pPr>
              <w:widowControl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617,7</w:t>
            </w:r>
          </w:p>
        </w:tc>
        <w:tc>
          <w:tcPr>
            <w:tcW w:w="723" w:type="dxa"/>
            <w:shd w:val="clear" w:color="auto" w:fill="FFFFFF"/>
          </w:tcPr>
          <w:p w:rsidR="00587B71" w:rsidRPr="00587B71" w:rsidRDefault="00587B71" w:rsidP="00587B71">
            <w:pPr>
              <w:widowControl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27,9</w:t>
            </w:r>
          </w:p>
        </w:tc>
        <w:tc>
          <w:tcPr>
            <w:tcW w:w="754" w:type="dxa"/>
            <w:shd w:val="clear" w:color="auto" w:fill="FFFFFF"/>
          </w:tcPr>
          <w:p w:rsidR="00587B71" w:rsidRPr="00587B71" w:rsidRDefault="00587B71" w:rsidP="00587B71">
            <w:pPr>
              <w:widowControl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49,7</w:t>
            </w:r>
          </w:p>
        </w:tc>
        <w:tc>
          <w:tcPr>
            <w:tcW w:w="817" w:type="dxa"/>
            <w:shd w:val="clear" w:color="auto" w:fill="FFFFFF"/>
          </w:tcPr>
          <w:p w:rsidR="00587B71" w:rsidRPr="00587B71" w:rsidRDefault="00587B71" w:rsidP="00587B71">
            <w:pPr>
              <w:widowControl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85,7</w:t>
            </w:r>
          </w:p>
        </w:tc>
      </w:tr>
      <w:tr w:rsidR="00587B71" w:rsidRPr="00587B71" w:rsidTr="00587B71">
        <w:trPr>
          <w:trHeight w:val="262"/>
          <w:jc w:val="center"/>
        </w:trPr>
        <w:tc>
          <w:tcPr>
            <w:tcW w:w="2296" w:type="dxa"/>
            <w:noWrap/>
            <w:vAlign w:val="center"/>
          </w:tcPr>
          <w:p w:rsidR="00587B71" w:rsidRPr="00587B71" w:rsidRDefault="00587B71" w:rsidP="00587B71">
            <w:pPr>
              <w:widowControl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2011</w:t>
            </w:r>
          </w:p>
        </w:tc>
        <w:tc>
          <w:tcPr>
            <w:tcW w:w="951" w:type="dxa"/>
            <w:shd w:val="clear" w:color="auto" w:fill="FFFFFF"/>
            <w:vAlign w:val="center"/>
          </w:tcPr>
          <w:p w:rsidR="00587B71" w:rsidRPr="00587B71" w:rsidRDefault="00587B71" w:rsidP="00587B71">
            <w:pPr>
              <w:widowControl w:val="0"/>
              <w:spacing w:after="0" w:line="240" w:lineRule="auto"/>
              <w:jc w:val="center"/>
              <w:rPr>
                <w:rFonts w:ascii="Arial" w:eastAsia="Times New Roman" w:hAnsi="Arial" w:cs="Arial"/>
                <w:color w:val="000000"/>
                <w:sz w:val="24"/>
                <w:szCs w:val="24"/>
                <w:lang w:eastAsia="ro-RO"/>
              </w:rPr>
            </w:pPr>
            <w:r w:rsidRPr="00587B71">
              <w:rPr>
                <w:rFonts w:ascii="Arial" w:eastAsia="Times New Roman" w:hAnsi="Arial" w:cs="Arial"/>
                <w:color w:val="000000"/>
                <w:sz w:val="24"/>
                <w:szCs w:val="24"/>
                <w:lang w:eastAsia="ro-RO"/>
              </w:rPr>
              <w:t>1388</w:t>
            </w:r>
          </w:p>
        </w:tc>
        <w:tc>
          <w:tcPr>
            <w:tcW w:w="951" w:type="dxa"/>
            <w:shd w:val="clear" w:color="auto" w:fill="FFFFFF"/>
            <w:vAlign w:val="center"/>
          </w:tcPr>
          <w:p w:rsidR="00587B71" w:rsidRPr="00587B71" w:rsidRDefault="00587B71" w:rsidP="00587B71">
            <w:pPr>
              <w:widowControl w:val="0"/>
              <w:spacing w:after="0" w:line="240" w:lineRule="auto"/>
              <w:jc w:val="center"/>
              <w:rPr>
                <w:rFonts w:ascii="Arial" w:eastAsia="Times New Roman" w:hAnsi="Arial" w:cs="Arial"/>
                <w:color w:val="000000"/>
                <w:sz w:val="24"/>
                <w:szCs w:val="24"/>
                <w:lang w:eastAsia="ro-RO"/>
              </w:rPr>
            </w:pPr>
            <w:r w:rsidRPr="00587B71">
              <w:rPr>
                <w:rFonts w:ascii="Arial" w:eastAsia="Times New Roman" w:hAnsi="Arial" w:cs="Arial"/>
                <w:color w:val="000000"/>
                <w:sz w:val="24"/>
                <w:szCs w:val="24"/>
                <w:lang w:eastAsia="ro-RO"/>
              </w:rPr>
              <w:t>4254,8</w:t>
            </w:r>
          </w:p>
        </w:tc>
        <w:tc>
          <w:tcPr>
            <w:tcW w:w="723" w:type="dxa"/>
            <w:shd w:val="clear" w:color="auto" w:fill="FFFFFF"/>
            <w:vAlign w:val="center"/>
          </w:tcPr>
          <w:p w:rsidR="00587B71" w:rsidRPr="00587B71" w:rsidRDefault="00587B71" w:rsidP="00587B71">
            <w:pPr>
              <w:widowControl w:val="0"/>
              <w:spacing w:after="0" w:line="240" w:lineRule="auto"/>
              <w:jc w:val="center"/>
              <w:rPr>
                <w:rFonts w:ascii="Arial" w:eastAsia="Times New Roman" w:hAnsi="Arial" w:cs="Arial"/>
                <w:color w:val="000000"/>
                <w:sz w:val="24"/>
                <w:szCs w:val="24"/>
                <w:lang w:eastAsia="ro-RO"/>
              </w:rPr>
            </w:pPr>
            <w:r w:rsidRPr="00587B71">
              <w:rPr>
                <w:rFonts w:ascii="Arial" w:eastAsia="Times New Roman" w:hAnsi="Arial" w:cs="Arial"/>
                <w:color w:val="000000"/>
                <w:sz w:val="24"/>
                <w:szCs w:val="24"/>
                <w:lang w:eastAsia="ro-RO"/>
              </w:rPr>
              <w:t>10,2</w:t>
            </w:r>
          </w:p>
        </w:tc>
        <w:tc>
          <w:tcPr>
            <w:tcW w:w="723" w:type="dxa"/>
            <w:shd w:val="clear" w:color="auto" w:fill="FFFFFF"/>
            <w:vAlign w:val="center"/>
          </w:tcPr>
          <w:p w:rsidR="00587B71" w:rsidRPr="00587B71" w:rsidRDefault="00587B71" w:rsidP="00587B71">
            <w:pPr>
              <w:widowControl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5,9</w:t>
            </w:r>
          </w:p>
        </w:tc>
        <w:tc>
          <w:tcPr>
            <w:tcW w:w="1110" w:type="dxa"/>
            <w:shd w:val="clear" w:color="auto" w:fill="FFFFFF"/>
            <w:vAlign w:val="center"/>
          </w:tcPr>
          <w:p w:rsidR="00587B71" w:rsidRPr="00587B71" w:rsidRDefault="00587B71" w:rsidP="00587B71">
            <w:pPr>
              <w:widowControl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694,1</w:t>
            </w:r>
          </w:p>
        </w:tc>
        <w:tc>
          <w:tcPr>
            <w:tcW w:w="723" w:type="dxa"/>
            <w:shd w:val="clear" w:color="auto" w:fill="FFFFFF"/>
          </w:tcPr>
          <w:p w:rsidR="00587B71" w:rsidRPr="00587B71" w:rsidRDefault="00587B71" w:rsidP="00587B71">
            <w:pPr>
              <w:widowControl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28,5</w:t>
            </w:r>
          </w:p>
        </w:tc>
        <w:tc>
          <w:tcPr>
            <w:tcW w:w="754" w:type="dxa"/>
            <w:shd w:val="clear" w:color="auto" w:fill="FFFFFF"/>
          </w:tcPr>
          <w:p w:rsidR="00587B71" w:rsidRPr="00587B71" w:rsidRDefault="00587B71" w:rsidP="00587B71">
            <w:pPr>
              <w:widowControl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54,8</w:t>
            </w:r>
          </w:p>
        </w:tc>
        <w:tc>
          <w:tcPr>
            <w:tcW w:w="817" w:type="dxa"/>
            <w:shd w:val="clear" w:color="auto" w:fill="FFFFFF"/>
          </w:tcPr>
          <w:p w:rsidR="00587B71" w:rsidRPr="00587B71" w:rsidRDefault="00587B71" w:rsidP="00587B71">
            <w:pPr>
              <w:widowControl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93,1</w:t>
            </w:r>
          </w:p>
        </w:tc>
      </w:tr>
      <w:tr w:rsidR="00587B71" w:rsidRPr="00587B71" w:rsidTr="00587B71">
        <w:trPr>
          <w:trHeight w:val="262"/>
          <w:jc w:val="center"/>
        </w:trPr>
        <w:tc>
          <w:tcPr>
            <w:tcW w:w="2296" w:type="dxa"/>
            <w:noWrap/>
            <w:vAlign w:val="center"/>
          </w:tcPr>
          <w:p w:rsidR="00587B71" w:rsidRPr="00587B71" w:rsidRDefault="00587B71" w:rsidP="00587B71">
            <w:pPr>
              <w:widowControl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2012</w:t>
            </w:r>
          </w:p>
        </w:tc>
        <w:tc>
          <w:tcPr>
            <w:tcW w:w="951" w:type="dxa"/>
            <w:shd w:val="clear" w:color="auto" w:fill="FFFFFF"/>
            <w:vAlign w:val="center"/>
          </w:tcPr>
          <w:p w:rsidR="00587B71" w:rsidRPr="00587B71" w:rsidRDefault="00587B71" w:rsidP="00587B71">
            <w:pPr>
              <w:widowControl w:val="0"/>
              <w:spacing w:after="0" w:line="240" w:lineRule="auto"/>
              <w:jc w:val="center"/>
              <w:rPr>
                <w:rFonts w:ascii="Arial" w:eastAsia="Times New Roman" w:hAnsi="Arial" w:cs="Arial"/>
                <w:color w:val="000000"/>
                <w:sz w:val="24"/>
                <w:szCs w:val="24"/>
                <w:lang w:eastAsia="ro-RO"/>
              </w:rPr>
            </w:pPr>
            <w:r w:rsidRPr="00587B71">
              <w:rPr>
                <w:rFonts w:ascii="Arial" w:eastAsia="Times New Roman" w:hAnsi="Arial" w:cs="Arial"/>
                <w:color w:val="000000"/>
                <w:sz w:val="24"/>
                <w:szCs w:val="24"/>
                <w:lang w:eastAsia="ro-RO"/>
              </w:rPr>
              <w:t>1387,6</w:t>
            </w:r>
          </w:p>
        </w:tc>
        <w:tc>
          <w:tcPr>
            <w:tcW w:w="951" w:type="dxa"/>
            <w:shd w:val="clear" w:color="auto" w:fill="FFFFFF"/>
            <w:vAlign w:val="center"/>
          </w:tcPr>
          <w:p w:rsidR="00587B71" w:rsidRPr="00587B71" w:rsidRDefault="00587B71" w:rsidP="00587B71">
            <w:pPr>
              <w:widowControl w:val="0"/>
              <w:spacing w:after="0" w:line="240" w:lineRule="auto"/>
              <w:jc w:val="center"/>
              <w:rPr>
                <w:rFonts w:ascii="Arial" w:eastAsia="Times New Roman" w:hAnsi="Arial" w:cs="Arial"/>
                <w:color w:val="000000"/>
                <w:sz w:val="24"/>
                <w:szCs w:val="24"/>
                <w:lang w:eastAsia="ro-RO"/>
              </w:rPr>
            </w:pPr>
            <w:r w:rsidRPr="00587B71">
              <w:rPr>
                <w:rFonts w:ascii="Arial" w:eastAsia="Times New Roman" w:hAnsi="Arial" w:cs="Arial"/>
                <w:color w:val="000000"/>
                <w:sz w:val="24"/>
                <w:szCs w:val="24"/>
              </w:rPr>
              <w:t>4222,5</w:t>
            </w:r>
          </w:p>
        </w:tc>
        <w:tc>
          <w:tcPr>
            <w:tcW w:w="723" w:type="dxa"/>
            <w:shd w:val="clear" w:color="auto" w:fill="FFFFFF"/>
            <w:vAlign w:val="center"/>
          </w:tcPr>
          <w:p w:rsidR="00587B71" w:rsidRPr="00587B71" w:rsidRDefault="00587B71" w:rsidP="00587B71">
            <w:pPr>
              <w:widowControl w:val="0"/>
              <w:spacing w:after="0" w:line="240" w:lineRule="auto"/>
              <w:jc w:val="center"/>
              <w:rPr>
                <w:rFonts w:ascii="Arial" w:eastAsia="Times New Roman" w:hAnsi="Arial" w:cs="Arial"/>
                <w:color w:val="000000"/>
                <w:sz w:val="24"/>
                <w:szCs w:val="24"/>
                <w:lang w:eastAsia="ro-RO"/>
              </w:rPr>
            </w:pPr>
            <w:r w:rsidRPr="00587B71">
              <w:rPr>
                <w:rFonts w:ascii="Arial" w:eastAsia="Times New Roman" w:hAnsi="Arial" w:cs="Arial"/>
                <w:color w:val="000000"/>
                <w:sz w:val="24"/>
                <w:szCs w:val="24"/>
                <w:lang w:eastAsia="ro-RO"/>
              </w:rPr>
              <w:t>16,8</w:t>
            </w:r>
          </w:p>
        </w:tc>
        <w:tc>
          <w:tcPr>
            <w:tcW w:w="723" w:type="dxa"/>
            <w:shd w:val="clear" w:color="auto" w:fill="FFFFFF"/>
            <w:vAlign w:val="center"/>
          </w:tcPr>
          <w:p w:rsidR="00587B71" w:rsidRPr="00587B71" w:rsidRDefault="00587B71" w:rsidP="00587B71">
            <w:pPr>
              <w:widowControl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6,9</w:t>
            </w:r>
          </w:p>
        </w:tc>
        <w:tc>
          <w:tcPr>
            <w:tcW w:w="1110" w:type="dxa"/>
            <w:shd w:val="clear" w:color="auto" w:fill="FFFFFF"/>
            <w:vAlign w:val="center"/>
          </w:tcPr>
          <w:p w:rsidR="00587B71" w:rsidRPr="00587B71" w:rsidRDefault="00587B71" w:rsidP="00587B71">
            <w:pPr>
              <w:widowControl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587,6</w:t>
            </w:r>
          </w:p>
        </w:tc>
        <w:tc>
          <w:tcPr>
            <w:tcW w:w="723" w:type="dxa"/>
            <w:shd w:val="clear" w:color="auto" w:fill="FFFFFF"/>
          </w:tcPr>
          <w:p w:rsidR="00587B71" w:rsidRPr="00587B71" w:rsidRDefault="00587B71" w:rsidP="00587B71">
            <w:pPr>
              <w:widowControl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36,6</w:t>
            </w:r>
          </w:p>
        </w:tc>
        <w:tc>
          <w:tcPr>
            <w:tcW w:w="754" w:type="dxa"/>
            <w:shd w:val="clear" w:color="auto" w:fill="FFFFFF"/>
          </w:tcPr>
          <w:p w:rsidR="00587B71" w:rsidRPr="00587B71" w:rsidRDefault="00587B71" w:rsidP="00587B71">
            <w:pPr>
              <w:widowControl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48,1</w:t>
            </w:r>
          </w:p>
        </w:tc>
        <w:tc>
          <w:tcPr>
            <w:tcW w:w="817" w:type="dxa"/>
            <w:shd w:val="clear" w:color="auto" w:fill="FFFFFF"/>
          </w:tcPr>
          <w:p w:rsidR="00587B71" w:rsidRPr="00587B71" w:rsidRDefault="00587B71" w:rsidP="00587B71">
            <w:pPr>
              <w:widowControl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201,1</w:t>
            </w:r>
          </w:p>
        </w:tc>
      </w:tr>
      <w:tr w:rsidR="00587B71" w:rsidRPr="00587B71" w:rsidTr="00587B71">
        <w:trPr>
          <w:trHeight w:val="262"/>
          <w:jc w:val="center"/>
        </w:trPr>
        <w:tc>
          <w:tcPr>
            <w:tcW w:w="2296" w:type="dxa"/>
            <w:noWrap/>
            <w:vAlign w:val="center"/>
          </w:tcPr>
          <w:p w:rsidR="00587B71" w:rsidRPr="00587B71" w:rsidRDefault="00587B71" w:rsidP="00587B71">
            <w:pPr>
              <w:widowControl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2013</w:t>
            </w:r>
          </w:p>
        </w:tc>
        <w:tc>
          <w:tcPr>
            <w:tcW w:w="951" w:type="dxa"/>
            <w:shd w:val="clear" w:color="auto" w:fill="FFFFFF"/>
            <w:vAlign w:val="center"/>
          </w:tcPr>
          <w:p w:rsidR="00587B71" w:rsidRPr="00587B71" w:rsidRDefault="00587B71" w:rsidP="00587B71">
            <w:pPr>
              <w:widowControl w:val="0"/>
              <w:spacing w:after="0" w:line="240" w:lineRule="auto"/>
              <w:jc w:val="center"/>
              <w:rPr>
                <w:rFonts w:ascii="Arial" w:eastAsia="Times New Roman" w:hAnsi="Arial" w:cs="Arial"/>
                <w:color w:val="000000"/>
                <w:sz w:val="24"/>
                <w:szCs w:val="24"/>
                <w:lang w:eastAsia="ro-RO"/>
              </w:rPr>
            </w:pPr>
            <w:r w:rsidRPr="00587B71">
              <w:rPr>
                <w:rFonts w:ascii="Arial" w:eastAsia="Times New Roman" w:hAnsi="Arial" w:cs="Arial"/>
                <w:color w:val="000000"/>
                <w:sz w:val="24"/>
                <w:szCs w:val="24"/>
                <w:lang w:eastAsia="ro-RO"/>
              </w:rPr>
              <w:t>739,4</w:t>
            </w:r>
          </w:p>
        </w:tc>
        <w:tc>
          <w:tcPr>
            <w:tcW w:w="951" w:type="dxa"/>
            <w:shd w:val="clear" w:color="auto" w:fill="FFFFFF"/>
            <w:vAlign w:val="center"/>
          </w:tcPr>
          <w:p w:rsidR="00587B71" w:rsidRPr="00587B71" w:rsidRDefault="00587B71" w:rsidP="00587B71">
            <w:pPr>
              <w:widowControl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1484,4</w:t>
            </w:r>
          </w:p>
        </w:tc>
        <w:tc>
          <w:tcPr>
            <w:tcW w:w="723" w:type="dxa"/>
            <w:shd w:val="clear" w:color="auto" w:fill="FFFFFF"/>
            <w:vAlign w:val="center"/>
          </w:tcPr>
          <w:p w:rsidR="00587B71" w:rsidRPr="00587B71" w:rsidRDefault="00587B71" w:rsidP="00587B71">
            <w:pPr>
              <w:widowControl w:val="0"/>
              <w:spacing w:after="0" w:line="240" w:lineRule="auto"/>
              <w:jc w:val="center"/>
              <w:rPr>
                <w:rFonts w:ascii="Arial" w:eastAsia="Times New Roman" w:hAnsi="Arial" w:cs="Arial"/>
                <w:color w:val="000000"/>
                <w:sz w:val="24"/>
                <w:szCs w:val="24"/>
                <w:lang w:eastAsia="ro-RO"/>
              </w:rPr>
            </w:pPr>
            <w:r w:rsidRPr="00587B71">
              <w:rPr>
                <w:rFonts w:ascii="Arial" w:eastAsia="Times New Roman" w:hAnsi="Arial" w:cs="Arial"/>
                <w:color w:val="000000"/>
                <w:sz w:val="24"/>
                <w:szCs w:val="24"/>
                <w:lang w:eastAsia="ro-RO"/>
              </w:rPr>
              <w:t>5,09</w:t>
            </w:r>
          </w:p>
        </w:tc>
        <w:tc>
          <w:tcPr>
            <w:tcW w:w="723" w:type="dxa"/>
            <w:shd w:val="clear" w:color="auto" w:fill="FFFFFF"/>
            <w:vAlign w:val="center"/>
          </w:tcPr>
          <w:p w:rsidR="00587B71" w:rsidRPr="00587B71" w:rsidRDefault="00587B71" w:rsidP="00587B71">
            <w:pPr>
              <w:widowControl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2,7</w:t>
            </w:r>
          </w:p>
        </w:tc>
        <w:tc>
          <w:tcPr>
            <w:tcW w:w="1110" w:type="dxa"/>
            <w:shd w:val="clear" w:color="auto" w:fill="FFFFFF"/>
            <w:vAlign w:val="center"/>
          </w:tcPr>
          <w:p w:rsidR="00587B71" w:rsidRPr="00587B71" w:rsidRDefault="00587B71" w:rsidP="00587B71">
            <w:pPr>
              <w:widowControl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189,8</w:t>
            </w:r>
          </w:p>
        </w:tc>
        <w:tc>
          <w:tcPr>
            <w:tcW w:w="723" w:type="dxa"/>
            <w:shd w:val="clear" w:color="auto" w:fill="FFFFFF"/>
          </w:tcPr>
          <w:p w:rsidR="00587B71" w:rsidRPr="00587B71" w:rsidRDefault="00587B71" w:rsidP="00587B71">
            <w:pPr>
              <w:widowControl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20,6</w:t>
            </w:r>
          </w:p>
        </w:tc>
        <w:tc>
          <w:tcPr>
            <w:tcW w:w="754" w:type="dxa"/>
            <w:shd w:val="clear" w:color="auto" w:fill="FFFFFF"/>
          </w:tcPr>
          <w:p w:rsidR="00587B71" w:rsidRPr="00587B71" w:rsidRDefault="00587B71" w:rsidP="00587B71">
            <w:pPr>
              <w:widowControl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28,1</w:t>
            </w:r>
          </w:p>
        </w:tc>
        <w:tc>
          <w:tcPr>
            <w:tcW w:w="817" w:type="dxa"/>
            <w:shd w:val="clear" w:color="auto" w:fill="FFFFFF"/>
          </w:tcPr>
          <w:p w:rsidR="00587B71" w:rsidRPr="00587B71" w:rsidRDefault="00587B71" w:rsidP="00587B71">
            <w:pPr>
              <w:widowControl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96,4</w:t>
            </w:r>
          </w:p>
        </w:tc>
      </w:tr>
      <w:tr w:rsidR="00587B71" w:rsidRPr="00587B71" w:rsidTr="00587B71">
        <w:trPr>
          <w:trHeight w:val="262"/>
          <w:jc w:val="center"/>
        </w:trPr>
        <w:tc>
          <w:tcPr>
            <w:tcW w:w="2296" w:type="dxa"/>
            <w:noWrap/>
            <w:vAlign w:val="center"/>
          </w:tcPr>
          <w:p w:rsidR="00587B71" w:rsidRPr="00587B71" w:rsidRDefault="00587B71" w:rsidP="00587B71">
            <w:pPr>
              <w:widowControl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2014</w:t>
            </w:r>
          </w:p>
        </w:tc>
        <w:tc>
          <w:tcPr>
            <w:tcW w:w="951" w:type="dxa"/>
            <w:shd w:val="clear" w:color="auto" w:fill="FFFFFF"/>
            <w:vAlign w:val="center"/>
          </w:tcPr>
          <w:p w:rsidR="00587B71" w:rsidRPr="00587B71" w:rsidRDefault="003B7DB0" w:rsidP="00587B71">
            <w:pPr>
              <w:widowControl w:val="0"/>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610</w:t>
            </w:r>
          </w:p>
        </w:tc>
        <w:tc>
          <w:tcPr>
            <w:tcW w:w="951" w:type="dxa"/>
            <w:shd w:val="clear" w:color="auto" w:fill="FFFFFF"/>
            <w:vAlign w:val="center"/>
          </w:tcPr>
          <w:p w:rsidR="00587B71" w:rsidRPr="00587B71" w:rsidRDefault="00587B71" w:rsidP="00587B71">
            <w:pPr>
              <w:widowControl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1442,5</w:t>
            </w:r>
          </w:p>
        </w:tc>
        <w:tc>
          <w:tcPr>
            <w:tcW w:w="723" w:type="dxa"/>
            <w:shd w:val="clear" w:color="auto" w:fill="FFFFFF"/>
            <w:vAlign w:val="center"/>
          </w:tcPr>
          <w:p w:rsidR="00587B71" w:rsidRPr="00587B71" w:rsidRDefault="00587B71" w:rsidP="00587B71">
            <w:pPr>
              <w:widowControl w:val="0"/>
              <w:spacing w:after="0" w:line="240" w:lineRule="auto"/>
              <w:jc w:val="center"/>
              <w:rPr>
                <w:rFonts w:ascii="Arial" w:eastAsia="Times New Roman" w:hAnsi="Arial" w:cs="Arial"/>
                <w:color w:val="000000"/>
                <w:sz w:val="24"/>
                <w:szCs w:val="24"/>
                <w:lang w:eastAsia="ro-RO"/>
              </w:rPr>
            </w:pPr>
            <w:r w:rsidRPr="00587B71">
              <w:rPr>
                <w:rFonts w:ascii="Arial" w:eastAsia="Times New Roman" w:hAnsi="Arial" w:cs="Arial"/>
                <w:color w:val="000000"/>
                <w:sz w:val="24"/>
                <w:szCs w:val="24"/>
                <w:lang w:eastAsia="ro-RO"/>
              </w:rPr>
              <w:t>5,28</w:t>
            </w:r>
          </w:p>
        </w:tc>
        <w:tc>
          <w:tcPr>
            <w:tcW w:w="723" w:type="dxa"/>
            <w:shd w:val="clear" w:color="auto" w:fill="FFFFFF"/>
            <w:vAlign w:val="center"/>
          </w:tcPr>
          <w:p w:rsidR="00587B71" w:rsidRPr="00587B71" w:rsidRDefault="00587B71" w:rsidP="00587B71">
            <w:pPr>
              <w:widowControl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3,12</w:t>
            </w:r>
          </w:p>
        </w:tc>
        <w:tc>
          <w:tcPr>
            <w:tcW w:w="1110" w:type="dxa"/>
            <w:shd w:val="clear" w:color="auto" w:fill="FFFFFF"/>
            <w:vAlign w:val="center"/>
          </w:tcPr>
          <w:p w:rsidR="00587B71" w:rsidRPr="00587B71" w:rsidRDefault="00587B71" w:rsidP="00587B71">
            <w:pPr>
              <w:widowControl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179,6</w:t>
            </w:r>
          </w:p>
        </w:tc>
        <w:tc>
          <w:tcPr>
            <w:tcW w:w="723" w:type="dxa"/>
            <w:shd w:val="clear" w:color="auto" w:fill="FFFFFF"/>
          </w:tcPr>
          <w:p w:rsidR="00587B71" w:rsidRPr="00587B71" w:rsidRDefault="00587B71" w:rsidP="00587B71">
            <w:pPr>
              <w:widowControl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15,8</w:t>
            </w:r>
          </w:p>
        </w:tc>
        <w:tc>
          <w:tcPr>
            <w:tcW w:w="754" w:type="dxa"/>
            <w:shd w:val="clear" w:color="auto" w:fill="FFFFFF"/>
          </w:tcPr>
          <w:p w:rsidR="00587B71" w:rsidRPr="00587B71" w:rsidRDefault="00587B71" w:rsidP="00587B71">
            <w:pPr>
              <w:widowControl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34,0</w:t>
            </w:r>
          </w:p>
        </w:tc>
        <w:tc>
          <w:tcPr>
            <w:tcW w:w="817" w:type="dxa"/>
            <w:shd w:val="clear" w:color="auto" w:fill="FFFFFF"/>
          </w:tcPr>
          <w:p w:rsidR="00587B71" w:rsidRPr="00587B71" w:rsidRDefault="00587B71" w:rsidP="00587B71">
            <w:pPr>
              <w:widowControl w:val="0"/>
              <w:spacing w:after="0" w:line="240" w:lineRule="auto"/>
              <w:jc w:val="center"/>
              <w:rPr>
                <w:rFonts w:ascii="Arial" w:eastAsia="Times New Roman" w:hAnsi="Arial" w:cs="Arial"/>
                <w:color w:val="000000"/>
                <w:sz w:val="24"/>
                <w:szCs w:val="24"/>
              </w:rPr>
            </w:pPr>
            <w:r w:rsidRPr="00587B71">
              <w:rPr>
                <w:rFonts w:ascii="Arial" w:eastAsia="Times New Roman" w:hAnsi="Arial" w:cs="Arial"/>
                <w:color w:val="000000"/>
                <w:sz w:val="24"/>
                <w:szCs w:val="24"/>
              </w:rPr>
              <w:t>101,8</w:t>
            </w:r>
          </w:p>
        </w:tc>
      </w:tr>
      <w:tr w:rsidR="00587B71" w:rsidRPr="00587B71" w:rsidTr="00587B71">
        <w:trPr>
          <w:trHeight w:val="262"/>
          <w:jc w:val="center"/>
        </w:trPr>
        <w:tc>
          <w:tcPr>
            <w:tcW w:w="2296" w:type="dxa"/>
            <w:noWrap/>
            <w:vAlign w:val="center"/>
          </w:tcPr>
          <w:p w:rsidR="00587B71" w:rsidRPr="00587B71" w:rsidRDefault="00136324" w:rsidP="00587B71">
            <w:pPr>
              <w:widowControl w:val="0"/>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2015</w:t>
            </w:r>
          </w:p>
        </w:tc>
        <w:tc>
          <w:tcPr>
            <w:tcW w:w="951" w:type="dxa"/>
            <w:shd w:val="clear" w:color="auto" w:fill="FFFFFF"/>
            <w:vAlign w:val="center"/>
          </w:tcPr>
          <w:p w:rsidR="00587B71" w:rsidRPr="00587B71" w:rsidRDefault="00136324" w:rsidP="00587B71">
            <w:pPr>
              <w:widowControl w:val="0"/>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610,7</w:t>
            </w:r>
          </w:p>
        </w:tc>
        <w:tc>
          <w:tcPr>
            <w:tcW w:w="951" w:type="dxa"/>
            <w:shd w:val="clear" w:color="auto" w:fill="FFFFFF"/>
            <w:vAlign w:val="center"/>
          </w:tcPr>
          <w:p w:rsidR="00587B71" w:rsidRPr="00587B71" w:rsidRDefault="006D1BC2" w:rsidP="00587B71">
            <w:pPr>
              <w:widowControl w:val="0"/>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1443</w:t>
            </w:r>
          </w:p>
        </w:tc>
        <w:tc>
          <w:tcPr>
            <w:tcW w:w="723" w:type="dxa"/>
            <w:shd w:val="clear" w:color="auto" w:fill="FFFFFF"/>
            <w:vAlign w:val="center"/>
          </w:tcPr>
          <w:p w:rsidR="00587B71" w:rsidRPr="00587B71" w:rsidRDefault="00136324" w:rsidP="00587B71">
            <w:pPr>
              <w:widowControl w:val="0"/>
              <w:spacing w:after="0" w:line="240" w:lineRule="auto"/>
              <w:jc w:val="center"/>
              <w:rPr>
                <w:rFonts w:ascii="Arial" w:eastAsia="Times New Roman" w:hAnsi="Arial" w:cs="Arial"/>
                <w:color w:val="000000"/>
                <w:sz w:val="24"/>
                <w:szCs w:val="24"/>
                <w:lang w:eastAsia="ro-RO"/>
              </w:rPr>
            </w:pPr>
            <w:r>
              <w:rPr>
                <w:rFonts w:ascii="Arial" w:eastAsia="Times New Roman" w:hAnsi="Arial" w:cs="Arial"/>
                <w:color w:val="000000"/>
                <w:sz w:val="24"/>
                <w:szCs w:val="24"/>
                <w:lang w:eastAsia="ro-RO"/>
              </w:rPr>
              <w:t>6.75</w:t>
            </w:r>
          </w:p>
        </w:tc>
        <w:tc>
          <w:tcPr>
            <w:tcW w:w="723" w:type="dxa"/>
            <w:shd w:val="clear" w:color="auto" w:fill="FFFFFF"/>
            <w:vAlign w:val="center"/>
          </w:tcPr>
          <w:p w:rsidR="00587B71" w:rsidRPr="00587B71" w:rsidRDefault="006D1BC2" w:rsidP="00587B71">
            <w:pPr>
              <w:widowControl w:val="0"/>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3.12</w:t>
            </w:r>
          </w:p>
        </w:tc>
        <w:tc>
          <w:tcPr>
            <w:tcW w:w="1110" w:type="dxa"/>
            <w:shd w:val="clear" w:color="auto" w:fill="FFFFFF"/>
            <w:vAlign w:val="center"/>
          </w:tcPr>
          <w:p w:rsidR="00587B71" w:rsidRPr="00587B71" w:rsidRDefault="00136324" w:rsidP="00587B71">
            <w:pPr>
              <w:widowControl w:val="0"/>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179,53</w:t>
            </w:r>
          </w:p>
        </w:tc>
        <w:tc>
          <w:tcPr>
            <w:tcW w:w="723" w:type="dxa"/>
            <w:shd w:val="clear" w:color="auto" w:fill="FFFFFF"/>
          </w:tcPr>
          <w:p w:rsidR="00587B71" w:rsidRPr="00587B71" w:rsidRDefault="006D1BC2" w:rsidP="00587B71">
            <w:pPr>
              <w:widowControl w:val="0"/>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15.4</w:t>
            </w:r>
          </w:p>
        </w:tc>
        <w:tc>
          <w:tcPr>
            <w:tcW w:w="754" w:type="dxa"/>
            <w:shd w:val="clear" w:color="auto" w:fill="FFFFFF"/>
          </w:tcPr>
          <w:p w:rsidR="00587B71" w:rsidRPr="00587B71" w:rsidRDefault="006D1BC2" w:rsidP="00587B71">
            <w:pPr>
              <w:widowControl w:val="0"/>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34,0</w:t>
            </w:r>
          </w:p>
        </w:tc>
        <w:tc>
          <w:tcPr>
            <w:tcW w:w="817" w:type="dxa"/>
            <w:shd w:val="clear" w:color="auto" w:fill="FFFFFF"/>
          </w:tcPr>
          <w:p w:rsidR="00587B71" w:rsidRPr="00587B71" w:rsidRDefault="006D1BC2" w:rsidP="00587B71">
            <w:pPr>
              <w:widowControl w:val="0"/>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58.6</w:t>
            </w:r>
          </w:p>
        </w:tc>
      </w:tr>
    </w:tbl>
    <w:p w:rsidR="00587B71" w:rsidRPr="00587B71" w:rsidRDefault="00587B71" w:rsidP="00587B71">
      <w:pPr>
        <w:widowControl w:val="0"/>
        <w:autoSpaceDE w:val="0"/>
        <w:autoSpaceDN w:val="0"/>
        <w:adjustRightInd w:val="0"/>
        <w:spacing w:after="0" w:line="240" w:lineRule="auto"/>
        <w:jc w:val="both"/>
        <w:rPr>
          <w:rFonts w:ascii="Arial" w:eastAsia="Times New Roman" w:hAnsi="Arial" w:cs="Arial"/>
          <w:b/>
          <w:color w:val="FF0000"/>
          <w:sz w:val="10"/>
          <w:szCs w:val="10"/>
        </w:rPr>
      </w:pPr>
    </w:p>
    <w:p w:rsidR="00587B71" w:rsidRPr="00587B71" w:rsidRDefault="00587B71" w:rsidP="00587B71">
      <w:pPr>
        <w:widowControl w:val="0"/>
        <w:autoSpaceDE w:val="0"/>
        <w:autoSpaceDN w:val="0"/>
        <w:adjustRightInd w:val="0"/>
        <w:spacing w:after="0" w:line="240" w:lineRule="auto"/>
        <w:jc w:val="both"/>
        <w:rPr>
          <w:rFonts w:ascii="Arial" w:eastAsia="Times New Roman" w:hAnsi="Arial" w:cs="Arial"/>
          <w:b/>
          <w:color w:val="000000"/>
          <w:sz w:val="20"/>
          <w:szCs w:val="20"/>
        </w:rPr>
      </w:pPr>
    </w:p>
    <w:p w:rsidR="00587B71" w:rsidRPr="00587B71" w:rsidRDefault="00587B71" w:rsidP="00587B71">
      <w:pPr>
        <w:widowControl w:val="0"/>
        <w:autoSpaceDE w:val="0"/>
        <w:autoSpaceDN w:val="0"/>
        <w:adjustRightInd w:val="0"/>
        <w:spacing w:after="0" w:line="240" w:lineRule="auto"/>
        <w:jc w:val="both"/>
        <w:rPr>
          <w:rFonts w:ascii="Arial" w:eastAsia="Times New Roman" w:hAnsi="Arial" w:cs="Arial"/>
          <w:color w:val="000000"/>
          <w:sz w:val="24"/>
          <w:szCs w:val="24"/>
        </w:rPr>
      </w:pPr>
      <w:r w:rsidRPr="00587B71">
        <w:rPr>
          <w:rFonts w:ascii="Arial" w:eastAsia="Times New Roman" w:hAnsi="Arial" w:cs="Arial"/>
          <w:color w:val="FF0000"/>
          <w:sz w:val="24"/>
          <w:szCs w:val="24"/>
        </w:rPr>
        <w:tab/>
      </w:r>
      <w:r w:rsidRPr="00587B71">
        <w:rPr>
          <w:rFonts w:ascii="Arial" w:eastAsia="Times New Roman" w:hAnsi="Arial" w:cs="Arial"/>
          <w:color w:val="000000"/>
          <w:sz w:val="24"/>
          <w:szCs w:val="24"/>
        </w:rPr>
        <w:t xml:space="preserve">Comparând cantităţile de poluanţi atmosferici emise din alte surse cu cele provenite din trafic, concluzionăm că impactul traficului asupra calităţii aerului şi a sănătăţii umane, mai ales în mediul urban, este adesea mai important decât cel al altor tipuri de surse de emisie. </w:t>
      </w:r>
    </w:p>
    <w:p w:rsidR="00587B71" w:rsidRPr="00587B71" w:rsidRDefault="00587B71" w:rsidP="00587B71">
      <w:pPr>
        <w:autoSpaceDE w:val="0"/>
        <w:autoSpaceDN w:val="0"/>
        <w:adjustRightInd w:val="0"/>
        <w:spacing w:after="0" w:line="240" w:lineRule="auto"/>
        <w:jc w:val="both"/>
        <w:rPr>
          <w:rFonts w:ascii="Arial" w:eastAsia="Times New Roman" w:hAnsi="Arial" w:cs="Arial"/>
          <w:color w:val="FF0000"/>
          <w:sz w:val="24"/>
          <w:szCs w:val="24"/>
        </w:rPr>
      </w:pPr>
    </w:p>
    <w:p w:rsidR="00587B71" w:rsidRPr="00587B71" w:rsidRDefault="00587B71" w:rsidP="00587B71">
      <w:pPr>
        <w:spacing w:after="0" w:line="240" w:lineRule="auto"/>
        <w:rPr>
          <w:rFonts w:ascii="Arial" w:eastAsia="Times New Roman" w:hAnsi="Arial" w:cs="Arial"/>
          <w:color w:val="000000"/>
          <w:sz w:val="24"/>
          <w:szCs w:val="24"/>
          <w:lang w:val="ro-RO"/>
        </w:rPr>
      </w:pPr>
      <w:r>
        <w:rPr>
          <w:rFonts w:ascii="Arial" w:eastAsia="Times New Roman" w:hAnsi="Arial" w:cs="Arial"/>
          <w:i/>
          <w:noProof/>
          <w:color w:val="000000"/>
          <w:spacing w:val="-1"/>
          <w:sz w:val="24"/>
          <w:szCs w:val="24"/>
        </w:rPr>
        <w:drawing>
          <wp:inline distT="0" distB="0" distL="0" distR="0">
            <wp:extent cx="6159261" cy="2570671"/>
            <wp:effectExtent l="0" t="0" r="0" b="0"/>
            <wp:docPr id="53" name="Chart 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587B71">
        <w:rPr>
          <w:rFonts w:ascii="Arial" w:eastAsia="Times New Roman" w:hAnsi="Arial" w:cs="Arial"/>
          <w:color w:val="000000"/>
          <w:sz w:val="24"/>
          <w:szCs w:val="24"/>
          <w:lang w:val="ro-RO"/>
        </w:rPr>
        <w:t xml:space="preserve">     </w:t>
      </w:r>
    </w:p>
    <w:p w:rsidR="00587B71" w:rsidRPr="00587B71" w:rsidRDefault="00587B71" w:rsidP="00587B71">
      <w:pPr>
        <w:spacing w:after="0" w:line="240" w:lineRule="auto"/>
        <w:jc w:val="center"/>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Figura I.</w:t>
      </w:r>
      <w:r w:rsidR="00136324">
        <w:rPr>
          <w:rFonts w:ascii="Arial" w:eastAsia="Times New Roman" w:hAnsi="Arial" w:cs="Arial"/>
          <w:color w:val="000000"/>
          <w:sz w:val="24"/>
          <w:szCs w:val="24"/>
          <w:lang w:val="ro-RO"/>
        </w:rPr>
        <w:t>40. Emisii provenite din trafic</w:t>
      </w:r>
    </w:p>
    <w:p w:rsidR="00587B71" w:rsidRPr="00587B71" w:rsidRDefault="00587B71" w:rsidP="00587B71">
      <w:pPr>
        <w:shd w:val="clear" w:color="auto" w:fill="FFFFFF"/>
        <w:spacing w:after="0" w:line="240" w:lineRule="auto"/>
        <w:ind w:right="10"/>
        <w:jc w:val="both"/>
        <w:rPr>
          <w:rFonts w:ascii="Arial" w:eastAsia="Times New Roman" w:hAnsi="Arial" w:cs="Arial"/>
          <w:color w:val="000000"/>
          <w:spacing w:val="-1"/>
          <w:sz w:val="24"/>
          <w:szCs w:val="24"/>
          <w:lang w:val="ro-RO"/>
        </w:rPr>
      </w:pPr>
      <w:r w:rsidRPr="00587B71">
        <w:rPr>
          <w:rFonts w:ascii="Arial" w:eastAsia="Times New Roman" w:hAnsi="Arial" w:cs="Arial"/>
          <w:color w:val="000000"/>
          <w:sz w:val="24"/>
          <w:szCs w:val="24"/>
          <w:lang w:val="ro-RO"/>
        </w:rPr>
        <w:t xml:space="preserve">I.2.1.4. </w:t>
      </w:r>
      <w:r w:rsidRPr="00587B71">
        <w:rPr>
          <w:rFonts w:ascii="Arial" w:eastAsia="Times New Roman" w:hAnsi="Arial" w:cs="Arial"/>
          <w:color w:val="000000"/>
          <w:spacing w:val="-1"/>
          <w:sz w:val="24"/>
          <w:szCs w:val="24"/>
          <w:lang w:val="ro-RO"/>
        </w:rPr>
        <w:t>Agricultura</w:t>
      </w:r>
    </w:p>
    <w:p w:rsidR="00587B71" w:rsidRPr="00587B71" w:rsidRDefault="00587B71" w:rsidP="00587B71">
      <w:pPr>
        <w:shd w:val="clear" w:color="auto" w:fill="FFFFFF"/>
        <w:spacing w:after="0" w:line="240" w:lineRule="auto"/>
        <w:ind w:left="5" w:right="10" w:firstLine="715"/>
        <w:jc w:val="both"/>
        <w:rPr>
          <w:rFonts w:ascii="Arial" w:eastAsia="Times New Roman" w:hAnsi="Arial" w:cs="Arial"/>
          <w:i/>
          <w:color w:val="000000"/>
          <w:spacing w:val="-1"/>
          <w:sz w:val="24"/>
          <w:szCs w:val="24"/>
          <w:lang w:val="ro-RO"/>
        </w:rPr>
      </w:pPr>
    </w:p>
    <w:p w:rsidR="00587B71" w:rsidRPr="00587B71" w:rsidRDefault="00587B71" w:rsidP="00587B71">
      <w:pPr>
        <w:spacing w:after="0" w:line="240" w:lineRule="auto"/>
        <w:ind w:firstLine="720"/>
        <w:rPr>
          <w:rFonts w:ascii="Arial" w:eastAsia="Times New Roman" w:hAnsi="Arial" w:cs="Arial"/>
          <w:sz w:val="24"/>
          <w:szCs w:val="24"/>
          <w:shd w:val="clear" w:color="auto" w:fill="FFFFFF"/>
          <w:lang w:val="ro-RO" w:eastAsia="ro-RO"/>
        </w:rPr>
      </w:pPr>
      <w:r w:rsidRPr="00587B71">
        <w:rPr>
          <w:rFonts w:ascii="Arial" w:eastAsia="Times New Roman" w:hAnsi="Arial" w:cs="Arial"/>
          <w:sz w:val="24"/>
          <w:szCs w:val="24"/>
          <w:shd w:val="clear" w:color="auto" w:fill="FFFFFF"/>
          <w:lang w:val="ro-RO" w:eastAsia="ro-RO"/>
        </w:rPr>
        <w:t>Producţia agricolă a cunoscut în decursul timpului un proces de înnoire şi de adaptare la cerinţele sporite de alimente, pentru o populaţie umană tot mai numeroasă şi cu pretenţii din ce în ce mai mari faţă de cantitatea şi calitatea propriei hrane.</w:t>
      </w:r>
    </w:p>
    <w:p w:rsidR="00587B71" w:rsidRPr="00587B71" w:rsidRDefault="00587B71" w:rsidP="00587B71">
      <w:pPr>
        <w:spacing w:after="0" w:line="240" w:lineRule="auto"/>
        <w:ind w:firstLine="720"/>
        <w:rPr>
          <w:rFonts w:ascii="Arial" w:eastAsia="Times New Roman" w:hAnsi="Arial" w:cs="Arial"/>
          <w:sz w:val="24"/>
          <w:szCs w:val="24"/>
          <w:lang w:val="ro-RO" w:eastAsia="ro-RO"/>
        </w:rPr>
      </w:pPr>
      <w:r w:rsidRPr="00587B71">
        <w:rPr>
          <w:rFonts w:ascii="Arial" w:eastAsia="Times New Roman" w:hAnsi="Arial" w:cs="Arial"/>
          <w:sz w:val="24"/>
          <w:szCs w:val="24"/>
          <w:lang w:val="ro-RO" w:eastAsia="ro-RO"/>
        </w:rPr>
        <w:lastRenderedPageBreak/>
        <w:t>În acest context, agricultura, alături de industrie, devine una dintre sursele importante de emisii poluante cu impact negativ asupra calităţii mediului, prin degradarea sau chiar distrugerea unor componente ale acestuia. Agricultura intensivă poate conduce la poluarea solului şi apei prin utilizarea excesivă a îngrăşămintelor, a pesticidelor, a apei de irigaţie necorespunzătoare calitativ şi cantitativ, în special pe terenurile arabile excesiv afânate prin diferite lucrări.</w:t>
      </w:r>
    </w:p>
    <w:p w:rsidR="00587B71" w:rsidRPr="00587B71" w:rsidRDefault="00587B71" w:rsidP="00587B71">
      <w:pPr>
        <w:spacing w:after="120" w:line="240" w:lineRule="auto"/>
        <w:ind w:firstLine="720"/>
        <w:rPr>
          <w:rFonts w:ascii="Times New Roman" w:eastAsia="Times New Roman" w:hAnsi="Times New Roman" w:cs="Times New Roman"/>
          <w:color w:val="FF0000"/>
          <w:sz w:val="16"/>
          <w:szCs w:val="16"/>
          <w:lang w:val="ro-RO" w:eastAsia="ro-RO"/>
        </w:rPr>
      </w:pPr>
    </w:p>
    <w:p w:rsidR="00587B71" w:rsidRPr="00587B71" w:rsidRDefault="00587B71" w:rsidP="00587B71">
      <w:pPr>
        <w:spacing w:after="0" w:line="240" w:lineRule="auto"/>
        <w:rPr>
          <w:rFonts w:ascii="Arial" w:eastAsia="Times New Roman" w:hAnsi="Arial" w:cs="Arial"/>
          <w:color w:val="000000"/>
          <w:sz w:val="24"/>
          <w:szCs w:val="24"/>
          <w:lang w:val="ro-RO"/>
        </w:rPr>
      </w:pPr>
      <w:r w:rsidRPr="00587B71">
        <w:rPr>
          <w:rFonts w:ascii="Arial" w:eastAsia="Times New Roman" w:hAnsi="Arial" w:cs="Arial"/>
          <w:color w:val="000000"/>
          <w:sz w:val="24"/>
          <w:szCs w:val="24"/>
          <w:lang w:val="ro-RO"/>
        </w:rPr>
        <w:t xml:space="preserve">Tabelul I.35. Emisii </w:t>
      </w:r>
      <w:r w:rsidR="00136324">
        <w:rPr>
          <w:rFonts w:ascii="Arial" w:eastAsia="Times New Roman" w:hAnsi="Arial" w:cs="Arial"/>
          <w:color w:val="000000"/>
          <w:sz w:val="24"/>
          <w:szCs w:val="24"/>
          <w:lang w:val="ro-RO"/>
        </w:rPr>
        <w:t>rezultate din agricultură, tone</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5"/>
        <w:gridCol w:w="1611"/>
        <w:gridCol w:w="1493"/>
        <w:gridCol w:w="1390"/>
        <w:gridCol w:w="1236"/>
        <w:gridCol w:w="1067"/>
      </w:tblGrid>
      <w:tr w:rsidR="00587B71" w:rsidRPr="00587B71" w:rsidTr="00587B71">
        <w:tc>
          <w:tcPr>
            <w:tcW w:w="2835" w:type="dxa"/>
          </w:tcPr>
          <w:p w:rsidR="00587B71" w:rsidRPr="00587B71" w:rsidRDefault="00587B71" w:rsidP="00587B71">
            <w:pPr>
              <w:spacing w:after="0" w:line="240" w:lineRule="auto"/>
              <w:rPr>
                <w:rFonts w:ascii="Arial" w:eastAsia="Times New Roman" w:hAnsi="Arial" w:cs="Arial"/>
                <w:b/>
                <w:color w:val="000000"/>
                <w:sz w:val="24"/>
                <w:szCs w:val="24"/>
                <w:lang w:val="ro-RO"/>
              </w:rPr>
            </w:pPr>
            <w:r w:rsidRPr="00587B71">
              <w:rPr>
                <w:rFonts w:ascii="Arial" w:eastAsia="Times New Roman" w:hAnsi="Arial" w:cs="Arial"/>
                <w:b/>
                <w:color w:val="000000"/>
                <w:sz w:val="24"/>
                <w:szCs w:val="24"/>
                <w:lang w:val="ro-RO"/>
              </w:rPr>
              <w:t>Poluant</w:t>
            </w:r>
          </w:p>
        </w:tc>
        <w:tc>
          <w:tcPr>
            <w:tcW w:w="1701" w:type="dxa"/>
          </w:tcPr>
          <w:p w:rsidR="00587B71" w:rsidRPr="00587B71" w:rsidRDefault="00587B71" w:rsidP="00587B71">
            <w:pPr>
              <w:spacing w:after="0" w:line="240" w:lineRule="auto"/>
              <w:jc w:val="center"/>
              <w:rPr>
                <w:rFonts w:ascii="Arial" w:eastAsia="Times New Roman" w:hAnsi="Arial" w:cs="Arial"/>
                <w:b/>
                <w:color w:val="000000"/>
                <w:sz w:val="24"/>
                <w:szCs w:val="24"/>
                <w:lang w:val="ro-RO"/>
              </w:rPr>
            </w:pPr>
            <w:r w:rsidRPr="00587B71">
              <w:rPr>
                <w:rFonts w:ascii="Arial" w:eastAsia="Times New Roman" w:hAnsi="Arial" w:cs="Arial"/>
                <w:b/>
                <w:color w:val="000000"/>
                <w:sz w:val="24"/>
                <w:szCs w:val="24"/>
                <w:lang w:val="ro-RO"/>
              </w:rPr>
              <w:t>SO2</w:t>
            </w:r>
          </w:p>
        </w:tc>
        <w:tc>
          <w:tcPr>
            <w:tcW w:w="1559" w:type="dxa"/>
          </w:tcPr>
          <w:p w:rsidR="00587B71" w:rsidRPr="00587B71" w:rsidRDefault="00587B71" w:rsidP="00587B71">
            <w:pPr>
              <w:spacing w:after="0" w:line="240" w:lineRule="auto"/>
              <w:jc w:val="center"/>
              <w:rPr>
                <w:rFonts w:ascii="Arial" w:eastAsia="Times New Roman" w:hAnsi="Arial" w:cs="Arial"/>
                <w:b/>
                <w:color w:val="000000"/>
                <w:sz w:val="24"/>
                <w:szCs w:val="24"/>
                <w:lang w:val="ro-RO"/>
              </w:rPr>
            </w:pPr>
            <w:r w:rsidRPr="00587B71">
              <w:rPr>
                <w:rFonts w:ascii="Arial" w:eastAsia="Times New Roman" w:hAnsi="Arial" w:cs="Arial"/>
                <w:b/>
                <w:color w:val="000000"/>
                <w:sz w:val="24"/>
                <w:szCs w:val="24"/>
                <w:lang w:val="ro-RO"/>
              </w:rPr>
              <w:t>NOx</w:t>
            </w:r>
          </w:p>
        </w:tc>
        <w:tc>
          <w:tcPr>
            <w:tcW w:w="1418" w:type="dxa"/>
          </w:tcPr>
          <w:p w:rsidR="00587B71" w:rsidRPr="00587B71" w:rsidRDefault="00587B71" w:rsidP="00587B71">
            <w:pPr>
              <w:spacing w:after="0" w:line="240" w:lineRule="auto"/>
              <w:jc w:val="center"/>
              <w:rPr>
                <w:rFonts w:ascii="Arial" w:eastAsia="Times New Roman" w:hAnsi="Arial" w:cs="Arial"/>
                <w:b/>
                <w:color w:val="000000"/>
                <w:sz w:val="24"/>
                <w:szCs w:val="24"/>
                <w:lang w:val="ro-RO"/>
              </w:rPr>
            </w:pPr>
            <w:r w:rsidRPr="00587B71">
              <w:rPr>
                <w:rFonts w:ascii="Arial" w:eastAsia="Times New Roman" w:hAnsi="Arial" w:cs="Arial"/>
                <w:b/>
                <w:color w:val="000000"/>
                <w:sz w:val="24"/>
                <w:szCs w:val="24"/>
                <w:lang w:val="ro-RO"/>
              </w:rPr>
              <w:t>NMVOC</w:t>
            </w:r>
          </w:p>
        </w:tc>
        <w:tc>
          <w:tcPr>
            <w:tcW w:w="1275" w:type="dxa"/>
          </w:tcPr>
          <w:p w:rsidR="00587B71" w:rsidRPr="00587B71" w:rsidRDefault="00587B71" w:rsidP="00587B71">
            <w:pPr>
              <w:spacing w:after="0" w:line="240" w:lineRule="auto"/>
              <w:jc w:val="center"/>
              <w:rPr>
                <w:rFonts w:ascii="Arial" w:eastAsia="Times New Roman" w:hAnsi="Arial" w:cs="Arial"/>
                <w:b/>
                <w:color w:val="000000"/>
                <w:sz w:val="24"/>
                <w:szCs w:val="24"/>
                <w:lang w:val="ro-RO"/>
              </w:rPr>
            </w:pPr>
            <w:r w:rsidRPr="00587B71">
              <w:rPr>
                <w:rFonts w:ascii="Arial" w:eastAsia="Times New Roman" w:hAnsi="Arial" w:cs="Arial"/>
                <w:b/>
                <w:color w:val="000000"/>
                <w:sz w:val="24"/>
                <w:szCs w:val="24"/>
                <w:lang w:val="ro-RO"/>
              </w:rPr>
              <w:t>PM10</w:t>
            </w:r>
          </w:p>
        </w:tc>
        <w:tc>
          <w:tcPr>
            <w:tcW w:w="1115" w:type="dxa"/>
          </w:tcPr>
          <w:p w:rsidR="00587B71" w:rsidRPr="00587B71" w:rsidRDefault="00587B71" w:rsidP="00587B71">
            <w:pPr>
              <w:spacing w:after="0" w:line="240" w:lineRule="auto"/>
              <w:jc w:val="center"/>
              <w:rPr>
                <w:rFonts w:ascii="Arial" w:eastAsia="Times New Roman" w:hAnsi="Arial" w:cs="Arial"/>
                <w:b/>
                <w:color w:val="000000"/>
                <w:sz w:val="24"/>
                <w:szCs w:val="24"/>
                <w:lang w:val="ro-RO"/>
              </w:rPr>
            </w:pPr>
            <w:r w:rsidRPr="00587B71">
              <w:rPr>
                <w:rFonts w:ascii="Arial" w:eastAsia="Times New Roman" w:hAnsi="Arial" w:cs="Arial"/>
                <w:b/>
                <w:color w:val="000000"/>
                <w:sz w:val="24"/>
                <w:szCs w:val="24"/>
                <w:lang w:val="ro-RO"/>
              </w:rPr>
              <w:t>CO</w:t>
            </w:r>
          </w:p>
        </w:tc>
      </w:tr>
      <w:tr w:rsidR="00587B71" w:rsidRPr="00587B71" w:rsidTr="00587B71">
        <w:tc>
          <w:tcPr>
            <w:tcW w:w="2835" w:type="dxa"/>
          </w:tcPr>
          <w:p w:rsidR="00587B71" w:rsidRPr="00136324" w:rsidRDefault="00136324" w:rsidP="00587B71">
            <w:pPr>
              <w:spacing w:after="0" w:line="240" w:lineRule="auto"/>
              <w:rPr>
                <w:rFonts w:ascii="Arial" w:eastAsia="Times New Roman" w:hAnsi="Arial" w:cs="Arial"/>
                <w:b/>
                <w:color w:val="000000"/>
                <w:sz w:val="24"/>
                <w:szCs w:val="24"/>
                <w:lang w:val="ro-RO"/>
              </w:rPr>
            </w:pPr>
            <w:r w:rsidRPr="00136324">
              <w:rPr>
                <w:rFonts w:ascii="Arial" w:eastAsia="Times New Roman" w:hAnsi="Arial" w:cs="Arial"/>
                <w:b/>
                <w:color w:val="000000"/>
                <w:sz w:val="24"/>
                <w:szCs w:val="24"/>
                <w:lang w:val="ro-RO"/>
              </w:rPr>
              <w:t>Agricultura</w:t>
            </w:r>
          </w:p>
        </w:tc>
        <w:tc>
          <w:tcPr>
            <w:tcW w:w="1701" w:type="dxa"/>
          </w:tcPr>
          <w:p w:rsidR="00587B71" w:rsidRPr="00587B71" w:rsidRDefault="00587B71" w:rsidP="00587B71">
            <w:pPr>
              <w:spacing w:after="0" w:line="240" w:lineRule="auto"/>
              <w:jc w:val="center"/>
              <w:rPr>
                <w:rFonts w:ascii="Arial" w:eastAsia="Times New Roman" w:hAnsi="Arial" w:cs="Arial"/>
                <w:color w:val="000000"/>
                <w:sz w:val="24"/>
                <w:szCs w:val="24"/>
                <w:lang w:val="ro-RO"/>
              </w:rPr>
            </w:pPr>
          </w:p>
          <w:p w:rsidR="00587B71" w:rsidRPr="00587B71" w:rsidRDefault="00B01F76" w:rsidP="00587B71">
            <w:pPr>
              <w:spacing w:after="0" w:line="240" w:lineRule="auto"/>
              <w:jc w:val="center"/>
              <w:rPr>
                <w:rFonts w:ascii="Arial" w:eastAsia="Times New Roman" w:hAnsi="Arial" w:cs="Arial"/>
                <w:color w:val="000000"/>
                <w:sz w:val="24"/>
                <w:szCs w:val="24"/>
                <w:lang w:val="ro-RO"/>
              </w:rPr>
            </w:pPr>
            <w:r>
              <w:rPr>
                <w:rFonts w:ascii="Arial" w:eastAsia="Times New Roman" w:hAnsi="Arial" w:cs="Arial"/>
                <w:color w:val="000000"/>
                <w:sz w:val="24"/>
                <w:szCs w:val="24"/>
                <w:lang w:val="ro-RO"/>
              </w:rPr>
              <w:t>0</w:t>
            </w:r>
          </w:p>
        </w:tc>
        <w:tc>
          <w:tcPr>
            <w:tcW w:w="1559" w:type="dxa"/>
          </w:tcPr>
          <w:p w:rsidR="00587B71" w:rsidRPr="00587B71" w:rsidRDefault="00587B71" w:rsidP="00587B71">
            <w:pPr>
              <w:spacing w:after="0" w:line="240" w:lineRule="auto"/>
              <w:jc w:val="center"/>
              <w:rPr>
                <w:rFonts w:ascii="Arial" w:eastAsia="Times New Roman" w:hAnsi="Arial" w:cs="Arial"/>
                <w:color w:val="000000"/>
                <w:sz w:val="24"/>
                <w:szCs w:val="24"/>
                <w:lang w:val="ro-RO"/>
              </w:rPr>
            </w:pPr>
          </w:p>
          <w:p w:rsidR="00587B71" w:rsidRPr="00587B71" w:rsidRDefault="00B01F76" w:rsidP="00587B71">
            <w:pPr>
              <w:spacing w:after="0" w:line="240" w:lineRule="auto"/>
              <w:jc w:val="center"/>
              <w:rPr>
                <w:rFonts w:ascii="Arial" w:eastAsia="Times New Roman" w:hAnsi="Arial" w:cs="Arial"/>
                <w:color w:val="000000"/>
                <w:sz w:val="24"/>
                <w:szCs w:val="24"/>
                <w:lang w:val="ro-RO"/>
              </w:rPr>
            </w:pPr>
            <w:r>
              <w:rPr>
                <w:rFonts w:ascii="Arial" w:eastAsia="Times New Roman" w:hAnsi="Arial" w:cs="Arial"/>
                <w:color w:val="000000"/>
                <w:sz w:val="24"/>
                <w:szCs w:val="24"/>
                <w:lang w:val="ro-RO"/>
              </w:rPr>
              <w:t>0,011</w:t>
            </w:r>
          </w:p>
        </w:tc>
        <w:tc>
          <w:tcPr>
            <w:tcW w:w="1418" w:type="dxa"/>
          </w:tcPr>
          <w:p w:rsidR="00587B71" w:rsidRPr="00587B71" w:rsidRDefault="00587B71" w:rsidP="00587B71">
            <w:pPr>
              <w:spacing w:after="0" w:line="240" w:lineRule="auto"/>
              <w:jc w:val="center"/>
              <w:rPr>
                <w:rFonts w:ascii="Arial" w:eastAsia="Times New Roman" w:hAnsi="Arial" w:cs="Arial"/>
                <w:color w:val="000000"/>
                <w:sz w:val="24"/>
                <w:szCs w:val="24"/>
                <w:lang w:val="ro-RO"/>
              </w:rPr>
            </w:pPr>
          </w:p>
          <w:p w:rsidR="00587B71" w:rsidRPr="00587B71" w:rsidRDefault="00B01F76" w:rsidP="00587B71">
            <w:pPr>
              <w:spacing w:after="0" w:line="240" w:lineRule="auto"/>
              <w:jc w:val="center"/>
              <w:rPr>
                <w:rFonts w:ascii="Arial" w:eastAsia="Times New Roman" w:hAnsi="Arial" w:cs="Arial"/>
                <w:color w:val="000000"/>
                <w:sz w:val="24"/>
                <w:szCs w:val="24"/>
                <w:lang w:val="ro-RO"/>
              </w:rPr>
            </w:pPr>
            <w:r>
              <w:rPr>
                <w:rFonts w:ascii="Arial" w:eastAsia="Times New Roman" w:hAnsi="Arial" w:cs="Arial"/>
                <w:color w:val="000000"/>
                <w:sz w:val="24"/>
                <w:szCs w:val="24"/>
                <w:lang w:val="ro-RO"/>
              </w:rPr>
              <w:t>322</w:t>
            </w:r>
          </w:p>
        </w:tc>
        <w:tc>
          <w:tcPr>
            <w:tcW w:w="1275" w:type="dxa"/>
          </w:tcPr>
          <w:p w:rsidR="00587B71" w:rsidRPr="00587B71" w:rsidRDefault="00587B71" w:rsidP="00587B71">
            <w:pPr>
              <w:spacing w:after="0" w:line="240" w:lineRule="auto"/>
              <w:jc w:val="center"/>
              <w:rPr>
                <w:rFonts w:ascii="Arial" w:eastAsia="Times New Roman" w:hAnsi="Arial" w:cs="Arial"/>
                <w:color w:val="000000"/>
                <w:sz w:val="24"/>
                <w:szCs w:val="24"/>
                <w:lang w:val="ro-RO"/>
              </w:rPr>
            </w:pPr>
          </w:p>
          <w:p w:rsidR="00587B71" w:rsidRPr="00587B71" w:rsidRDefault="00B01F76" w:rsidP="003B7DB0">
            <w:pPr>
              <w:spacing w:after="0" w:line="240" w:lineRule="auto"/>
              <w:jc w:val="center"/>
              <w:rPr>
                <w:rFonts w:ascii="Arial" w:eastAsia="Times New Roman" w:hAnsi="Arial" w:cs="Arial"/>
                <w:color w:val="000000"/>
                <w:sz w:val="24"/>
                <w:szCs w:val="24"/>
                <w:lang w:val="ro-RO"/>
              </w:rPr>
            </w:pPr>
            <w:r>
              <w:rPr>
                <w:rFonts w:ascii="Arial" w:eastAsia="Times New Roman" w:hAnsi="Arial" w:cs="Arial"/>
                <w:color w:val="000000"/>
                <w:sz w:val="24"/>
                <w:szCs w:val="24"/>
                <w:lang w:val="ro-RO"/>
              </w:rPr>
              <w:t>76</w:t>
            </w:r>
          </w:p>
        </w:tc>
        <w:tc>
          <w:tcPr>
            <w:tcW w:w="1115" w:type="dxa"/>
          </w:tcPr>
          <w:p w:rsidR="00587B71" w:rsidRPr="00587B71" w:rsidRDefault="00587B71" w:rsidP="00587B71">
            <w:pPr>
              <w:spacing w:after="0" w:line="240" w:lineRule="auto"/>
              <w:jc w:val="center"/>
              <w:rPr>
                <w:rFonts w:ascii="Arial" w:eastAsia="Times New Roman" w:hAnsi="Arial" w:cs="Arial"/>
                <w:color w:val="000000"/>
                <w:sz w:val="24"/>
                <w:szCs w:val="24"/>
                <w:lang w:val="ro-RO"/>
              </w:rPr>
            </w:pPr>
          </w:p>
          <w:p w:rsidR="00587B71" w:rsidRPr="00587B71" w:rsidRDefault="00B01F76" w:rsidP="003B7DB0">
            <w:pPr>
              <w:spacing w:after="0" w:line="240" w:lineRule="auto"/>
              <w:jc w:val="center"/>
              <w:rPr>
                <w:rFonts w:ascii="Arial" w:eastAsia="Times New Roman" w:hAnsi="Arial" w:cs="Arial"/>
                <w:color w:val="000000"/>
                <w:sz w:val="24"/>
                <w:szCs w:val="24"/>
                <w:lang w:val="ro-RO"/>
              </w:rPr>
            </w:pPr>
            <w:r>
              <w:rPr>
                <w:rFonts w:ascii="Arial" w:eastAsia="Times New Roman" w:hAnsi="Arial" w:cs="Arial"/>
                <w:color w:val="000000"/>
                <w:sz w:val="24"/>
                <w:szCs w:val="24"/>
                <w:lang w:val="ro-RO"/>
              </w:rPr>
              <w:t>3,6</w:t>
            </w:r>
          </w:p>
        </w:tc>
      </w:tr>
    </w:tbl>
    <w:p w:rsidR="00587B71" w:rsidRPr="00587B71" w:rsidRDefault="00587B71" w:rsidP="00587B71">
      <w:pPr>
        <w:spacing w:after="0" w:line="240" w:lineRule="auto"/>
        <w:rPr>
          <w:rFonts w:ascii="Arial" w:eastAsia="Times New Roman" w:hAnsi="Arial" w:cs="Arial"/>
          <w:color w:val="000000"/>
          <w:sz w:val="24"/>
          <w:szCs w:val="24"/>
          <w:lang w:val="ro-RO"/>
        </w:rPr>
      </w:pPr>
    </w:p>
    <w:p w:rsidR="00587B71" w:rsidRPr="00587B71" w:rsidRDefault="00587B71" w:rsidP="00587B71">
      <w:pPr>
        <w:spacing w:after="0" w:line="240" w:lineRule="auto"/>
        <w:rPr>
          <w:rFonts w:ascii="Arial" w:eastAsia="Times New Roman" w:hAnsi="Arial" w:cs="Arial"/>
          <w:b/>
          <w:color w:val="000000"/>
          <w:sz w:val="24"/>
          <w:szCs w:val="24"/>
          <w:lang w:val="ro-RO"/>
        </w:rPr>
      </w:pPr>
      <w:r>
        <w:rPr>
          <w:rFonts w:ascii="Arial" w:eastAsia="Times New Roman" w:hAnsi="Arial" w:cs="Arial"/>
          <w:b/>
          <w:noProof/>
          <w:color w:val="000000"/>
          <w:sz w:val="24"/>
          <w:szCs w:val="24"/>
        </w:rPr>
        <w:drawing>
          <wp:anchor distT="0" distB="0" distL="114300" distR="114300" simplePos="0" relativeHeight="251661312" behindDoc="0" locked="0" layoutInCell="1" allowOverlap="1">
            <wp:simplePos x="0" y="0"/>
            <wp:positionH relativeFrom="column">
              <wp:align>left</wp:align>
            </wp:positionH>
            <wp:positionV relativeFrom="paragraph">
              <wp:posOffset>177800</wp:posOffset>
            </wp:positionV>
            <wp:extent cx="5410200" cy="2181225"/>
            <wp:effectExtent l="0" t="0" r="635" b="2540"/>
            <wp:wrapSquare wrapText="right"/>
            <wp:docPr id="187" name="Chart 18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p>
    <w:p w:rsidR="00587B71" w:rsidRPr="00587B71" w:rsidRDefault="00587B71" w:rsidP="00587B71">
      <w:pPr>
        <w:spacing w:after="0" w:line="240" w:lineRule="auto"/>
        <w:jc w:val="center"/>
        <w:rPr>
          <w:rFonts w:ascii="Arial" w:eastAsia="Times New Roman" w:hAnsi="Arial" w:cs="Arial"/>
          <w:color w:val="000000"/>
          <w:sz w:val="24"/>
          <w:szCs w:val="24"/>
          <w:lang w:val="ro-RO"/>
        </w:rPr>
      </w:pPr>
      <w:r w:rsidRPr="00587B71">
        <w:rPr>
          <w:rFonts w:ascii="Arial" w:eastAsia="Times New Roman" w:hAnsi="Arial" w:cs="Arial"/>
          <w:b/>
          <w:color w:val="000000"/>
          <w:sz w:val="24"/>
          <w:szCs w:val="24"/>
          <w:lang w:val="ro-RO"/>
        </w:rPr>
        <w:br w:type="textWrapping" w:clear="all"/>
      </w:r>
      <w:r w:rsidRPr="00587B71">
        <w:rPr>
          <w:rFonts w:ascii="Arial" w:eastAsia="Times New Roman" w:hAnsi="Arial" w:cs="Arial"/>
          <w:color w:val="000000"/>
          <w:sz w:val="24"/>
          <w:szCs w:val="24"/>
          <w:lang w:val="ro-RO"/>
        </w:rPr>
        <w:t>Figura I.41. Emisii rezultate</w:t>
      </w:r>
      <w:r w:rsidR="00B01F76">
        <w:rPr>
          <w:rFonts w:ascii="Arial" w:eastAsia="Times New Roman" w:hAnsi="Arial" w:cs="Arial"/>
          <w:color w:val="000000"/>
          <w:sz w:val="24"/>
          <w:szCs w:val="24"/>
          <w:lang w:val="ro-RO"/>
        </w:rPr>
        <w:t xml:space="preserve"> din agricultură, tone</w:t>
      </w:r>
    </w:p>
    <w:p w:rsidR="00587B71" w:rsidRPr="00587B71" w:rsidRDefault="00587B71" w:rsidP="00587B71">
      <w:pPr>
        <w:spacing w:after="0" w:line="240" w:lineRule="auto"/>
        <w:jc w:val="center"/>
        <w:rPr>
          <w:rFonts w:ascii="Arial" w:eastAsia="Times New Roman" w:hAnsi="Arial" w:cs="Arial"/>
          <w:color w:val="000000"/>
          <w:sz w:val="24"/>
          <w:szCs w:val="24"/>
          <w:lang w:val="ro-RO"/>
        </w:rPr>
      </w:pPr>
    </w:p>
    <w:p w:rsidR="00587B71" w:rsidRPr="00587B71" w:rsidRDefault="00587B71" w:rsidP="00587B71">
      <w:pPr>
        <w:spacing w:after="120" w:line="240" w:lineRule="auto"/>
        <w:rPr>
          <w:rFonts w:ascii="Arial" w:eastAsia="Times New Roman" w:hAnsi="Arial" w:cs="Arial"/>
          <w:b/>
          <w:color w:val="000000"/>
          <w:sz w:val="24"/>
          <w:szCs w:val="24"/>
          <w:lang w:val="ro-RO"/>
        </w:rPr>
      </w:pPr>
      <w:r w:rsidRPr="00587B71">
        <w:rPr>
          <w:rFonts w:ascii="Arial" w:eastAsia="Times New Roman" w:hAnsi="Arial" w:cs="Arial"/>
          <w:b/>
          <w:color w:val="000000"/>
          <w:sz w:val="24"/>
          <w:szCs w:val="24"/>
          <w:lang w:val="ro-RO"/>
        </w:rPr>
        <w:t>I.3. Tendinţe şi prognoze privind poluarea aerului înconjurător</w:t>
      </w:r>
    </w:p>
    <w:p w:rsidR="00860690" w:rsidRDefault="00860690" w:rsidP="00860690">
      <w:pPr>
        <w:spacing w:after="0" w:line="240" w:lineRule="auto"/>
        <w:jc w:val="both"/>
        <w:rPr>
          <w:rFonts w:ascii="Arial" w:hAnsi="Arial" w:cs="Arial"/>
          <w:sz w:val="24"/>
          <w:szCs w:val="24"/>
        </w:rPr>
      </w:pPr>
      <w:r w:rsidRPr="006E106E">
        <w:rPr>
          <w:rFonts w:ascii="Arial" w:hAnsi="Arial" w:cs="Arial"/>
          <w:sz w:val="24"/>
          <w:szCs w:val="24"/>
        </w:rPr>
        <w:t xml:space="preserve">Nivelul emisiilor de poluanţi se poate reduce semnificativ prin punerea în practică a unor politici şi strategii de mediu cum ar fi: </w:t>
      </w:r>
    </w:p>
    <w:p w:rsidR="00860690" w:rsidRDefault="00860690" w:rsidP="00860690">
      <w:pPr>
        <w:spacing w:after="0" w:line="240" w:lineRule="auto"/>
        <w:jc w:val="both"/>
        <w:rPr>
          <w:rFonts w:ascii="Arial" w:hAnsi="Arial" w:cs="Arial"/>
          <w:sz w:val="24"/>
          <w:szCs w:val="24"/>
        </w:rPr>
      </w:pPr>
      <w:r>
        <w:rPr>
          <w:rFonts w:ascii="Arial" w:hAnsi="Arial" w:cs="Arial"/>
          <w:sz w:val="24"/>
          <w:szCs w:val="24"/>
        </w:rPr>
        <w:t>-</w:t>
      </w:r>
      <w:r w:rsidRPr="006E106E">
        <w:rPr>
          <w:rFonts w:ascii="Arial" w:hAnsi="Arial" w:cs="Arial"/>
          <w:sz w:val="24"/>
          <w:szCs w:val="24"/>
        </w:rPr>
        <w:t xml:space="preserve"> folosirea în mai mare măsură a surselor de energie regenerabile (eoliană, solară, hidro, geotermală, biomasă); </w:t>
      </w:r>
    </w:p>
    <w:p w:rsidR="00860690" w:rsidRDefault="00860690" w:rsidP="00860690">
      <w:pPr>
        <w:spacing w:after="0" w:line="240" w:lineRule="auto"/>
        <w:jc w:val="both"/>
        <w:rPr>
          <w:rFonts w:ascii="Arial" w:hAnsi="Arial" w:cs="Arial"/>
          <w:sz w:val="24"/>
          <w:szCs w:val="24"/>
        </w:rPr>
      </w:pPr>
      <w:r>
        <w:rPr>
          <w:rFonts w:ascii="Arial" w:hAnsi="Arial" w:cs="Arial"/>
          <w:sz w:val="24"/>
          <w:szCs w:val="24"/>
        </w:rPr>
        <w:t>-</w:t>
      </w:r>
      <w:r w:rsidRPr="006E106E">
        <w:rPr>
          <w:rFonts w:ascii="Arial" w:hAnsi="Arial" w:cs="Arial"/>
          <w:sz w:val="24"/>
          <w:szCs w:val="24"/>
        </w:rPr>
        <w:t xml:space="preserve"> înlocuirea, atunci când este posibil, a combustibililor clasici cu combustibili alternativi (biodiesel, etanol, energie electrică); </w:t>
      </w:r>
    </w:p>
    <w:p w:rsidR="00860690" w:rsidRDefault="00860690" w:rsidP="00860690">
      <w:pPr>
        <w:spacing w:after="0" w:line="240" w:lineRule="auto"/>
        <w:jc w:val="both"/>
        <w:rPr>
          <w:rFonts w:ascii="Arial" w:hAnsi="Arial" w:cs="Arial"/>
          <w:sz w:val="24"/>
          <w:szCs w:val="24"/>
        </w:rPr>
      </w:pPr>
      <w:r>
        <w:rPr>
          <w:rFonts w:ascii="Arial" w:hAnsi="Arial" w:cs="Arial"/>
          <w:sz w:val="24"/>
          <w:szCs w:val="24"/>
        </w:rPr>
        <w:t>-</w:t>
      </w:r>
      <w:r w:rsidRPr="006E106E">
        <w:rPr>
          <w:rFonts w:ascii="Arial" w:hAnsi="Arial" w:cs="Arial"/>
          <w:sz w:val="24"/>
          <w:szCs w:val="24"/>
        </w:rPr>
        <w:t xml:space="preserve"> utilizarea unor instalaţii şi echipamente cu eficienţă energetică ridicată (consumuri reduse, randamente de proces mai mari);</w:t>
      </w:r>
    </w:p>
    <w:p w:rsidR="00860690" w:rsidRDefault="00860690" w:rsidP="00860690">
      <w:pPr>
        <w:spacing w:after="0" w:line="240" w:lineRule="auto"/>
        <w:jc w:val="both"/>
        <w:rPr>
          <w:rFonts w:ascii="Arial" w:hAnsi="Arial" w:cs="Arial"/>
          <w:sz w:val="24"/>
          <w:szCs w:val="24"/>
        </w:rPr>
      </w:pPr>
      <w:r w:rsidRPr="006E106E">
        <w:rPr>
          <w:rFonts w:ascii="Arial" w:hAnsi="Arial" w:cs="Arial"/>
          <w:sz w:val="24"/>
          <w:szCs w:val="24"/>
        </w:rPr>
        <w:t xml:space="preserve"> </w:t>
      </w:r>
      <w:r>
        <w:rPr>
          <w:rFonts w:ascii="Arial" w:hAnsi="Arial" w:cs="Arial"/>
          <w:sz w:val="24"/>
          <w:szCs w:val="24"/>
        </w:rPr>
        <w:t>-</w:t>
      </w:r>
      <w:r w:rsidRPr="006E106E">
        <w:rPr>
          <w:rFonts w:ascii="Arial" w:hAnsi="Arial" w:cs="Arial"/>
          <w:sz w:val="24"/>
          <w:szCs w:val="24"/>
        </w:rPr>
        <w:t xml:space="preserve">realizarea unor programe masive de împădurire şi de creare de spaţii verzi (asigurându-se absorbţia în mai mare măsură a bioxidului de carbon, reţinerea pulberilor fine, eliberarea de oxigen în atmosferă). </w:t>
      </w:r>
    </w:p>
    <w:p w:rsidR="00860690" w:rsidRPr="006E106E" w:rsidRDefault="00860690" w:rsidP="00860690">
      <w:pPr>
        <w:spacing w:after="0" w:line="240" w:lineRule="auto"/>
        <w:jc w:val="both"/>
        <w:rPr>
          <w:rFonts w:ascii="Arial" w:hAnsi="Arial" w:cs="Arial"/>
          <w:sz w:val="24"/>
          <w:szCs w:val="24"/>
        </w:rPr>
      </w:pPr>
      <w:r w:rsidRPr="006E106E">
        <w:rPr>
          <w:rFonts w:ascii="Arial" w:hAnsi="Arial" w:cs="Arial"/>
          <w:sz w:val="24"/>
          <w:szCs w:val="24"/>
        </w:rPr>
        <w:t xml:space="preserve">Obiectivul pe termen lung este de a atinge niveluri de calitate a aerului care duc la un impact </w:t>
      </w:r>
      <w:r>
        <w:rPr>
          <w:rFonts w:ascii="Arial" w:hAnsi="Arial" w:cs="Arial"/>
          <w:sz w:val="24"/>
          <w:szCs w:val="24"/>
        </w:rPr>
        <w:t>c</w:t>
      </w:r>
      <w:r>
        <w:rPr>
          <w:rFonts w:ascii="Arial" w:hAnsi="Arial" w:cs="Arial"/>
          <w:sz w:val="24"/>
          <w:szCs w:val="24"/>
          <w:lang w:val="ro-RO"/>
        </w:rPr>
        <w:t xml:space="preserve">ât mai redus </w:t>
      </w:r>
      <w:r w:rsidRPr="006E106E">
        <w:rPr>
          <w:rFonts w:ascii="Arial" w:hAnsi="Arial" w:cs="Arial"/>
          <w:sz w:val="24"/>
          <w:szCs w:val="24"/>
        </w:rPr>
        <w:t>asupra sănătății umane și a mediului.</w:t>
      </w:r>
    </w:p>
    <w:p w:rsidR="00587B71" w:rsidRPr="00587B71" w:rsidRDefault="00587B71" w:rsidP="00587B71">
      <w:pPr>
        <w:spacing w:after="120" w:line="240" w:lineRule="auto"/>
        <w:rPr>
          <w:rFonts w:ascii="Times New Roman" w:eastAsia="Times New Roman" w:hAnsi="Times New Roman" w:cs="Times New Roman"/>
          <w:color w:val="FF0000"/>
          <w:sz w:val="16"/>
          <w:szCs w:val="16"/>
          <w:lang w:val="ro-RO" w:eastAsia="ro-RO"/>
        </w:rPr>
      </w:pPr>
    </w:p>
    <w:p w:rsidR="00587B71" w:rsidRPr="00587B71" w:rsidRDefault="00587B71" w:rsidP="00587B71">
      <w:pPr>
        <w:spacing w:after="0" w:line="240" w:lineRule="auto"/>
        <w:rPr>
          <w:rFonts w:ascii="Arial" w:eastAsia="Times New Roman" w:hAnsi="Arial" w:cs="Arial"/>
          <w:b/>
          <w:i/>
          <w:sz w:val="24"/>
          <w:szCs w:val="24"/>
          <w:lang w:val="ro-RO"/>
        </w:rPr>
      </w:pPr>
      <w:bookmarkStart w:id="0" w:name="_GoBack"/>
      <w:bookmarkEnd w:id="0"/>
    </w:p>
    <w:p w:rsidR="00587B71" w:rsidRPr="00587B71" w:rsidRDefault="00587B71" w:rsidP="00587B71">
      <w:pPr>
        <w:spacing w:after="0" w:line="240" w:lineRule="auto"/>
        <w:rPr>
          <w:rFonts w:ascii="Arial" w:eastAsia="Times New Roman" w:hAnsi="Arial" w:cs="Arial"/>
          <w:b/>
          <w:sz w:val="24"/>
          <w:szCs w:val="26"/>
          <w:lang w:val="ro-RO"/>
        </w:rPr>
      </w:pPr>
      <w:r w:rsidRPr="00587B71">
        <w:rPr>
          <w:rFonts w:ascii="Arial" w:eastAsia="Times New Roman" w:hAnsi="Arial" w:cs="Arial"/>
          <w:b/>
          <w:sz w:val="24"/>
          <w:szCs w:val="26"/>
          <w:lang w:val="ro-RO"/>
        </w:rPr>
        <w:t>I.4. Politici, acţiuni şi măsuri pentru îmbunătăţirea calităţii aerului înconjurător</w:t>
      </w:r>
    </w:p>
    <w:p w:rsidR="00587B71" w:rsidRPr="00587B71" w:rsidRDefault="00587B71" w:rsidP="00587B71">
      <w:pPr>
        <w:spacing w:after="0" w:line="240" w:lineRule="auto"/>
        <w:rPr>
          <w:rFonts w:ascii="Arial" w:eastAsia="Times New Roman" w:hAnsi="Arial" w:cs="Arial"/>
          <w:b/>
          <w:sz w:val="24"/>
          <w:szCs w:val="26"/>
          <w:lang w:val="ro-RO"/>
        </w:rPr>
      </w:pPr>
    </w:p>
    <w:p w:rsidR="00587B71" w:rsidRPr="00587B71" w:rsidRDefault="00587B71" w:rsidP="00587B71">
      <w:pPr>
        <w:spacing w:after="0" w:line="240" w:lineRule="auto"/>
        <w:ind w:firstLine="720"/>
        <w:jc w:val="both"/>
        <w:rPr>
          <w:rFonts w:ascii="Times New Roman" w:eastAsia="Times New Roman" w:hAnsi="Times New Roman" w:cs="Times New Roman"/>
          <w:sz w:val="24"/>
          <w:szCs w:val="24"/>
        </w:rPr>
      </w:pPr>
      <w:r w:rsidRPr="00587B71">
        <w:rPr>
          <w:rFonts w:ascii="Arial" w:eastAsia="Times New Roman" w:hAnsi="Arial" w:cs="Arial"/>
          <w:sz w:val="24"/>
          <w:szCs w:val="24"/>
        </w:rPr>
        <w:t xml:space="preserve">Încă de la mijlocul anilor 1970, politica Uniunii Europene privind mediul a fost orientată prin programe de acțiune care au definit obiectivele prioritare de atins întrun </w:t>
      </w:r>
      <w:r w:rsidRPr="00587B71">
        <w:rPr>
          <w:rFonts w:ascii="Arial" w:eastAsia="Times New Roman" w:hAnsi="Arial" w:cs="Arial"/>
          <w:sz w:val="24"/>
          <w:szCs w:val="24"/>
        </w:rPr>
        <w:lastRenderedPageBreak/>
        <w:t>anumit număr de ani. Programul actual, al șaptelea de acest tip, a fost adoptat de către Parlamentul European și Consiliul Uniunii Europene în noiembrie 2013 și vizează perioada de până în 2020. Prin acest program de acțiune pentru mediu (PAM), UE a consimțit să depună eforturi mai mari pentru a proteja capitalul nostru natural, a stimula creșterea și inovarea caracterizate printr-o utilizare eficientă a resurselor și prin emisii reduse de carbon și a proteja sănătatea și bunăstarea oamenilor – respectând limitele naturale ale planetei.</w:t>
      </w:r>
      <w:r w:rsidRPr="00587B71">
        <w:rPr>
          <w:rFonts w:ascii="Times New Roman" w:eastAsia="Times New Roman" w:hAnsi="Times New Roman" w:cs="Times New Roman"/>
          <w:sz w:val="24"/>
          <w:szCs w:val="24"/>
        </w:rPr>
        <w:t xml:space="preserve"> </w:t>
      </w:r>
    </w:p>
    <w:p w:rsidR="00587B71" w:rsidRPr="00587B71" w:rsidRDefault="00587B71" w:rsidP="00587B71">
      <w:pPr>
        <w:spacing w:after="0" w:line="240" w:lineRule="auto"/>
        <w:ind w:firstLine="720"/>
        <w:jc w:val="both"/>
        <w:rPr>
          <w:rFonts w:ascii="Arial" w:eastAsia="Times New Roman" w:hAnsi="Arial" w:cs="Arial"/>
          <w:sz w:val="24"/>
          <w:szCs w:val="24"/>
        </w:rPr>
      </w:pPr>
      <w:r w:rsidRPr="00587B71">
        <w:rPr>
          <w:rFonts w:ascii="Arial" w:eastAsia="Times New Roman" w:hAnsi="Arial" w:cs="Arial"/>
          <w:sz w:val="24"/>
          <w:szCs w:val="24"/>
        </w:rPr>
        <w:t xml:space="preserve">Programul identifică trei domenii prioritare în care sunt necesare acțiuni suplimentare pentru a proteja natura și a consolida reziliența ecologică, a impulsiona creșterea în condițiile unei utilizări eficiente a resurselor și ale unor emisii reduse de dioxid de carbon, precum și a proteja sănătatea și bunăstarea umană împotriva amenințărilor legate de poluare, de substanțele chimice și de impactul schimbărilor climatice. </w:t>
      </w:r>
    </w:p>
    <w:p w:rsidR="00587B71" w:rsidRPr="00587B71" w:rsidRDefault="00587B71" w:rsidP="00587B71">
      <w:pPr>
        <w:spacing w:after="0" w:line="240" w:lineRule="auto"/>
        <w:ind w:firstLine="720"/>
        <w:jc w:val="both"/>
        <w:rPr>
          <w:rFonts w:ascii="Times New Roman" w:eastAsia="Times New Roman" w:hAnsi="Times New Roman" w:cs="Times New Roman"/>
          <w:sz w:val="24"/>
          <w:szCs w:val="24"/>
        </w:rPr>
      </w:pPr>
      <w:r w:rsidRPr="00587B71">
        <w:rPr>
          <w:rFonts w:ascii="Arial" w:eastAsia="Times New Roman" w:hAnsi="Arial" w:cs="Arial"/>
          <w:sz w:val="24"/>
          <w:szCs w:val="24"/>
        </w:rPr>
        <w:t>Al treilea domeniu cheie de acțiune vizează riscurile cu care se confruntă sănătatea și bunăstarea oamenilor, cum ar fi poluarea aerului și a apelor, poluarea fonică și substanțele toxice. Conform Tratatului privind funcționarea Uniunii Europene (TFUE), principiul precauției este menit să garanteze un înalt nivel de protecţie a mediului prin luarea de decizii preventive în cazul unor riscuri. Potrivit Organizării Mondiale a Sănătății, factorii de mediu ar putea fi răspunzători pentru până la 20% dintre toate decesele din Europa. Europa are deja standarde ridicate ale calității aerului, dar poluarea continuă să se situeze peste nivelurile acceptabile în numeroase orașe. PAM stabilește angajamente menite să amelioreze implementarea legislației existente și să asigure reducerea în continuare a poluării atmosferice și fonice. De asemenea, PAM stabilește o viziune pe termen lung a unui mediu netoxic și propune abordarea riscurilor asociate utilizării substanțelor chimice în produse și în amestecuri chimice, în special în ceea ce privește substanțele care afectează sistemul endocrin. În paralel, se are în vedere un cadru mai previzibil, combinat cu investiții sporite în domeniul cunoașterii, pentru a încuraja inovarea și dezvoltarea unor soluții mai durabile.</w:t>
      </w:r>
      <w:r w:rsidRPr="00587B71">
        <w:rPr>
          <w:rFonts w:ascii="Times New Roman" w:eastAsia="Times New Roman" w:hAnsi="Times New Roman" w:cs="Times New Roman"/>
          <w:sz w:val="24"/>
          <w:szCs w:val="24"/>
        </w:rPr>
        <w:t xml:space="preserve"> </w:t>
      </w:r>
    </w:p>
    <w:p w:rsidR="00587B71" w:rsidRPr="00587B71" w:rsidRDefault="00587B71" w:rsidP="00587B71">
      <w:pPr>
        <w:spacing w:after="0" w:line="240" w:lineRule="auto"/>
        <w:jc w:val="both"/>
        <w:rPr>
          <w:rFonts w:ascii="Arial" w:eastAsia="Times New Roman" w:hAnsi="Arial" w:cs="Arial"/>
          <w:b/>
          <w:sz w:val="20"/>
          <w:szCs w:val="20"/>
          <w:lang w:val="ro-RO"/>
        </w:rPr>
      </w:pPr>
      <w:r w:rsidRPr="00587B71">
        <w:rPr>
          <w:rFonts w:ascii="Arial" w:eastAsia="Times New Roman" w:hAnsi="Arial" w:cs="Arial"/>
          <w:sz w:val="20"/>
          <w:szCs w:val="20"/>
        </w:rPr>
        <w:t>(Sursa: http://ec.europa.eu/environment/pubs/pdf/factsheets/7eap/ro.pdf)</w:t>
      </w:r>
    </w:p>
    <w:p w:rsidR="00587B71" w:rsidRDefault="00587B71" w:rsidP="00F2046E">
      <w:pPr>
        <w:spacing w:after="0" w:line="240" w:lineRule="auto"/>
        <w:jc w:val="center"/>
        <w:rPr>
          <w:rFonts w:ascii="Arial" w:eastAsia="Times New Roman" w:hAnsi="Arial" w:cs="Arial"/>
          <w:b/>
          <w:sz w:val="24"/>
          <w:szCs w:val="26"/>
          <w:lang w:val="ro-RO"/>
        </w:rPr>
      </w:pPr>
    </w:p>
    <w:p w:rsidR="00587B71" w:rsidRDefault="00587B71" w:rsidP="00F2046E">
      <w:pPr>
        <w:spacing w:after="0" w:line="240" w:lineRule="auto"/>
        <w:jc w:val="center"/>
        <w:rPr>
          <w:rFonts w:ascii="Arial" w:eastAsia="Times New Roman" w:hAnsi="Arial" w:cs="Arial"/>
          <w:b/>
          <w:sz w:val="24"/>
          <w:szCs w:val="26"/>
          <w:lang w:val="ro-RO"/>
        </w:rPr>
      </w:pPr>
    </w:p>
    <w:p w:rsidR="00587B71" w:rsidRDefault="00587B71" w:rsidP="00F2046E">
      <w:pPr>
        <w:spacing w:after="0" w:line="240" w:lineRule="auto"/>
        <w:jc w:val="center"/>
        <w:rPr>
          <w:rFonts w:ascii="Arial" w:eastAsia="Times New Roman" w:hAnsi="Arial" w:cs="Arial"/>
          <w:b/>
          <w:sz w:val="24"/>
          <w:szCs w:val="26"/>
          <w:lang w:val="ro-RO"/>
        </w:rPr>
      </w:pPr>
    </w:p>
    <w:p w:rsidR="00587B71" w:rsidRDefault="00587B71" w:rsidP="00F2046E">
      <w:pPr>
        <w:spacing w:after="0" w:line="240" w:lineRule="auto"/>
        <w:jc w:val="center"/>
        <w:rPr>
          <w:rFonts w:ascii="Arial" w:eastAsia="Times New Roman" w:hAnsi="Arial" w:cs="Arial"/>
          <w:b/>
          <w:sz w:val="24"/>
          <w:szCs w:val="26"/>
          <w:lang w:val="ro-RO"/>
        </w:rPr>
      </w:pPr>
    </w:p>
    <w:p w:rsidR="00587B71" w:rsidRDefault="00587B71" w:rsidP="00F2046E">
      <w:pPr>
        <w:spacing w:after="0" w:line="240" w:lineRule="auto"/>
        <w:jc w:val="center"/>
        <w:rPr>
          <w:rFonts w:ascii="Arial" w:eastAsia="Times New Roman" w:hAnsi="Arial" w:cs="Arial"/>
          <w:b/>
          <w:sz w:val="24"/>
          <w:szCs w:val="26"/>
          <w:lang w:val="ro-RO"/>
        </w:rPr>
      </w:pPr>
    </w:p>
    <w:p w:rsidR="00587B71" w:rsidRDefault="00587B71" w:rsidP="00F2046E">
      <w:pPr>
        <w:spacing w:after="0" w:line="240" w:lineRule="auto"/>
        <w:jc w:val="center"/>
        <w:rPr>
          <w:rFonts w:ascii="Arial" w:eastAsia="Times New Roman" w:hAnsi="Arial" w:cs="Arial"/>
          <w:b/>
          <w:sz w:val="24"/>
          <w:szCs w:val="26"/>
          <w:lang w:val="ro-RO"/>
        </w:rPr>
      </w:pPr>
    </w:p>
    <w:p w:rsidR="00587B71" w:rsidRDefault="00587B71" w:rsidP="00F2046E">
      <w:pPr>
        <w:spacing w:after="0" w:line="240" w:lineRule="auto"/>
        <w:jc w:val="center"/>
        <w:rPr>
          <w:rFonts w:ascii="Arial" w:eastAsia="Times New Roman" w:hAnsi="Arial" w:cs="Arial"/>
          <w:b/>
          <w:sz w:val="24"/>
          <w:szCs w:val="26"/>
          <w:lang w:val="ro-RO"/>
        </w:rPr>
      </w:pPr>
    </w:p>
    <w:p w:rsidR="00FA7096" w:rsidRDefault="00FA7096" w:rsidP="00F2046E">
      <w:pPr>
        <w:spacing w:after="0" w:line="240" w:lineRule="auto"/>
        <w:jc w:val="center"/>
        <w:rPr>
          <w:rFonts w:ascii="Arial" w:eastAsia="Times New Roman" w:hAnsi="Arial" w:cs="Arial"/>
          <w:b/>
          <w:sz w:val="24"/>
          <w:szCs w:val="26"/>
          <w:lang w:val="ro-RO"/>
        </w:rPr>
      </w:pPr>
    </w:p>
    <w:p w:rsidR="00FA7096" w:rsidRDefault="00FA7096" w:rsidP="00F2046E">
      <w:pPr>
        <w:spacing w:after="0" w:line="240" w:lineRule="auto"/>
        <w:jc w:val="center"/>
        <w:rPr>
          <w:rFonts w:ascii="Arial" w:eastAsia="Times New Roman" w:hAnsi="Arial" w:cs="Arial"/>
          <w:b/>
          <w:sz w:val="24"/>
          <w:szCs w:val="26"/>
          <w:lang w:val="ro-RO"/>
        </w:rPr>
      </w:pPr>
    </w:p>
    <w:p w:rsidR="00FA7096" w:rsidRDefault="00FA7096" w:rsidP="00F2046E">
      <w:pPr>
        <w:spacing w:after="0" w:line="240" w:lineRule="auto"/>
        <w:jc w:val="center"/>
        <w:rPr>
          <w:rFonts w:ascii="Arial" w:eastAsia="Times New Roman" w:hAnsi="Arial" w:cs="Arial"/>
          <w:b/>
          <w:sz w:val="24"/>
          <w:szCs w:val="26"/>
          <w:lang w:val="ro-RO"/>
        </w:rPr>
      </w:pPr>
    </w:p>
    <w:p w:rsidR="00FA7096" w:rsidRDefault="00FA7096" w:rsidP="00F2046E">
      <w:pPr>
        <w:spacing w:after="0" w:line="240" w:lineRule="auto"/>
        <w:jc w:val="center"/>
        <w:rPr>
          <w:rFonts w:ascii="Arial" w:eastAsia="Times New Roman" w:hAnsi="Arial" w:cs="Arial"/>
          <w:b/>
          <w:sz w:val="24"/>
          <w:szCs w:val="26"/>
          <w:lang w:val="ro-RO"/>
        </w:rPr>
      </w:pPr>
    </w:p>
    <w:p w:rsidR="00FA7096" w:rsidRDefault="00FA7096" w:rsidP="00F2046E">
      <w:pPr>
        <w:spacing w:after="0" w:line="240" w:lineRule="auto"/>
        <w:jc w:val="center"/>
        <w:rPr>
          <w:rFonts w:ascii="Arial" w:eastAsia="Times New Roman" w:hAnsi="Arial" w:cs="Arial"/>
          <w:b/>
          <w:sz w:val="24"/>
          <w:szCs w:val="26"/>
          <w:lang w:val="ro-RO"/>
        </w:rPr>
      </w:pPr>
    </w:p>
    <w:p w:rsidR="00FA7096" w:rsidRDefault="00FA7096" w:rsidP="00F2046E">
      <w:pPr>
        <w:spacing w:after="0" w:line="240" w:lineRule="auto"/>
        <w:jc w:val="center"/>
        <w:rPr>
          <w:rFonts w:ascii="Arial" w:eastAsia="Times New Roman" w:hAnsi="Arial" w:cs="Arial"/>
          <w:b/>
          <w:sz w:val="24"/>
          <w:szCs w:val="26"/>
          <w:lang w:val="ro-RO"/>
        </w:rPr>
      </w:pPr>
    </w:p>
    <w:p w:rsidR="00FA7096" w:rsidRDefault="00FA7096" w:rsidP="00F2046E">
      <w:pPr>
        <w:spacing w:after="0" w:line="240" w:lineRule="auto"/>
        <w:jc w:val="center"/>
        <w:rPr>
          <w:rFonts w:ascii="Arial" w:eastAsia="Times New Roman" w:hAnsi="Arial" w:cs="Arial"/>
          <w:b/>
          <w:sz w:val="24"/>
          <w:szCs w:val="26"/>
          <w:lang w:val="ro-RO"/>
        </w:rPr>
      </w:pPr>
    </w:p>
    <w:p w:rsidR="00FA7096" w:rsidRDefault="00FA7096" w:rsidP="00F2046E">
      <w:pPr>
        <w:spacing w:after="0" w:line="240" w:lineRule="auto"/>
        <w:jc w:val="center"/>
        <w:rPr>
          <w:rFonts w:ascii="Arial" w:eastAsia="Times New Roman" w:hAnsi="Arial" w:cs="Arial"/>
          <w:b/>
          <w:sz w:val="24"/>
          <w:szCs w:val="26"/>
          <w:lang w:val="ro-RO"/>
        </w:rPr>
      </w:pPr>
    </w:p>
    <w:p w:rsidR="00FA7096" w:rsidRDefault="00FA7096" w:rsidP="00F2046E">
      <w:pPr>
        <w:spacing w:after="0" w:line="240" w:lineRule="auto"/>
        <w:jc w:val="center"/>
        <w:rPr>
          <w:rFonts w:ascii="Arial" w:eastAsia="Times New Roman" w:hAnsi="Arial" w:cs="Arial"/>
          <w:b/>
          <w:sz w:val="24"/>
          <w:szCs w:val="26"/>
          <w:lang w:val="ro-RO"/>
        </w:rPr>
      </w:pPr>
    </w:p>
    <w:p w:rsidR="00FA7096" w:rsidRDefault="00FA7096" w:rsidP="00F2046E">
      <w:pPr>
        <w:spacing w:after="0" w:line="240" w:lineRule="auto"/>
        <w:jc w:val="center"/>
        <w:rPr>
          <w:rFonts w:ascii="Arial" w:eastAsia="Times New Roman" w:hAnsi="Arial" w:cs="Arial"/>
          <w:b/>
          <w:sz w:val="24"/>
          <w:szCs w:val="26"/>
          <w:lang w:val="ro-RO"/>
        </w:rPr>
      </w:pPr>
    </w:p>
    <w:p w:rsidR="00FA7096" w:rsidRDefault="00FA7096" w:rsidP="00F2046E">
      <w:pPr>
        <w:spacing w:after="0" w:line="240" w:lineRule="auto"/>
        <w:jc w:val="center"/>
        <w:rPr>
          <w:rFonts w:ascii="Arial" w:eastAsia="Times New Roman" w:hAnsi="Arial" w:cs="Arial"/>
          <w:b/>
          <w:sz w:val="24"/>
          <w:szCs w:val="26"/>
          <w:lang w:val="ro-RO"/>
        </w:rPr>
      </w:pPr>
    </w:p>
    <w:p w:rsidR="00FA7096" w:rsidRDefault="00FA7096" w:rsidP="00F2046E">
      <w:pPr>
        <w:spacing w:after="0" w:line="240" w:lineRule="auto"/>
        <w:jc w:val="center"/>
        <w:rPr>
          <w:rFonts w:ascii="Arial" w:eastAsia="Times New Roman" w:hAnsi="Arial" w:cs="Arial"/>
          <w:b/>
          <w:sz w:val="24"/>
          <w:szCs w:val="26"/>
          <w:lang w:val="ro-RO"/>
        </w:rPr>
      </w:pPr>
    </w:p>
    <w:p w:rsidR="00FA7096" w:rsidRDefault="00FA7096" w:rsidP="00F2046E">
      <w:pPr>
        <w:spacing w:after="0" w:line="240" w:lineRule="auto"/>
        <w:jc w:val="center"/>
        <w:rPr>
          <w:rFonts w:ascii="Arial" w:eastAsia="Times New Roman" w:hAnsi="Arial" w:cs="Arial"/>
          <w:b/>
          <w:sz w:val="24"/>
          <w:szCs w:val="26"/>
          <w:lang w:val="ro-RO"/>
        </w:rPr>
      </w:pPr>
    </w:p>
    <w:p w:rsidR="00FA7096" w:rsidRDefault="00FA7096" w:rsidP="00F2046E">
      <w:pPr>
        <w:spacing w:after="0" w:line="240" w:lineRule="auto"/>
        <w:jc w:val="center"/>
        <w:rPr>
          <w:rFonts w:ascii="Arial" w:eastAsia="Times New Roman" w:hAnsi="Arial" w:cs="Arial"/>
          <w:b/>
          <w:sz w:val="24"/>
          <w:szCs w:val="26"/>
          <w:lang w:val="ro-RO"/>
        </w:rPr>
      </w:pPr>
    </w:p>
    <w:p w:rsidR="00FA7096" w:rsidRDefault="00FA7096" w:rsidP="00F2046E">
      <w:pPr>
        <w:spacing w:after="0" w:line="240" w:lineRule="auto"/>
        <w:jc w:val="center"/>
        <w:rPr>
          <w:rFonts w:ascii="Arial" w:eastAsia="Times New Roman" w:hAnsi="Arial" w:cs="Arial"/>
          <w:b/>
          <w:sz w:val="24"/>
          <w:szCs w:val="26"/>
          <w:lang w:val="ro-RO"/>
        </w:rPr>
      </w:pPr>
    </w:p>
    <w:p w:rsidR="00FA7096" w:rsidRDefault="00FA7096" w:rsidP="00F2046E">
      <w:pPr>
        <w:spacing w:after="0" w:line="240" w:lineRule="auto"/>
        <w:jc w:val="center"/>
        <w:rPr>
          <w:rFonts w:ascii="Arial" w:eastAsia="Times New Roman" w:hAnsi="Arial" w:cs="Arial"/>
          <w:b/>
          <w:sz w:val="24"/>
          <w:szCs w:val="26"/>
          <w:lang w:val="ro-RO"/>
        </w:rPr>
      </w:pPr>
    </w:p>
    <w:p w:rsidR="00C77715" w:rsidRDefault="00C77715" w:rsidP="00F2046E">
      <w:pPr>
        <w:spacing w:after="0" w:line="240" w:lineRule="auto"/>
        <w:jc w:val="center"/>
        <w:rPr>
          <w:rFonts w:ascii="Arial" w:eastAsia="Times New Roman" w:hAnsi="Arial" w:cs="Arial"/>
          <w:b/>
          <w:sz w:val="24"/>
          <w:szCs w:val="26"/>
          <w:lang w:val="ro-RO"/>
        </w:rPr>
      </w:pPr>
    </w:p>
    <w:p w:rsidR="00C77715" w:rsidRDefault="00C77715" w:rsidP="004B269B">
      <w:pPr>
        <w:spacing w:after="0" w:line="240" w:lineRule="auto"/>
        <w:jc w:val="center"/>
        <w:rPr>
          <w:rFonts w:ascii="Arial" w:eastAsia="SimSun" w:hAnsi="Arial" w:cs="Arial"/>
          <w:b/>
          <w:sz w:val="24"/>
          <w:szCs w:val="24"/>
          <w:lang w:val="it-IT"/>
        </w:rPr>
      </w:pPr>
    </w:p>
    <w:p w:rsidR="004B269B" w:rsidRDefault="004B269B" w:rsidP="004B269B">
      <w:pPr>
        <w:spacing w:after="0" w:line="240" w:lineRule="auto"/>
        <w:jc w:val="center"/>
        <w:rPr>
          <w:rFonts w:ascii="Arial" w:eastAsia="SimSun" w:hAnsi="Arial" w:cs="Arial"/>
          <w:b/>
          <w:sz w:val="24"/>
          <w:szCs w:val="24"/>
          <w:lang w:val="it-IT"/>
        </w:rPr>
      </w:pPr>
      <w:r w:rsidRPr="004B269B">
        <w:rPr>
          <w:rFonts w:ascii="Arial" w:eastAsia="SimSun" w:hAnsi="Arial" w:cs="Arial"/>
          <w:b/>
          <w:sz w:val="24"/>
          <w:szCs w:val="24"/>
          <w:lang w:val="it-IT"/>
        </w:rPr>
        <w:t xml:space="preserve">CAPITOLUL II . APA  </w:t>
      </w:r>
    </w:p>
    <w:p w:rsidR="004B269B" w:rsidRDefault="004B269B" w:rsidP="004B269B">
      <w:pPr>
        <w:spacing w:after="0" w:line="240" w:lineRule="auto"/>
        <w:jc w:val="center"/>
        <w:rPr>
          <w:rFonts w:ascii="Arial" w:eastAsia="SimSun" w:hAnsi="Arial" w:cs="Arial"/>
          <w:b/>
          <w:sz w:val="24"/>
          <w:szCs w:val="24"/>
          <w:lang w:val="it-IT"/>
        </w:rPr>
      </w:pPr>
    </w:p>
    <w:p w:rsidR="004B269B" w:rsidRPr="004B269B" w:rsidRDefault="004B269B" w:rsidP="004B269B">
      <w:pPr>
        <w:autoSpaceDE w:val="0"/>
        <w:autoSpaceDN w:val="0"/>
        <w:adjustRightInd w:val="0"/>
        <w:spacing w:after="0" w:line="240" w:lineRule="auto"/>
        <w:ind w:firstLine="720"/>
        <w:jc w:val="both"/>
        <w:rPr>
          <w:rFonts w:ascii="Arial" w:eastAsia="SimSun" w:hAnsi="Arial" w:cs="Arial"/>
          <w:b/>
          <w:bCs/>
          <w:i/>
          <w:sz w:val="24"/>
          <w:szCs w:val="24"/>
          <w:lang w:val="en-GB"/>
        </w:rPr>
      </w:pPr>
      <w:r w:rsidRPr="004B269B">
        <w:rPr>
          <w:rFonts w:ascii="Arial" w:eastAsia="SimSun" w:hAnsi="Arial" w:cs="Arial"/>
          <w:sz w:val="24"/>
          <w:szCs w:val="24"/>
          <w:lang w:val="pt-BR"/>
        </w:rPr>
        <w:t>Având în vedere natura finită a resurselor de apă în orice regiune, provocări inevitabile vor aparea de-a lungul deceniilor următoare; pe măsură ce concurenţa pentru resursele de apă dulce creşte şi schimbările climatice afectează disponibilitatea acestora, va deveni tot mai dificil să se răspundă cerinţelor socio-economice, menținând în același timp integritatea ecosistemelor și respectând durabilitatea mediului.</w:t>
      </w:r>
    </w:p>
    <w:p w:rsidR="004B269B" w:rsidRPr="004B269B" w:rsidRDefault="004B269B" w:rsidP="004B269B">
      <w:pPr>
        <w:autoSpaceDE w:val="0"/>
        <w:autoSpaceDN w:val="0"/>
        <w:adjustRightInd w:val="0"/>
        <w:spacing w:after="0" w:line="240" w:lineRule="auto"/>
        <w:ind w:firstLine="540"/>
        <w:jc w:val="both"/>
        <w:rPr>
          <w:rFonts w:ascii="Arial" w:eastAsia="SimSun" w:hAnsi="Arial" w:cs="Arial"/>
          <w:sz w:val="24"/>
          <w:szCs w:val="24"/>
          <w:lang w:val="ro-RO"/>
        </w:rPr>
      </w:pPr>
      <w:r w:rsidRPr="004B269B">
        <w:rPr>
          <w:rFonts w:ascii="Arial" w:eastAsia="SimSun" w:hAnsi="Arial" w:cs="Arial"/>
          <w:sz w:val="24"/>
          <w:szCs w:val="24"/>
          <w:lang w:val="it-IT"/>
        </w:rPr>
        <w:tab/>
      </w:r>
    </w:p>
    <w:p w:rsidR="004B269B" w:rsidRPr="004B269B" w:rsidRDefault="004B269B" w:rsidP="004B269B">
      <w:pPr>
        <w:spacing w:after="0" w:line="240" w:lineRule="auto"/>
        <w:rPr>
          <w:rFonts w:ascii="Arial" w:eastAsia="SimSun" w:hAnsi="Arial" w:cs="Arial"/>
          <w:b/>
          <w:sz w:val="24"/>
          <w:szCs w:val="24"/>
          <w:lang w:val="ro-RO"/>
        </w:rPr>
      </w:pPr>
      <w:r w:rsidRPr="004B269B">
        <w:rPr>
          <w:rFonts w:ascii="Arial" w:eastAsia="SimSun" w:hAnsi="Arial" w:cs="Arial"/>
          <w:b/>
          <w:sz w:val="24"/>
          <w:szCs w:val="24"/>
          <w:lang w:val="ro-RO"/>
        </w:rPr>
        <w:t>II.1. Resursele de apă. Cantităţi şi debite.</w:t>
      </w:r>
    </w:p>
    <w:p w:rsidR="004B269B" w:rsidRPr="004B269B" w:rsidRDefault="004B269B" w:rsidP="004B269B">
      <w:pPr>
        <w:autoSpaceDE w:val="0"/>
        <w:autoSpaceDN w:val="0"/>
        <w:adjustRightInd w:val="0"/>
        <w:spacing w:after="0" w:line="240" w:lineRule="auto"/>
        <w:rPr>
          <w:rFonts w:ascii="Arial" w:eastAsia="Times New Roman" w:hAnsi="Arial" w:cs="Arial"/>
          <w:sz w:val="24"/>
          <w:szCs w:val="24"/>
        </w:rPr>
      </w:pPr>
    </w:p>
    <w:p w:rsidR="004B269B" w:rsidRPr="004B269B" w:rsidRDefault="004B269B" w:rsidP="004B269B">
      <w:pPr>
        <w:autoSpaceDE w:val="0"/>
        <w:autoSpaceDN w:val="0"/>
        <w:adjustRightInd w:val="0"/>
        <w:spacing w:after="0" w:line="240" w:lineRule="auto"/>
        <w:ind w:firstLine="720"/>
        <w:jc w:val="both"/>
        <w:rPr>
          <w:rFonts w:ascii="Arial" w:eastAsia="Times New Roman" w:hAnsi="Arial" w:cs="Arial"/>
          <w:sz w:val="24"/>
          <w:szCs w:val="24"/>
        </w:rPr>
      </w:pPr>
      <w:r w:rsidRPr="004B269B">
        <w:rPr>
          <w:rFonts w:ascii="Arial" w:eastAsia="Times New Roman" w:hAnsi="Arial" w:cs="Arial"/>
          <w:sz w:val="24"/>
          <w:szCs w:val="24"/>
        </w:rPr>
        <w:t xml:space="preserve">Resursele de apă sunt: apele de suprafaţă alcătuite din cursurile de apă cu deltele lor, lacuri, bălţi, apele maritime interioare şi marea teritorială, precum şi apele subterane de pe teritoriul ţării, în totalitatea lor. </w:t>
      </w:r>
    </w:p>
    <w:p w:rsidR="004B269B" w:rsidRPr="004B269B" w:rsidRDefault="004B269B" w:rsidP="005D1AAE">
      <w:pPr>
        <w:autoSpaceDE w:val="0"/>
        <w:autoSpaceDN w:val="0"/>
        <w:adjustRightInd w:val="0"/>
        <w:spacing w:after="0" w:line="240" w:lineRule="auto"/>
        <w:ind w:firstLine="720"/>
        <w:jc w:val="both"/>
        <w:rPr>
          <w:rFonts w:ascii="Arial" w:eastAsia="Times New Roman" w:hAnsi="Arial" w:cs="Arial"/>
          <w:sz w:val="24"/>
          <w:szCs w:val="24"/>
        </w:rPr>
      </w:pPr>
      <w:r w:rsidRPr="004B269B">
        <w:rPr>
          <w:rFonts w:ascii="Arial" w:eastAsia="Times New Roman" w:hAnsi="Arial" w:cs="Arial"/>
          <w:sz w:val="24"/>
          <w:szCs w:val="24"/>
        </w:rPr>
        <w:t xml:space="preserve">Resursele totale de apă de suprafaţă din spaţiul hidrografic Prut-Bârlad însumează cca. </w:t>
      </w:r>
      <w:r w:rsidRPr="004B269B">
        <w:rPr>
          <w:rFonts w:ascii="Arial" w:eastAsia="Times New Roman" w:hAnsi="Arial" w:cs="Arial"/>
          <w:bCs/>
          <w:sz w:val="24"/>
          <w:szCs w:val="24"/>
        </w:rPr>
        <w:t>3.661</w:t>
      </w:r>
      <w:r w:rsidRPr="004B269B">
        <w:rPr>
          <w:rFonts w:ascii="Arial" w:eastAsia="Times New Roman" w:hAnsi="Arial" w:cs="Arial"/>
          <w:b/>
          <w:bCs/>
          <w:sz w:val="24"/>
          <w:szCs w:val="24"/>
        </w:rPr>
        <w:t xml:space="preserve"> </w:t>
      </w:r>
      <w:r w:rsidRPr="004B269B">
        <w:rPr>
          <w:rFonts w:ascii="Arial" w:eastAsia="Times New Roman" w:hAnsi="Arial" w:cs="Arial"/>
          <w:sz w:val="24"/>
          <w:szCs w:val="24"/>
        </w:rPr>
        <w:t xml:space="preserve">mil. m3/an, din care resurse utilizabile sunt cca. </w:t>
      </w:r>
      <w:r w:rsidRPr="004B269B">
        <w:rPr>
          <w:rFonts w:ascii="Arial" w:eastAsia="Times New Roman" w:hAnsi="Arial" w:cs="Arial"/>
          <w:bCs/>
          <w:sz w:val="24"/>
          <w:szCs w:val="24"/>
        </w:rPr>
        <w:t xml:space="preserve">960 </w:t>
      </w:r>
      <w:r w:rsidRPr="004B269B">
        <w:rPr>
          <w:rFonts w:ascii="Arial" w:eastAsia="Times New Roman" w:hAnsi="Arial" w:cs="Arial"/>
          <w:sz w:val="24"/>
          <w:szCs w:val="24"/>
        </w:rPr>
        <w:t xml:space="preserve">mil.m3/an. Acestea reprezintă cca. 94 % din totalul resurselor şi sunt formate, în principal, de râurile Prut, Bârlad şi afluenţi ai acestora. </w:t>
      </w:r>
    </w:p>
    <w:p w:rsidR="004B269B" w:rsidRPr="004B269B" w:rsidRDefault="004B269B" w:rsidP="005D1AAE">
      <w:pPr>
        <w:autoSpaceDE w:val="0"/>
        <w:autoSpaceDN w:val="0"/>
        <w:adjustRightInd w:val="0"/>
        <w:spacing w:after="0" w:line="240" w:lineRule="auto"/>
        <w:ind w:firstLine="720"/>
        <w:jc w:val="both"/>
        <w:rPr>
          <w:rFonts w:ascii="Arial" w:eastAsia="Times New Roman" w:hAnsi="Arial" w:cs="Arial"/>
          <w:sz w:val="24"/>
          <w:szCs w:val="24"/>
        </w:rPr>
      </w:pPr>
      <w:r w:rsidRPr="004B269B">
        <w:rPr>
          <w:rFonts w:ascii="Arial" w:eastAsia="Times New Roman" w:hAnsi="Arial" w:cs="Arial"/>
          <w:sz w:val="24"/>
          <w:szCs w:val="24"/>
        </w:rPr>
        <w:t xml:space="preserve">În spaţiul hidrografic Prut - Bârlad există 72 lacuri de acumulare importante (cu suprafaţa mai mare de 0,5 km2), din care 49 au folosinţă complexă şi însumează un volum util de 614,85 mil. m3. </w:t>
      </w:r>
    </w:p>
    <w:p w:rsidR="004B269B" w:rsidRPr="004B269B" w:rsidRDefault="004B269B" w:rsidP="005D1AAE">
      <w:pPr>
        <w:autoSpaceDE w:val="0"/>
        <w:autoSpaceDN w:val="0"/>
        <w:adjustRightInd w:val="0"/>
        <w:spacing w:after="0" w:line="240" w:lineRule="auto"/>
        <w:ind w:firstLine="720"/>
        <w:jc w:val="both"/>
        <w:rPr>
          <w:rFonts w:ascii="Arial" w:eastAsia="Times New Roman" w:hAnsi="Arial" w:cs="Arial"/>
          <w:sz w:val="24"/>
          <w:szCs w:val="24"/>
        </w:rPr>
      </w:pPr>
      <w:r w:rsidRPr="004B269B">
        <w:rPr>
          <w:rFonts w:ascii="Arial" w:eastAsia="Times New Roman" w:hAnsi="Arial" w:cs="Arial"/>
          <w:sz w:val="24"/>
          <w:szCs w:val="24"/>
        </w:rPr>
        <w:t xml:space="preserve">Raportată la populaţia bazinului, resursa specifică utilizabilă este de 437,16 m3/loc/an, iar resursa specifică calculată la stocul disponibil teoretic (mediu multianual) se cifrează la 1.667,12 m3/loc/an. Resursele de apă cantonate în arealul hidrografic Prut – Bârlad pot fi considerate reduse şi neuniform distribuite în timp şi spaţiu. </w:t>
      </w:r>
    </w:p>
    <w:p w:rsidR="004B269B" w:rsidRPr="004B269B" w:rsidRDefault="004B269B" w:rsidP="005D1AAE">
      <w:pPr>
        <w:autoSpaceDE w:val="0"/>
        <w:autoSpaceDN w:val="0"/>
        <w:adjustRightInd w:val="0"/>
        <w:spacing w:after="0" w:line="240" w:lineRule="auto"/>
        <w:ind w:firstLine="720"/>
        <w:jc w:val="both"/>
        <w:rPr>
          <w:rFonts w:ascii="Arial" w:eastAsia="Times New Roman" w:hAnsi="Arial" w:cs="Arial"/>
          <w:sz w:val="24"/>
          <w:szCs w:val="24"/>
        </w:rPr>
      </w:pPr>
      <w:r w:rsidRPr="004B269B">
        <w:rPr>
          <w:rFonts w:ascii="Arial" w:eastAsia="Times New Roman" w:hAnsi="Arial" w:cs="Arial"/>
          <w:sz w:val="24"/>
          <w:szCs w:val="24"/>
        </w:rPr>
        <w:t>Debite medii multianuale pentru principalele râuri din spaţiul hidrografic sunt: r. Prut 105 mc/s (3.314 mil. mc/an) la confluenţa cu Dunărea, r. Jijia este de 10 mc/s (316 mil. mc/an), r. Bârlad la 11 mc/s (347 mil. mc/an) la confluenţa cu Siretul, r. Vaslui 1 mc/s (31,56 mil. mc/an) r. Tutova 1 mc/s (31,56 mil. mc/an).</w:t>
      </w:r>
    </w:p>
    <w:p w:rsidR="004B269B" w:rsidRPr="004B269B" w:rsidRDefault="004B269B" w:rsidP="004B269B">
      <w:pPr>
        <w:autoSpaceDE w:val="0"/>
        <w:autoSpaceDN w:val="0"/>
        <w:adjustRightInd w:val="0"/>
        <w:spacing w:after="0" w:line="240" w:lineRule="auto"/>
        <w:rPr>
          <w:rFonts w:ascii="Times New Roman" w:eastAsia="Times New Roman" w:hAnsi="Times New Roman" w:cs="Times New Roman"/>
          <w:sz w:val="20"/>
          <w:szCs w:val="20"/>
          <w:lang w:val="ro-RO"/>
        </w:rPr>
      </w:pPr>
      <w:r w:rsidRPr="004B269B">
        <w:rPr>
          <w:rFonts w:ascii="Arial" w:eastAsia="Times New Roman" w:hAnsi="Arial" w:cs="Arial"/>
          <w:sz w:val="20"/>
          <w:szCs w:val="20"/>
        </w:rPr>
        <w:t>(Sursa: Planul de management al spaţiului hidrografic Prut-Bârlad, Ciclul al II lea 2016-2021)</w:t>
      </w:r>
    </w:p>
    <w:p w:rsidR="004B269B" w:rsidRPr="004B269B" w:rsidRDefault="004B269B" w:rsidP="004B269B">
      <w:pPr>
        <w:autoSpaceDE w:val="0"/>
        <w:autoSpaceDN w:val="0"/>
        <w:adjustRightInd w:val="0"/>
        <w:spacing w:after="0" w:line="240" w:lineRule="auto"/>
        <w:jc w:val="both"/>
        <w:rPr>
          <w:rFonts w:ascii="Arial" w:eastAsia="SimSun" w:hAnsi="Arial" w:cs="Arial"/>
          <w:sz w:val="24"/>
          <w:szCs w:val="24"/>
          <w:lang w:val="en-GB"/>
        </w:rPr>
      </w:pPr>
      <w:r w:rsidRPr="004B269B">
        <w:rPr>
          <w:rFonts w:ascii="Times New Roman" w:eastAsia="Times New Roman" w:hAnsi="Times New Roman" w:cs="Times New Roman"/>
          <w:sz w:val="24"/>
          <w:szCs w:val="24"/>
        </w:rPr>
        <w:t xml:space="preserve"> </w:t>
      </w:r>
      <w:r w:rsidRPr="004B269B">
        <w:rPr>
          <w:rFonts w:ascii="Times New Roman" w:eastAsia="Times New Roman" w:hAnsi="Times New Roman" w:cs="Times New Roman"/>
          <w:sz w:val="24"/>
          <w:szCs w:val="24"/>
        </w:rPr>
        <w:tab/>
      </w:r>
      <w:r w:rsidRPr="004B269B">
        <w:rPr>
          <w:rFonts w:ascii="Arial" w:eastAsia="SimSun" w:hAnsi="Arial" w:cs="Arial"/>
          <w:sz w:val="24"/>
          <w:szCs w:val="24"/>
          <w:lang w:val="en-GB"/>
        </w:rPr>
        <w:t>Din lungimea totală a cursurilor de apă cadastrate din spaţiul hidrografic Prut - Bârlad, cursurile de apă nepermanente reprezintă circa 80%.</w:t>
      </w:r>
    </w:p>
    <w:p w:rsidR="004B269B" w:rsidRPr="004B269B" w:rsidRDefault="004B269B" w:rsidP="004B269B">
      <w:pPr>
        <w:autoSpaceDE w:val="0"/>
        <w:autoSpaceDN w:val="0"/>
        <w:adjustRightInd w:val="0"/>
        <w:spacing w:after="0" w:line="240" w:lineRule="auto"/>
        <w:ind w:firstLine="720"/>
        <w:jc w:val="both"/>
        <w:rPr>
          <w:rFonts w:ascii="Arial" w:eastAsia="Times New Roman" w:hAnsi="Arial" w:cs="Arial"/>
          <w:sz w:val="24"/>
          <w:szCs w:val="24"/>
        </w:rPr>
      </w:pPr>
      <w:r w:rsidRPr="004B269B">
        <w:rPr>
          <w:rFonts w:ascii="Arial" w:eastAsia="Times New Roman" w:hAnsi="Arial" w:cs="Arial"/>
          <w:sz w:val="24"/>
          <w:szCs w:val="24"/>
        </w:rPr>
        <w:t xml:space="preserve">Resursa de apă a judeţului Vaslui este constituită din ape de suprafaţă, curgătoare şi stătătoare şi din apele subterane. </w:t>
      </w:r>
    </w:p>
    <w:p w:rsidR="004B269B" w:rsidRPr="004B269B" w:rsidRDefault="004B269B" w:rsidP="004B269B">
      <w:pPr>
        <w:autoSpaceDE w:val="0"/>
        <w:autoSpaceDN w:val="0"/>
        <w:adjustRightInd w:val="0"/>
        <w:spacing w:after="0" w:line="240" w:lineRule="auto"/>
        <w:ind w:firstLine="720"/>
        <w:jc w:val="both"/>
        <w:rPr>
          <w:rFonts w:ascii="Arial" w:eastAsia="Times New Roman" w:hAnsi="Arial" w:cs="Arial"/>
          <w:sz w:val="24"/>
          <w:szCs w:val="24"/>
        </w:rPr>
      </w:pPr>
      <w:r w:rsidRPr="004B269B">
        <w:rPr>
          <w:rFonts w:ascii="Arial" w:eastAsia="Times New Roman" w:hAnsi="Arial" w:cs="Arial"/>
          <w:sz w:val="24"/>
          <w:szCs w:val="24"/>
        </w:rPr>
        <w:t>Sub aspect hidrografic, teritoriul judeţului Vaslui aparţine bazinului râului Prut, care colectează afluenţii din partea de est şi sud-est, şi bazinului râului Siret, din care râul Bârlad drenează cea mai mare suprafaţă a judeţului (peste 2/3) pe o suprafaţă totală de 5606 kmp (1520 kmp în B.H.Prut, 4086 kmp în B.H.Bârlad).</w:t>
      </w:r>
    </w:p>
    <w:p w:rsidR="004B269B" w:rsidRPr="004B269B" w:rsidRDefault="005D1AAE" w:rsidP="004B269B">
      <w:pPr>
        <w:tabs>
          <w:tab w:val="left" w:pos="1260"/>
          <w:tab w:val="left" w:leader="dot" w:pos="9639"/>
        </w:tabs>
        <w:spacing w:after="0" w:line="240" w:lineRule="auto"/>
        <w:ind w:right="51"/>
        <w:jc w:val="both"/>
        <w:rPr>
          <w:rFonts w:ascii="Arial" w:eastAsia="SimSun" w:hAnsi="Arial" w:cs="Arial"/>
          <w:i/>
          <w:sz w:val="24"/>
          <w:szCs w:val="24"/>
          <w:shd w:val="clear" w:color="auto" w:fill="FFFFFF"/>
          <w:lang w:val="en-GB"/>
        </w:rPr>
      </w:pPr>
      <w:r>
        <w:rPr>
          <w:rFonts w:ascii="Arial" w:eastAsia="SimSun" w:hAnsi="Arial" w:cs="Arial"/>
          <w:sz w:val="24"/>
          <w:szCs w:val="24"/>
          <w:lang w:val="en-GB"/>
        </w:rPr>
        <w:t xml:space="preserve">            </w:t>
      </w:r>
      <w:r w:rsidR="004B269B" w:rsidRPr="004B269B">
        <w:rPr>
          <w:rFonts w:ascii="Arial" w:eastAsia="SimSun" w:hAnsi="Arial" w:cs="Arial"/>
          <w:sz w:val="24"/>
          <w:szCs w:val="24"/>
          <w:lang w:val="en-GB"/>
        </w:rPr>
        <w:t>Calitatea resurselor de apă este influenţată într-o anumită măsură şi de poluările accidentale, care reprezintă alterări bruşte de natură fizică, chimică, biologică sau bacteriologică a apei, peste limitele admise. În funcţie de tipul poluărilor accidentale, acestea pot avea magnitudini şi efecte diferite (locale, bazinale, transfrontaliere) asupra resurselor de apă.</w:t>
      </w:r>
    </w:p>
    <w:p w:rsidR="004B269B" w:rsidRPr="004B269B" w:rsidRDefault="004B269B" w:rsidP="004B269B">
      <w:pPr>
        <w:spacing w:after="0" w:line="240" w:lineRule="auto"/>
        <w:jc w:val="both"/>
        <w:rPr>
          <w:rFonts w:ascii="Arial" w:eastAsia="SimSun" w:hAnsi="Arial" w:cs="Arial"/>
          <w:b/>
          <w:sz w:val="24"/>
          <w:szCs w:val="24"/>
          <w:lang w:val="ro-RO"/>
        </w:rPr>
      </w:pPr>
    </w:p>
    <w:p w:rsidR="004B269B" w:rsidRPr="004B269B" w:rsidRDefault="004B269B" w:rsidP="004B269B">
      <w:pPr>
        <w:spacing w:after="0" w:line="240" w:lineRule="auto"/>
        <w:rPr>
          <w:rFonts w:ascii="Arial" w:eastAsia="SimSun" w:hAnsi="Arial" w:cs="Arial"/>
          <w:b/>
          <w:i/>
          <w:sz w:val="24"/>
          <w:szCs w:val="24"/>
          <w:lang w:val="ro-RO"/>
        </w:rPr>
      </w:pPr>
      <w:r w:rsidRPr="004B269B">
        <w:rPr>
          <w:rFonts w:ascii="Arial" w:eastAsia="SimSun" w:hAnsi="Arial" w:cs="Arial"/>
          <w:b/>
          <w:i/>
          <w:sz w:val="24"/>
          <w:szCs w:val="24"/>
          <w:lang w:val="ro-RO"/>
        </w:rPr>
        <w:lastRenderedPageBreak/>
        <w:t>II.1.1. Stare, presiuni şi consecinţe</w:t>
      </w:r>
    </w:p>
    <w:p w:rsidR="004B269B" w:rsidRPr="004B269B" w:rsidRDefault="004B269B" w:rsidP="004B269B">
      <w:pPr>
        <w:spacing w:after="0" w:line="240" w:lineRule="auto"/>
        <w:rPr>
          <w:rFonts w:ascii="Arial" w:eastAsia="SimSun" w:hAnsi="Arial" w:cs="Arial"/>
          <w:b/>
          <w:sz w:val="24"/>
          <w:szCs w:val="24"/>
          <w:lang w:val="ro-RO"/>
        </w:rPr>
      </w:pPr>
    </w:p>
    <w:p w:rsidR="004B269B" w:rsidRPr="004B269B" w:rsidRDefault="004B269B" w:rsidP="004B269B">
      <w:pPr>
        <w:spacing w:after="0" w:line="240" w:lineRule="auto"/>
        <w:rPr>
          <w:rFonts w:ascii="Arial" w:eastAsia="SimSun" w:hAnsi="Arial" w:cs="Arial"/>
          <w:sz w:val="24"/>
          <w:szCs w:val="24"/>
          <w:lang w:val="ro-RO"/>
        </w:rPr>
      </w:pPr>
      <w:r w:rsidRPr="004B269B">
        <w:rPr>
          <w:rFonts w:ascii="Arial" w:eastAsia="SimSun" w:hAnsi="Arial" w:cs="Arial"/>
          <w:sz w:val="24"/>
          <w:szCs w:val="24"/>
          <w:lang w:val="ro-RO"/>
        </w:rPr>
        <w:t xml:space="preserve">II.1.1.1. </w:t>
      </w:r>
      <w:r w:rsidRPr="004B269B">
        <w:rPr>
          <w:rFonts w:ascii="Arial" w:eastAsia="SimSun" w:hAnsi="Arial" w:cs="Arial"/>
          <w:bCs/>
          <w:iCs/>
          <w:sz w:val="24"/>
          <w:szCs w:val="24"/>
          <w:lang w:val="en-GB"/>
        </w:rPr>
        <w:t xml:space="preserve">Resurse de apă potenţiale şi </w:t>
      </w:r>
      <w:r w:rsidR="005D1AAE">
        <w:rPr>
          <w:rFonts w:ascii="Arial" w:eastAsia="SimSun" w:hAnsi="Arial" w:cs="Arial"/>
          <w:bCs/>
          <w:iCs/>
          <w:sz w:val="24"/>
          <w:szCs w:val="24"/>
          <w:lang w:val="en-GB"/>
        </w:rPr>
        <w:t xml:space="preserve">tehnic </w:t>
      </w:r>
      <w:r w:rsidRPr="004B269B">
        <w:rPr>
          <w:rFonts w:ascii="Arial" w:eastAsia="SimSun" w:hAnsi="Arial" w:cs="Arial"/>
          <w:bCs/>
          <w:iCs/>
          <w:sz w:val="24"/>
          <w:szCs w:val="24"/>
          <w:lang w:val="en-GB"/>
        </w:rPr>
        <w:t xml:space="preserve"> utilizabile</w:t>
      </w:r>
      <w:r w:rsidR="005D1AAE">
        <w:rPr>
          <w:rFonts w:ascii="Arial" w:eastAsia="SimSun" w:hAnsi="Arial" w:cs="Arial"/>
          <w:bCs/>
          <w:iCs/>
          <w:sz w:val="24"/>
          <w:szCs w:val="24"/>
          <w:lang w:val="en-GB"/>
        </w:rPr>
        <w:t xml:space="preserve"> </w:t>
      </w:r>
    </w:p>
    <w:p w:rsidR="004B269B" w:rsidRPr="004B269B" w:rsidRDefault="004B269B" w:rsidP="004B269B">
      <w:pPr>
        <w:autoSpaceDE w:val="0"/>
        <w:autoSpaceDN w:val="0"/>
        <w:adjustRightInd w:val="0"/>
        <w:spacing w:after="0" w:line="240" w:lineRule="auto"/>
        <w:ind w:firstLine="540"/>
        <w:jc w:val="both"/>
        <w:rPr>
          <w:rFonts w:ascii="Arial" w:eastAsia="SimSun" w:hAnsi="Arial" w:cs="Arial"/>
          <w:sz w:val="24"/>
          <w:szCs w:val="24"/>
          <w:lang w:val="ro-RO" w:eastAsia="ro-RO"/>
        </w:rPr>
      </w:pPr>
      <w:r w:rsidRPr="004B269B">
        <w:rPr>
          <w:rFonts w:ascii="Arial" w:eastAsia="SimSun" w:hAnsi="Arial" w:cs="Arial"/>
          <w:sz w:val="24"/>
          <w:szCs w:val="24"/>
          <w:lang w:val="ro-RO" w:eastAsia="ro-RO"/>
        </w:rPr>
        <w:t>Resursele de apă ale judeţului Vaslui cuprind apele de suprafaţă (râuri şi lacuri) şi apele subterane. Activitatea de gospodărire unitară, raţională şi integrată a apelor se organizează şi de desfăşoară pe bazine hidrografice, ca entităţi geografice indivizibile de gospodărire cantitativă şi calitativă a resurselor de apă, în scopul dezvoltării durabile.</w:t>
      </w:r>
    </w:p>
    <w:p w:rsidR="004B269B" w:rsidRPr="004B269B" w:rsidRDefault="004B269B" w:rsidP="004B269B">
      <w:pPr>
        <w:spacing w:after="0" w:line="240" w:lineRule="auto"/>
        <w:ind w:firstLine="540"/>
        <w:jc w:val="both"/>
        <w:rPr>
          <w:rFonts w:ascii="Arial" w:eastAsia="SimSun" w:hAnsi="Arial" w:cs="Arial"/>
          <w:sz w:val="24"/>
          <w:szCs w:val="24"/>
          <w:lang w:val="ro-RO"/>
        </w:rPr>
      </w:pPr>
      <w:r w:rsidRPr="004B269B">
        <w:rPr>
          <w:rFonts w:ascii="Arial" w:eastAsia="SimSun" w:hAnsi="Arial" w:cs="Arial"/>
          <w:sz w:val="24"/>
          <w:szCs w:val="24"/>
          <w:lang w:val="ro-RO"/>
        </w:rPr>
        <w:t>Resursele de apă potenţiale şi tehnic utilizabile pentru anul 2015 sunt prezentate în tabelul II.1.:</w:t>
      </w:r>
    </w:p>
    <w:p w:rsidR="004B269B" w:rsidRPr="004B269B" w:rsidRDefault="004B269B" w:rsidP="004B269B">
      <w:pPr>
        <w:spacing w:after="0" w:line="240" w:lineRule="auto"/>
        <w:rPr>
          <w:rFonts w:ascii="Arial" w:eastAsia="SimSun" w:hAnsi="Arial" w:cs="Arial"/>
          <w:sz w:val="24"/>
          <w:szCs w:val="24"/>
          <w:lang w:val="ro-RO"/>
        </w:rPr>
      </w:pPr>
    </w:p>
    <w:p w:rsidR="004B269B" w:rsidRPr="004B269B" w:rsidRDefault="004B269B" w:rsidP="004B269B">
      <w:pPr>
        <w:spacing w:after="0" w:line="240" w:lineRule="auto"/>
        <w:rPr>
          <w:rFonts w:ascii="Arial" w:eastAsia="SimSun" w:hAnsi="Arial" w:cs="Arial"/>
          <w:sz w:val="24"/>
          <w:szCs w:val="24"/>
          <w:lang w:val="ro-RO"/>
        </w:rPr>
      </w:pPr>
      <w:r w:rsidRPr="004B269B">
        <w:rPr>
          <w:rFonts w:ascii="Arial" w:eastAsia="SimSun" w:hAnsi="Arial" w:cs="Arial"/>
          <w:sz w:val="24"/>
          <w:szCs w:val="24"/>
          <w:lang w:val="ro-RO"/>
        </w:rPr>
        <w:t>Tabelul II.1. Resursele de apă potenţiale şi tehnic utilizabile, pentru anul 2015</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1559"/>
        <w:gridCol w:w="1559"/>
        <w:gridCol w:w="1560"/>
      </w:tblGrid>
      <w:tr w:rsidR="004B269B" w:rsidRPr="004B269B" w:rsidTr="00080B9C">
        <w:tc>
          <w:tcPr>
            <w:tcW w:w="4928" w:type="dxa"/>
            <w:shd w:val="clear" w:color="auto" w:fill="auto"/>
          </w:tcPr>
          <w:p w:rsidR="004B269B" w:rsidRPr="004B269B" w:rsidRDefault="004B269B" w:rsidP="004B269B">
            <w:pPr>
              <w:spacing w:after="0" w:line="240" w:lineRule="auto"/>
              <w:jc w:val="center"/>
              <w:rPr>
                <w:rFonts w:ascii="Arial" w:eastAsia="SimSun" w:hAnsi="Arial" w:cs="Arial"/>
                <w:b/>
                <w:sz w:val="24"/>
                <w:szCs w:val="24"/>
                <w:lang w:val="ro-RO"/>
              </w:rPr>
            </w:pPr>
            <w:r w:rsidRPr="004B269B">
              <w:rPr>
                <w:rFonts w:ascii="Arial" w:eastAsia="SimSun" w:hAnsi="Arial" w:cs="Arial"/>
                <w:b/>
                <w:sz w:val="24"/>
                <w:szCs w:val="24"/>
                <w:lang w:val="ro-RO"/>
              </w:rPr>
              <w:t>Sursa de apă</w:t>
            </w:r>
          </w:p>
          <w:p w:rsidR="004B269B" w:rsidRPr="004B269B" w:rsidRDefault="004B269B" w:rsidP="004B269B">
            <w:pPr>
              <w:spacing w:after="0" w:line="240" w:lineRule="auto"/>
              <w:jc w:val="center"/>
              <w:rPr>
                <w:rFonts w:ascii="Arial" w:eastAsia="SimSun" w:hAnsi="Arial" w:cs="Arial"/>
                <w:b/>
                <w:sz w:val="24"/>
                <w:szCs w:val="24"/>
                <w:lang w:val="ro-RO"/>
              </w:rPr>
            </w:pPr>
            <w:r w:rsidRPr="004B269B">
              <w:rPr>
                <w:rFonts w:ascii="Arial" w:eastAsia="SimSun" w:hAnsi="Arial" w:cs="Arial"/>
                <w:b/>
                <w:sz w:val="24"/>
                <w:szCs w:val="24"/>
                <w:lang w:val="ro-RO"/>
              </w:rPr>
              <w:t>Indicator de caracterizare</w:t>
            </w:r>
          </w:p>
        </w:tc>
        <w:tc>
          <w:tcPr>
            <w:tcW w:w="1559" w:type="dxa"/>
            <w:shd w:val="clear" w:color="auto" w:fill="auto"/>
            <w:vAlign w:val="center"/>
          </w:tcPr>
          <w:p w:rsidR="004B269B" w:rsidRPr="004B269B" w:rsidRDefault="004B269B" w:rsidP="004B269B">
            <w:pPr>
              <w:spacing w:after="0" w:line="240" w:lineRule="auto"/>
              <w:jc w:val="center"/>
              <w:rPr>
                <w:rFonts w:ascii="Arial" w:eastAsia="SimSun" w:hAnsi="Arial" w:cs="Arial"/>
                <w:b/>
                <w:sz w:val="24"/>
                <w:szCs w:val="24"/>
                <w:lang w:val="ro-RO"/>
              </w:rPr>
            </w:pPr>
            <w:r w:rsidRPr="004B269B">
              <w:rPr>
                <w:rFonts w:ascii="Arial" w:eastAsia="SimSun" w:hAnsi="Arial" w:cs="Arial"/>
                <w:b/>
                <w:sz w:val="24"/>
                <w:szCs w:val="24"/>
                <w:lang w:val="ro-RO"/>
              </w:rPr>
              <w:t>BH Prut</w:t>
            </w:r>
          </w:p>
          <w:p w:rsidR="004B269B" w:rsidRPr="004B269B" w:rsidRDefault="004B269B" w:rsidP="004B269B">
            <w:pPr>
              <w:spacing w:after="0" w:line="240" w:lineRule="auto"/>
              <w:jc w:val="center"/>
              <w:rPr>
                <w:rFonts w:ascii="Arial" w:eastAsia="SimSun" w:hAnsi="Arial" w:cs="Arial"/>
                <w:b/>
                <w:sz w:val="24"/>
                <w:szCs w:val="24"/>
                <w:lang w:val="ro-RO"/>
              </w:rPr>
            </w:pPr>
            <w:r w:rsidRPr="004B269B">
              <w:rPr>
                <w:rFonts w:ascii="Arial" w:eastAsia="SimSun" w:hAnsi="Arial" w:cs="Arial"/>
                <w:b/>
                <w:sz w:val="24"/>
                <w:szCs w:val="24"/>
                <w:lang w:val="ro-RO"/>
              </w:rPr>
              <w:t>(mii m³)</w:t>
            </w:r>
          </w:p>
        </w:tc>
        <w:tc>
          <w:tcPr>
            <w:tcW w:w="1559" w:type="dxa"/>
            <w:shd w:val="clear" w:color="auto" w:fill="auto"/>
            <w:vAlign w:val="center"/>
          </w:tcPr>
          <w:p w:rsidR="004B269B" w:rsidRPr="004B269B" w:rsidRDefault="004B269B" w:rsidP="004B269B">
            <w:pPr>
              <w:spacing w:after="0" w:line="240" w:lineRule="auto"/>
              <w:jc w:val="center"/>
              <w:rPr>
                <w:rFonts w:ascii="Arial" w:eastAsia="SimSun" w:hAnsi="Arial" w:cs="Arial"/>
                <w:b/>
                <w:sz w:val="24"/>
                <w:szCs w:val="24"/>
                <w:lang w:val="ro-RO"/>
              </w:rPr>
            </w:pPr>
            <w:r w:rsidRPr="004B269B">
              <w:rPr>
                <w:rFonts w:ascii="Arial" w:eastAsia="SimSun" w:hAnsi="Arial" w:cs="Arial"/>
                <w:b/>
                <w:sz w:val="24"/>
                <w:szCs w:val="24"/>
                <w:lang w:val="ro-RO"/>
              </w:rPr>
              <w:t>BH Siret</w:t>
            </w:r>
          </w:p>
          <w:p w:rsidR="004B269B" w:rsidRPr="004B269B" w:rsidRDefault="004B269B" w:rsidP="004B269B">
            <w:pPr>
              <w:spacing w:after="0" w:line="240" w:lineRule="auto"/>
              <w:jc w:val="center"/>
              <w:rPr>
                <w:rFonts w:ascii="Arial" w:eastAsia="SimSun" w:hAnsi="Arial" w:cs="Arial"/>
                <w:b/>
                <w:sz w:val="24"/>
                <w:szCs w:val="24"/>
                <w:lang w:val="ro-RO"/>
              </w:rPr>
            </w:pPr>
            <w:r w:rsidRPr="004B269B">
              <w:rPr>
                <w:rFonts w:ascii="Arial" w:eastAsia="SimSun" w:hAnsi="Arial" w:cs="Arial"/>
                <w:b/>
                <w:sz w:val="24"/>
                <w:szCs w:val="24"/>
                <w:lang w:val="ro-RO"/>
              </w:rPr>
              <w:t>(mii m³)</w:t>
            </w:r>
          </w:p>
        </w:tc>
        <w:tc>
          <w:tcPr>
            <w:tcW w:w="1560" w:type="dxa"/>
            <w:shd w:val="clear" w:color="auto" w:fill="auto"/>
            <w:vAlign w:val="center"/>
          </w:tcPr>
          <w:p w:rsidR="004B269B" w:rsidRPr="004B269B" w:rsidRDefault="004B269B" w:rsidP="004B269B">
            <w:pPr>
              <w:spacing w:after="0" w:line="240" w:lineRule="auto"/>
              <w:jc w:val="center"/>
              <w:rPr>
                <w:rFonts w:ascii="Arial" w:eastAsia="SimSun" w:hAnsi="Arial" w:cs="Arial"/>
                <w:b/>
                <w:sz w:val="24"/>
                <w:szCs w:val="24"/>
                <w:lang w:val="ro-RO"/>
              </w:rPr>
            </w:pPr>
            <w:r w:rsidRPr="004B269B">
              <w:rPr>
                <w:rFonts w:ascii="Arial" w:eastAsia="SimSun" w:hAnsi="Arial" w:cs="Arial"/>
                <w:b/>
                <w:sz w:val="24"/>
                <w:szCs w:val="24"/>
                <w:lang w:val="ro-RO"/>
              </w:rPr>
              <w:t>Total judeţ</w:t>
            </w:r>
          </w:p>
          <w:p w:rsidR="004B269B" w:rsidRPr="004B269B" w:rsidRDefault="004B269B" w:rsidP="004B269B">
            <w:pPr>
              <w:spacing w:after="0" w:line="240" w:lineRule="auto"/>
              <w:jc w:val="center"/>
              <w:rPr>
                <w:rFonts w:ascii="Arial" w:eastAsia="SimSun" w:hAnsi="Arial" w:cs="Arial"/>
                <w:b/>
                <w:sz w:val="24"/>
                <w:szCs w:val="24"/>
                <w:lang w:val="ro-RO"/>
              </w:rPr>
            </w:pPr>
            <w:r w:rsidRPr="004B269B">
              <w:rPr>
                <w:rFonts w:ascii="Arial" w:eastAsia="SimSun" w:hAnsi="Arial" w:cs="Arial"/>
                <w:b/>
                <w:sz w:val="24"/>
                <w:szCs w:val="24"/>
                <w:lang w:val="ro-RO"/>
              </w:rPr>
              <w:t>(mii m³)</w:t>
            </w:r>
          </w:p>
        </w:tc>
      </w:tr>
      <w:tr w:rsidR="004B269B" w:rsidRPr="004B269B" w:rsidTr="00080B9C">
        <w:tc>
          <w:tcPr>
            <w:tcW w:w="4928" w:type="dxa"/>
            <w:shd w:val="clear" w:color="auto" w:fill="auto"/>
          </w:tcPr>
          <w:p w:rsidR="004B269B" w:rsidRPr="004B269B" w:rsidRDefault="004B269B" w:rsidP="004B269B">
            <w:pPr>
              <w:spacing w:after="0" w:line="240" w:lineRule="auto"/>
              <w:ind w:left="360"/>
              <w:rPr>
                <w:rFonts w:ascii="Arial" w:eastAsia="SimSun" w:hAnsi="Arial" w:cs="Arial"/>
                <w:i/>
                <w:sz w:val="20"/>
                <w:szCs w:val="20"/>
                <w:lang w:val="ro-RO"/>
              </w:rPr>
            </w:pPr>
            <w:r w:rsidRPr="004B269B">
              <w:rPr>
                <w:rFonts w:ascii="Arial" w:eastAsia="SimSun" w:hAnsi="Arial" w:cs="Arial"/>
                <w:i/>
                <w:sz w:val="20"/>
                <w:szCs w:val="20"/>
                <w:lang w:val="ro-RO"/>
              </w:rPr>
              <w:t>Râuri interioare</w:t>
            </w:r>
          </w:p>
          <w:p w:rsidR="004B269B" w:rsidRPr="004B269B" w:rsidRDefault="004B269B" w:rsidP="004B269B">
            <w:pPr>
              <w:spacing w:after="0" w:line="240" w:lineRule="auto"/>
              <w:ind w:left="360" w:hanging="360"/>
              <w:rPr>
                <w:rFonts w:ascii="Arial" w:eastAsia="SimSun" w:hAnsi="Arial" w:cs="Arial"/>
                <w:sz w:val="20"/>
                <w:szCs w:val="20"/>
                <w:lang w:val="ro-RO"/>
              </w:rPr>
            </w:pPr>
            <w:r w:rsidRPr="004B269B">
              <w:rPr>
                <w:rFonts w:ascii="Arial" w:eastAsia="SimSun" w:hAnsi="Arial" w:cs="Arial"/>
                <w:sz w:val="20"/>
                <w:szCs w:val="20"/>
                <w:lang w:val="ro-RO"/>
              </w:rPr>
              <w:t>1. Resursa teoretică</w:t>
            </w:r>
          </w:p>
          <w:p w:rsidR="004B269B" w:rsidRPr="004B269B" w:rsidRDefault="004B269B" w:rsidP="004B269B">
            <w:pPr>
              <w:spacing w:after="0" w:line="240" w:lineRule="auto"/>
              <w:ind w:left="360" w:hanging="360"/>
              <w:rPr>
                <w:rFonts w:ascii="Arial" w:eastAsia="SimSun" w:hAnsi="Arial" w:cs="Arial"/>
                <w:sz w:val="20"/>
                <w:szCs w:val="20"/>
                <w:lang w:val="ro-RO"/>
              </w:rPr>
            </w:pPr>
            <w:r w:rsidRPr="004B269B">
              <w:rPr>
                <w:rFonts w:ascii="Arial" w:eastAsia="SimSun" w:hAnsi="Arial" w:cs="Arial"/>
                <w:sz w:val="20"/>
                <w:szCs w:val="20"/>
                <w:lang w:val="ro-RO"/>
              </w:rPr>
              <w:t>2. Resursa existentă potrivit gradului de amenajare a bazinelor hidrografice</w:t>
            </w:r>
          </w:p>
          <w:p w:rsidR="004B269B" w:rsidRPr="004B269B" w:rsidRDefault="004B269B" w:rsidP="004B269B">
            <w:pPr>
              <w:spacing w:after="0" w:line="240" w:lineRule="auto"/>
              <w:rPr>
                <w:rFonts w:ascii="Arial" w:eastAsia="SimSun" w:hAnsi="Arial" w:cs="Arial"/>
                <w:sz w:val="20"/>
                <w:szCs w:val="20"/>
                <w:lang w:val="ro-RO"/>
              </w:rPr>
            </w:pPr>
            <w:r w:rsidRPr="004B269B">
              <w:rPr>
                <w:rFonts w:ascii="Arial" w:eastAsia="SimSun" w:hAnsi="Arial" w:cs="Arial"/>
                <w:sz w:val="20"/>
                <w:szCs w:val="20"/>
                <w:lang w:val="ro-RO"/>
              </w:rPr>
              <w:t xml:space="preserve">3. Cerinţa de apă a folosinţelor, potrivit capacităţilor  </w:t>
            </w:r>
          </w:p>
          <w:p w:rsidR="004B269B" w:rsidRPr="004B269B" w:rsidRDefault="004B269B" w:rsidP="004B269B">
            <w:pPr>
              <w:spacing w:after="0" w:line="240" w:lineRule="auto"/>
              <w:rPr>
                <w:rFonts w:ascii="Arial" w:eastAsia="SimSun" w:hAnsi="Arial" w:cs="Arial"/>
                <w:sz w:val="20"/>
                <w:szCs w:val="20"/>
                <w:lang w:val="ro-RO"/>
              </w:rPr>
            </w:pPr>
            <w:r w:rsidRPr="004B269B">
              <w:rPr>
                <w:rFonts w:ascii="Arial" w:eastAsia="SimSun" w:hAnsi="Arial" w:cs="Arial"/>
                <w:sz w:val="20"/>
                <w:szCs w:val="20"/>
                <w:lang w:val="ro-RO"/>
              </w:rPr>
              <w:t xml:space="preserve">     de captare aflate în funcţiune</w:t>
            </w:r>
          </w:p>
        </w:tc>
        <w:tc>
          <w:tcPr>
            <w:tcW w:w="1559" w:type="dxa"/>
            <w:shd w:val="clear" w:color="auto" w:fill="auto"/>
          </w:tcPr>
          <w:p w:rsidR="004B269B" w:rsidRPr="004B269B" w:rsidRDefault="004B269B" w:rsidP="004B269B">
            <w:pPr>
              <w:spacing w:after="0" w:line="240" w:lineRule="auto"/>
              <w:rPr>
                <w:rFonts w:ascii="Arial" w:eastAsia="SimSun" w:hAnsi="Arial" w:cs="Arial"/>
                <w:sz w:val="20"/>
                <w:szCs w:val="20"/>
                <w:lang w:val="ro-RO"/>
              </w:rPr>
            </w:pPr>
          </w:p>
          <w:p w:rsidR="004B269B" w:rsidRPr="004B269B" w:rsidRDefault="004B269B" w:rsidP="004B269B">
            <w:pPr>
              <w:spacing w:after="0" w:line="240" w:lineRule="auto"/>
              <w:rPr>
                <w:rFonts w:ascii="Arial" w:eastAsia="SimSun" w:hAnsi="Arial" w:cs="Arial"/>
                <w:sz w:val="20"/>
                <w:szCs w:val="20"/>
                <w:lang w:val="ro-RO"/>
              </w:rPr>
            </w:pPr>
            <w:r w:rsidRPr="004B269B">
              <w:rPr>
                <w:rFonts w:ascii="Arial" w:eastAsia="SimSun" w:hAnsi="Arial" w:cs="Arial"/>
                <w:sz w:val="20"/>
                <w:szCs w:val="20"/>
                <w:lang w:val="ro-RO"/>
              </w:rPr>
              <w:t>1. -</w:t>
            </w:r>
          </w:p>
          <w:p w:rsidR="004B269B" w:rsidRPr="004B269B" w:rsidRDefault="004B269B" w:rsidP="004B269B">
            <w:pPr>
              <w:spacing w:after="0" w:line="240" w:lineRule="auto"/>
              <w:rPr>
                <w:rFonts w:ascii="Arial" w:eastAsia="SimSun" w:hAnsi="Arial" w:cs="Arial"/>
                <w:sz w:val="20"/>
                <w:szCs w:val="20"/>
                <w:lang w:val="ro-RO"/>
              </w:rPr>
            </w:pPr>
            <w:r w:rsidRPr="004B269B">
              <w:rPr>
                <w:rFonts w:ascii="Arial" w:eastAsia="SimSun" w:hAnsi="Arial" w:cs="Arial"/>
                <w:sz w:val="20"/>
                <w:szCs w:val="20"/>
                <w:lang w:val="ro-RO"/>
              </w:rPr>
              <w:t>2. 395.000,00</w:t>
            </w:r>
          </w:p>
          <w:p w:rsidR="004B269B" w:rsidRPr="004B269B" w:rsidRDefault="004B269B" w:rsidP="004B269B">
            <w:pPr>
              <w:spacing w:after="0" w:line="240" w:lineRule="auto"/>
              <w:rPr>
                <w:rFonts w:ascii="Arial" w:eastAsia="SimSun" w:hAnsi="Arial" w:cs="Arial"/>
                <w:sz w:val="20"/>
                <w:szCs w:val="20"/>
                <w:lang w:val="ro-RO"/>
              </w:rPr>
            </w:pPr>
          </w:p>
          <w:p w:rsidR="004B269B" w:rsidRPr="004B269B" w:rsidRDefault="004B269B" w:rsidP="004B269B">
            <w:pPr>
              <w:spacing w:after="0" w:line="240" w:lineRule="auto"/>
              <w:rPr>
                <w:rFonts w:ascii="Arial" w:eastAsia="SimSun" w:hAnsi="Arial" w:cs="Arial"/>
                <w:sz w:val="20"/>
                <w:szCs w:val="20"/>
                <w:lang w:val="ro-RO"/>
              </w:rPr>
            </w:pPr>
            <w:r w:rsidRPr="004B269B">
              <w:rPr>
                <w:rFonts w:ascii="Arial" w:eastAsia="SimSun" w:hAnsi="Arial" w:cs="Arial"/>
                <w:sz w:val="20"/>
                <w:szCs w:val="20"/>
                <w:lang w:val="ro-RO"/>
              </w:rPr>
              <w:t>3. 10 070</w:t>
            </w:r>
          </w:p>
        </w:tc>
        <w:tc>
          <w:tcPr>
            <w:tcW w:w="1559" w:type="dxa"/>
            <w:shd w:val="clear" w:color="auto" w:fill="auto"/>
          </w:tcPr>
          <w:p w:rsidR="004B269B" w:rsidRPr="004B269B" w:rsidRDefault="004B269B" w:rsidP="004B269B">
            <w:pPr>
              <w:spacing w:after="0" w:line="240" w:lineRule="auto"/>
              <w:rPr>
                <w:rFonts w:ascii="Arial" w:eastAsia="SimSun" w:hAnsi="Arial" w:cs="Arial"/>
                <w:sz w:val="20"/>
                <w:szCs w:val="20"/>
                <w:lang w:val="ro-RO"/>
              </w:rPr>
            </w:pPr>
          </w:p>
          <w:p w:rsidR="004B269B" w:rsidRPr="004B269B" w:rsidRDefault="004B269B" w:rsidP="004B269B">
            <w:pPr>
              <w:spacing w:after="0" w:line="240" w:lineRule="auto"/>
              <w:rPr>
                <w:rFonts w:ascii="Arial" w:eastAsia="SimSun" w:hAnsi="Arial" w:cs="Arial"/>
                <w:sz w:val="20"/>
                <w:szCs w:val="20"/>
                <w:lang w:val="ro-RO"/>
              </w:rPr>
            </w:pPr>
            <w:r w:rsidRPr="004B269B">
              <w:rPr>
                <w:rFonts w:ascii="Arial" w:eastAsia="SimSun" w:hAnsi="Arial" w:cs="Arial"/>
                <w:sz w:val="20"/>
                <w:szCs w:val="20"/>
                <w:lang w:val="ro-RO"/>
              </w:rPr>
              <w:t xml:space="preserve">1. - </w:t>
            </w:r>
          </w:p>
          <w:p w:rsidR="004B269B" w:rsidRPr="004B269B" w:rsidRDefault="004B269B" w:rsidP="004B269B">
            <w:pPr>
              <w:spacing w:after="0" w:line="240" w:lineRule="auto"/>
              <w:rPr>
                <w:rFonts w:ascii="Arial" w:eastAsia="SimSun" w:hAnsi="Arial" w:cs="Arial"/>
                <w:sz w:val="20"/>
                <w:szCs w:val="20"/>
                <w:lang w:val="ro-RO"/>
              </w:rPr>
            </w:pPr>
            <w:r w:rsidRPr="004B269B">
              <w:rPr>
                <w:rFonts w:ascii="Arial" w:eastAsia="SimSun" w:hAnsi="Arial" w:cs="Arial"/>
                <w:sz w:val="20"/>
                <w:szCs w:val="20"/>
                <w:lang w:val="ro-RO"/>
              </w:rPr>
              <w:t>2.144.000,0</w:t>
            </w:r>
          </w:p>
          <w:p w:rsidR="004B269B" w:rsidRPr="004B269B" w:rsidRDefault="004B269B" w:rsidP="004B269B">
            <w:pPr>
              <w:spacing w:after="0" w:line="240" w:lineRule="auto"/>
              <w:rPr>
                <w:rFonts w:ascii="Arial" w:eastAsia="SimSun" w:hAnsi="Arial" w:cs="Arial"/>
                <w:sz w:val="20"/>
                <w:szCs w:val="20"/>
                <w:lang w:val="ro-RO"/>
              </w:rPr>
            </w:pPr>
          </w:p>
          <w:p w:rsidR="004B269B" w:rsidRPr="004B269B" w:rsidRDefault="004B269B" w:rsidP="004B269B">
            <w:pPr>
              <w:spacing w:after="0" w:line="240" w:lineRule="auto"/>
              <w:rPr>
                <w:rFonts w:ascii="Arial" w:eastAsia="SimSun" w:hAnsi="Arial" w:cs="Arial"/>
                <w:sz w:val="20"/>
                <w:szCs w:val="20"/>
                <w:lang w:val="ro-RO"/>
              </w:rPr>
            </w:pPr>
            <w:r w:rsidRPr="004B269B">
              <w:rPr>
                <w:rFonts w:ascii="Arial" w:eastAsia="SimSun" w:hAnsi="Arial" w:cs="Arial"/>
                <w:sz w:val="20"/>
                <w:szCs w:val="20"/>
                <w:lang w:val="ro-RO"/>
              </w:rPr>
              <w:t>3. 34 179</w:t>
            </w:r>
          </w:p>
        </w:tc>
        <w:tc>
          <w:tcPr>
            <w:tcW w:w="1560" w:type="dxa"/>
            <w:shd w:val="clear" w:color="auto" w:fill="auto"/>
          </w:tcPr>
          <w:p w:rsidR="004B269B" w:rsidRPr="004B269B" w:rsidRDefault="004B269B" w:rsidP="004B269B">
            <w:pPr>
              <w:spacing w:after="0" w:line="240" w:lineRule="auto"/>
              <w:rPr>
                <w:rFonts w:ascii="Arial" w:eastAsia="SimSun" w:hAnsi="Arial" w:cs="Arial"/>
                <w:sz w:val="20"/>
                <w:szCs w:val="20"/>
                <w:lang w:val="ro-RO"/>
              </w:rPr>
            </w:pPr>
          </w:p>
          <w:p w:rsidR="004B269B" w:rsidRPr="004B269B" w:rsidRDefault="004B269B" w:rsidP="004B269B">
            <w:pPr>
              <w:spacing w:after="0" w:line="240" w:lineRule="auto"/>
              <w:rPr>
                <w:rFonts w:ascii="Arial" w:eastAsia="SimSun" w:hAnsi="Arial" w:cs="Arial"/>
                <w:sz w:val="20"/>
                <w:szCs w:val="20"/>
                <w:lang w:val="ro-RO"/>
              </w:rPr>
            </w:pPr>
            <w:r w:rsidRPr="004B269B">
              <w:rPr>
                <w:rFonts w:ascii="Arial" w:eastAsia="SimSun" w:hAnsi="Arial" w:cs="Arial"/>
                <w:sz w:val="20"/>
                <w:szCs w:val="20"/>
                <w:lang w:val="ro-RO"/>
              </w:rPr>
              <w:t xml:space="preserve">1. - </w:t>
            </w:r>
          </w:p>
          <w:p w:rsidR="004B269B" w:rsidRPr="004B269B" w:rsidRDefault="004B269B" w:rsidP="004B269B">
            <w:pPr>
              <w:spacing w:after="0" w:line="240" w:lineRule="auto"/>
              <w:rPr>
                <w:rFonts w:ascii="Arial" w:eastAsia="SimSun" w:hAnsi="Arial" w:cs="Arial"/>
                <w:sz w:val="20"/>
                <w:szCs w:val="20"/>
                <w:lang w:val="ro-RO"/>
              </w:rPr>
            </w:pPr>
            <w:r w:rsidRPr="004B269B">
              <w:rPr>
                <w:rFonts w:ascii="Arial" w:eastAsia="SimSun" w:hAnsi="Arial" w:cs="Arial"/>
                <w:sz w:val="20"/>
                <w:szCs w:val="20"/>
                <w:lang w:val="ro-RO"/>
              </w:rPr>
              <w:t>2.539.000,0</w:t>
            </w:r>
          </w:p>
          <w:p w:rsidR="004B269B" w:rsidRPr="004B269B" w:rsidRDefault="004B269B" w:rsidP="004B269B">
            <w:pPr>
              <w:spacing w:after="0" w:line="240" w:lineRule="auto"/>
              <w:rPr>
                <w:rFonts w:ascii="Arial" w:eastAsia="SimSun" w:hAnsi="Arial" w:cs="Arial"/>
                <w:sz w:val="20"/>
                <w:szCs w:val="20"/>
                <w:lang w:val="ro-RO"/>
              </w:rPr>
            </w:pPr>
          </w:p>
          <w:p w:rsidR="004B269B" w:rsidRPr="004B269B" w:rsidRDefault="004B269B" w:rsidP="004B269B">
            <w:pPr>
              <w:spacing w:after="0" w:line="240" w:lineRule="auto"/>
              <w:rPr>
                <w:rFonts w:ascii="Arial" w:eastAsia="SimSun" w:hAnsi="Arial" w:cs="Arial"/>
                <w:sz w:val="20"/>
                <w:szCs w:val="20"/>
                <w:lang w:val="ro-RO"/>
              </w:rPr>
            </w:pPr>
            <w:r w:rsidRPr="004B269B">
              <w:rPr>
                <w:rFonts w:ascii="Arial" w:eastAsia="SimSun" w:hAnsi="Arial" w:cs="Arial"/>
                <w:sz w:val="20"/>
                <w:szCs w:val="20"/>
                <w:lang w:val="ro-RO"/>
              </w:rPr>
              <w:t>3. 44 218</w:t>
            </w:r>
          </w:p>
        </w:tc>
      </w:tr>
      <w:tr w:rsidR="004B269B" w:rsidRPr="004B269B" w:rsidTr="00080B9C">
        <w:tc>
          <w:tcPr>
            <w:tcW w:w="4928" w:type="dxa"/>
            <w:shd w:val="clear" w:color="auto" w:fill="auto"/>
          </w:tcPr>
          <w:p w:rsidR="004B269B" w:rsidRPr="004B269B" w:rsidRDefault="004B269B" w:rsidP="004B269B">
            <w:pPr>
              <w:spacing w:after="0" w:line="240" w:lineRule="auto"/>
              <w:ind w:left="360"/>
              <w:rPr>
                <w:rFonts w:ascii="Arial" w:eastAsia="SimSun" w:hAnsi="Arial" w:cs="Arial"/>
                <w:i/>
                <w:sz w:val="20"/>
                <w:szCs w:val="20"/>
                <w:lang w:val="ro-RO"/>
              </w:rPr>
            </w:pPr>
            <w:r w:rsidRPr="004B269B">
              <w:rPr>
                <w:rFonts w:ascii="Arial" w:eastAsia="SimSun" w:hAnsi="Arial" w:cs="Arial"/>
                <w:i/>
                <w:sz w:val="20"/>
                <w:szCs w:val="20"/>
                <w:lang w:val="ro-RO"/>
              </w:rPr>
              <w:t>Subteran</w:t>
            </w:r>
          </w:p>
          <w:p w:rsidR="004B269B" w:rsidRPr="004B269B" w:rsidRDefault="004B269B" w:rsidP="004B269B">
            <w:pPr>
              <w:spacing w:after="0" w:line="240" w:lineRule="auto"/>
              <w:ind w:left="360" w:hanging="360"/>
              <w:rPr>
                <w:rFonts w:ascii="Arial" w:eastAsia="SimSun" w:hAnsi="Arial" w:cs="Arial"/>
                <w:sz w:val="20"/>
                <w:szCs w:val="20"/>
                <w:lang w:val="ro-RO"/>
              </w:rPr>
            </w:pPr>
            <w:r w:rsidRPr="004B269B">
              <w:rPr>
                <w:rFonts w:ascii="Arial" w:eastAsia="SimSun" w:hAnsi="Arial" w:cs="Arial"/>
                <w:sz w:val="20"/>
                <w:szCs w:val="20"/>
                <w:lang w:val="ro-RO"/>
              </w:rPr>
              <w:t>1. Resursa teoretică, din care:</w:t>
            </w:r>
          </w:p>
          <w:p w:rsidR="004B269B" w:rsidRPr="004B269B" w:rsidRDefault="004B269B" w:rsidP="004B269B">
            <w:pPr>
              <w:spacing w:after="0" w:line="240" w:lineRule="auto"/>
              <w:ind w:left="360" w:hanging="360"/>
              <w:rPr>
                <w:rFonts w:ascii="Arial" w:eastAsia="SimSun" w:hAnsi="Arial" w:cs="Arial"/>
                <w:sz w:val="20"/>
                <w:szCs w:val="20"/>
                <w:lang w:val="ro-RO"/>
              </w:rPr>
            </w:pPr>
            <w:r w:rsidRPr="004B269B">
              <w:rPr>
                <w:rFonts w:ascii="Arial" w:eastAsia="SimSun" w:hAnsi="Arial" w:cs="Arial"/>
                <w:sz w:val="20"/>
                <w:szCs w:val="20"/>
                <w:lang w:val="ro-RO"/>
              </w:rPr>
              <w:t xml:space="preserve">         - ape freatice</w:t>
            </w:r>
          </w:p>
          <w:p w:rsidR="004B269B" w:rsidRPr="004B269B" w:rsidRDefault="004B269B" w:rsidP="004B269B">
            <w:pPr>
              <w:spacing w:after="0" w:line="240" w:lineRule="auto"/>
              <w:ind w:left="360" w:hanging="360"/>
              <w:rPr>
                <w:rFonts w:ascii="Arial" w:eastAsia="SimSun" w:hAnsi="Arial" w:cs="Arial"/>
                <w:sz w:val="20"/>
                <w:szCs w:val="20"/>
                <w:lang w:val="ro-RO"/>
              </w:rPr>
            </w:pPr>
            <w:r w:rsidRPr="004B269B">
              <w:rPr>
                <w:rFonts w:ascii="Arial" w:eastAsia="SimSun" w:hAnsi="Arial" w:cs="Arial"/>
                <w:sz w:val="20"/>
                <w:szCs w:val="20"/>
                <w:lang w:val="ro-RO"/>
              </w:rPr>
              <w:t xml:space="preserve">         - ape de adâncime</w:t>
            </w:r>
          </w:p>
          <w:p w:rsidR="004B269B" w:rsidRPr="004B269B" w:rsidRDefault="004B269B" w:rsidP="004B269B">
            <w:pPr>
              <w:spacing w:after="0" w:line="240" w:lineRule="auto"/>
              <w:ind w:left="360" w:hanging="360"/>
              <w:rPr>
                <w:rFonts w:ascii="Arial" w:eastAsia="SimSun" w:hAnsi="Arial" w:cs="Arial"/>
                <w:sz w:val="20"/>
                <w:szCs w:val="20"/>
                <w:lang w:val="ro-RO"/>
              </w:rPr>
            </w:pPr>
            <w:r w:rsidRPr="004B269B">
              <w:rPr>
                <w:rFonts w:ascii="Arial" w:eastAsia="SimSun" w:hAnsi="Arial" w:cs="Arial"/>
                <w:sz w:val="20"/>
                <w:szCs w:val="20"/>
                <w:lang w:val="ro-RO"/>
              </w:rPr>
              <w:t>2. Resursa utilizabilă</w:t>
            </w:r>
          </w:p>
          <w:p w:rsidR="004B269B" w:rsidRPr="004B269B" w:rsidRDefault="004B269B" w:rsidP="004B269B">
            <w:pPr>
              <w:spacing w:after="0" w:line="240" w:lineRule="auto"/>
              <w:ind w:left="360" w:hanging="360"/>
              <w:rPr>
                <w:rFonts w:ascii="Arial" w:eastAsia="SimSun" w:hAnsi="Arial" w:cs="Arial"/>
                <w:sz w:val="20"/>
                <w:szCs w:val="20"/>
                <w:lang w:val="ro-RO"/>
              </w:rPr>
            </w:pPr>
            <w:r w:rsidRPr="004B269B">
              <w:rPr>
                <w:rFonts w:ascii="Arial" w:eastAsia="SimSun" w:hAnsi="Arial" w:cs="Arial"/>
                <w:sz w:val="20"/>
                <w:szCs w:val="20"/>
                <w:lang w:val="ro-RO"/>
              </w:rPr>
              <w:t>3. Cerinţa de apă a folosinţelor, potrivit capacităţilor de captare aflate în funcţiune</w:t>
            </w:r>
          </w:p>
        </w:tc>
        <w:tc>
          <w:tcPr>
            <w:tcW w:w="1559" w:type="dxa"/>
            <w:shd w:val="clear" w:color="auto" w:fill="auto"/>
          </w:tcPr>
          <w:p w:rsidR="004B269B" w:rsidRPr="004B269B" w:rsidRDefault="004B269B" w:rsidP="004B269B">
            <w:pPr>
              <w:spacing w:after="0" w:line="240" w:lineRule="auto"/>
              <w:rPr>
                <w:rFonts w:ascii="Arial" w:eastAsia="SimSun" w:hAnsi="Arial" w:cs="Arial"/>
                <w:sz w:val="20"/>
                <w:szCs w:val="20"/>
                <w:lang w:val="ro-RO"/>
              </w:rPr>
            </w:pPr>
          </w:p>
          <w:p w:rsidR="004B269B" w:rsidRPr="004B269B" w:rsidRDefault="004B269B" w:rsidP="004B269B">
            <w:pPr>
              <w:spacing w:after="0" w:line="240" w:lineRule="auto"/>
              <w:rPr>
                <w:rFonts w:ascii="Arial" w:eastAsia="SimSun" w:hAnsi="Arial" w:cs="Arial"/>
                <w:sz w:val="20"/>
                <w:szCs w:val="20"/>
                <w:lang w:val="ro-RO"/>
              </w:rPr>
            </w:pPr>
            <w:r w:rsidRPr="004B269B">
              <w:rPr>
                <w:rFonts w:ascii="Arial" w:eastAsia="SimSun" w:hAnsi="Arial" w:cs="Arial"/>
                <w:sz w:val="20"/>
                <w:szCs w:val="20"/>
                <w:lang w:val="ro-RO"/>
              </w:rPr>
              <w:t>1. -</w:t>
            </w:r>
          </w:p>
          <w:p w:rsidR="004B269B" w:rsidRPr="004B269B" w:rsidRDefault="004B269B" w:rsidP="004B269B">
            <w:pPr>
              <w:spacing w:after="0" w:line="240" w:lineRule="auto"/>
              <w:rPr>
                <w:rFonts w:ascii="Arial" w:eastAsia="SimSun" w:hAnsi="Arial" w:cs="Arial"/>
                <w:sz w:val="20"/>
                <w:szCs w:val="20"/>
                <w:lang w:val="ro-RO"/>
              </w:rPr>
            </w:pPr>
            <w:r w:rsidRPr="004B269B">
              <w:rPr>
                <w:rFonts w:ascii="Arial" w:eastAsia="SimSun" w:hAnsi="Arial" w:cs="Arial"/>
                <w:sz w:val="20"/>
                <w:szCs w:val="20"/>
                <w:lang w:val="ro-RO"/>
              </w:rPr>
              <w:t>-</w:t>
            </w:r>
          </w:p>
          <w:p w:rsidR="004B269B" w:rsidRPr="004B269B" w:rsidRDefault="004B269B" w:rsidP="004B269B">
            <w:pPr>
              <w:spacing w:after="0" w:line="240" w:lineRule="auto"/>
              <w:rPr>
                <w:rFonts w:ascii="Arial" w:eastAsia="SimSun" w:hAnsi="Arial" w:cs="Arial"/>
                <w:sz w:val="20"/>
                <w:szCs w:val="20"/>
                <w:lang w:val="ro-RO"/>
              </w:rPr>
            </w:pPr>
            <w:r w:rsidRPr="004B269B">
              <w:rPr>
                <w:rFonts w:ascii="Arial" w:eastAsia="SimSun" w:hAnsi="Arial" w:cs="Arial"/>
                <w:sz w:val="20"/>
                <w:szCs w:val="20"/>
                <w:lang w:val="ro-RO"/>
              </w:rPr>
              <w:t>-</w:t>
            </w:r>
          </w:p>
          <w:p w:rsidR="004B269B" w:rsidRPr="004B269B" w:rsidRDefault="004B269B" w:rsidP="004B269B">
            <w:pPr>
              <w:spacing w:after="0" w:line="240" w:lineRule="auto"/>
              <w:rPr>
                <w:rFonts w:ascii="Arial" w:eastAsia="SimSun" w:hAnsi="Arial" w:cs="Arial"/>
                <w:sz w:val="20"/>
                <w:szCs w:val="20"/>
                <w:lang w:val="ro-RO"/>
              </w:rPr>
            </w:pPr>
            <w:r w:rsidRPr="004B269B">
              <w:rPr>
                <w:rFonts w:ascii="Arial" w:eastAsia="SimSun" w:hAnsi="Arial" w:cs="Arial"/>
                <w:sz w:val="20"/>
                <w:szCs w:val="20"/>
                <w:lang w:val="ro-RO"/>
              </w:rPr>
              <w:t>2. 40.000,00</w:t>
            </w:r>
          </w:p>
          <w:p w:rsidR="004B269B" w:rsidRPr="004B269B" w:rsidRDefault="004B269B" w:rsidP="004B269B">
            <w:pPr>
              <w:spacing w:after="0" w:line="240" w:lineRule="auto"/>
              <w:rPr>
                <w:rFonts w:ascii="Arial" w:eastAsia="SimSun" w:hAnsi="Arial" w:cs="Arial"/>
                <w:sz w:val="20"/>
                <w:szCs w:val="20"/>
                <w:lang w:val="ro-RO"/>
              </w:rPr>
            </w:pPr>
            <w:r w:rsidRPr="004B269B">
              <w:rPr>
                <w:rFonts w:ascii="Arial" w:eastAsia="SimSun" w:hAnsi="Arial" w:cs="Arial"/>
                <w:sz w:val="20"/>
                <w:szCs w:val="20"/>
                <w:lang w:val="ro-RO"/>
              </w:rPr>
              <w:t>3. 1 074</w:t>
            </w:r>
          </w:p>
        </w:tc>
        <w:tc>
          <w:tcPr>
            <w:tcW w:w="1559" w:type="dxa"/>
            <w:shd w:val="clear" w:color="auto" w:fill="auto"/>
          </w:tcPr>
          <w:p w:rsidR="004B269B" w:rsidRPr="004B269B" w:rsidRDefault="004B269B" w:rsidP="004B269B">
            <w:pPr>
              <w:spacing w:after="0" w:line="240" w:lineRule="auto"/>
              <w:rPr>
                <w:rFonts w:ascii="Arial" w:eastAsia="SimSun" w:hAnsi="Arial" w:cs="Arial"/>
                <w:sz w:val="20"/>
                <w:szCs w:val="20"/>
                <w:lang w:val="ro-RO"/>
              </w:rPr>
            </w:pPr>
          </w:p>
          <w:p w:rsidR="004B269B" w:rsidRPr="004B269B" w:rsidRDefault="004B269B" w:rsidP="004B269B">
            <w:pPr>
              <w:spacing w:after="0" w:line="240" w:lineRule="auto"/>
              <w:rPr>
                <w:rFonts w:ascii="Arial" w:eastAsia="SimSun" w:hAnsi="Arial" w:cs="Arial"/>
                <w:sz w:val="20"/>
                <w:szCs w:val="20"/>
                <w:lang w:val="ro-RO"/>
              </w:rPr>
            </w:pPr>
            <w:r w:rsidRPr="004B269B">
              <w:rPr>
                <w:rFonts w:ascii="Arial" w:eastAsia="SimSun" w:hAnsi="Arial" w:cs="Arial"/>
                <w:sz w:val="20"/>
                <w:szCs w:val="20"/>
                <w:lang w:val="ro-RO"/>
              </w:rPr>
              <w:t>1. -</w:t>
            </w:r>
          </w:p>
          <w:p w:rsidR="004B269B" w:rsidRPr="004B269B" w:rsidRDefault="004B269B" w:rsidP="004B269B">
            <w:pPr>
              <w:spacing w:after="0" w:line="240" w:lineRule="auto"/>
              <w:rPr>
                <w:rFonts w:ascii="Arial" w:eastAsia="SimSun" w:hAnsi="Arial" w:cs="Arial"/>
                <w:sz w:val="20"/>
                <w:szCs w:val="20"/>
                <w:lang w:val="ro-RO"/>
              </w:rPr>
            </w:pPr>
            <w:r w:rsidRPr="004B269B">
              <w:rPr>
                <w:rFonts w:ascii="Arial" w:eastAsia="SimSun" w:hAnsi="Arial" w:cs="Arial"/>
                <w:sz w:val="20"/>
                <w:szCs w:val="20"/>
                <w:lang w:val="ro-RO"/>
              </w:rPr>
              <w:t>-</w:t>
            </w:r>
          </w:p>
          <w:p w:rsidR="004B269B" w:rsidRPr="004B269B" w:rsidRDefault="004B269B" w:rsidP="004B269B">
            <w:pPr>
              <w:spacing w:after="0" w:line="240" w:lineRule="auto"/>
              <w:rPr>
                <w:rFonts w:ascii="Arial" w:eastAsia="SimSun" w:hAnsi="Arial" w:cs="Arial"/>
                <w:sz w:val="20"/>
                <w:szCs w:val="20"/>
                <w:lang w:val="ro-RO"/>
              </w:rPr>
            </w:pPr>
            <w:r w:rsidRPr="004B269B">
              <w:rPr>
                <w:rFonts w:ascii="Arial" w:eastAsia="SimSun" w:hAnsi="Arial" w:cs="Arial"/>
                <w:sz w:val="20"/>
                <w:szCs w:val="20"/>
                <w:lang w:val="ro-RO"/>
              </w:rPr>
              <w:t>-</w:t>
            </w:r>
          </w:p>
          <w:p w:rsidR="004B269B" w:rsidRPr="004B269B" w:rsidRDefault="004B269B" w:rsidP="004B269B">
            <w:pPr>
              <w:spacing w:after="0" w:line="240" w:lineRule="auto"/>
              <w:rPr>
                <w:rFonts w:ascii="Arial" w:eastAsia="SimSun" w:hAnsi="Arial" w:cs="Arial"/>
                <w:sz w:val="20"/>
                <w:szCs w:val="20"/>
                <w:lang w:val="ro-RO"/>
              </w:rPr>
            </w:pPr>
            <w:r w:rsidRPr="004B269B">
              <w:rPr>
                <w:rFonts w:ascii="Arial" w:eastAsia="SimSun" w:hAnsi="Arial" w:cs="Arial"/>
                <w:sz w:val="20"/>
                <w:szCs w:val="20"/>
                <w:lang w:val="ro-RO"/>
              </w:rPr>
              <w:t>2. 20.000,0</w:t>
            </w:r>
          </w:p>
          <w:p w:rsidR="004B269B" w:rsidRPr="004B269B" w:rsidRDefault="004B269B" w:rsidP="004B269B">
            <w:pPr>
              <w:spacing w:after="0" w:line="240" w:lineRule="auto"/>
              <w:rPr>
                <w:rFonts w:ascii="Arial" w:eastAsia="SimSun" w:hAnsi="Arial" w:cs="Arial"/>
                <w:sz w:val="20"/>
                <w:szCs w:val="20"/>
                <w:lang w:val="ro-RO"/>
              </w:rPr>
            </w:pPr>
            <w:r w:rsidRPr="004B269B">
              <w:rPr>
                <w:rFonts w:ascii="Arial" w:eastAsia="SimSun" w:hAnsi="Arial" w:cs="Arial"/>
                <w:sz w:val="20"/>
                <w:szCs w:val="20"/>
                <w:lang w:val="ro-RO"/>
              </w:rPr>
              <w:t>3. 3 535</w:t>
            </w:r>
          </w:p>
        </w:tc>
        <w:tc>
          <w:tcPr>
            <w:tcW w:w="1560" w:type="dxa"/>
            <w:shd w:val="clear" w:color="auto" w:fill="auto"/>
          </w:tcPr>
          <w:p w:rsidR="004B269B" w:rsidRPr="004B269B" w:rsidRDefault="004B269B" w:rsidP="004B269B">
            <w:pPr>
              <w:spacing w:after="0" w:line="240" w:lineRule="auto"/>
              <w:rPr>
                <w:rFonts w:ascii="Arial" w:eastAsia="SimSun" w:hAnsi="Arial" w:cs="Arial"/>
                <w:sz w:val="20"/>
                <w:szCs w:val="20"/>
                <w:lang w:val="ro-RO"/>
              </w:rPr>
            </w:pPr>
          </w:p>
          <w:p w:rsidR="004B269B" w:rsidRPr="004B269B" w:rsidRDefault="004B269B" w:rsidP="004B269B">
            <w:pPr>
              <w:spacing w:after="0" w:line="240" w:lineRule="auto"/>
              <w:rPr>
                <w:rFonts w:ascii="Arial" w:eastAsia="SimSun" w:hAnsi="Arial" w:cs="Arial"/>
                <w:sz w:val="20"/>
                <w:szCs w:val="20"/>
                <w:lang w:val="ro-RO"/>
              </w:rPr>
            </w:pPr>
            <w:r w:rsidRPr="004B269B">
              <w:rPr>
                <w:rFonts w:ascii="Arial" w:eastAsia="SimSun" w:hAnsi="Arial" w:cs="Arial"/>
                <w:sz w:val="20"/>
                <w:szCs w:val="20"/>
                <w:lang w:val="ro-RO"/>
              </w:rPr>
              <w:t>1. -</w:t>
            </w:r>
          </w:p>
          <w:p w:rsidR="004B269B" w:rsidRPr="004B269B" w:rsidRDefault="004B269B" w:rsidP="004B269B">
            <w:pPr>
              <w:spacing w:after="0" w:line="240" w:lineRule="auto"/>
              <w:rPr>
                <w:rFonts w:ascii="Arial" w:eastAsia="SimSun" w:hAnsi="Arial" w:cs="Arial"/>
                <w:sz w:val="20"/>
                <w:szCs w:val="20"/>
                <w:lang w:val="ro-RO"/>
              </w:rPr>
            </w:pPr>
            <w:r w:rsidRPr="004B269B">
              <w:rPr>
                <w:rFonts w:ascii="Arial" w:eastAsia="SimSun" w:hAnsi="Arial" w:cs="Arial"/>
                <w:sz w:val="20"/>
                <w:szCs w:val="20"/>
                <w:lang w:val="ro-RO"/>
              </w:rPr>
              <w:t>-</w:t>
            </w:r>
          </w:p>
          <w:p w:rsidR="004B269B" w:rsidRPr="004B269B" w:rsidRDefault="004B269B" w:rsidP="004B269B">
            <w:pPr>
              <w:spacing w:after="0" w:line="240" w:lineRule="auto"/>
              <w:rPr>
                <w:rFonts w:ascii="Arial" w:eastAsia="SimSun" w:hAnsi="Arial" w:cs="Arial"/>
                <w:sz w:val="20"/>
                <w:szCs w:val="20"/>
                <w:lang w:val="ro-RO"/>
              </w:rPr>
            </w:pPr>
            <w:r w:rsidRPr="004B269B">
              <w:rPr>
                <w:rFonts w:ascii="Arial" w:eastAsia="SimSun" w:hAnsi="Arial" w:cs="Arial"/>
                <w:sz w:val="20"/>
                <w:szCs w:val="20"/>
                <w:lang w:val="ro-RO"/>
              </w:rPr>
              <w:t>-</w:t>
            </w:r>
          </w:p>
          <w:p w:rsidR="004B269B" w:rsidRPr="004B269B" w:rsidRDefault="004B269B" w:rsidP="004B269B">
            <w:pPr>
              <w:spacing w:after="0" w:line="240" w:lineRule="auto"/>
              <w:rPr>
                <w:rFonts w:ascii="Arial" w:eastAsia="SimSun" w:hAnsi="Arial" w:cs="Arial"/>
                <w:sz w:val="20"/>
                <w:szCs w:val="20"/>
                <w:lang w:val="ro-RO"/>
              </w:rPr>
            </w:pPr>
            <w:r w:rsidRPr="004B269B">
              <w:rPr>
                <w:rFonts w:ascii="Arial" w:eastAsia="SimSun" w:hAnsi="Arial" w:cs="Arial"/>
                <w:sz w:val="20"/>
                <w:szCs w:val="20"/>
                <w:lang w:val="ro-RO"/>
              </w:rPr>
              <w:t>2.60.000,00</w:t>
            </w:r>
          </w:p>
          <w:p w:rsidR="004B269B" w:rsidRPr="004B269B" w:rsidRDefault="004B269B" w:rsidP="004B269B">
            <w:pPr>
              <w:spacing w:after="0" w:line="240" w:lineRule="auto"/>
              <w:rPr>
                <w:rFonts w:ascii="Arial" w:eastAsia="SimSun" w:hAnsi="Arial" w:cs="Arial"/>
                <w:sz w:val="20"/>
                <w:szCs w:val="20"/>
                <w:lang w:val="ro-RO"/>
              </w:rPr>
            </w:pPr>
            <w:r w:rsidRPr="004B269B">
              <w:rPr>
                <w:rFonts w:ascii="Arial" w:eastAsia="SimSun" w:hAnsi="Arial" w:cs="Arial"/>
                <w:sz w:val="20"/>
                <w:szCs w:val="20"/>
                <w:lang w:val="ro-RO"/>
              </w:rPr>
              <w:t>3. 4 608</w:t>
            </w:r>
          </w:p>
        </w:tc>
      </w:tr>
      <w:tr w:rsidR="004B269B" w:rsidRPr="004B269B" w:rsidTr="00080B9C">
        <w:tc>
          <w:tcPr>
            <w:tcW w:w="4928" w:type="dxa"/>
            <w:shd w:val="clear" w:color="auto" w:fill="auto"/>
          </w:tcPr>
          <w:p w:rsidR="004B269B" w:rsidRPr="004B269B" w:rsidRDefault="004B269B" w:rsidP="004B269B">
            <w:pPr>
              <w:spacing w:after="0" w:line="240" w:lineRule="auto"/>
              <w:rPr>
                <w:rFonts w:ascii="Arial" w:eastAsia="SimSun" w:hAnsi="Arial" w:cs="Arial"/>
                <w:i/>
                <w:sz w:val="20"/>
                <w:szCs w:val="20"/>
                <w:lang w:val="ro-RO"/>
              </w:rPr>
            </w:pPr>
            <w:r w:rsidRPr="004B269B">
              <w:rPr>
                <w:rFonts w:ascii="Arial" w:eastAsia="SimSun" w:hAnsi="Arial" w:cs="Arial"/>
                <w:i/>
                <w:sz w:val="20"/>
                <w:szCs w:val="20"/>
                <w:lang w:val="ro-RO"/>
              </w:rPr>
              <w:t>Total resurse</w:t>
            </w:r>
          </w:p>
          <w:p w:rsidR="004B269B" w:rsidRPr="004B269B" w:rsidRDefault="004B269B" w:rsidP="004B269B">
            <w:pPr>
              <w:spacing w:after="0" w:line="240" w:lineRule="auto"/>
              <w:ind w:left="360" w:hanging="360"/>
              <w:rPr>
                <w:rFonts w:ascii="Arial" w:eastAsia="SimSun" w:hAnsi="Arial" w:cs="Arial"/>
                <w:sz w:val="20"/>
                <w:szCs w:val="20"/>
                <w:lang w:val="ro-RO"/>
              </w:rPr>
            </w:pPr>
            <w:r w:rsidRPr="004B269B">
              <w:rPr>
                <w:rFonts w:ascii="Arial" w:eastAsia="SimSun" w:hAnsi="Arial" w:cs="Arial"/>
                <w:sz w:val="20"/>
                <w:szCs w:val="20"/>
                <w:lang w:val="ro-RO"/>
              </w:rPr>
              <w:t>1. Resursa teoretică</w:t>
            </w:r>
          </w:p>
          <w:p w:rsidR="004B269B" w:rsidRPr="004B269B" w:rsidRDefault="004B269B" w:rsidP="004B269B">
            <w:pPr>
              <w:spacing w:after="0" w:line="240" w:lineRule="auto"/>
              <w:ind w:left="360" w:hanging="360"/>
              <w:rPr>
                <w:rFonts w:ascii="Arial" w:eastAsia="SimSun" w:hAnsi="Arial" w:cs="Arial"/>
                <w:sz w:val="20"/>
                <w:szCs w:val="20"/>
                <w:lang w:val="ro-RO"/>
              </w:rPr>
            </w:pPr>
            <w:r w:rsidRPr="004B269B">
              <w:rPr>
                <w:rFonts w:ascii="Arial" w:eastAsia="SimSun" w:hAnsi="Arial" w:cs="Arial"/>
                <w:sz w:val="20"/>
                <w:szCs w:val="20"/>
                <w:lang w:val="ro-RO"/>
              </w:rPr>
              <w:t>2. Resursa existentă potrivit gradului de amenajare a bazinelor hidrografice</w:t>
            </w:r>
          </w:p>
          <w:p w:rsidR="004B269B" w:rsidRPr="004B269B" w:rsidRDefault="004B269B" w:rsidP="004B269B">
            <w:pPr>
              <w:spacing w:after="0" w:line="240" w:lineRule="auto"/>
              <w:rPr>
                <w:rFonts w:ascii="Arial" w:eastAsia="SimSun" w:hAnsi="Arial" w:cs="Arial"/>
                <w:sz w:val="20"/>
                <w:szCs w:val="20"/>
                <w:lang w:val="ro-RO"/>
              </w:rPr>
            </w:pPr>
            <w:r w:rsidRPr="004B269B">
              <w:rPr>
                <w:rFonts w:ascii="Arial" w:eastAsia="SimSun" w:hAnsi="Arial" w:cs="Arial"/>
                <w:sz w:val="20"/>
                <w:szCs w:val="20"/>
                <w:lang w:val="ro-RO"/>
              </w:rPr>
              <w:t xml:space="preserve">3. Cerinţa de apă a folosinţelor, potrivit capacităţilor </w:t>
            </w:r>
          </w:p>
          <w:p w:rsidR="004B269B" w:rsidRPr="004B269B" w:rsidRDefault="004B269B" w:rsidP="004B269B">
            <w:pPr>
              <w:spacing w:after="0" w:line="240" w:lineRule="auto"/>
              <w:rPr>
                <w:rFonts w:ascii="Arial" w:eastAsia="SimSun" w:hAnsi="Arial" w:cs="Arial"/>
                <w:sz w:val="20"/>
                <w:szCs w:val="20"/>
                <w:lang w:val="ro-RO"/>
              </w:rPr>
            </w:pPr>
            <w:r w:rsidRPr="004B269B">
              <w:rPr>
                <w:rFonts w:ascii="Arial" w:eastAsia="SimSun" w:hAnsi="Arial" w:cs="Arial"/>
                <w:sz w:val="20"/>
                <w:szCs w:val="20"/>
                <w:lang w:val="ro-RO"/>
              </w:rPr>
              <w:t xml:space="preserve">        de captare aflate în funcţiune</w:t>
            </w:r>
          </w:p>
          <w:p w:rsidR="004B269B" w:rsidRPr="004B269B" w:rsidRDefault="004B269B" w:rsidP="004B269B">
            <w:pPr>
              <w:spacing w:after="0" w:line="240" w:lineRule="auto"/>
              <w:rPr>
                <w:rFonts w:ascii="Arial" w:eastAsia="SimSun" w:hAnsi="Arial" w:cs="Arial"/>
                <w:sz w:val="20"/>
                <w:szCs w:val="20"/>
                <w:lang w:val="ro-RO"/>
              </w:rPr>
            </w:pPr>
            <w:r w:rsidRPr="004B269B">
              <w:rPr>
                <w:rFonts w:ascii="Arial" w:eastAsia="SimSun" w:hAnsi="Arial" w:cs="Arial"/>
                <w:sz w:val="20"/>
                <w:szCs w:val="20"/>
                <w:lang w:val="ro-RO"/>
              </w:rPr>
              <w:t>4. Cerinţa de apă pentru protecţia ecologică</w:t>
            </w:r>
          </w:p>
        </w:tc>
        <w:tc>
          <w:tcPr>
            <w:tcW w:w="1559" w:type="dxa"/>
            <w:shd w:val="clear" w:color="auto" w:fill="auto"/>
          </w:tcPr>
          <w:p w:rsidR="004B269B" w:rsidRPr="004B269B" w:rsidRDefault="004B269B" w:rsidP="004B269B">
            <w:pPr>
              <w:spacing w:after="0" w:line="240" w:lineRule="auto"/>
              <w:rPr>
                <w:rFonts w:ascii="Arial" w:eastAsia="SimSun" w:hAnsi="Arial" w:cs="Arial"/>
                <w:sz w:val="20"/>
                <w:szCs w:val="20"/>
                <w:lang w:val="ro-RO"/>
              </w:rPr>
            </w:pPr>
          </w:p>
          <w:p w:rsidR="004B269B" w:rsidRPr="004B269B" w:rsidRDefault="004B269B" w:rsidP="004B269B">
            <w:pPr>
              <w:spacing w:after="0" w:line="240" w:lineRule="auto"/>
              <w:rPr>
                <w:rFonts w:ascii="Arial" w:eastAsia="SimSun" w:hAnsi="Arial" w:cs="Arial"/>
                <w:sz w:val="20"/>
                <w:szCs w:val="20"/>
                <w:lang w:val="ro-RO"/>
              </w:rPr>
            </w:pPr>
            <w:r w:rsidRPr="004B269B">
              <w:rPr>
                <w:rFonts w:ascii="Arial" w:eastAsia="SimSun" w:hAnsi="Arial" w:cs="Arial"/>
                <w:sz w:val="20"/>
                <w:szCs w:val="20"/>
                <w:lang w:val="ro-RO"/>
              </w:rPr>
              <w:t>1.1.670.000,0</w:t>
            </w:r>
          </w:p>
          <w:p w:rsidR="004B269B" w:rsidRPr="004B269B" w:rsidRDefault="004B269B" w:rsidP="004B269B">
            <w:pPr>
              <w:spacing w:after="0" w:line="240" w:lineRule="auto"/>
              <w:rPr>
                <w:rFonts w:ascii="Arial" w:eastAsia="SimSun" w:hAnsi="Arial" w:cs="Arial"/>
                <w:sz w:val="20"/>
                <w:szCs w:val="20"/>
                <w:lang w:val="ro-RO"/>
              </w:rPr>
            </w:pPr>
            <w:r w:rsidRPr="004B269B">
              <w:rPr>
                <w:rFonts w:ascii="Arial" w:eastAsia="SimSun" w:hAnsi="Arial" w:cs="Arial"/>
                <w:sz w:val="20"/>
                <w:szCs w:val="20"/>
                <w:lang w:val="ro-RO"/>
              </w:rPr>
              <w:t>2. 435.000,0</w:t>
            </w:r>
          </w:p>
          <w:p w:rsidR="004B269B" w:rsidRPr="004B269B" w:rsidRDefault="004B269B" w:rsidP="004B269B">
            <w:pPr>
              <w:spacing w:after="0" w:line="240" w:lineRule="auto"/>
              <w:rPr>
                <w:rFonts w:ascii="Arial" w:eastAsia="SimSun" w:hAnsi="Arial" w:cs="Arial"/>
                <w:sz w:val="20"/>
                <w:szCs w:val="20"/>
                <w:lang w:val="ro-RO"/>
              </w:rPr>
            </w:pPr>
          </w:p>
          <w:p w:rsidR="004B269B" w:rsidRPr="004B269B" w:rsidRDefault="004B269B" w:rsidP="004B269B">
            <w:pPr>
              <w:spacing w:after="0" w:line="240" w:lineRule="auto"/>
              <w:rPr>
                <w:rFonts w:ascii="Arial" w:eastAsia="SimSun" w:hAnsi="Arial" w:cs="Arial"/>
                <w:sz w:val="20"/>
                <w:szCs w:val="20"/>
                <w:lang w:val="ro-RO"/>
              </w:rPr>
            </w:pPr>
            <w:r w:rsidRPr="004B269B">
              <w:rPr>
                <w:rFonts w:ascii="Arial" w:eastAsia="SimSun" w:hAnsi="Arial" w:cs="Arial"/>
                <w:sz w:val="20"/>
                <w:szCs w:val="20"/>
                <w:lang w:val="ro-RO"/>
              </w:rPr>
              <w:t>3. 11 113</w:t>
            </w:r>
          </w:p>
          <w:p w:rsidR="004B269B" w:rsidRPr="004B269B" w:rsidRDefault="004B269B" w:rsidP="004B269B">
            <w:pPr>
              <w:spacing w:after="0" w:line="240" w:lineRule="auto"/>
              <w:rPr>
                <w:rFonts w:ascii="Arial" w:eastAsia="SimSun" w:hAnsi="Arial" w:cs="Arial"/>
                <w:sz w:val="20"/>
                <w:szCs w:val="20"/>
                <w:lang w:val="ro-RO"/>
              </w:rPr>
            </w:pPr>
          </w:p>
          <w:p w:rsidR="004B269B" w:rsidRPr="004B269B" w:rsidRDefault="004B269B" w:rsidP="004B269B">
            <w:pPr>
              <w:spacing w:after="0" w:line="240" w:lineRule="auto"/>
              <w:rPr>
                <w:rFonts w:ascii="Arial" w:eastAsia="SimSun" w:hAnsi="Arial" w:cs="Arial"/>
                <w:sz w:val="20"/>
                <w:szCs w:val="20"/>
                <w:lang w:val="ro-RO"/>
              </w:rPr>
            </w:pPr>
            <w:r w:rsidRPr="004B269B">
              <w:rPr>
                <w:rFonts w:ascii="Arial" w:eastAsia="SimSun" w:hAnsi="Arial" w:cs="Arial"/>
                <w:sz w:val="20"/>
                <w:szCs w:val="20"/>
                <w:lang w:val="ro-RO"/>
              </w:rPr>
              <w:t>4. -</w:t>
            </w:r>
          </w:p>
        </w:tc>
        <w:tc>
          <w:tcPr>
            <w:tcW w:w="1559" w:type="dxa"/>
            <w:shd w:val="clear" w:color="auto" w:fill="auto"/>
          </w:tcPr>
          <w:p w:rsidR="004B269B" w:rsidRPr="004B269B" w:rsidRDefault="004B269B" w:rsidP="004B269B">
            <w:pPr>
              <w:spacing w:after="0" w:line="240" w:lineRule="auto"/>
              <w:rPr>
                <w:rFonts w:ascii="Arial" w:eastAsia="SimSun" w:hAnsi="Arial" w:cs="Arial"/>
                <w:sz w:val="20"/>
                <w:szCs w:val="20"/>
                <w:lang w:val="ro-RO"/>
              </w:rPr>
            </w:pPr>
          </w:p>
          <w:p w:rsidR="004B269B" w:rsidRPr="004B269B" w:rsidRDefault="004B269B" w:rsidP="004B269B">
            <w:pPr>
              <w:spacing w:after="0" w:line="240" w:lineRule="auto"/>
              <w:rPr>
                <w:rFonts w:ascii="Arial" w:eastAsia="SimSun" w:hAnsi="Arial" w:cs="Arial"/>
                <w:sz w:val="20"/>
                <w:szCs w:val="20"/>
                <w:lang w:val="ro-RO"/>
              </w:rPr>
            </w:pPr>
            <w:r w:rsidRPr="004B269B">
              <w:rPr>
                <w:rFonts w:ascii="Arial" w:eastAsia="SimSun" w:hAnsi="Arial" w:cs="Arial"/>
                <w:sz w:val="20"/>
                <w:szCs w:val="20"/>
                <w:lang w:val="ro-RO"/>
              </w:rPr>
              <w:t xml:space="preserve">1. - </w:t>
            </w:r>
          </w:p>
          <w:p w:rsidR="004B269B" w:rsidRPr="004B269B" w:rsidRDefault="004B269B" w:rsidP="004B269B">
            <w:pPr>
              <w:spacing w:after="0" w:line="240" w:lineRule="auto"/>
              <w:rPr>
                <w:rFonts w:ascii="Arial" w:eastAsia="SimSun" w:hAnsi="Arial" w:cs="Arial"/>
                <w:sz w:val="20"/>
                <w:szCs w:val="20"/>
                <w:lang w:val="ro-RO"/>
              </w:rPr>
            </w:pPr>
            <w:r w:rsidRPr="004B269B">
              <w:rPr>
                <w:rFonts w:ascii="Arial" w:eastAsia="SimSun" w:hAnsi="Arial" w:cs="Arial"/>
                <w:sz w:val="20"/>
                <w:szCs w:val="20"/>
                <w:lang w:val="ro-RO"/>
              </w:rPr>
              <w:t>2.164.000,0</w:t>
            </w:r>
          </w:p>
          <w:p w:rsidR="004B269B" w:rsidRPr="004B269B" w:rsidRDefault="004B269B" w:rsidP="004B269B">
            <w:pPr>
              <w:spacing w:after="0" w:line="240" w:lineRule="auto"/>
              <w:rPr>
                <w:rFonts w:ascii="Arial" w:eastAsia="SimSun" w:hAnsi="Arial" w:cs="Arial"/>
                <w:sz w:val="20"/>
                <w:szCs w:val="20"/>
                <w:lang w:val="ro-RO"/>
              </w:rPr>
            </w:pPr>
          </w:p>
          <w:p w:rsidR="004B269B" w:rsidRPr="004B269B" w:rsidRDefault="004B269B" w:rsidP="004B269B">
            <w:pPr>
              <w:spacing w:after="0" w:line="240" w:lineRule="auto"/>
              <w:rPr>
                <w:rFonts w:ascii="Arial" w:eastAsia="SimSun" w:hAnsi="Arial" w:cs="Arial"/>
                <w:sz w:val="20"/>
                <w:szCs w:val="20"/>
                <w:lang w:val="ro-RO"/>
              </w:rPr>
            </w:pPr>
            <w:r w:rsidRPr="004B269B">
              <w:rPr>
                <w:rFonts w:ascii="Arial" w:eastAsia="SimSun" w:hAnsi="Arial" w:cs="Arial"/>
                <w:sz w:val="20"/>
                <w:szCs w:val="20"/>
                <w:lang w:val="ro-RO"/>
              </w:rPr>
              <w:t>3. 37 713</w:t>
            </w:r>
          </w:p>
          <w:p w:rsidR="004B269B" w:rsidRPr="004B269B" w:rsidRDefault="004B269B" w:rsidP="004B269B">
            <w:pPr>
              <w:spacing w:after="0" w:line="240" w:lineRule="auto"/>
              <w:rPr>
                <w:rFonts w:ascii="Arial" w:eastAsia="SimSun" w:hAnsi="Arial" w:cs="Arial"/>
                <w:sz w:val="20"/>
                <w:szCs w:val="20"/>
                <w:lang w:val="ro-RO"/>
              </w:rPr>
            </w:pPr>
          </w:p>
          <w:p w:rsidR="004B269B" w:rsidRPr="004B269B" w:rsidRDefault="004B269B" w:rsidP="004B269B">
            <w:pPr>
              <w:spacing w:after="0" w:line="240" w:lineRule="auto"/>
              <w:rPr>
                <w:rFonts w:ascii="Arial" w:eastAsia="SimSun" w:hAnsi="Arial" w:cs="Arial"/>
                <w:sz w:val="20"/>
                <w:szCs w:val="20"/>
                <w:lang w:val="ro-RO"/>
              </w:rPr>
            </w:pPr>
            <w:r w:rsidRPr="004B269B">
              <w:rPr>
                <w:rFonts w:ascii="Arial" w:eastAsia="SimSun" w:hAnsi="Arial" w:cs="Arial"/>
                <w:sz w:val="20"/>
                <w:szCs w:val="20"/>
                <w:lang w:val="ro-RO"/>
              </w:rPr>
              <w:t>4. -</w:t>
            </w:r>
          </w:p>
        </w:tc>
        <w:tc>
          <w:tcPr>
            <w:tcW w:w="1560" w:type="dxa"/>
            <w:shd w:val="clear" w:color="auto" w:fill="auto"/>
          </w:tcPr>
          <w:p w:rsidR="004B269B" w:rsidRPr="004B269B" w:rsidRDefault="004B269B" w:rsidP="004B269B">
            <w:pPr>
              <w:spacing w:after="0" w:line="240" w:lineRule="auto"/>
              <w:rPr>
                <w:rFonts w:ascii="Arial" w:eastAsia="SimSun" w:hAnsi="Arial" w:cs="Arial"/>
                <w:sz w:val="20"/>
                <w:szCs w:val="20"/>
                <w:lang w:val="ro-RO"/>
              </w:rPr>
            </w:pPr>
          </w:p>
          <w:p w:rsidR="004B269B" w:rsidRPr="004B269B" w:rsidRDefault="004B269B" w:rsidP="004B269B">
            <w:pPr>
              <w:spacing w:after="0" w:line="240" w:lineRule="auto"/>
              <w:rPr>
                <w:rFonts w:ascii="Arial" w:eastAsia="SimSun" w:hAnsi="Arial" w:cs="Arial"/>
                <w:sz w:val="20"/>
                <w:szCs w:val="20"/>
                <w:lang w:val="ro-RO"/>
              </w:rPr>
            </w:pPr>
            <w:r w:rsidRPr="004B269B">
              <w:rPr>
                <w:rFonts w:ascii="Arial" w:eastAsia="SimSun" w:hAnsi="Arial" w:cs="Arial"/>
                <w:sz w:val="20"/>
                <w:szCs w:val="20"/>
                <w:lang w:val="ro-RO"/>
              </w:rPr>
              <w:t>1. -</w:t>
            </w:r>
          </w:p>
          <w:p w:rsidR="004B269B" w:rsidRPr="004B269B" w:rsidRDefault="004B269B" w:rsidP="004B269B">
            <w:pPr>
              <w:spacing w:after="0" w:line="240" w:lineRule="auto"/>
              <w:rPr>
                <w:rFonts w:ascii="Arial" w:eastAsia="SimSun" w:hAnsi="Arial" w:cs="Arial"/>
                <w:sz w:val="20"/>
                <w:szCs w:val="20"/>
                <w:lang w:val="ro-RO"/>
              </w:rPr>
            </w:pPr>
            <w:r w:rsidRPr="004B269B">
              <w:rPr>
                <w:rFonts w:ascii="Arial" w:eastAsia="SimSun" w:hAnsi="Arial" w:cs="Arial"/>
                <w:sz w:val="20"/>
                <w:szCs w:val="20"/>
                <w:lang w:val="ro-RO"/>
              </w:rPr>
              <w:t>2.599.000,0</w:t>
            </w:r>
          </w:p>
          <w:p w:rsidR="004B269B" w:rsidRPr="004B269B" w:rsidRDefault="004B269B" w:rsidP="004B269B">
            <w:pPr>
              <w:spacing w:after="0" w:line="240" w:lineRule="auto"/>
              <w:rPr>
                <w:rFonts w:ascii="Arial" w:eastAsia="SimSun" w:hAnsi="Arial" w:cs="Arial"/>
                <w:sz w:val="20"/>
                <w:szCs w:val="20"/>
                <w:lang w:val="ro-RO"/>
              </w:rPr>
            </w:pPr>
          </w:p>
          <w:p w:rsidR="004B269B" w:rsidRPr="004B269B" w:rsidRDefault="004B269B" w:rsidP="004B269B">
            <w:pPr>
              <w:spacing w:after="0" w:line="240" w:lineRule="auto"/>
              <w:rPr>
                <w:rFonts w:ascii="Arial" w:eastAsia="SimSun" w:hAnsi="Arial" w:cs="Arial"/>
                <w:sz w:val="20"/>
                <w:szCs w:val="20"/>
                <w:lang w:val="ro-RO"/>
              </w:rPr>
            </w:pPr>
            <w:r w:rsidRPr="004B269B">
              <w:rPr>
                <w:rFonts w:ascii="Arial" w:eastAsia="SimSun" w:hAnsi="Arial" w:cs="Arial"/>
                <w:sz w:val="20"/>
                <w:szCs w:val="20"/>
                <w:lang w:val="ro-RO"/>
              </w:rPr>
              <w:t>3.48 827</w:t>
            </w:r>
          </w:p>
          <w:p w:rsidR="004B269B" w:rsidRPr="004B269B" w:rsidRDefault="004B269B" w:rsidP="004B269B">
            <w:pPr>
              <w:spacing w:after="0" w:line="240" w:lineRule="auto"/>
              <w:rPr>
                <w:rFonts w:ascii="Arial" w:eastAsia="SimSun" w:hAnsi="Arial" w:cs="Arial"/>
                <w:sz w:val="20"/>
                <w:szCs w:val="20"/>
                <w:lang w:val="ro-RO"/>
              </w:rPr>
            </w:pPr>
          </w:p>
          <w:p w:rsidR="004B269B" w:rsidRPr="004B269B" w:rsidRDefault="004B269B" w:rsidP="004B269B">
            <w:pPr>
              <w:spacing w:after="0" w:line="240" w:lineRule="auto"/>
              <w:rPr>
                <w:rFonts w:ascii="Arial" w:eastAsia="SimSun" w:hAnsi="Arial" w:cs="Arial"/>
                <w:sz w:val="20"/>
                <w:szCs w:val="20"/>
                <w:lang w:val="ro-RO"/>
              </w:rPr>
            </w:pPr>
            <w:r w:rsidRPr="004B269B">
              <w:rPr>
                <w:rFonts w:ascii="Arial" w:eastAsia="SimSun" w:hAnsi="Arial" w:cs="Arial"/>
                <w:sz w:val="20"/>
                <w:szCs w:val="20"/>
                <w:lang w:val="ro-RO"/>
              </w:rPr>
              <w:t>4. -</w:t>
            </w:r>
          </w:p>
        </w:tc>
      </w:tr>
    </w:tbl>
    <w:p w:rsidR="004B269B" w:rsidRPr="004B269B" w:rsidRDefault="004B269B" w:rsidP="004B269B">
      <w:pPr>
        <w:spacing w:after="0" w:line="240" w:lineRule="auto"/>
        <w:jc w:val="center"/>
        <w:rPr>
          <w:rFonts w:ascii="Arial" w:eastAsia="SimSun" w:hAnsi="Arial" w:cs="Arial"/>
          <w:sz w:val="20"/>
          <w:szCs w:val="20"/>
          <w:lang w:val="ro-RO"/>
        </w:rPr>
      </w:pPr>
      <w:r w:rsidRPr="004B269B">
        <w:rPr>
          <w:rFonts w:ascii="Arial" w:eastAsia="SimSun" w:hAnsi="Arial" w:cs="Arial"/>
          <w:sz w:val="20"/>
          <w:szCs w:val="20"/>
          <w:lang w:val="ro-RO"/>
        </w:rPr>
        <w:t>(Sursa: Administraţia “Apele Române”- Administraţia Bazinală de Apă Prut – Bârlad)</w:t>
      </w:r>
      <w:r w:rsidRPr="004B269B">
        <w:rPr>
          <w:rFonts w:ascii="Arial" w:eastAsia="SimSun" w:hAnsi="Arial" w:cs="Arial"/>
          <w:sz w:val="24"/>
          <w:szCs w:val="24"/>
          <w:lang w:val="ro-RO"/>
        </w:rPr>
        <w:t xml:space="preserve">       </w:t>
      </w:r>
    </w:p>
    <w:p w:rsidR="004B269B" w:rsidRPr="004B269B" w:rsidRDefault="004B269B" w:rsidP="004B269B">
      <w:pPr>
        <w:spacing w:after="0" w:line="240" w:lineRule="auto"/>
        <w:rPr>
          <w:rFonts w:ascii="Arial" w:eastAsia="SimSun" w:hAnsi="Arial" w:cs="Arial"/>
          <w:sz w:val="24"/>
          <w:szCs w:val="24"/>
          <w:lang w:val="en-GB"/>
        </w:rPr>
      </w:pPr>
      <w:r w:rsidRPr="004B269B">
        <w:rPr>
          <w:rFonts w:ascii="Arial" w:eastAsia="SimSun" w:hAnsi="Arial" w:cs="Arial"/>
          <w:iCs/>
          <w:sz w:val="24"/>
          <w:szCs w:val="24"/>
          <w:lang w:val="ro-RO"/>
        </w:rPr>
        <w:t xml:space="preserve">Tabelul </w:t>
      </w:r>
      <w:r w:rsidRPr="004B269B">
        <w:rPr>
          <w:rFonts w:ascii="Arial" w:eastAsia="SimSun" w:hAnsi="Arial" w:cs="Arial"/>
          <w:sz w:val="24"/>
          <w:szCs w:val="24"/>
          <w:lang w:val="ro-RO"/>
        </w:rPr>
        <w:t>II</w:t>
      </w:r>
      <w:r w:rsidRPr="004B269B">
        <w:rPr>
          <w:rFonts w:ascii="Arial" w:eastAsia="SimSun" w:hAnsi="Arial" w:cs="Arial"/>
          <w:iCs/>
          <w:sz w:val="24"/>
          <w:szCs w:val="24"/>
          <w:lang w:val="ro-RO"/>
        </w:rPr>
        <w:t xml:space="preserve">.2. </w:t>
      </w:r>
      <w:r w:rsidRPr="004B269B">
        <w:rPr>
          <w:rFonts w:ascii="Arial" w:eastAsia="SimSun" w:hAnsi="Arial" w:cs="Arial"/>
          <w:sz w:val="24"/>
          <w:szCs w:val="24"/>
          <w:lang w:val="en-GB"/>
        </w:rPr>
        <w:t>Resursele de apă potenţiale şi tehnic utililizabile, la nivel judeţului Vaslui, în perioada 2011 – 2015</w:t>
      </w:r>
    </w:p>
    <w:tbl>
      <w:tblPr>
        <w:tblW w:w="9606" w:type="dxa"/>
        <w:tblCellMar>
          <w:left w:w="0" w:type="dxa"/>
          <w:right w:w="0" w:type="dxa"/>
        </w:tblCellMar>
        <w:tblLook w:val="04A0" w:firstRow="1" w:lastRow="0" w:firstColumn="1" w:lastColumn="0" w:noHBand="0" w:noVBand="1"/>
      </w:tblPr>
      <w:tblGrid>
        <w:gridCol w:w="1958"/>
        <w:gridCol w:w="1269"/>
        <w:gridCol w:w="1701"/>
        <w:gridCol w:w="1559"/>
        <w:gridCol w:w="1559"/>
        <w:gridCol w:w="1560"/>
      </w:tblGrid>
      <w:tr w:rsidR="004B269B" w:rsidRPr="004B269B" w:rsidTr="00080B9C">
        <w:trPr>
          <w:trHeight w:val="292"/>
        </w:trPr>
        <w:tc>
          <w:tcPr>
            <w:tcW w:w="195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B269B" w:rsidRPr="004B269B" w:rsidRDefault="004B269B" w:rsidP="004B269B">
            <w:pPr>
              <w:spacing w:after="0" w:line="240" w:lineRule="auto"/>
              <w:jc w:val="center"/>
              <w:rPr>
                <w:rFonts w:ascii="Arial" w:eastAsia="Calibri" w:hAnsi="Arial" w:cs="Arial"/>
                <w:sz w:val="24"/>
                <w:szCs w:val="24"/>
                <w:lang w:val="ro-RO"/>
              </w:rPr>
            </w:pPr>
            <w:r w:rsidRPr="004B269B">
              <w:rPr>
                <w:rFonts w:ascii="Arial" w:eastAsia="SimSun" w:hAnsi="Arial" w:cs="Arial"/>
                <w:sz w:val="24"/>
                <w:szCs w:val="24"/>
                <w:lang w:val="ro-RO"/>
              </w:rPr>
              <w:t>Judet Vaslui</w:t>
            </w:r>
          </w:p>
        </w:tc>
        <w:tc>
          <w:tcPr>
            <w:tcW w:w="7648"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B269B" w:rsidRPr="004B269B" w:rsidRDefault="004B269B" w:rsidP="004B269B">
            <w:pPr>
              <w:spacing w:after="0" w:line="240" w:lineRule="auto"/>
              <w:jc w:val="center"/>
              <w:rPr>
                <w:rFonts w:ascii="Arial" w:eastAsia="Calibri" w:hAnsi="Arial" w:cs="Arial"/>
                <w:sz w:val="24"/>
                <w:szCs w:val="24"/>
                <w:lang w:val="ro-RO"/>
              </w:rPr>
            </w:pPr>
            <w:r w:rsidRPr="004B269B">
              <w:rPr>
                <w:rFonts w:ascii="Arial" w:eastAsia="SimSun" w:hAnsi="Arial" w:cs="Arial"/>
                <w:sz w:val="24"/>
                <w:szCs w:val="24"/>
                <w:lang w:val="ro-RO"/>
              </w:rPr>
              <w:t>Resurse de apă (mii m</w:t>
            </w:r>
            <w:r w:rsidRPr="004B269B">
              <w:rPr>
                <w:rFonts w:ascii="Arial" w:eastAsia="SimSun" w:hAnsi="Arial" w:cs="Arial"/>
                <w:sz w:val="24"/>
                <w:szCs w:val="24"/>
                <w:vertAlign w:val="superscript"/>
                <w:lang w:val="ro-RO"/>
              </w:rPr>
              <w:t>3</w:t>
            </w:r>
            <w:r w:rsidRPr="004B269B">
              <w:rPr>
                <w:rFonts w:ascii="Arial" w:eastAsia="SimSun" w:hAnsi="Arial" w:cs="Arial"/>
                <w:sz w:val="24"/>
                <w:szCs w:val="24"/>
                <w:lang w:val="ro-RO"/>
              </w:rPr>
              <w:t>)</w:t>
            </w:r>
          </w:p>
        </w:tc>
      </w:tr>
      <w:tr w:rsidR="004B269B" w:rsidRPr="004B269B" w:rsidTr="00080B9C">
        <w:trPr>
          <w:trHeight w:val="156"/>
        </w:trPr>
        <w:tc>
          <w:tcPr>
            <w:tcW w:w="0" w:type="auto"/>
            <w:vMerge/>
            <w:tcBorders>
              <w:top w:val="single" w:sz="8" w:space="0" w:color="auto"/>
              <w:left w:val="single" w:sz="8" w:space="0" w:color="auto"/>
              <w:bottom w:val="single" w:sz="8" w:space="0" w:color="auto"/>
              <w:right w:val="single" w:sz="8" w:space="0" w:color="auto"/>
            </w:tcBorders>
            <w:vAlign w:val="center"/>
            <w:hideMark/>
          </w:tcPr>
          <w:p w:rsidR="004B269B" w:rsidRPr="004B269B" w:rsidRDefault="004B269B" w:rsidP="004B269B">
            <w:pPr>
              <w:spacing w:after="0" w:line="240" w:lineRule="auto"/>
              <w:jc w:val="center"/>
              <w:rPr>
                <w:rFonts w:ascii="Arial" w:eastAsia="Calibri" w:hAnsi="Arial" w:cs="Arial"/>
                <w:sz w:val="24"/>
                <w:szCs w:val="24"/>
                <w:lang w:val="ro-RO"/>
              </w:rPr>
            </w:pPr>
          </w:p>
        </w:tc>
        <w:tc>
          <w:tcPr>
            <w:tcW w:w="12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269B" w:rsidRPr="004B269B" w:rsidRDefault="004B269B" w:rsidP="004B269B">
            <w:pPr>
              <w:spacing w:after="0" w:line="240" w:lineRule="auto"/>
              <w:ind w:right="-119"/>
              <w:jc w:val="center"/>
              <w:rPr>
                <w:rFonts w:ascii="Arial" w:eastAsia="Calibri" w:hAnsi="Arial" w:cs="Arial"/>
                <w:b/>
                <w:bCs/>
                <w:sz w:val="24"/>
                <w:szCs w:val="24"/>
                <w:lang w:val="ro-RO"/>
              </w:rPr>
            </w:pPr>
            <w:r w:rsidRPr="004B269B">
              <w:rPr>
                <w:rFonts w:ascii="Arial" w:eastAsia="SimSun" w:hAnsi="Arial" w:cs="Arial"/>
                <w:b/>
                <w:bCs/>
                <w:sz w:val="24"/>
                <w:szCs w:val="24"/>
                <w:lang w:val="ro-RO"/>
              </w:rPr>
              <w:t>2011</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269B" w:rsidRPr="004B269B" w:rsidRDefault="004B269B" w:rsidP="004B269B">
            <w:pPr>
              <w:spacing w:after="0" w:line="240" w:lineRule="auto"/>
              <w:ind w:right="-119"/>
              <w:jc w:val="center"/>
              <w:rPr>
                <w:rFonts w:ascii="Arial" w:eastAsia="Calibri" w:hAnsi="Arial" w:cs="Arial"/>
                <w:b/>
                <w:bCs/>
                <w:sz w:val="24"/>
                <w:szCs w:val="24"/>
                <w:lang w:val="ro-RO"/>
              </w:rPr>
            </w:pPr>
            <w:r w:rsidRPr="004B269B">
              <w:rPr>
                <w:rFonts w:ascii="Arial" w:eastAsia="SimSun" w:hAnsi="Arial" w:cs="Arial"/>
                <w:b/>
                <w:bCs/>
                <w:sz w:val="24"/>
                <w:szCs w:val="24"/>
                <w:lang w:val="ro-RO"/>
              </w:rPr>
              <w:t>2011</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269B" w:rsidRPr="004B269B" w:rsidRDefault="004B269B" w:rsidP="004B269B">
            <w:pPr>
              <w:spacing w:after="0" w:line="240" w:lineRule="auto"/>
              <w:ind w:right="-119"/>
              <w:jc w:val="center"/>
              <w:rPr>
                <w:rFonts w:ascii="Arial" w:eastAsia="Calibri" w:hAnsi="Arial" w:cs="Arial"/>
                <w:b/>
                <w:bCs/>
                <w:sz w:val="24"/>
                <w:szCs w:val="24"/>
                <w:lang w:val="ro-RO"/>
              </w:rPr>
            </w:pPr>
            <w:r w:rsidRPr="004B269B">
              <w:rPr>
                <w:rFonts w:ascii="Arial" w:eastAsia="SimSun" w:hAnsi="Arial" w:cs="Arial"/>
                <w:b/>
                <w:bCs/>
                <w:sz w:val="24"/>
                <w:szCs w:val="24"/>
                <w:lang w:val="ro-RO"/>
              </w:rPr>
              <w:t>2012</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B269B" w:rsidRPr="004B269B" w:rsidRDefault="004B269B" w:rsidP="004B269B">
            <w:pPr>
              <w:spacing w:after="0" w:line="240" w:lineRule="auto"/>
              <w:ind w:right="-119"/>
              <w:jc w:val="center"/>
              <w:rPr>
                <w:rFonts w:ascii="Arial" w:eastAsia="Calibri" w:hAnsi="Arial" w:cs="Arial"/>
                <w:b/>
                <w:bCs/>
                <w:sz w:val="24"/>
                <w:szCs w:val="24"/>
                <w:lang w:val="ro-RO"/>
              </w:rPr>
            </w:pPr>
            <w:r w:rsidRPr="004B269B">
              <w:rPr>
                <w:rFonts w:ascii="Arial" w:eastAsia="SimSun" w:hAnsi="Arial" w:cs="Arial"/>
                <w:b/>
                <w:bCs/>
                <w:sz w:val="24"/>
                <w:szCs w:val="24"/>
                <w:lang w:val="ro-RO"/>
              </w:rPr>
              <w:t>2013</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4B269B" w:rsidRPr="004B269B" w:rsidRDefault="004B269B" w:rsidP="004B269B">
            <w:pPr>
              <w:spacing w:after="0" w:line="240" w:lineRule="auto"/>
              <w:ind w:right="-119"/>
              <w:jc w:val="center"/>
              <w:rPr>
                <w:rFonts w:ascii="Arial" w:eastAsia="Calibri" w:hAnsi="Arial" w:cs="Arial"/>
                <w:b/>
                <w:bCs/>
                <w:sz w:val="24"/>
                <w:szCs w:val="24"/>
                <w:lang w:val="ro-RO"/>
              </w:rPr>
            </w:pPr>
            <w:r w:rsidRPr="004B269B">
              <w:rPr>
                <w:rFonts w:ascii="Arial" w:eastAsia="SimSun" w:hAnsi="Arial" w:cs="Arial"/>
                <w:b/>
                <w:bCs/>
                <w:sz w:val="24"/>
                <w:szCs w:val="24"/>
                <w:lang w:val="ro-RO"/>
              </w:rPr>
              <w:t>2015</w:t>
            </w:r>
          </w:p>
        </w:tc>
      </w:tr>
      <w:tr w:rsidR="004B269B" w:rsidRPr="004B269B" w:rsidTr="00080B9C">
        <w:trPr>
          <w:trHeight w:val="271"/>
        </w:trPr>
        <w:tc>
          <w:tcPr>
            <w:tcW w:w="1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269B" w:rsidRPr="004B269B" w:rsidRDefault="004B269B" w:rsidP="004B269B">
            <w:pPr>
              <w:spacing w:after="0" w:line="240" w:lineRule="auto"/>
              <w:jc w:val="center"/>
              <w:rPr>
                <w:rFonts w:ascii="Arial" w:eastAsia="Calibri" w:hAnsi="Arial" w:cs="Arial"/>
                <w:sz w:val="24"/>
                <w:szCs w:val="24"/>
                <w:lang w:val="ro-RO"/>
              </w:rPr>
            </w:pPr>
            <w:r w:rsidRPr="004B269B">
              <w:rPr>
                <w:rFonts w:ascii="Arial" w:eastAsia="SimSun" w:hAnsi="Arial" w:cs="Arial"/>
                <w:sz w:val="24"/>
                <w:szCs w:val="24"/>
                <w:lang w:val="ro-RO"/>
              </w:rPr>
              <w:t>Râuri interioare</w:t>
            </w:r>
          </w:p>
        </w:tc>
        <w:tc>
          <w:tcPr>
            <w:tcW w:w="1269" w:type="dxa"/>
            <w:tcBorders>
              <w:top w:val="nil"/>
              <w:left w:val="nil"/>
              <w:bottom w:val="single" w:sz="8" w:space="0" w:color="auto"/>
              <w:right w:val="single" w:sz="8" w:space="0" w:color="auto"/>
            </w:tcBorders>
            <w:tcMar>
              <w:top w:w="0" w:type="dxa"/>
              <w:left w:w="108" w:type="dxa"/>
              <w:bottom w:w="0" w:type="dxa"/>
              <w:right w:w="108" w:type="dxa"/>
            </w:tcMar>
            <w:hideMark/>
          </w:tcPr>
          <w:p w:rsidR="004B269B" w:rsidRPr="004B269B" w:rsidRDefault="004B269B" w:rsidP="004B269B">
            <w:pPr>
              <w:spacing w:after="0" w:line="240" w:lineRule="auto"/>
              <w:jc w:val="center"/>
              <w:rPr>
                <w:rFonts w:ascii="Arial" w:eastAsia="Calibri" w:hAnsi="Arial" w:cs="Arial"/>
                <w:sz w:val="24"/>
                <w:szCs w:val="24"/>
                <w:lang w:val="ro-RO"/>
              </w:rPr>
            </w:pPr>
            <w:r w:rsidRPr="004B269B">
              <w:rPr>
                <w:rFonts w:ascii="Arial" w:eastAsia="SimSun" w:hAnsi="Arial" w:cs="Arial"/>
                <w:sz w:val="24"/>
                <w:szCs w:val="24"/>
                <w:lang w:val="ro-RO"/>
              </w:rPr>
              <w:t>539000</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4B269B" w:rsidRPr="004B269B" w:rsidRDefault="004B269B" w:rsidP="004B269B">
            <w:pPr>
              <w:spacing w:after="0" w:line="240" w:lineRule="auto"/>
              <w:jc w:val="center"/>
              <w:rPr>
                <w:rFonts w:ascii="Arial" w:eastAsia="Calibri" w:hAnsi="Arial" w:cs="Arial"/>
                <w:sz w:val="24"/>
                <w:szCs w:val="24"/>
                <w:lang w:val="en-GB"/>
              </w:rPr>
            </w:pPr>
            <w:r w:rsidRPr="004B269B">
              <w:rPr>
                <w:rFonts w:ascii="Arial" w:eastAsia="SimSun" w:hAnsi="Arial" w:cs="Arial"/>
                <w:sz w:val="24"/>
                <w:szCs w:val="24"/>
                <w:lang w:val="ro-RO"/>
              </w:rPr>
              <w:t>539000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4B269B" w:rsidRPr="004B269B" w:rsidRDefault="004B269B" w:rsidP="004B269B">
            <w:pPr>
              <w:spacing w:after="0" w:line="240" w:lineRule="auto"/>
              <w:jc w:val="center"/>
              <w:rPr>
                <w:rFonts w:ascii="Arial" w:eastAsia="Calibri" w:hAnsi="Arial" w:cs="Arial"/>
                <w:sz w:val="24"/>
                <w:szCs w:val="24"/>
                <w:lang w:val="en-GB"/>
              </w:rPr>
            </w:pPr>
            <w:r w:rsidRPr="004B269B">
              <w:rPr>
                <w:rFonts w:ascii="Arial" w:eastAsia="SimSun" w:hAnsi="Arial" w:cs="Arial"/>
                <w:sz w:val="24"/>
                <w:szCs w:val="24"/>
                <w:lang w:val="ro-RO"/>
              </w:rPr>
              <w:t>539000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4B269B" w:rsidRPr="004B269B" w:rsidRDefault="004B269B" w:rsidP="004B269B">
            <w:pPr>
              <w:spacing w:after="0" w:line="240" w:lineRule="auto"/>
              <w:jc w:val="center"/>
              <w:rPr>
                <w:rFonts w:ascii="Arial" w:eastAsia="Calibri" w:hAnsi="Arial" w:cs="Arial"/>
                <w:sz w:val="24"/>
                <w:szCs w:val="24"/>
                <w:lang w:val="en-GB"/>
              </w:rPr>
            </w:pPr>
            <w:r w:rsidRPr="004B269B">
              <w:rPr>
                <w:rFonts w:ascii="Arial" w:eastAsia="SimSun" w:hAnsi="Arial" w:cs="Arial"/>
                <w:sz w:val="24"/>
                <w:szCs w:val="24"/>
                <w:lang w:val="ro-RO"/>
              </w:rPr>
              <w:t>539000</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4B269B" w:rsidRPr="004B269B" w:rsidRDefault="004B269B" w:rsidP="004B269B">
            <w:pPr>
              <w:spacing w:after="0" w:line="240" w:lineRule="auto"/>
              <w:jc w:val="center"/>
              <w:rPr>
                <w:rFonts w:ascii="Arial" w:eastAsia="Calibri" w:hAnsi="Arial" w:cs="Arial"/>
                <w:sz w:val="24"/>
                <w:szCs w:val="24"/>
                <w:lang w:val="en-GB"/>
              </w:rPr>
            </w:pPr>
            <w:r w:rsidRPr="004B269B">
              <w:rPr>
                <w:rFonts w:ascii="Arial" w:eastAsia="SimSun" w:hAnsi="Arial" w:cs="Arial"/>
                <w:sz w:val="24"/>
                <w:szCs w:val="24"/>
                <w:lang w:val="ro-RO"/>
              </w:rPr>
              <w:t>539000</w:t>
            </w:r>
          </w:p>
        </w:tc>
      </w:tr>
      <w:tr w:rsidR="004B269B" w:rsidRPr="004B269B" w:rsidTr="00080B9C">
        <w:trPr>
          <w:trHeight w:val="265"/>
        </w:trPr>
        <w:tc>
          <w:tcPr>
            <w:tcW w:w="1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269B" w:rsidRPr="004B269B" w:rsidRDefault="004B269B" w:rsidP="004B269B">
            <w:pPr>
              <w:spacing w:after="0" w:line="240" w:lineRule="auto"/>
              <w:jc w:val="center"/>
              <w:rPr>
                <w:rFonts w:ascii="Arial" w:eastAsia="Calibri" w:hAnsi="Arial" w:cs="Arial"/>
                <w:sz w:val="24"/>
                <w:szCs w:val="24"/>
                <w:lang w:val="ro-RO"/>
              </w:rPr>
            </w:pPr>
            <w:r w:rsidRPr="004B269B">
              <w:rPr>
                <w:rFonts w:ascii="Arial" w:eastAsia="SimSun" w:hAnsi="Arial" w:cs="Arial"/>
                <w:sz w:val="24"/>
                <w:szCs w:val="24"/>
                <w:lang w:val="ro-RO"/>
              </w:rPr>
              <w:t>Ape subterane</w:t>
            </w:r>
          </w:p>
        </w:tc>
        <w:tc>
          <w:tcPr>
            <w:tcW w:w="1269" w:type="dxa"/>
            <w:tcBorders>
              <w:top w:val="nil"/>
              <w:left w:val="nil"/>
              <w:bottom w:val="single" w:sz="8" w:space="0" w:color="auto"/>
              <w:right w:val="single" w:sz="8" w:space="0" w:color="auto"/>
            </w:tcBorders>
            <w:tcMar>
              <w:top w:w="0" w:type="dxa"/>
              <w:left w:w="108" w:type="dxa"/>
              <w:bottom w:w="0" w:type="dxa"/>
              <w:right w:w="108" w:type="dxa"/>
            </w:tcMar>
            <w:hideMark/>
          </w:tcPr>
          <w:p w:rsidR="004B269B" w:rsidRPr="004B269B" w:rsidRDefault="004B269B" w:rsidP="004B269B">
            <w:pPr>
              <w:spacing w:after="0" w:line="240" w:lineRule="auto"/>
              <w:jc w:val="center"/>
              <w:rPr>
                <w:rFonts w:ascii="Arial" w:eastAsia="Calibri" w:hAnsi="Arial" w:cs="Arial"/>
                <w:sz w:val="24"/>
                <w:szCs w:val="24"/>
                <w:lang w:val="ro-RO"/>
              </w:rPr>
            </w:pPr>
            <w:r w:rsidRPr="004B269B">
              <w:rPr>
                <w:rFonts w:ascii="Arial" w:eastAsia="SimSun" w:hAnsi="Arial" w:cs="Arial"/>
                <w:sz w:val="24"/>
                <w:szCs w:val="24"/>
                <w:lang w:val="ro-RO"/>
              </w:rPr>
              <w:t>60000</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4B269B" w:rsidRPr="004B269B" w:rsidRDefault="004B269B" w:rsidP="004B269B">
            <w:pPr>
              <w:spacing w:after="0" w:line="240" w:lineRule="auto"/>
              <w:jc w:val="center"/>
              <w:rPr>
                <w:rFonts w:ascii="Arial" w:eastAsia="Calibri" w:hAnsi="Arial" w:cs="Arial"/>
                <w:sz w:val="24"/>
                <w:szCs w:val="24"/>
                <w:lang w:val="en-GB"/>
              </w:rPr>
            </w:pPr>
            <w:r w:rsidRPr="004B269B">
              <w:rPr>
                <w:rFonts w:ascii="Arial" w:eastAsia="SimSun" w:hAnsi="Arial" w:cs="Arial"/>
                <w:sz w:val="24"/>
                <w:szCs w:val="24"/>
                <w:lang w:val="ro-RO"/>
              </w:rPr>
              <w:t>60000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4B269B" w:rsidRPr="004B269B" w:rsidRDefault="004B269B" w:rsidP="004B269B">
            <w:pPr>
              <w:spacing w:after="0" w:line="240" w:lineRule="auto"/>
              <w:jc w:val="center"/>
              <w:rPr>
                <w:rFonts w:ascii="Arial" w:eastAsia="Calibri" w:hAnsi="Arial" w:cs="Arial"/>
                <w:sz w:val="24"/>
                <w:szCs w:val="24"/>
                <w:lang w:val="en-GB"/>
              </w:rPr>
            </w:pPr>
            <w:r w:rsidRPr="004B269B">
              <w:rPr>
                <w:rFonts w:ascii="Arial" w:eastAsia="SimSun" w:hAnsi="Arial" w:cs="Arial"/>
                <w:sz w:val="24"/>
                <w:szCs w:val="24"/>
                <w:lang w:val="ro-RO"/>
              </w:rPr>
              <w:t>60000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4B269B" w:rsidRPr="004B269B" w:rsidRDefault="004B269B" w:rsidP="004B269B">
            <w:pPr>
              <w:spacing w:after="0" w:line="240" w:lineRule="auto"/>
              <w:jc w:val="center"/>
              <w:rPr>
                <w:rFonts w:ascii="Arial" w:eastAsia="Calibri" w:hAnsi="Arial" w:cs="Arial"/>
                <w:sz w:val="24"/>
                <w:szCs w:val="24"/>
                <w:lang w:val="en-GB"/>
              </w:rPr>
            </w:pPr>
            <w:r w:rsidRPr="004B269B">
              <w:rPr>
                <w:rFonts w:ascii="Arial" w:eastAsia="SimSun" w:hAnsi="Arial" w:cs="Arial"/>
                <w:sz w:val="24"/>
                <w:szCs w:val="24"/>
                <w:lang w:val="ro-RO"/>
              </w:rPr>
              <w:t>60000</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4B269B" w:rsidRPr="004B269B" w:rsidRDefault="004B269B" w:rsidP="004B269B">
            <w:pPr>
              <w:spacing w:after="0" w:line="240" w:lineRule="auto"/>
              <w:jc w:val="center"/>
              <w:rPr>
                <w:rFonts w:ascii="Arial" w:eastAsia="Calibri" w:hAnsi="Arial" w:cs="Arial"/>
                <w:sz w:val="24"/>
                <w:szCs w:val="24"/>
                <w:lang w:val="en-GB"/>
              </w:rPr>
            </w:pPr>
            <w:r w:rsidRPr="004B269B">
              <w:rPr>
                <w:rFonts w:ascii="Arial" w:eastAsia="SimSun" w:hAnsi="Arial" w:cs="Arial"/>
                <w:sz w:val="24"/>
                <w:szCs w:val="24"/>
                <w:lang w:val="ro-RO"/>
              </w:rPr>
              <w:t>60000</w:t>
            </w:r>
          </w:p>
        </w:tc>
      </w:tr>
      <w:tr w:rsidR="004B269B" w:rsidRPr="004B269B" w:rsidTr="00080B9C">
        <w:trPr>
          <w:trHeight w:val="76"/>
        </w:trPr>
        <w:tc>
          <w:tcPr>
            <w:tcW w:w="19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269B" w:rsidRPr="004B269B" w:rsidRDefault="004B269B" w:rsidP="004B269B">
            <w:pPr>
              <w:spacing w:after="0" w:line="240" w:lineRule="auto"/>
              <w:jc w:val="center"/>
              <w:rPr>
                <w:rFonts w:ascii="Arial" w:eastAsia="Calibri" w:hAnsi="Arial" w:cs="Arial"/>
                <w:sz w:val="24"/>
                <w:szCs w:val="24"/>
                <w:lang w:val="ro-RO"/>
              </w:rPr>
            </w:pPr>
            <w:r w:rsidRPr="004B269B">
              <w:rPr>
                <w:rFonts w:ascii="Arial" w:eastAsia="SimSun" w:hAnsi="Arial" w:cs="Arial"/>
                <w:sz w:val="24"/>
                <w:szCs w:val="24"/>
                <w:lang w:val="ro-RO"/>
              </w:rPr>
              <w:t>Total</w:t>
            </w:r>
          </w:p>
        </w:tc>
        <w:tc>
          <w:tcPr>
            <w:tcW w:w="1269" w:type="dxa"/>
            <w:tcBorders>
              <w:top w:val="nil"/>
              <w:left w:val="nil"/>
              <w:bottom w:val="single" w:sz="8" w:space="0" w:color="auto"/>
              <w:right w:val="single" w:sz="8" w:space="0" w:color="auto"/>
            </w:tcBorders>
            <w:tcMar>
              <w:top w:w="0" w:type="dxa"/>
              <w:left w:w="108" w:type="dxa"/>
              <w:bottom w:w="0" w:type="dxa"/>
              <w:right w:w="108" w:type="dxa"/>
            </w:tcMar>
            <w:hideMark/>
          </w:tcPr>
          <w:p w:rsidR="004B269B" w:rsidRPr="004B269B" w:rsidRDefault="004B269B" w:rsidP="004B269B">
            <w:pPr>
              <w:spacing w:after="0" w:line="240" w:lineRule="auto"/>
              <w:jc w:val="center"/>
              <w:rPr>
                <w:rFonts w:ascii="Arial" w:eastAsia="Calibri" w:hAnsi="Arial" w:cs="Arial"/>
                <w:sz w:val="24"/>
                <w:szCs w:val="24"/>
                <w:lang w:val="ro-RO"/>
              </w:rPr>
            </w:pPr>
            <w:r w:rsidRPr="004B269B">
              <w:rPr>
                <w:rFonts w:ascii="Arial" w:eastAsia="SimSun" w:hAnsi="Arial" w:cs="Arial"/>
                <w:sz w:val="24"/>
                <w:szCs w:val="24"/>
                <w:lang w:val="ro-RO"/>
              </w:rPr>
              <w:t>599000</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4B269B" w:rsidRPr="004B269B" w:rsidRDefault="004B269B" w:rsidP="004B269B">
            <w:pPr>
              <w:spacing w:after="0" w:line="240" w:lineRule="auto"/>
              <w:jc w:val="center"/>
              <w:rPr>
                <w:rFonts w:ascii="Arial" w:eastAsia="Calibri" w:hAnsi="Arial" w:cs="Arial"/>
                <w:sz w:val="24"/>
                <w:szCs w:val="24"/>
                <w:lang w:val="en-GB"/>
              </w:rPr>
            </w:pPr>
            <w:r w:rsidRPr="004B269B">
              <w:rPr>
                <w:rFonts w:ascii="Arial" w:eastAsia="SimSun" w:hAnsi="Arial" w:cs="Arial"/>
                <w:sz w:val="24"/>
                <w:szCs w:val="24"/>
                <w:lang w:val="ro-RO"/>
              </w:rPr>
              <w:t>599000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4B269B" w:rsidRPr="004B269B" w:rsidRDefault="004B269B" w:rsidP="004B269B">
            <w:pPr>
              <w:spacing w:after="0" w:line="240" w:lineRule="auto"/>
              <w:jc w:val="center"/>
              <w:rPr>
                <w:rFonts w:ascii="Arial" w:eastAsia="Calibri" w:hAnsi="Arial" w:cs="Arial"/>
                <w:sz w:val="24"/>
                <w:szCs w:val="24"/>
                <w:lang w:val="en-GB"/>
              </w:rPr>
            </w:pPr>
            <w:r w:rsidRPr="004B269B">
              <w:rPr>
                <w:rFonts w:ascii="Arial" w:eastAsia="SimSun" w:hAnsi="Arial" w:cs="Arial"/>
                <w:sz w:val="24"/>
                <w:szCs w:val="24"/>
                <w:lang w:val="ro-RO"/>
              </w:rPr>
              <w:t>599000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4B269B" w:rsidRPr="004B269B" w:rsidRDefault="004B269B" w:rsidP="004B269B">
            <w:pPr>
              <w:spacing w:after="0" w:line="240" w:lineRule="auto"/>
              <w:jc w:val="center"/>
              <w:rPr>
                <w:rFonts w:ascii="Arial" w:eastAsia="Calibri" w:hAnsi="Arial" w:cs="Arial"/>
                <w:sz w:val="24"/>
                <w:szCs w:val="24"/>
                <w:lang w:val="en-GB"/>
              </w:rPr>
            </w:pPr>
            <w:r w:rsidRPr="004B269B">
              <w:rPr>
                <w:rFonts w:ascii="Arial" w:eastAsia="SimSun" w:hAnsi="Arial" w:cs="Arial"/>
                <w:sz w:val="24"/>
                <w:szCs w:val="24"/>
                <w:lang w:val="ro-RO"/>
              </w:rPr>
              <w:t>599000</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4B269B" w:rsidRPr="004B269B" w:rsidRDefault="004B269B" w:rsidP="004B269B">
            <w:pPr>
              <w:spacing w:after="0" w:line="240" w:lineRule="auto"/>
              <w:jc w:val="center"/>
              <w:rPr>
                <w:rFonts w:ascii="Arial" w:eastAsia="Calibri" w:hAnsi="Arial" w:cs="Arial"/>
                <w:sz w:val="24"/>
                <w:szCs w:val="24"/>
                <w:lang w:val="en-GB"/>
              </w:rPr>
            </w:pPr>
            <w:r w:rsidRPr="004B269B">
              <w:rPr>
                <w:rFonts w:ascii="Arial" w:eastAsia="SimSun" w:hAnsi="Arial" w:cs="Arial"/>
                <w:sz w:val="24"/>
                <w:szCs w:val="24"/>
                <w:lang w:val="ro-RO"/>
              </w:rPr>
              <w:t>599000</w:t>
            </w:r>
          </w:p>
        </w:tc>
      </w:tr>
    </w:tbl>
    <w:p w:rsidR="004B269B" w:rsidRPr="004B269B" w:rsidRDefault="004B269B" w:rsidP="004B269B">
      <w:pPr>
        <w:spacing w:after="0" w:line="240" w:lineRule="auto"/>
        <w:ind w:firstLine="720"/>
        <w:jc w:val="both"/>
        <w:rPr>
          <w:rFonts w:ascii="Arial" w:eastAsia="SimSun" w:hAnsi="Arial" w:cs="Arial"/>
          <w:iCs/>
          <w:sz w:val="24"/>
          <w:szCs w:val="24"/>
          <w:lang w:val="ro-RO"/>
        </w:rPr>
      </w:pPr>
      <w:r w:rsidRPr="004B269B">
        <w:rPr>
          <w:rFonts w:ascii="Arial" w:eastAsia="SimSun" w:hAnsi="Arial" w:cs="Arial"/>
          <w:iCs/>
          <w:sz w:val="24"/>
          <w:szCs w:val="24"/>
          <w:lang w:val="ro-RO"/>
        </w:rPr>
        <w:t xml:space="preserve">Figura </w:t>
      </w:r>
      <w:r w:rsidRPr="004B269B">
        <w:rPr>
          <w:rFonts w:ascii="Arial" w:eastAsia="SimSun" w:hAnsi="Arial" w:cs="Arial"/>
          <w:sz w:val="24"/>
          <w:szCs w:val="24"/>
          <w:lang w:val="ro-RO"/>
        </w:rPr>
        <w:t>II</w:t>
      </w:r>
      <w:r w:rsidRPr="004B269B">
        <w:rPr>
          <w:rFonts w:ascii="Arial" w:eastAsia="SimSun" w:hAnsi="Arial" w:cs="Arial"/>
          <w:iCs/>
          <w:sz w:val="24"/>
          <w:szCs w:val="24"/>
          <w:lang w:val="ro-RO"/>
        </w:rPr>
        <w:t xml:space="preserve">.1. </w:t>
      </w:r>
      <w:r w:rsidRPr="004B269B">
        <w:rPr>
          <w:rFonts w:ascii="Arial" w:eastAsia="SimSun" w:hAnsi="Arial" w:cs="Arial"/>
          <w:sz w:val="24"/>
          <w:szCs w:val="24"/>
          <w:lang w:val="en-GB"/>
        </w:rPr>
        <w:t>Resursele de apă potenţiale şi tehnic utililizabile la nivel judeţului Vaslui în perioada anilor 2011 - 2015</w:t>
      </w:r>
    </w:p>
    <w:p w:rsidR="004B269B" w:rsidRPr="004B269B" w:rsidRDefault="004B269B" w:rsidP="004B269B">
      <w:pPr>
        <w:spacing w:after="0" w:line="240" w:lineRule="auto"/>
        <w:rPr>
          <w:rFonts w:ascii="Arial" w:eastAsia="SimSun" w:hAnsi="Arial" w:cs="Arial"/>
          <w:sz w:val="24"/>
          <w:szCs w:val="24"/>
          <w:lang w:val="ro-RO"/>
        </w:rPr>
      </w:pPr>
      <w:r>
        <w:rPr>
          <w:rFonts w:ascii="Arial" w:eastAsia="SimSun" w:hAnsi="Arial" w:cs="Arial"/>
          <w:noProof/>
          <w:sz w:val="24"/>
          <w:szCs w:val="24"/>
        </w:rPr>
        <w:lastRenderedPageBreak/>
        <w:drawing>
          <wp:inline distT="0" distB="0" distL="0" distR="0">
            <wp:extent cx="6055744" cy="2329132"/>
            <wp:effectExtent l="0" t="0" r="0" b="0"/>
            <wp:docPr id="206" name="Chart 20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B269B" w:rsidRPr="004B269B" w:rsidRDefault="004B269B" w:rsidP="004B269B">
      <w:pPr>
        <w:spacing w:after="0" w:line="240" w:lineRule="auto"/>
        <w:rPr>
          <w:rFonts w:ascii="Arial" w:eastAsia="SimSun" w:hAnsi="Arial" w:cs="Arial"/>
          <w:bCs/>
          <w:iCs/>
          <w:sz w:val="24"/>
          <w:szCs w:val="24"/>
          <w:lang w:val="en-GB"/>
        </w:rPr>
      </w:pPr>
      <w:r w:rsidRPr="004B269B">
        <w:rPr>
          <w:rFonts w:ascii="Arial" w:eastAsia="SimSun" w:hAnsi="Arial" w:cs="Arial"/>
          <w:bCs/>
          <w:iCs/>
          <w:sz w:val="24"/>
          <w:szCs w:val="24"/>
          <w:lang w:val="en-GB"/>
        </w:rPr>
        <w:t>II 1.1.2. Utilizarea resurselor de apă</w:t>
      </w:r>
    </w:p>
    <w:p w:rsidR="004B269B" w:rsidRPr="004B269B" w:rsidRDefault="004B269B" w:rsidP="004B269B">
      <w:pPr>
        <w:autoSpaceDE w:val="0"/>
        <w:autoSpaceDN w:val="0"/>
        <w:adjustRightInd w:val="0"/>
        <w:spacing w:after="0" w:line="240" w:lineRule="auto"/>
        <w:rPr>
          <w:rFonts w:ascii="Arial" w:eastAsia="SimSun" w:hAnsi="Arial" w:cs="Arial"/>
          <w:sz w:val="24"/>
          <w:szCs w:val="24"/>
          <w:lang w:val="en-GB"/>
        </w:rPr>
      </w:pPr>
    </w:p>
    <w:p w:rsidR="004B269B" w:rsidRPr="004B269B" w:rsidRDefault="004B269B" w:rsidP="004B269B">
      <w:pPr>
        <w:autoSpaceDE w:val="0"/>
        <w:autoSpaceDN w:val="0"/>
        <w:adjustRightInd w:val="0"/>
        <w:spacing w:after="0" w:line="240" w:lineRule="auto"/>
        <w:ind w:firstLine="720"/>
        <w:jc w:val="both"/>
        <w:rPr>
          <w:rFonts w:ascii="Arial" w:eastAsia="SimSun" w:hAnsi="Arial" w:cs="Arial"/>
          <w:sz w:val="24"/>
          <w:szCs w:val="24"/>
          <w:lang w:val="en-GB"/>
        </w:rPr>
      </w:pPr>
      <w:r w:rsidRPr="004B269B">
        <w:rPr>
          <w:rFonts w:ascii="Arial" w:eastAsia="SimSun" w:hAnsi="Arial" w:cs="Arial"/>
          <w:iCs/>
          <w:sz w:val="24"/>
          <w:szCs w:val="24"/>
          <w:lang w:val="en-GB"/>
        </w:rPr>
        <w:t xml:space="preserve">Indicele exploatării apei - WEI este determinat anual ca fiind raportul dintre cantitatea totală de apă dulce utilizată şi cantitatea totală de apă provenită din surse regenerabile. </w:t>
      </w:r>
      <w:r w:rsidRPr="004B269B">
        <w:rPr>
          <w:rFonts w:ascii="Arial" w:eastAsia="SimSun" w:hAnsi="Arial" w:cs="Arial"/>
          <w:iCs/>
          <w:sz w:val="20"/>
          <w:szCs w:val="20"/>
          <w:lang w:val="en-GB"/>
        </w:rPr>
        <w:t>(Sursa: Agenția Europeană de Mediu)</w:t>
      </w:r>
      <w:r w:rsidRPr="004B269B">
        <w:rPr>
          <w:rFonts w:ascii="Arial" w:eastAsia="SimSun" w:hAnsi="Arial" w:cs="Arial"/>
          <w:iCs/>
          <w:sz w:val="24"/>
          <w:szCs w:val="24"/>
          <w:lang w:val="en-GB"/>
        </w:rPr>
        <w:t xml:space="preserve"> </w:t>
      </w:r>
      <w:r w:rsidRPr="004B269B">
        <w:rPr>
          <w:rFonts w:ascii="Arial" w:eastAsia="SimSun" w:hAnsi="Arial" w:cs="Arial"/>
          <w:sz w:val="24"/>
          <w:szCs w:val="24"/>
          <w:lang w:val="en-GB"/>
        </w:rPr>
        <w:t xml:space="preserve"> </w:t>
      </w:r>
    </w:p>
    <w:p w:rsidR="004B269B" w:rsidRPr="004B269B" w:rsidRDefault="004B269B" w:rsidP="004B269B">
      <w:pPr>
        <w:autoSpaceDE w:val="0"/>
        <w:autoSpaceDN w:val="0"/>
        <w:adjustRightInd w:val="0"/>
        <w:spacing w:after="0" w:line="240" w:lineRule="auto"/>
        <w:ind w:firstLine="720"/>
        <w:jc w:val="both"/>
        <w:rPr>
          <w:rFonts w:ascii="Arial" w:eastAsia="SimSun" w:hAnsi="Arial" w:cs="Arial"/>
          <w:sz w:val="24"/>
          <w:szCs w:val="24"/>
          <w:lang w:val="en-GB"/>
        </w:rPr>
      </w:pPr>
      <w:r w:rsidRPr="004B269B">
        <w:rPr>
          <w:rFonts w:ascii="Arial" w:eastAsia="SimSun" w:hAnsi="Arial" w:cs="Arial"/>
          <w:sz w:val="24"/>
          <w:szCs w:val="24"/>
          <w:lang w:val="en-GB"/>
        </w:rPr>
        <w:t>În figura redată mai jos se observă un trend crescător al evoluţiei indicelui de exploatare a apei, în perioada 2010-2011, în anul 2012 se înregistrează o evoluţie decrescătoare a acestuia, urmând în perioada 2013-2014 o creştere semnificativă a evoluţiei indicelui de exploatare a apei, la nivelul judeţului Vaslui.</w:t>
      </w:r>
    </w:p>
    <w:p w:rsidR="004B269B" w:rsidRPr="004B269B" w:rsidRDefault="004B269B" w:rsidP="004B269B">
      <w:pPr>
        <w:autoSpaceDE w:val="0"/>
        <w:autoSpaceDN w:val="0"/>
        <w:adjustRightInd w:val="0"/>
        <w:spacing w:after="0" w:line="240" w:lineRule="auto"/>
        <w:ind w:firstLine="720"/>
        <w:jc w:val="both"/>
        <w:rPr>
          <w:rFonts w:ascii="Arial" w:eastAsia="SimSun" w:hAnsi="Arial" w:cs="Arial"/>
          <w:sz w:val="24"/>
          <w:szCs w:val="24"/>
          <w:lang w:val="en-GB"/>
        </w:rPr>
      </w:pPr>
      <w:r w:rsidRPr="004B269B">
        <w:rPr>
          <w:rFonts w:ascii="Arial" w:eastAsia="SimSun" w:hAnsi="Arial" w:cs="Arial"/>
          <w:sz w:val="24"/>
          <w:szCs w:val="24"/>
          <w:lang w:val="en-GB"/>
        </w:rPr>
        <w:t>Figura II.2. Evoluţia indicelui de exploatare a apei (WEI) la nivelul judeţului Vaslui, în perioada anilor 2011– 2015</w:t>
      </w:r>
    </w:p>
    <w:p w:rsidR="004B269B" w:rsidRPr="004B269B" w:rsidRDefault="004B269B" w:rsidP="004B269B">
      <w:pPr>
        <w:autoSpaceDE w:val="0"/>
        <w:autoSpaceDN w:val="0"/>
        <w:adjustRightInd w:val="0"/>
        <w:spacing w:after="0" w:line="240" w:lineRule="auto"/>
        <w:ind w:firstLine="720"/>
        <w:rPr>
          <w:rFonts w:ascii="Arial" w:eastAsia="SimSun" w:hAnsi="Arial" w:cs="Arial"/>
          <w:sz w:val="24"/>
          <w:szCs w:val="24"/>
          <w:lang w:val="en-GB"/>
        </w:rPr>
      </w:pPr>
    </w:p>
    <w:p w:rsidR="004B269B" w:rsidRPr="004B269B" w:rsidRDefault="004B269B" w:rsidP="004B269B">
      <w:pPr>
        <w:autoSpaceDE w:val="0"/>
        <w:autoSpaceDN w:val="0"/>
        <w:adjustRightInd w:val="0"/>
        <w:spacing w:after="0" w:line="240" w:lineRule="auto"/>
        <w:jc w:val="center"/>
        <w:rPr>
          <w:rFonts w:ascii="Arial" w:eastAsia="SimSun" w:hAnsi="Arial" w:cs="Arial"/>
          <w:sz w:val="24"/>
          <w:szCs w:val="24"/>
          <w:lang w:val="en-GB"/>
        </w:rPr>
      </w:pPr>
      <w:r>
        <w:rPr>
          <w:rFonts w:ascii="Arial" w:eastAsia="SimSun" w:hAnsi="Arial" w:cs="Arial"/>
          <w:noProof/>
          <w:sz w:val="24"/>
          <w:szCs w:val="24"/>
        </w:rPr>
        <w:drawing>
          <wp:inline distT="0" distB="0" distL="0" distR="0" wp14:anchorId="798AF1EC" wp14:editId="626FD654">
            <wp:extent cx="5915025" cy="2352675"/>
            <wp:effectExtent l="0" t="0" r="0" b="0"/>
            <wp:docPr id="205" name="Chart 20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4B269B">
        <w:rPr>
          <w:rFonts w:ascii="Arial" w:eastAsia="SimSun" w:hAnsi="Arial" w:cs="Arial"/>
          <w:sz w:val="24"/>
          <w:szCs w:val="24"/>
          <w:lang w:val="en-GB"/>
        </w:rPr>
        <w:t xml:space="preserve"> </w:t>
      </w:r>
    </w:p>
    <w:p w:rsidR="004B269B" w:rsidRPr="004B269B" w:rsidRDefault="004B269B" w:rsidP="005D1AAE">
      <w:pPr>
        <w:autoSpaceDE w:val="0"/>
        <w:autoSpaceDN w:val="0"/>
        <w:adjustRightInd w:val="0"/>
        <w:spacing w:after="0" w:line="240" w:lineRule="auto"/>
        <w:rPr>
          <w:rFonts w:ascii="Arial" w:eastAsia="SimSun" w:hAnsi="Arial" w:cs="Arial"/>
          <w:sz w:val="24"/>
          <w:szCs w:val="24"/>
          <w:lang w:val="ro-RO"/>
        </w:rPr>
      </w:pPr>
      <w:r w:rsidRPr="004B269B">
        <w:rPr>
          <w:rFonts w:ascii="Arial" w:eastAsia="SimSun" w:hAnsi="Arial" w:cs="Arial"/>
          <w:sz w:val="24"/>
          <w:szCs w:val="24"/>
          <w:lang w:val="ro-RO"/>
        </w:rPr>
        <w:t>* În anul 2015, nu sunt date disponibile referitoare la indicele de exploatare a apei la nivelul judeţului Vaslui.</w:t>
      </w:r>
    </w:p>
    <w:p w:rsidR="004B269B" w:rsidRPr="004B269B" w:rsidRDefault="004B269B" w:rsidP="004B269B">
      <w:pPr>
        <w:autoSpaceDE w:val="0"/>
        <w:autoSpaceDN w:val="0"/>
        <w:adjustRightInd w:val="0"/>
        <w:spacing w:after="0" w:line="240" w:lineRule="auto"/>
        <w:rPr>
          <w:rFonts w:ascii="Arial" w:eastAsia="SimSun" w:hAnsi="Arial" w:cs="Arial"/>
          <w:sz w:val="24"/>
          <w:szCs w:val="24"/>
          <w:lang w:val="en-GB"/>
        </w:rPr>
      </w:pPr>
    </w:p>
    <w:p w:rsidR="004B269B" w:rsidRPr="004B269B" w:rsidRDefault="004B269B" w:rsidP="004B269B">
      <w:pPr>
        <w:autoSpaceDE w:val="0"/>
        <w:autoSpaceDN w:val="0"/>
        <w:adjustRightInd w:val="0"/>
        <w:spacing w:after="0" w:line="240" w:lineRule="auto"/>
        <w:ind w:firstLine="720"/>
        <w:jc w:val="both"/>
        <w:rPr>
          <w:rFonts w:ascii="Arial" w:eastAsia="SimSun" w:hAnsi="Arial" w:cs="Arial"/>
          <w:sz w:val="24"/>
          <w:szCs w:val="24"/>
          <w:lang w:val="en-GB"/>
        </w:rPr>
      </w:pPr>
      <w:r w:rsidRPr="004B269B">
        <w:rPr>
          <w:rFonts w:ascii="Arial" w:eastAsia="SimSun" w:hAnsi="Arial" w:cs="Arial"/>
          <w:sz w:val="24"/>
          <w:szCs w:val="24"/>
          <w:lang w:val="en-GB"/>
        </w:rPr>
        <w:t xml:space="preserve">Figura </w:t>
      </w:r>
      <w:r w:rsidRPr="004B269B">
        <w:rPr>
          <w:rFonts w:ascii="Arial" w:eastAsia="SimSun" w:hAnsi="Arial" w:cs="Arial"/>
          <w:sz w:val="24"/>
          <w:szCs w:val="24"/>
          <w:lang w:val="ro-RO"/>
        </w:rPr>
        <w:t>II</w:t>
      </w:r>
      <w:r w:rsidRPr="004B269B">
        <w:rPr>
          <w:rFonts w:ascii="Arial" w:eastAsia="SimSun" w:hAnsi="Arial" w:cs="Arial"/>
          <w:sz w:val="24"/>
          <w:szCs w:val="24"/>
          <w:lang w:val="en-GB"/>
        </w:rPr>
        <w:t>.3. Evoluţia cerinţei şi prelevărilor de apă în judeţul Vaslui, în perioada anilor 2011 – 2015</w:t>
      </w:r>
    </w:p>
    <w:p w:rsidR="004B269B" w:rsidRPr="004B269B" w:rsidRDefault="004B269B" w:rsidP="004B269B">
      <w:pPr>
        <w:spacing w:after="0" w:line="240" w:lineRule="auto"/>
        <w:jc w:val="center"/>
        <w:rPr>
          <w:rFonts w:ascii="Arial" w:eastAsia="Arial Unicode MS" w:hAnsi="Arial" w:cs="Arial"/>
          <w:sz w:val="24"/>
          <w:szCs w:val="24"/>
          <w:lang w:val="ro-RO" w:eastAsia="ro-RO"/>
        </w:rPr>
      </w:pPr>
      <w:r>
        <w:rPr>
          <w:rFonts w:ascii="Arial" w:eastAsia="Arial Unicode MS" w:hAnsi="Arial" w:cs="Arial"/>
          <w:noProof/>
          <w:sz w:val="24"/>
          <w:szCs w:val="24"/>
        </w:rPr>
        <w:lastRenderedPageBreak/>
        <w:drawing>
          <wp:inline distT="0" distB="0" distL="0" distR="0">
            <wp:extent cx="5969479" cy="2708694"/>
            <wp:effectExtent l="0" t="0" r="0" b="0"/>
            <wp:docPr id="204" name="Chart 2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4B269B">
        <w:rPr>
          <w:rFonts w:ascii="Arial" w:eastAsia="Arial Unicode MS" w:hAnsi="Arial" w:cs="Arial"/>
          <w:sz w:val="24"/>
          <w:szCs w:val="24"/>
          <w:lang w:val="ro-RO" w:eastAsia="ro-RO"/>
        </w:rPr>
        <w:t xml:space="preserve"> </w:t>
      </w:r>
    </w:p>
    <w:p w:rsidR="004B269B" w:rsidRPr="004B269B" w:rsidRDefault="004B269B" w:rsidP="005D1AAE">
      <w:pPr>
        <w:autoSpaceDE w:val="0"/>
        <w:autoSpaceDN w:val="0"/>
        <w:adjustRightInd w:val="0"/>
        <w:spacing w:after="0" w:line="240" w:lineRule="auto"/>
        <w:ind w:left="720"/>
        <w:rPr>
          <w:rFonts w:ascii="Arial" w:eastAsia="SimSun" w:hAnsi="Arial" w:cs="Arial"/>
          <w:sz w:val="24"/>
          <w:szCs w:val="24"/>
          <w:lang w:val="ro-RO"/>
        </w:rPr>
      </w:pPr>
      <w:r w:rsidRPr="004B269B">
        <w:rPr>
          <w:rFonts w:ascii="Arial" w:eastAsia="SimSun" w:hAnsi="Arial" w:cs="Arial"/>
          <w:sz w:val="24"/>
          <w:szCs w:val="24"/>
          <w:lang w:val="ro-RO"/>
        </w:rPr>
        <w:t>* În anul 2015, nu sunt date disponibile referitoare la cerinţele şi prelevările de apă din judeţul Vaslui.</w:t>
      </w:r>
    </w:p>
    <w:p w:rsidR="004B269B" w:rsidRPr="004B269B" w:rsidRDefault="004B269B" w:rsidP="004B269B">
      <w:pPr>
        <w:spacing w:after="0" w:line="240" w:lineRule="auto"/>
        <w:rPr>
          <w:rFonts w:ascii="Arial" w:eastAsia="Arial Unicode MS" w:hAnsi="Arial" w:cs="Arial"/>
          <w:sz w:val="24"/>
          <w:szCs w:val="24"/>
          <w:lang w:val="ro-RO" w:eastAsia="ro-RO"/>
        </w:rPr>
      </w:pPr>
    </w:p>
    <w:p w:rsidR="004B269B" w:rsidRPr="004B269B" w:rsidRDefault="004B269B" w:rsidP="004B269B">
      <w:pPr>
        <w:spacing w:after="0" w:line="240" w:lineRule="auto"/>
        <w:ind w:firstLine="720"/>
        <w:jc w:val="both"/>
        <w:rPr>
          <w:rFonts w:ascii="Arial" w:eastAsia="Arial Unicode MS" w:hAnsi="Arial" w:cs="Arial"/>
          <w:sz w:val="24"/>
          <w:szCs w:val="24"/>
          <w:lang w:val="ro-RO" w:eastAsia="ro-RO"/>
        </w:rPr>
      </w:pPr>
      <w:r w:rsidRPr="004B269B">
        <w:rPr>
          <w:rFonts w:ascii="Arial" w:eastAsia="Arial Unicode MS" w:hAnsi="Arial" w:cs="Arial"/>
          <w:sz w:val="24"/>
          <w:szCs w:val="24"/>
          <w:lang w:val="ro-RO" w:eastAsia="ro-RO"/>
        </w:rPr>
        <w:t>Figura II.4.  Evoluţia volumelor de apă prelevate pentru acoperirea cerințelor diferitelor categorii de folosințe, în perioada anilor 2011 - 2015</w:t>
      </w:r>
    </w:p>
    <w:p w:rsidR="004B269B" w:rsidRPr="004B269B" w:rsidRDefault="004B269B" w:rsidP="004B269B">
      <w:pPr>
        <w:spacing w:after="0" w:line="240" w:lineRule="auto"/>
        <w:jc w:val="center"/>
        <w:rPr>
          <w:rFonts w:ascii="Arial" w:eastAsia="Arial Unicode MS" w:hAnsi="Arial" w:cs="Arial"/>
          <w:sz w:val="24"/>
          <w:szCs w:val="24"/>
          <w:lang w:val="ro-RO" w:eastAsia="ro-RO"/>
        </w:rPr>
      </w:pPr>
      <w:r>
        <w:rPr>
          <w:rFonts w:ascii="Arial" w:eastAsia="Arial Unicode MS" w:hAnsi="Arial" w:cs="Arial Unicode MS"/>
          <w:noProof/>
          <w:sz w:val="24"/>
          <w:szCs w:val="24"/>
        </w:rPr>
        <w:drawing>
          <wp:inline distT="0" distB="0" distL="0" distR="0">
            <wp:extent cx="5972175" cy="3467100"/>
            <wp:effectExtent l="0" t="0" r="0" b="0"/>
            <wp:docPr id="203" name="Chart 20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4B269B">
        <w:rPr>
          <w:rFonts w:ascii="Arial" w:eastAsia="Arial Unicode MS" w:hAnsi="Arial" w:cs="Arial"/>
          <w:sz w:val="24"/>
          <w:szCs w:val="24"/>
          <w:lang w:val="ro-RO" w:eastAsia="ro-RO"/>
        </w:rPr>
        <w:t xml:space="preserve"> </w:t>
      </w:r>
    </w:p>
    <w:p w:rsidR="004B269B" w:rsidRPr="004B269B" w:rsidRDefault="004B269B" w:rsidP="005D1AAE">
      <w:pPr>
        <w:autoSpaceDE w:val="0"/>
        <w:autoSpaceDN w:val="0"/>
        <w:adjustRightInd w:val="0"/>
        <w:spacing w:after="0" w:line="240" w:lineRule="auto"/>
        <w:ind w:left="720"/>
        <w:rPr>
          <w:rFonts w:ascii="Arial" w:eastAsia="SimSun" w:hAnsi="Arial" w:cs="Arial"/>
          <w:sz w:val="24"/>
          <w:szCs w:val="24"/>
          <w:lang w:val="ro-RO"/>
        </w:rPr>
      </w:pPr>
      <w:r w:rsidRPr="004B269B">
        <w:rPr>
          <w:rFonts w:ascii="Arial" w:eastAsia="SimSun" w:hAnsi="Arial" w:cs="Arial"/>
          <w:sz w:val="24"/>
          <w:szCs w:val="24"/>
          <w:lang w:val="ro-RO"/>
        </w:rPr>
        <w:t>*În anul 2015, nu sunt date disponibile privind volumul de apă prelevat la nivelul judeţului Vaslui.</w:t>
      </w:r>
    </w:p>
    <w:p w:rsidR="004B269B" w:rsidRPr="004B269B" w:rsidRDefault="004B269B" w:rsidP="004B269B">
      <w:pPr>
        <w:spacing w:beforeAutospacing="1" w:after="0" w:afterAutospacing="1" w:line="240" w:lineRule="auto"/>
        <w:rPr>
          <w:rFonts w:ascii="Arial" w:eastAsia="Arial Unicode MS" w:hAnsi="Arial" w:cs="Arial"/>
          <w:bCs/>
          <w:iCs/>
          <w:sz w:val="24"/>
          <w:szCs w:val="24"/>
          <w:lang w:val="ro-RO" w:eastAsia="ro-RO"/>
        </w:rPr>
      </w:pPr>
      <w:r w:rsidRPr="004B269B">
        <w:rPr>
          <w:rFonts w:ascii="Arial" w:eastAsia="Arial Unicode MS" w:hAnsi="Arial" w:cs="Arial"/>
          <w:bCs/>
          <w:iCs/>
          <w:sz w:val="24"/>
          <w:szCs w:val="24"/>
          <w:lang w:val="ro-RO" w:eastAsia="ro-RO"/>
        </w:rPr>
        <w:t>II.1.1.3. Evenimente extreme produse de debitele cursurilor de apă</w:t>
      </w:r>
    </w:p>
    <w:p w:rsidR="004B269B" w:rsidRPr="004B269B" w:rsidRDefault="004B269B" w:rsidP="004B269B">
      <w:pPr>
        <w:autoSpaceDE w:val="0"/>
        <w:autoSpaceDN w:val="0"/>
        <w:adjustRightInd w:val="0"/>
        <w:spacing w:after="0" w:line="240" w:lineRule="auto"/>
        <w:ind w:firstLine="720"/>
        <w:jc w:val="both"/>
        <w:rPr>
          <w:rFonts w:ascii="Arial" w:eastAsia="Times New Roman" w:hAnsi="Arial" w:cs="Arial"/>
          <w:sz w:val="24"/>
          <w:szCs w:val="24"/>
        </w:rPr>
      </w:pPr>
      <w:r w:rsidRPr="004B269B">
        <w:rPr>
          <w:rFonts w:ascii="Arial" w:eastAsia="Times New Roman" w:hAnsi="Arial" w:cs="Arial"/>
          <w:sz w:val="24"/>
          <w:szCs w:val="24"/>
        </w:rPr>
        <w:t xml:space="preserve">Apa este o resursă indispensabilă pentru sănătatea umană, ecosisteme şi activităţiile sociale şi economice. Din punct de vedere al resurselor, debitul râurilor este o măsură a disponibilităţii durabile a apei dulci într-un bazin hidrografic. Variaţiile debitului </w:t>
      </w:r>
      <w:r w:rsidRPr="004B269B">
        <w:rPr>
          <w:rFonts w:ascii="Arial" w:eastAsia="Times New Roman" w:hAnsi="Arial" w:cs="Arial"/>
          <w:sz w:val="24"/>
          <w:szCs w:val="24"/>
        </w:rPr>
        <w:lastRenderedPageBreak/>
        <w:t>râurilor sunt determinate în principal de caracterul sezonier al precipitaţiilor şi temperaturii, precum şi de caracteristicile hidrografice, cum ar fi geologia, solurile şi acoperirea terenuri. Schimbări în modelele de temperatură şi precipitaţii datorită încălzirii globale modifică distribuţia apei la suprafaţa terenului, şi în consecinţă, cantitatea anuală a apei dintr-un bazin hidrografic, precum şi caracterul sezonier al debitului râurilor. Modificările ulterioare în disponibilitatea resurselor de apă pot afecta negativ ecosistemele şi mai multe sectoare socio-economice, cum ar fi gospodărirea apelor, producerea de energie, navigaţia, irigaţiile şi turismul. Perioadele de secetă extremă, cu debite scăzute ale râurilor pot avea un impact economic, social şi de mediu considerabil.</w:t>
      </w:r>
    </w:p>
    <w:p w:rsidR="004B269B" w:rsidRPr="004B269B" w:rsidRDefault="004B269B" w:rsidP="004B269B">
      <w:pPr>
        <w:spacing w:after="0" w:line="240" w:lineRule="auto"/>
        <w:jc w:val="both"/>
        <w:rPr>
          <w:rFonts w:ascii="Arial" w:eastAsia="Arial Unicode MS" w:hAnsi="Arial" w:cs="Arial"/>
          <w:bCs/>
          <w:iCs/>
          <w:sz w:val="24"/>
          <w:szCs w:val="24"/>
          <w:lang w:val="ro-RO" w:eastAsia="ro-RO"/>
        </w:rPr>
      </w:pPr>
      <w:r w:rsidRPr="004B269B">
        <w:rPr>
          <w:rFonts w:ascii="Arial" w:eastAsia="Times New Roman" w:hAnsi="Arial" w:cs="Arial"/>
          <w:sz w:val="24"/>
          <w:szCs w:val="24"/>
          <w:lang w:eastAsia="ro-RO"/>
        </w:rPr>
        <w:t>Printre opţiunile durabile pentru atenuarea efectelor schimbărilor de disponibilitatea resurselor de apă se numără: creşterea eficienţei apei, reutilizarea apei, contorizarea şi tarifarea apei pentru a stimula şi încurajarea conştientizarea conservării apei.</w:t>
      </w:r>
    </w:p>
    <w:p w:rsidR="004B269B" w:rsidRPr="004B269B" w:rsidRDefault="004B269B" w:rsidP="004B269B">
      <w:pPr>
        <w:autoSpaceDE w:val="0"/>
        <w:autoSpaceDN w:val="0"/>
        <w:adjustRightInd w:val="0"/>
        <w:spacing w:after="0" w:line="240" w:lineRule="auto"/>
        <w:ind w:firstLine="720"/>
        <w:jc w:val="both"/>
        <w:rPr>
          <w:rFonts w:ascii="Arial" w:eastAsia="Times New Roman" w:hAnsi="Arial" w:cs="Arial"/>
          <w:sz w:val="24"/>
          <w:szCs w:val="24"/>
        </w:rPr>
      </w:pPr>
      <w:r w:rsidRPr="004B269B">
        <w:rPr>
          <w:rFonts w:ascii="Arial" w:eastAsia="Times New Roman" w:hAnsi="Arial" w:cs="Arial"/>
          <w:sz w:val="24"/>
          <w:szCs w:val="24"/>
        </w:rPr>
        <w:t xml:space="preserve">Schimbările climatice duc la creşterea temperaturii terestre, la modificarea cantităţii şi regimurilor de precipitaţii, generând creşterea preconizată a gravităţii dezastrelor natural provocate de fenomenele meteorologice. La rândul lor, modificarea nivelului apelor, a temperaturilor şi a fluxurilor va afecta rezervele de hrană, sănătatea, industria şi transporturile, precum şi integritatea ecosistemică. Schimbările climatice vor avea un impact economic şi social semnificativ, fiind probabil ca anumite regiuni şi sectoare să sufere efecte adverse majore. </w:t>
      </w:r>
    </w:p>
    <w:p w:rsidR="004B269B" w:rsidRPr="004B269B" w:rsidRDefault="004B269B" w:rsidP="004B269B">
      <w:pPr>
        <w:autoSpaceDE w:val="0"/>
        <w:autoSpaceDN w:val="0"/>
        <w:adjustRightInd w:val="0"/>
        <w:spacing w:after="0" w:line="240" w:lineRule="auto"/>
        <w:ind w:firstLine="720"/>
        <w:jc w:val="both"/>
        <w:rPr>
          <w:rFonts w:ascii="Arial" w:eastAsia="Times New Roman" w:hAnsi="Arial" w:cs="Arial"/>
          <w:sz w:val="24"/>
          <w:szCs w:val="24"/>
        </w:rPr>
      </w:pPr>
      <w:r w:rsidRPr="004B269B">
        <w:rPr>
          <w:rFonts w:ascii="Arial" w:eastAsia="Times New Roman" w:hAnsi="Arial" w:cs="Arial"/>
          <w:sz w:val="24"/>
          <w:szCs w:val="24"/>
        </w:rPr>
        <w:t>La nivel de ţară, în sezonul de primãvară se produce 39,7% din totalul scurgerii anuale, în timp ce în sezonul de toamnă, cel mai secetos sezon din România, scurgerea nu reprezintă decât 14,2% din cea anuală, comparativ cu sezonul de vară când scurgerea atinge 26,7% din cea anuală şi chiar cu cel de iarnă când se scurge 19,4% din stocul mediu multianual. Fenomenul este confirmat şi de repartiţia pe luni a volumului scurs. Lunile ce participa cu cea mai mare pondere (14,3%) la volumul anual scurs sunt aprilie şi mai, în timp ce lunile de toamnă, septembrie şi octombrie participă cu numai 4,67% fiecare.</w:t>
      </w:r>
    </w:p>
    <w:p w:rsidR="004B269B" w:rsidRPr="004B269B" w:rsidRDefault="004B269B" w:rsidP="004B269B">
      <w:pPr>
        <w:autoSpaceDE w:val="0"/>
        <w:autoSpaceDN w:val="0"/>
        <w:adjustRightInd w:val="0"/>
        <w:spacing w:after="0" w:line="240" w:lineRule="auto"/>
        <w:jc w:val="both"/>
        <w:rPr>
          <w:rFonts w:ascii="Arial" w:eastAsia="Times New Roman" w:hAnsi="Arial" w:cs="Arial"/>
          <w:sz w:val="24"/>
          <w:szCs w:val="24"/>
        </w:rPr>
      </w:pPr>
      <w:r w:rsidRPr="004B269B">
        <w:rPr>
          <w:rFonts w:ascii="Arial" w:eastAsia="Times New Roman" w:hAnsi="Arial" w:cs="Arial"/>
          <w:sz w:val="24"/>
          <w:szCs w:val="24"/>
        </w:rPr>
        <w:t xml:space="preserve">Resursele hidrologice ale României au nu numai o variaţie sezoniera ci şi de la un an la altul. </w:t>
      </w:r>
      <w:r w:rsidRPr="004B269B">
        <w:rPr>
          <w:rFonts w:ascii="Arial" w:eastAsia="Times New Roman" w:hAnsi="Arial" w:cs="Arial"/>
          <w:i/>
          <w:iCs/>
          <w:sz w:val="20"/>
          <w:szCs w:val="20"/>
        </w:rPr>
        <w:t>(Sursa de date: ANAR, Planul national de amenajare a bazinelor hidrografice din Romania, 2013)</w:t>
      </w:r>
    </w:p>
    <w:p w:rsidR="004B269B" w:rsidRPr="004B269B" w:rsidRDefault="004B269B" w:rsidP="004B269B">
      <w:pPr>
        <w:shd w:val="clear" w:color="auto" w:fill="FFFFFF"/>
        <w:spacing w:after="0" w:line="240" w:lineRule="auto"/>
        <w:ind w:firstLine="720"/>
        <w:jc w:val="both"/>
        <w:rPr>
          <w:rFonts w:ascii="Arial" w:eastAsia="Arial Unicode MS" w:hAnsi="Arial" w:cs="Arial"/>
          <w:sz w:val="24"/>
          <w:szCs w:val="24"/>
          <w:lang w:val="ro-RO" w:eastAsia="ro-RO"/>
        </w:rPr>
      </w:pPr>
      <w:r w:rsidRPr="004B269B">
        <w:rPr>
          <w:rFonts w:ascii="Arial" w:eastAsia="Arial Unicode MS" w:hAnsi="Arial" w:cs="Arial"/>
          <w:bCs/>
          <w:sz w:val="24"/>
          <w:szCs w:val="24"/>
          <w:lang w:val="pt-BR" w:eastAsia="ro-RO"/>
        </w:rPr>
        <w:t>Sistemul de Gospodărirea Apelor Vaslui</w:t>
      </w:r>
      <w:r w:rsidRPr="004B269B">
        <w:rPr>
          <w:rFonts w:ascii="Arial" w:eastAsia="Arial Unicode MS" w:hAnsi="Arial" w:cs="Arial"/>
          <w:sz w:val="24"/>
          <w:szCs w:val="24"/>
          <w:lang w:val="pt-BR" w:eastAsia="ro-RO"/>
        </w:rPr>
        <w:t> administreaz</w:t>
      </w:r>
      <w:r w:rsidRPr="004B269B">
        <w:rPr>
          <w:rFonts w:ascii="Arial" w:eastAsia="Arial Unicode MS" w:hAnsi="Arial" w:cs="Arial"/>
          <w:sz w:val="24"/>
          <w:szCs w:val="24"/>
          <w:lang w:val="ro-RO" w:eastAsia="ro-RO"/>
        </w:rPr>
        <w:t>ă</w:t>
      </w:r>
      <w:r w:rsidRPr="004B269B">
        <w:rPr>
          <w:rFonts w:ascii="Arial" w:eastAsia="Arial Unicode MS" w:hAnsi="Arial" w:cs="Arial"/>
          <w:sz w:val="24"/>
          <w:szCs w:val="24"/>
          <w:lang w:val="pt-BR" w:eastAsia="ro-RO"/>
        </w:rPr>
        <w:t xml:space="preserve"> integral apele din județul Vaslui și parțial din județele Iași, Neamț, Bacău și Vrancea în bazinele hidrografice ale râurilor Prut și Bârlad pe o suprafață totală de 5 606 km</w:t>
      </w:r>
      <w:r w:rsidRPr="004B269B">
        <w:rPr>
          <w:rFonts w:ascii="Arial" w:eastAsia="Arial Unicode MS" w:hAnsi="Arial" w:cs="Arial"/>
          <w:sz w:val="24"/>
          <w:szCs w:val="24"/>
          <w:vertAlign w:val="superscript"/>
          <w:lang w:val="pt-BR" w:eastAsia="ro-RO"/>
        </w:rPr>
        <w:t>2</w:t>
      </w:r>
      <w:r w:rsidRPr="004B269B">
        <w:rPr>
          <w:rFonts w:ascii="Arial" w:eastAsia="Arial Unicode MS" w:hAnsi="Arial" w:cs="Arial"/>
          <w:sz w:val="24"/>
          <w:szCs w:val="24"/>
          <w:lang w:val="pt-BR" w:eastAsia="ro-RO"/>
        </w:rPr>
        <w:t>. Lungimea rețelei hidrografice a cursurilor de apă codificate este de 2329 km.</w:t>
      </w:r>
    </w:p>
    <w:p w:rsidR="004B269B" w:rsidRPr="004B269B" w:rsidRDefault="004B269B" w:rsidP="004B269B">
      <w:pPr>
        <w:spacing w:after="0" w:line="240" w:lineRule="auto"/>
        <w:ind w:firstLine="720"/>
        <w:jc w:val="both"/>
        <w:rPr>
          <w:rFonts w:ascii="Arial" w:eastAsia="Times New Roman" w:hAnsi="Arial" w:cs="Arial"/>
          <w:sz w:val="24"/>
          <w:szCs w:val="24"/>
          <w:lang w:val="ro-RO"/>
        </w:rPr>
      </w:pPr>
      <w:r w:rsidRPr="004B269B">
        <w:rPr>
          <w:rFonts w:ascii="Arial" w:eastAsia="Times New Roman" w:hAnsi="Arial" w:cs="Arial"/>
          <w:sz w:val="24"/>
          <w:szCs w:val="24"/>
        </w:rPr>
        <w:t>Tendin</w:t>
      </w:r>
      <w:r w:rsidRPr="004B269B">
        <w:rPr>
          <w:rFonts w:ascii="Arial" w:eastAsia="Times New Roman" w:hAnsi="Arial" w:cs="Arial"/>
          <w:sz w:val="24"/>
          <w:szCs w:val="24"/>
          <w:lang w:val="ro-RO"/>
        </w:rPr>
        <w:t xml:space="preserve">țele pe termen lung ale debitelor râurilor sunt dificil de detectat datorită schimbărilor climatice. Modificările debitelor naturale ale cursurilor de apă (variabilitățile anuale și decadale) apar din cauza prelevărilor de apă în exces, a rezervoarelor artificiale realizate de către om și a schimbărilor permanente în privința utilizării terenurilor. </w:t>
      </w:r>
    </w:p>
    <w:p w:rsidR="004B269B" w:rsidRPr="004B269B" w:rsidRDefault="004B269B" w:rsidP="004B269B">
      <w:pPr>
        <w:spacing w:after="0" w:line="240" w:lineRule="auto"/>
        <w:jc w:val="both"/>
        <w:rPr>
          <w:rFonts w:ascii="Arial" w:eastAsia="Times New Roman" w:hAnsi="Arial" w:cs="Arial"/>
          <w:sz w:val="24"/>
          <w:szCs w:val="24"/>
          <w:lang w:val="ro-RO"/>
        </w:rPr>
      </w:pPr>
      <w:r w:rsidRPr="004B269B">
        <w:rPr>
          <w:rFonts w:ascii="Arial" w:eastAsia="Times New Roman" w:hAnsi="Arial" w:cs="Arial"/>
          <w:sz w:val="24"/>
          <w:szCs w:val="24"/>
          <w:lang w:val="ro-RO"/>
        </w:rPr>
        <w:t xml:space="preserve"> </w:t>
      </w:r>
      <w:r w:rsidRPr="004B269B">
        <w:rPr>
          <w:rFonts w:ascii="Arial" w:eastAsia="Times New Roman" w:hAnsi="Arial" w:cs="Arial"/>
          <w:sz w:val="24"/>
          <w:szCs w:val="24"/>
          <w:lang w:val="ro-RO"/>
        </w:rPr>
        <w:tab/>
        <w:t>Factorul determinant care influențează scurgerea și implicit volumul resursei de apă, este cel climatic. O importanță deosebită pentru utilizarea resurselor de apă o are cunoașterea distribuției în timp a volumului resurselor de apă pe luni și sezoane. Volumul de apă multianual scurs pe întreaga suprafață hidrografică este variabil de la an la an și distribuit neuniform pe sezoane și luni.</w:t>
      </w:r>
    </w:p>
    <w:p w:rsidR="004B269B" w:rsidRPr="004B269B" w:rsidRDefault="004B269B" w:rsidP="004B269B">
      <w:pPr>
        <w:spacing w:after="0" w:line="240" w:lineRule="auto"/>
        <w:jc w:val="both"/>
        <w:rPr>
          <w:rFonts w:ascii="Arial" w:eastAsia="SimSun" w:hAnsi="Arial" w:cs="Arial"/>
          <w:sz w:val="24"/>
          <w:szCs w:val="24"/>
          <w:lang w:val="en-GB"/>
        </w:rPr>
      </w:pPr>
      <w:r w:rsidRPr="004B269B">
        <w:rPr>
          <w:rFonts w:ascii="Arial" w:eastAsia="SimSun" w:hAnsi="Arial" w:cs="Arial"/>
          <w:sz w:val="24"/>
          <w:szCs w:val="24"/>
          <w:lang w:val="en-GB"/>
        </w:rPr>
        <w:t xml:space="preserve">           Studiul de față implică caracterizarea și evaluarea modificării hidrologice a regimului de scurgere a râurilor din cadrul SGA Vaslui utilizând serii anuale de debite pentru perioada 1950 – 2014. Regimul actual arată o reducere semnificativă a debitelor și o deplasare a modelului sezonier. Indicatorii modificărilor hidrologice s-au dovedit a fi o abordare utilă, capabilă să focalizeze, să compare și să stabilească gradul perturbărilor hidrologice.</w:t>
      </w:r>
    </w:p>
    <w:p w:rsidR="004B269B" w:rsidRPr="004B269B" w:rsidRDefault="004B269B" w:rsidP="004B269B">
      <w:pPr>
        <w:spacing w:after="0" w:line="240" w:lineRule="auto"/>
        <w:ind w:firstLine="720"/>
        <w:jc w:val="both"/>
        <w:rPr>
          <w:rFonts w:ascii="Arial" w:eastAsia="Times New Roman" w:hAnsi="Arial" w:cs="Arial"/>
          <w:sz w:val="24"/>
          <w:szCs w:val="24"/>
          <w:lang w:val="ro-RO"/>
        </w:rPr>
      </w:pPr>
      <w:r w:rsidRPr="004B269B">
        <w:rPr>
          <w:rFonts w:ascii="Arial" w:eastAsia="Times New Roman" w:hAnsi="Arial" w:cs="Arial"/>
          <w:sz w:val="24"/>
          <w:szCs w:val="24"/>
          <w:lang w:val="ro-RO"/>
        </w:rPr>
        <w:lastRenderedPageBreak/>
        <w:t xml:space="preserve">Sub acest aspect, la nivelul SGA Vaslui, în sezonul de primăvară se produce 38,62% din totalul scurgerii anuale, în timp ce în sezonul de toamnă, cel mai secetos sezon, scurgerea nu reprezintă decât 14,73% din cea anuală, comparativ cu sezonul de vară unde scurgerea atinge 18,85% sau cu sezonul de iarnă unde scurgerea indică valoarea de 27,77% din cea anuală. </w:t>
      </w:r>
    </w:p>
    <w:p w:rsidR="004B269B" w:rsidRPr="004B269B" w:rsidRDefault="004B269B" w:rsidP="004B269B">
      <w:pPr>
        <w:spacing w:after="0" w:line="240" w:lineRule="auto"/>
        <w:ind w:firstLine="720"/>
        <w:jc w:val="both"/>
        <w:rPr>
          <w:rFonts w:ascii="Arial" w:eastAsia="Times New Roman" w:hAnsi="Arial" w:cs="Arial"/>
          <w:sz w:val="24"/>
          <w:szCs w:val="24"/>
          <w:lang w:val="ro-RO"/>
        </w:rPr>
      </w:pPr>
      <w:r>
        <w:rPr>
          <w:rFonts w:ascii="Arial" w:eastAsia="Times New Roman" w:hAnsi="Arial" w:cs="Arial"/>
          <w:noProof/>
          <w:sz w:val="24"/>
          <w:szCs w:val="24"/>
        </w:rPr>
        <w:drawing>
          <wp:inline distT="0" distB="0" distL="0" distR="0">
            <wp:extent cx="4429125" cy="1543050"/>
            <wp:effectExtent l="0" t="0" r="0" b="0"/>
            <wp:docPr id="202" name="Chart 2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B269B" w:rsidRPr="004B269B" w:rsidRDefault="004B269B" w:rsidP="004B269B">
      <w:pPr>
        <w:tabs>
          <w:tab w:val="left" w:pos="1020"/>
        </w:tabs>
        <w:spacing w:after="0" w:line="240" w:lineRule="auto"/>
        <w:rPr>
          <w:rFonts w:ascii="Arial" w:eastAsia="SimSun" w:hAnsi="Arial" w:cs="Arial"/>
          <w:sz w:val="24"/>
          <w:szCs w:val="24"/>
          <w:lang w:val="en-GB"/>
        </w:rPr>
      </w:pPr>
      <w:r w:rsidRPr="004B269B">
        <w:rPr>
          <w:rFonts w:ascii="Times New Roman" w:eastAsia="SimSun" w:hAnsi="Times New Roman" w:cs="Times New Roman"/>
          <w:sz w:val="24"/>
          <w:szCs w:val="24"/>
          <w:lang w:val="ro-RO"/>
        </w:rPr>
        <w:tab/>
      </w:r>
    </w:p>
    <w:p w:rsidR="004B269B" w:rsidRPr="004B269B" w:rsidRDefault="004B269B" w:rsidP="004B269B">
      <w:pPr>
        <w:tabs>
          <w:tab w:val="left" w:pos="3780"/>
        </w:tabs>
        <w:spacing w:after="0" w:line="240" w:lineRule="auto"/>
        <w:jc w:val="both"/>
        <w:rPr>
          <w:rFonts w:ascii="Arial" w:eastAsia="SimSun" w:hAnsi="Arial" w:cs="Arial"/>
          <w:sz w:val="20"/>
          <w:szCs w:val="20"/>
          <w:lang w:val="en-GB"/>
        </w:rPr>
      </w:pPr>
      <w:r w:rsidRPr="004B269B">
        <w:rPr>
          <w:rFonts w:ascii="Arial" w:eastAsia="SimSun" w:hAnsi="Arial" w:cs="Arial"/>
          <w:sz w:val="24"/>
          <w:szCs w:val="24"/>
          <w:lang w:val="en-GB"/>
        </w:rPr>
        <w:t xml:space="preserve">          Resursele hidrologice de la nivelul SGA Vaslui au nu numai o variație sezonieră ci și de la un an la altul. Astfel pentru calculul procentajului anual, s-au folosit două resurse și anume: valoarea medie a debitelor medii multianuale și debitul maxim din media valorilor multianuale. (</w:t>
      </w:r>
      <w:r w:rsidRPr="004B269B">
        <w:rPr>
          <w:rFonts w:ascii="Arial" w:eastAsia="SimSun" w:hAnsi="Arial" w:cs="Arial"/>
          <w:sz w:val="20"/>
          <w:szCs w:val="20"/>
          <w:lang w:val="ro-RO"/>
        </w:rPr>
        <w:t xml:space="preserve">Sursa: Administraţia </w:t>
      </w:r>
      <w:r w:rsidRPr="004B269B">
        <w:rPr>
          <w:rFonts w:ascii="Arial" w:eastAsia="SimSun" w:hAnsi="Arial" w:cs="Arial"/>
          <w:sz w:val="20"/>
          <w:szCs w:val="20"/>
          <w:lang w:val="en-GB"/>
        </w:rPr>
        <w:t>“</w:t>
      </w:r>
      <w:r w:rsidRPr="004B269B">
        <w:rPr>
          <w:rFonts w:ascii="Arial" w:eastAsia="SimSun" w:hAnsi="Arial" w:cs="Arial"/>
          <w:sz w:val="20"/>
          <w:szCs w:val="20"/>
          <w:lang w:val="ro-RO"/>
        </w:rPr>
        <w:t>Apele Române”- Administraţia Bazinală de Apă Prut – Bârlad)</w:t>
      </w:r>
    </w:p>
    <w:p w:rsidR="004B269B" w:rsidRPr="004B269B" w:rsidRDefault="004B269B" w:rsidP="004B269B">
      <w:pPr>
        <w:spacing w:after="0" w:line="240" w:lineRule="auto"/>
        <w:rPr>
          <w:rFonts w:ascii="Arial" w:eastAsia="Arial Unicode MS" w:hAnsi="Arial" w:cs="Arial"/>
          <w:b/>
          <w:bCs/>
          <w:iCs/>
          <w:sz w:val="24"/>
          <w:szCs w:val="24"/>
          <w:lang w:val="ro-RO" w:eastAsia="ro-RO"/>
        </w:rPr>
      </w:pPr>
    </w:p>
    <w:p w:rsidR="004B269B" w:rsidRPr="004B269B" w:rsidRDefault="004B269B" w:rsidP="004B269B">
      <w:pPr>
        <w:spacing w:beforeAutospacing="1" w:after="0" w:afterAutospacing="1" w:line="240" w:lineRule="auto"/>
        <w:rPr>
          <w:rFonts w:ascii="Arial" w:eastAsia="Arial Unicode MS" w:hAnsi="Arial" w:cs="Arial"/>
          <w:bCs/>
          <w:iCs/>
          <w:sz w:val="24"/>
          <w:szCs w:val="24"/>
          <w:lang w:val="ro-RO" w:eastAsia="ro-RO"/>
        </w:rPr>
      </w:pPr>
      <w:r w:rsidRPr="004B269B">
        <w:rPr>
          <w:rFonts w:ascii="Arial" w:eastAsia="Arial Unicode MS" w:hAnsi="Arial" w:cs="Arial"/>
          <w:bCs/>
          <w:iCs/>
          <w:sz w:val="24"/>
          <w:szCs w:val="24"/>
          <w:lang w:val="ro-RO" w:eastAsia="ro-RO"/>
        </w:rPr>
        <w:t>II.1.1.4 Schimbări hidromorfologice ale cursurilor de apă</w:t>
      </w:r>
    </w:p>
    <w:p w:rsidR="004B269B" w:rsidRPr="004B269B" w:rsidRDefault="004B269B" w:rsidP="004B269B">
      <w:pPr>
        <w:spacing w:after="0" w:line="240" w:lineRule="auto"/>
        <w:ind w:firstLine="720"/>
        <w:jc w:val="both"/>
        <w:rPr>
          <w:rFonts w:ascii="Arial" w:eastAsia="Arial Unicode MS" w:hAnsi="Arial" w:cs="Arial"/>
          <w:bCs/>
          <w:iCs/>
          <w:sz w:val="24"/>
          <w:szCs w:val="24"/>
          <w:lang w:val="ro-RO" w:eastAsia="ro-RO"/>
        </w:rPr>
      </w:pPr>
      <w:r w:rsidRPr="004B269B">
        <w:rPr>
          <w:rFonts w:ascii="Arial" w:eastAsia="Arial Unicode MS" w:hAnsi="Arial" w:cs="Arial"/>
          <w:bCs/>
          <w:iCs/>
          <w:sz w:val="24"/>
          <w:szCs w:val="24"/>
          <w:lang w:val="ro-RO" w:eastAsia="ro-RO"/>
        </w:rPr>
        <w:t>Presiunile</w:t>
      </w:r>
      <w:r w:rsidRPr="004B269B">
        <w:rPr>
          <w:rFonts w:ascii="Arial" w:eastAsia="Arial Unicode MS" w:hAnsi="Arial" w:cs="Arial"/>
          <w:sz w:val="24"/>
          <w:szCs w:val="24"/>
          <w:lang w:val="ro-RO" w:eastAsia="ro-RO"/>
        </w:rPr>
        <w:t xml:space="preserve"> hidromorfologice afectează o mare parte din cursurile de apă din bazinele hidrografice Prut şi Bârlad, însă cele mai importante presiuni hidromorfologice sunt cauzate de:</w:t>
      </w:r>
      <w:r w:rsidRPr="004B269B">
        <w:rPr>
          <w:rFonts w:ascii="Arial" w:eastAsia="Arial Unicode MS" w:hAnsi="Arial" w:cs="Arial"/>
          <w:b/>
          <w:bCs/>
          <w:i/>
          <w:iCs/>
          <w:sz w:val="24"/>
          <w:szCs w:val="24"/>
          <w:lang w:val="ro-RO" w:eastAsia="ro-RO"/>
        </w:rPr>
        <w:t xml:space="preserve"> </w:t>
      </w:r>
      <w:r w:rsidRPr="004B269B">
        <w:rPr>
          <w:rFonts w:ascii="Arial" w:eastAsia="Arial Unicode MS" w:hAnsi="Arial" w:cs="Arial"/>
          <w:bCs/>
          <w:iCs/>
          <w:sz w:val="24"/>
          <w:szCs w:val="24"/>
          <w:lang w:val="ro-RO" w:eastAsia="ro-RO"/>
        </w:rPr>
        <w:t>regularizări şi îndiguiri, lacurile de acumulare, derivaţii, prelevări/restituţii de apă semnificative, canale navigabile.</w:t>
      </w:r>
    </w:p>
    <w:p w:rsidR="004B269B" w:rsidRPr="004B269B" w:rsidRDefault="004B269B" w:rsidP="004B269B">
      <w:pPr>
        <w:spacing w:after="0" w:line="240" w:lineRule="auto"/>
        <w:jc w:val="both"/>
        <w:rPr>
          <w:rFonts w:ascii="Arial" w:eastAsia="Times New Roman" w:hAnsi="Arial" w:cs="Arial"/>
          <w:sz w:val="24"/>
          <w:szCs w:val="24"/>
        </w:rPr>
      </w:pPr>
      <w:r w:rsidRPr="004B269B">
        <w:rPr>
          <w:rFonts w:ascii="Arial" w:eastAsia="Times New Roman" w:hAnsi="Arial" w:cs="Arial"/>
          <w:sz w:val="24"/>
          <w:szCs w:val="24"/>
        </w:rPr>
        <w:t>Modificările caracteristicilor hidromorfologice ale cursurilor de apă (schimbări ale cursurilor naturale, schimbări ale regimului hidrologic, deteriorarea biodiversităţii acvatice, etc.) provoacă un serios impact asupra mediului acvatic şi contribuie la neatingerea obiectivelor de mediu.</w:t>
      </w:r>
    </w:p>
    <w:p w:rsidR="004B269B" w:rsidRPr="004B269B" w:rsidRDefault="004B269B" w:rsidP="004B269B">
      <w:pPr>
        <w:spacing w:after="0" w:line="240" w:lineRule="auto"/>
        <w:jc w:val="both"/>
        <w:rPr>
          <w:rFonts w:ascii="Arial" w:eastAsia="Times New Roman" w:hAnsi="Arial" w:cs="Arial"/>
          <w:sz w:val="24"/>
          <w:szCs w:val="24"/>
          <w:lang w:val="ro-RO"/>
        </w:rPr>
      </w:pPr>
      <w:r w:rsidRPr="004B269B">
        <w:rPr>
          <w:rFonts w:ascii="Arial" w:eastAsia="Times New Roman" w:hAnsi="Arial" w:cs="Arial"/>
          <w:sz w:val="24"/>
          <w:szCs w:val="24"/>
          <w:lang w:val="ro-RO"/>
        </w:rPr>
        <w:t>Pentru anul 2015, date şi informaţii relevante despre starea ecologică a corpurilor de apă puternic modificate pe baza parametrilor hidromorfologici nu se deţin.</w:t>
      </w:r>
    </w:p>
    <w:p w:rsidR="004B269B" w:rsidRPr="004B269B" w:rsidRDefault="004B269B" w:rsidP="004B269B">
      <w:pPr>
        <w:spacing w:after="0" w:line="240" w:lineRule="auto"/>
        <w:ind w:firstLine="720"/>
        <w:jc w:val="both"/>
        <w:rPr>
          <w:rFonts w:ascii="Arial" w:eastAsia="Arial Unicode MS" w:hAnsi="Arial" w:cs="Arial"/>
          <w:bCs/>
          <w:iCs/>
          <w:sz w:val="24"/>
          <w:szCs w:val="24"/>
          <w:lang w:val="ro-RO" w:eastAsia="ro-RO"/>
        </w:rPr>
      </w:pPr>
      <w:r w:rsidRPr="004B269B">
        <w:rPr>
          <w:rFonts w:ascii="Arial" w:eastAsia="Arial Unicode MS" w:hAnsi="Arial" w:cs="Arial"/>
          <w:bCs/>
          <w:iCs/>
          <w:sz w:val="24"/>
          <w:szCs w:val="24"/>
          <w:lang w:val="ro-RO" w:eastAsia="ro-RO"/>
        </w:rPr>
        <w:t>Evoluţia clasificării corpurilor de apă, în perioada 2006-2015, este prezentată în tabelul următor:</w:t>
      </w:r>
    </w:p>
    <w:p w:rsidR="004B269B" w:rsidRPr="004B269B" w:rsidRDefault="004B269B" w:rsidP="004B269B">
      <w:pPr>
        <w:tabs>
          <w:tab w:val="left" w:pos="1260"/>
          <w:tab w:val="left" w:leader="dot" w:pos="8820"/>
        </w:tabs>
        <w:spacing w:after="0" w:line="240" w:lineRule="auto"/>
        <w:ind w:right="340"/>
        <w:rPr>
          <w:rFonts w:ascii="Arial" w:eastAsia="SimSun" w:hAnsi="Arial" w:cs="Arial"/>
          <w:sz w:val="24"/>
          <w:szCs w:val="24"/>
          <w:lang w:val="en-GB"/>
        </w:rPr>
      </w:pPr>
    </w:p>
    <w:p w:rsidR="004B269B" w:rsidRPr="004B269B" w:rsidRDefault="004B269B" w:rsidP="004B269B">
      <w:pPr>
        <w:tabs>
          <w:tab w:val="left" w:pos="1260"/>
          <w:tab w:val="left" w:leader="dot" w:pos="8820"/>
        </w:tabs>
        <w:spacing w:after="0" w:line="240" w:lineRule="auto"/>
        <w:ind w:right="340"/>
        <w:rPr>
          <w:rFonts w:ascii="Arial" w:eastAsia="SimSun" w:hAnsi="Arial" w:cs="Arial"/>
          <w:b/>
          <w:sz w:val="24"/>
          <w:szCs w:val="24"/>
          <w:lang w:val="ro-RO"/>
        </w:rPr>
      </w:pPr>
      <w:r w:rsidRPr="004B269B">
        <w:rPr>
          <w:rFonts w:ascii="Arial" w:eastAsia="SimSun" w:hAnsi="Arial" w:cs="Arial"/>
          <w:sz w:val="24"/>
          <w:szCs w:val="24"/>
          <w:lang w:val="en-GB"/>
        </w:rPr>
        <w:t xml:space="preserve">Tabelul </w:t>
      </w:r>
      <w:r w:rsidRPr="004B269B">
        <w:rPr>
          <w:rFonts w:ascii="Arial" w:eastAsia="SimSun" w:hAnsi="Arial" w:cs="Arial"/>
          <w:sz w:val="24"/>
          <w:szCs w:val="24"/>
          <w:lang w:val="ro-RO"/>
        </w:rPr>
        <w:t>II</w:t>
      </w:r>
      <w:r w:rsidRPr="004B269B">
        <w:rPr>
          <w:rFonts w:ascii="Arial" w:eastAsia="SimSun" w:hAnsi="Arial" w:cs="Arial"/>
          <w:sz w:val="24"/>
          <w:szCs w:val="24"/>
          <w:lang w:val="en-GB"/>
        </w:rPr>
        <w:t>.3. Clasificarea corpurilor de apă, în judeţul Vaslui, în perioada 2006 - 2015</w:t>
      </w:r>
    </w:p>
    <w:tbl>
      <w:tblPr>
        <w:tblpPr w:leftFromText="180" w:rightFromText="180"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5"/>
        <w:gridCol w:w="3446"/>
        <w:gridCol w:w="2268"/>
        <w:gridCol w:w="2941"/>
      </w:tblGrid>
      <w:tr w:rsidR="004B269B" w:rsidRPr="004B269B" w:rsidTr="00080B9C">
        <w:tc>
          <w:tcPr>
            <w:tcW w:w="915" w:type="dxa"/>
            <w:vMerge w:val="restart"/>
          </w:tcPr>
          <w:p w:rsidR="004B269B" w:rsidRPr="004B269B" w:rsidRDefault="004B269B" w:rsidP="004B269B">
            <w:pPr>
              <w:spacing w:after="0" w:line="240" w:lineRule="auto"/>
              <w:jc w:val="center"/>
              <w:rPr>
                <w:rFonts w:ascii="Arial" w:eastAsia="SimSun" w:hAnsi="Arial" w:cs="Arial"/>
                <w:b/>
                <w:bCs/>
                <w:sz w:val="24"/>
                <w:szCs w:val="24"/>
                <w:lang w:val="en-GB"/>
              </w:rPr>
            </w:pPr>
            <w:r w:rsidRPr="004B269B">
              <w:rPr>
                <w:rFonts w:ascii="Arial" w:eastAsia="SimSun" w:hAnsi="Arial" w:cs="Arial"/>
                <w:b/>
                <w:bCs/>
                <w:sz w:val="24"/>
                <w:szCs w:val="24"/>
                <w:lang w:val="en-GB"/>
              </w:rPr>
              <w:t>Anul</w:t>
            </w:r>
          </w:p>
        </w:tc>
        <w:tc>
          <w:tcPr>
            <w:tcW w:w="8655" w:type="dxa"/>
            <w:gridSpan w:val="3"/>
          </w:tcPr>
          <w:p w:rsidR="004B269B" w:rsidRPr="004B269B" w:rsidRDefault="004B269B" w:rsidP="004B269B">
            <w:pPr>
              <w:spacing w:after="0" w:line="240" w:lineRule="auto"/>
              <w:jc w:val="center"/>
              <w:rPr>
                <w:rFonts w:ascii="Arial" w:eastAsia="SimSun" w:hAnsi="Arial" w:cs="Arial"/>
                <w:b/>
                <w:bCs/>
                <w:sz w:val="24"/>
                <w:szCs w:val="24"/>
                <w:lang w:val="en-GB"/>
              </w:rPr>
            </w:pPr>
            <w:r w:rsidRPr="004B269B">
              <w:rPr>
                <w:rFonts w:ascii="Arial" w:eastAsia="SimSun" w:hAnsi="Arial" w:cs="Arial"/>
                <w:b/>
                <w:bCs/>
                <w:sz w:val="24"/>
                <w:szCs w:val="24"/>
                <w:lang w:val="en-GB"/>
              </w:rPr>
              <w:t>Categorii de corpuri de apă</w:t>
            </w:r>
          </w:p>
        </w:tc>
      </w:tr>
      <w:tr w:rsidR="004B269B" w:rsidRPr="004B269B" w:rsidTr="00080B9C">
        <w:tc>
          <w:tcPr>
            <w:tcW w:w="915" w:type="dxa"/>
            <w:vMerge/>
          </w:tcPr>
          <w:p w:rsidR="004B269B" w:rsidRPr="004B269B" w:rsidRDefault="004B269B" w:rsidP="004B269B">
            <w:pPr>
              <w:spacing w:after="0" w:line="240" w:lineRule="auto"/>
              <w:jc w:val="center"/>
              <w:rPr>
                <w:rFonts w:ascii="Arial" w:eastAsia="SimSun" w:hAnsi="Arial" w:cs="Arial"/>
                <w:b/>
                <w:bCs/>
                <w:sz w:val="24"/>
                <w:szCs w:val="24"/>
                <w:lang w:val="en-GB"/>
              </w:rPr>
            </w:pPr>
          </w:p>
        </w:tc>
        <w:tc>
          <w:tcPr>
            <w:tcW w:w="3446" w:type="dxa"/>
          </w:tcPr>
          <w:p w:rsidR="004B269B" w:rsidRPr="004B269B" w:rsidRDefault="004B269B" w:rsidP="004B269B">
            <w:pPr>
              <w:spacing w:after="0" w:line="240" w:lineRule="auto"/>
              <w:jc w:val="center"/>
              <w:rPr>
                <w:rFonts w:ascii="Arial" w:eastAsia="SimSun" w:hAnsi="Arial" w:cs="Arial"/>
                <w:b/>
                <w:bCs/>
                <w:sz w:val="24"/>
                <w:szCs w:val="24"/>
                <w:lang w:val="en-GB"/>
              </w:rPr>
            </w:pPr>
            <w:r w:rsidRPr="004B269B">
              <w:rPr>
                <w:rFonts w:ascii="Arial" w:eastAsia="SimSun" w:hAnsi="Arial" w:cs="Arial"/>
                <w:b/>
                <w:bCs/>
                <w:sz w:val="24"/>
                <w:szCs w:val="24"/>
                <w:lang w:val="en-GB"/>
              </w:rPr>
              <w:t>Corpuri naturale/cvasinaturale</w:t>
            </w:r>
          </w:p>
        </w:tc>
        <w:tc>
          <w:tcPr>
            <w:tcW w:w="2268" w:type="dxa"/>
          </w:tcPr>
          <w:p w:rsidR="004B269B" w:rsidRPr="004B269B" w:rsidRDefault="004B269B" w:rsidP="004B269B">
            <w:pPr>
              <w:spacing w:after="0" w:line="240" w:lineRule="auto"/>
              <w:jc w:val="center"/>
              <w:rPr>
                <w:rFonts w:ascii="Arial" w:eastAsia="SimSun" w:hAnsi="Arial" w:cs="Arial"/>
                <w:b/>
                <w:bCs/>
                <w:sz w:val="24"/>
                <w:szCs w:val="24"/>
                <w:lang w:val="en-GB"/>
              </w:rPr>
            </w:pPr>
            <w:r w:rsidRPr="004B269B">
              <w:rPr>
                <w:rFonts w:ascii="Arial" w:eastAsia="SimSun" w:hAnsi="Arial" w:cs="Arial"/>
                <w:b/>
                <w:bCs/>
                <w:sz w:val="24"/>
                <w:szCs w:val="24"/>
                <w:lang w:val="en-GB"/>
              </w:rPr>
              <w:t>Corpuri artificiale</w:t>
            </w:r>
          </w:p>
        </w:tc>
        <w:tc>
          <w:tcPr>
            <w:tcW w:w="2941" w:type="dxa"/>
          </w:tcPr>
          <w:p w:rsidR="004B269B" w:rsidRPr="004B269B" w:rsidRDefault="004B269B" w:rsidP="004B269B">
            <w:pPr>
              <w:spacing w:after="0" w:line="240" w:lineRule="auto"/>
              <w:jc w:val="center"/>
              <w:rPr>
                <w:rFonts w:ascii="Arial" w:eastAsia="SimSun" w:hAnsi="Arial" w:cs="Arial"/>
                <w:b/>
                <w:bCs/>
                <w:sz w:val="24"/>
                <w:szCs w:val="24"/>
                <w:lang w:val="en-GB"/>
              </w:rPr>
            </w:pPr>
            <w:r w:rsidRPr="004B269B">
              <w:rPr>
                <w:rFonts w:ascii="Arial" w:eastAsia="SimSun" w:hAnsi="Arial" w:cs="Arial"/>
                <w:b/>
                <w:bCs/>
                <w:sz w:val="24"/>
                <w:szCs w:val="24"/>
                <w:lang w:val="en-GB"/>
              </w:rPr>
              <w:t>Corpuri puternic modificate</w:t>
            </w:r>
          </w:p>
        </w:tc>
      </w:tr>
      <w:tr w:rsidR="004B269B" w:rsidRPr="004B269B" w:rsidTr="00080B9C">
        <w:tc>
          <w:tcPr>
            <w:tcW w:w="915" w:type="dxa"/>
          </w:tcPr>
          <w:p w:rsidR="004B269B" w:rsidRPr="004B269B" w:rsidRDefault="004B269B" w:rsidP="004B269B">
            <w:pPr>
              <w:spacing w:after="0" w:line="240" w:lineRule="auto"/>
              <w:jc w:val="both"/>
              <w:rPr>
                <w:rFonts w:ascii="Arial" w:eastAsia="SimSun" w:hAnsi="Arial" w:cs="Arial"/>
                <w:bCs/>
                <w:sz w:val="24"/>
                <w:szCs w:val="24"/>
                <w:lang w:val="en-GB"/>
              </w:rPr>
            </w:pPr>
            <w:r w:rsidRPr="004B269B">
              <w:rPr>
                <w:rFonts w:ascii="Arial" w:eastAsia="SimSun" w:hAnsi="Arial" w:cs="Arial"/>
                <w:bCs/>
                <w:sz w:val="24"/>
                <w:szCs w:val="24"/>
                <w:lang w:val="en-GB"/>
              </w:rPr>
              <w:t>2006</w:t>
            </w:r>
          </w:p>
        </w:tc>
        <w:tc>
          <w:tcPr>
            <w:tcW w:w="3446" w:type="dxa"/>
          </w:tcPr>
          <w:p w:rsidR="004B269B" w:rsidRPr="004B269B" w:rsidRDefault="004B269B" w:rsidP="004B269B">
            <w:pPr>
              <w:spacing w:after="0" w:line="240" w:lineRule="auto"/>
              <w:jc w:val="center"/>
              <w:rPr>
                <w:rFonts w:ascii="Arial" w:eastAsia="SimSun" w:hAnsi="Arial" w:cs="Arial"/>
                <w:bCs/>
                <w:sz w:val="24"/>
                <w:szCs w:val="24"/>
                <w:lang w:val="en-GB"/>
              </w:rPr>
            </w:pPr>
            <w:r w:rsidRPr="004B269B">
              <w:rPr>
                <w:rFonts w:ascii="Arial" w:eastAsia="SimSun" w:hAnsi="Arial" w:cs="Arial"/>
                <w:bCs/>
                <w:sz w:val="24"/>
                <w:szCs w:val="24"/>
                <w:lang w:val="en-GB"/>
              </w:rPr>
              <w:t>75</w:t>
            </w:r>
          </w:p>
        </w:tc>
        <w:tc>
          <w:tcPr>
            <w:tcW w:w="2268" w:type="dxa"/>
          </w:tcPr>
          <w:p w:rsidR="004B269B" w:rsidRPr="004B269B" w:rsidRDefault="004B269B" w:rsidP="004B269B">
            <w:pPr>
              <w:spacing w:after="0" w:line="240" w:lineRule="auto"/>
              <w:jc w:val="center"/>
              <w:rPr>
                <w:rFonts w:ascii="Arial" w:eastAsia="SimSun" w:hAnsi="Arial" w:cs="Arial"/>
                <w:bCs/>
                <w:sz w:val="24"/>
                <w:szCs w:val="24"/>
                <w:lang w:val="en-GB"/>
              </w:rPr>
            </w:pPr>
            <w:r w:rsidRPr="004B269B">
              <w:rPr>
                <w:rFonts w:ascii="Arial" w:eastAsia="SimSun" w:hAnsi="Arial" w:cs="Arial"/>
                <w:bCs/>
                <w:sz w:val="24"/>
                <w:szCs w:val="24"/>
                <w:lang w:val="en-GB"/>
              </w:rPr>
              <w:t>0</w:t>
            </w:r>
          </w:p>
        </w:tc>
        <w:tc>
          <w:tcPr>
            <w:tcW w:w="2941" w:type="dxa"/>
          </w:tcPr>
          <w:p w:rsidR="004B269B" w:rsidRPr="004B269B" w:rsidRDefault="004B269B" w:rsidP="004B269B">
            <w:pPr>
              <w:spacing w:after="0" w:line="240" w:lineRule="auto"/>
              <w:jc w:val="center"/>
              <w:rPr>
                <w:rFonts w:ascii="Arial" w:eastAsia="SimSun" w:hAnsi="Arial" w:cs="Arial"/>
                <w:bCs/>
                <w:sz w:val="24"/>
                <w:szCs w:val="24"/>
                <w:lang w:val="en-GB"/>
              </w:rPr>
            </w:pPr>
            <w:r w:rsidRPr="004B269B">
              <w:rPr>
                <w:rFonts w:ascii="Arial" w:eastAsia="SimSun" w:hAnsi="Arial" w:cs="Arial"/>
                <w:bCs/>
                <w:sz w:val="24"/>
                <w:szCs w:val="24"/>
                <w:lang w:val="en-GB"/>
              </w:rPr>
              <w:t>34</w:t>
            </w:r>
          </w:p>
        </w:tc>
      </w:tr>
      <w:tr w:rsidR="004B269B" w:rsidRPr="004B269B" w:rsidTr="00080B9C">
        <w:tc>
          <w:tcPr>
            <w:tcW w:w="915" w:type="dxa"/>
          </w:tcPr>
          <w:p w:rsidR="004B269B" w:rsidRPr="004B269B" w:rsidRDefault="004B269B" w:rsidP="004B269B">
            <w:pPr>
              <w:spacing w:after="0" w:line="240" w:lineRule="auto"/>
              <w:jc w:val="both"/>
              <w:rPr>
                <w:rFonts w:ascii="Arial" w:eastAsia="SimSun" w:hAnsi="Arial" w:cs="Arial"/>
                <w:bCs/>
                <w:sz w:val="24"/>
                <w:szCs w:val="24"/>
                <w:lang w:val="en-GB"/>
              </w:rPr>
            </w:pPr>
            <w:r w:rsidRPr="004B269B">
              <w:rPr>
                <w:rFonts w:ascii="Arial" w:eastAsia="SimSun" w:hAnsi="Arial" w:cs="Arial"/>
                <w:bCs/>
                <w:sz w:val="24"/>
                <w:szCs w:val="24"/>
                <w:lang w:val="en-GB"/>
              </w:rPr>
              <w:t>2007</w:t>
            </w:r>
          </w:p>
        </w:tc>
        <w:tc>
          <w:tcPr>
            <w:tcW w:w="3446" w:type="dxa"/>
          </w:tcPr>
          <w:p w:rsidR="004B269B" w:rsidRPr="004B269B" w:rsidRDefault="004B269B" w:rsidP="004B269B">
            <w:pPr>
              <w:spacing w:after="0" w:line="240" w:lineRule="auto"/>
              <w:jc w:val="center"/>
              <w:rPr>
                <w:rFonts w:ascii="Arial" w:eastAsia="SimSun" w:hAnsi="Arial" w:cs="Arial"/>
                <w:bCs/>
                <w:sz w:val="24"/>
                <w:szCs w:val="24"/>
                <w:lang w:val="en-GB"/>
              </w:rPr>
            </w:pPr>
            <w:r w:rsidRPr="004B269B">
              <w:rPr>
                <w:rFonts w:ascii="Arial" w:eastAsia="SimSun" w:hAnsi="Arial" w:cs="Arial"/>
                <w:bCs/>
                <w:sz w:val="24"/>
                <w:szCs w:val="24"/>
                <w:lang w:val="en-GB"/>
              </w:rPr>
              <w:t>75</w:t>
            </w:r>
          </w:p>
        </w:tc>
        <w:tc>
          <w:tcPr>
            <w:tcW w:w="2268" w:type="dxa"/>
          </w:tcPr>
          <w:p w:rsidR="004B269B" w:rsidRPr="004B269B" w:rsidRDefault="004B269B" w:rsidP="004B269B">
            <w:pPr>
              <w:spacing w:after="0" w:line="240" w:lineRule="auto"/>
              <w:jc w:val="center"/>
              <w:rPr>
                <w:rFonts w:ascii="Arial" w:eastAsia="SimSun" w:hAnsi="Arial" w:cs="Arial"/>
                <w:bCs/>
                <w:sz w:val="24"/>
                <w:szCs w:val="24"/>
                <w:lang w:val="en-GB"/>
              </w:rPr>
            </w:pPr>
            <w:r w:rsidRPr="004B269B">
              <w:rPr>
                <w:rFonts w:ascii="Arial" w:eastAsia="SimSun" w:hAnsi="Arial" w:cs="Arial"/>
                <w:bCs/>
                <w:sz w:val="24"/>
                <w:szCs w:val="24"/>
                <w:lang w:val="en-GB"/>
              </w:rPr>
              <w:t>0</w:t>
            </w:r>
          </w:p>
        </w:tc>
        <w:tc>
          <w:tcPr>
            <w:tcW w:w="2941" w:type="dxa"/>
          </w:tcPr>
          <w:p w:rsidR="004B269B" w:rsidRPr="004B269B" w:rsidRDefault="004B269B" w:rsidP="004B269B">
            <w:pPr>
              <w:spacing w:after="0" w:line="240" w:lineRule="auto"/>
              <w:jc w:val="center"/>
              <w:rPr>
                <w:rFonts w:ascii="Arial" w:eastAsia="SimSun" w:hAnsi="Arial" w:cs="Arial"/>
                <w:bCs/>
                <w:sz w:val="24"/>
                <w:szCs w:val="24"/>
                <w:lang w:val="en-GB"/>
              </w:rPr>
            </w:pPr>
            <w:r w:rsidRPr="004B269B">
              <w:rPr>
                <w:rFonts w:ascii="Arial" w:eastAsia="SimSun" w:hAnsi="Arial" w:cs="Arial"/>
                <w:bCs/>
                <w:sz w:val="24"/>
                <w:szCs w:val="24"/>
                <w:lang w:val="en-GB"/>
              </w:rPr>
              <w:t>34</w:t>
            </w:r>
          </w:p>
        </w:tc>
      </w:tr>
      <w:tr w:rsidR="004B269B" w:rsidRPr="004B269B" w:rsidTr="00080B9C">
        <w:tc>
          <w:tcPr>
            <w:tcW w:w="915" w:type="dxa"/>
          </w:tcPr>
          <w:p w:rsidR="004B269B" w:rsidRPr="004B269B" w:rsidRDefault="004B269B" w:rsidP="004B269B">
            <w:pPr>
              <w:spacing w:after="0" w:line="240" w:lineRule="auto"/>
              <w:jc w:val="both"/>
              <w:rPr>
                <w:rFonts w:ascii="Arial" w:eastAsia="SimSun" w:hAnsi="Arial" w:cs="Arial"/>
                <w:bCs/>
                <w:sz w:val="24"/>
                <w:szCs w:val="24"/>
                <w:lang w:val="en-GB"/>
              </w:rPr>
            </w:pPr>
            <w:r w:rsidRPr="004B269B">
              <w:rPr>
                <w:rFonts w:ascii="Arial" w:eastAsia="SimSun" w:hAnsi="Arial" w:cs="Arial"/>
                <w:bCs/>
                <w:sz w:val="24"/>
                <w:szCs w:val="24"/>
                <w:lang w:val="en-GB"/>
              </w:rPr>
              <w:t>2008</w:t>
            </w:r>
          </w:p>
        </w:tc>
        <w:tc>
          <w:tcPr>
            <w:tcW w:w="3446" w:type="dxa"/>
          </w:tcPr>
          <w:p w:rsidR="004B269B" w:rsidRPr="004B269B" w:rsidRDefault="004B269B" w:rsidP="004B269B">
            <w:pPr>
              <w:spacing w:after="0" w:line="240" w:lineRule="auto"/>
              <w:jc w:val="center"/>
              <w:rPr>
                <w:rFonts w:ascii="Arial" w:eastAsia="SimSun" w:hAnsi="Arial" w:cs="Arial"/>
                <w:bCs/>
                <w:sz w:val="24"/>
                <w:szCs w:val="24"/>
                <w:lang w:val="en-GB"/>
              </w:rPr>
            </w:pPr>
            <w:r w:rsidRPr="004B269B">
              <w:rPr>
                <w:rFonts w:ascii="Arial" w:eastAsia="SimSun" w:hAnsi="Arial" w:cs="Arial"/>
                <w:bCs/>
                <w:sz w:val="24"/>
                <w:szCs w:val="24"/>
                <w:lang w:val="en-GB"/>
              </w:rPr>
              <w:t>87</w:t>
            </w:r>
          </w:p>
        </w:tc>
        <w:tc>
          <w:tcPr>
            <w:tcW w:w="2268" w:type="dxa"/>
          </w:tcPr>
          <w:p w:rsidR="004B269B" w:rsidRPr="004B269B" w:rsidRDefault="004B269B" w:rsidP="004B269B">
            <w:pPr>
              <w:spacing w:after="0" w:line="240" w:lineRule="auto"/>
              <w:jc w:val="center"/>
              <w:rPr>
                <w:rFonts w:ascii="Arial" w:eastAsia="SimSun" w:hAnsi="Arial" w:cs="Arial"/>
                <w:bCs/>
                <w:sz w:val="24"/>
                <w:szCs w:val="24"/>
                <w:lang w:val="en-GB"/>
              </w:rPr>
            </w:pPr>
            <w:r w:rsidRPr="004B269B">
              <w:rPr>
                <w:rFonts w:ascii="Arial" w:eastAsia="SimSun" w:hAnsi="Arial" w:cs="Arial"/>
                <w:bCs/>
                <w:sz w:val="24"/>
                <w:szCs w:val="24"/>
                <w:lang w:val="en-GB"/>
              </w:rPr>
              <w:t>0</w:t>
            </w:r>
          </w:p>
        </w:tc>
        <w:tc>
          <w:tcPr>
            <w:tcW w:w="2941" w:type="dxa"/>
          </w:tcPr>
          <w:p w:rsidR="004B269B" w:rsidRPr="004B269B" w:rsidRDefault="004B269B" w:rsidP="004B269B">
            <w:pPr>
              <w:spacing w:after="0" w:line="240" w:lineRule="auto"/>
              <w:jc w:val="center"/>
              <w:rPr>
                <w:rFonts w:ascii="Arial" w:eastAsia="SimSun" w:hAnsi="Arial" w:cs="Arial"/>
                <w:bCs/>
                <w:sz w:val="24"/>
                <w:szCs w:val="24"/>
                <w:lang w:val="en-GB"/>
              </w:rPr>
            </w:pPr>
            <w:r w:rsidRPr="004B269B">
              <w:rPr>
                <w:rFonts w:ascii="Arial" w:eastAsia="SimSun" w:hAnsi="Arial" w:cs="Arial"/>
                <w:bCs/>
                <w:sz w:val="24"/>
                <w:szCs w:val="24"/>
                <w:lang w:val="en-GB"/>
              </w:rPr>
              <w:t>25</w:t>
            </w:r>
          </w:p>
        </w:tc>
      </w:tr>
      <w:tr w:rsidR="004B269B" w:rsidRPr="004B269B" w:rsidTr="00080B9C">
        <w:tc>
          <w:tcPr>
            <w:tcW w:w="915" w:type="dxa"/>
          </w:tcPr>
          <w:p w:rsidR="004B269B" w:rsidRPr="004B269B" w:rsidRDefault="004B269B" w:rsidP="004B269B">
            <w:pPr>
              <w:spacing w:after="0" w:line="240" w:lineRule="auto"/>
              <w:jc w:val="both"/>
              <w:rPr>
                <w:rFonts w:ascii="Arial" w:eastAsia="SimSun" w:hAnsi="Arial" w:cs="Arial"/>
                <w:bCs/>
                <w:sz w:val="24"/>
                <w:szCs w:val="24"/>
                <w:lang w:val="en-GB"/>
              </w:rPr>
            </w:pPr>
            <w:r w:rsidRPr="004B269B">
              <w:rPr>
                <w:rFonts w:ascii="Arial" w:eastAsia="SimSun" w:hAnsi="Arial" w:cs="Arial"/>
                <w:bCs/>
                <w:sz w:val="24"/>
                <w:szCs w:val="24"/>
                <w:lang w:val="en-GB"/>
              </w:rPr>
              <w:t>2009</w:t>
            </w:r>
          </w:p>
        </w:tc>
        <w:tc>
          <w:tcPr>
            <w:tcW w:w="3446" w:type="dxa"/>
          </w:tcPr>
          <w:p w:rsidR="004B269B" w:rsidRPr="004B269B" w:rsidRDefault="004B269B" w:rsidP="004B269B">
            <w:pPr>
              <w:spacing w:after="0" w:line="240" w:lineRule="auto"/>
              <w:jc w:val="center"/>
              <w:rPr>
                <w:rFonts w:ascii="Arial" w:eastAsia="SimSun" w:hAnsi="Arial" w:cs="Arial"/>
                <w:bCs/>
                <w:sz w:val="24"/>
                <w:szCs w:val="24"/>
                <w:lang w:val="en-GB"/>
              </w:rPr>
            </w:pPr>
            <w:r w:rsidRPr="004B269B">
              <w:rPr>
                <w:rFonts w:ascii="Arial" w:eastAsia="SimSun" w:hAnsi="Arial" w:cs="Arial"/>
                <w:bCs/>
                <w:sz w:val="24"/>
                <w:szCs w:val="24"/>
                <w:lang w:val="en-GB"/>
              </w:rPr>
              <w:t>87</w:t>
            </w:r>
          </w:p>
        </w:tc>
        <w:tc>
          <w:tcPr>
            <w:tcW w:w="2268" w:type="dxa"/>
          </w:tcPr>
          <w:p w:rsidR="004B269B" w:rsidRPr="004B269B" w:rsidRDefault="004B269B" w:rsidP="004B269B">
            <w:pPr>
              <w:spacing w:after="0" w:line="240" w:lineRule="auto"/>
              <w:jc w:val="center"/>
              <w:rPr>
                <w:rFonts w:ascii="Arial" w:eastAsia="SimSun" w:hAnsi="Arial" w:cs="Arial"/>
                <w:bCs/>
                <w:sz w:val="24"/>
                <w:szCs w:val="24"/>
                <w:lang w:val="en-GB"/>
              </w:rPr>
            </w:pPr>
            <w:r w:rsidRPr="004B269B">
              <w:rPr>
                <w:rFonts w:ascii="Arial" w:eastAsia="SimSun" w:hAnsi="Arial" w:cs="Arial"/>
                <w:bCs/>
                <w:sz w:val="24"/>
                <w:szCs w:val="24"/>
                <w:lang w:val="en-GB"/>
              </w:rPr>
              <w:t>0</w:t>
            </w:r>
          </w:p>
        </w:tc>
        <w:tc>
          <w:tcPr>
            <w:tcW w:w="2941" w:type="dxa"/>
          </w:tcPr>
          <w:p w:rsidR="004B269B" w:rsidRPr="004B269B" w:rsidRDefault="004B269B" w:rsidP="004B269B">
            <w:pPr>
              <w:spacing w:after="0" w:line="240" w:lineRule="auto"/>
              <w:jc w:val="center"/>
              <w:rPr>
                <w:rFonts w:ascii="Arial" w:eastAsia="SimSun" w:hAnsi="Arial" w:cs="Arial"/>
                <w:bCs/>
                <w:sz w:val="24"/>
                <w:szCs w:val="24"/>
                <w:lang w:val="en-GB"/>
              </w:rPr>
            </w:pPr>
            <w:r w:rsidRPr="004B269B">
              <w:rPr>
                <w:rFonts w:ascii="Arial" w:eastAsia="SimSun" w:hAnsi="Arial" w:cs="Arial"/>
                <w:bCs/>
                <w:sz w:val="24"/>
                <w:szCs w:val="24"/>
                <w:lang w:val="en-GB"/>
              </w:rPr>
              <w:t>25</w:t>
            </w:r>
          </w:p>
        </w:tc>
      </w:tr>
      <w:tr w:rsidR="004B269B" w:rsidRPr="004B269B" w:rsidTr="00080B9C">
        <w:tc>
          <w:tcPr>
            <w:tcW w:w="915" w:type="dxa"/>
          </w:tcPr>
          <w:p w:rsidR="004B269B" w:rsidRPr="004B269B" w:rsidRDefault="004B269B" w:rsidP="004B269B">
            <w:pPr>
              <w:spacing w:after="0" w:line="240" w:lineRule="auto"/>
              <w:jc w:val="both"/>
              <w:rPr>
                <w:rFonts w:ascii="Arial" w:eastAsia="SimSun" w:hAnsi="Arial" w:cs="Arial"/>
                <w:bCs/>
                <w:sz w:val="24"/>
                <w:szCs w:val="24"/>
                <w:lang w:val="en-GB"/>
              </w:rPr>
            </w:pPr>
            <w:r w:rsidRPr="004B269B">
              <w:rPr>
                <w:rFonts w:ascii="Arial" w:eastAsia="SimSun" w:hAnsi="Arial" w:cs="Arial"/>
                <w:bCs/>
                <w:sz w:val="24"/>
                <w:szCs w:val="24"/>
                <w:lang w:val="en-GB"/>
              </w:rPr>
              <w:t>2010</w:t>
            </w:r>
          </w:p>
        </w:tc>
        <w:tc>
          <w:tcPr>
            <w:tcW w:w="3446" w:type="dxa"/>
          </w:tcPr>
          <w:p w:rsidR="004B269B" w:rsidRPr="004B269B" w:rsidRDefault="004B269B" w:rsidP="004B269B">
            <w:pPr>
              <w:spacing w:after="0" w:line="240" w:lineRule="auto"/>
              <w:jc w:val="center"/>
              <w:rPr>
                <w:rFonts w:ascii="Arial" w:eastAsia="SimSun" w:hAnsi="Arial" w:cs="Arial"/>
                <w:bCs/>
                <w:sz w:val="24"/>
                <w:szCs w:val="24"/>
                <w:lang w:val="en-GB"/>
              </w:rPr>
            </w:pPr>
            <w:r w:rsidRPr="004B269B">
              <w:rPr>
                <w:rFonts w:ascii="Arial" w:eastAsia="SimSun" w:hAnsi="Arial" w:cs="Arial"/>
                <w:bCs/>
                <w:sz w:val="24"/>
                <w:szCs w:val="24"/>
                <w:lang w:val="en-GB"/>
              </w:rPr>
              <w:t>87</w:t>
            </w:r>
          </w:p>
        </w:tc>
        <w:tc>
          <w:tcPr>
            <w:tcW w:w="2268" w:type="dxa"/>
          </w:tcPr>
          <w:p w:rsidR="004B269B" w:rsidRPr="004B269B" w:rsidRDefault="004B269B" w:rsidP="004B269B">
            <w:pPr>
              <w:spacing w:after="0" w:line="240" w:lineRule="auto"/>
              <w:jc w:val="center"/>
              <w:rPr>
                <w:rFonts w:ascii="Arial" w:eastAsia="SimSun" w:hAnsi="Arial" w:cs="Arial"/>
                <w:bCs/>
                <w:sz w:val="24"/>
                <w:szCs w:val="24"/>
                <w:lang w:val="en-GB"/>
              </w:rPr>
            </w:pPr>
            <w:r w:rsidRPr="004B269B">
              <w:rPr>
                <w:rFonts w:ascii="Arial" w:eastAsia="SimSun" w:hAnsi="Arial" w:cs="Arial"/>
                <w:bCs/>
                <w:sz w:val="24"/>
                <w:szCs w:val="24"/>
                <w:lang w:val="en-GB"/>
              </w:rPr>
              <w:t>0</w:t>
            </w:r>
          </w:p>
        </w:tc>
        <w:tc>
          <w:tcPr>
            <w:tcW w:w="2941" w:type="dxa"/>
          </w:tcPr>
          <w:p w:rsidR="004B269B" w:rsidRPr="004B269B" w:rsidRDefault="004B269B" w:rsidP="004B269B">
            <w:pPr>
              <w:spacing w:after="0" w:line="240" w:lineRule="auto"/>
              <w:jc w:val="center"/>
              <w:rPr>
                <w:rFonts w:ascii="Arial" w:eastAsia="SimSun" w:hAnsi="Arial" w:cs="Arial"/>
                <w:bCs/>
                <w:sz w:val="24"/>
                <w:szCs w:val="24"/>
                <w:lang w:val="en-GB"/>
              </w:rPr>
            </w:pPr>
            <w:r w:rsidRPr="004B269B">
              <w:rPr>
                <w:rFonts w:ascii="Arial" w:eastAsia="SimSun" w:hAnsi="Arial" w:cs="Arial"/>
                <w:bCs/>
                <w:sz w:val="24"/>
                <w:szCs w:val="24"/>
                <w:lang w:val="en-GB"/>
              </w:rPr>
              <w:t>25</w:t>
            </w:r>
          </w:p>
        </w:tc>
      </w:tr>
      <w:tr w:rsidR="004B269B" w:rsidRPr="004B269B" w:rsidTr="00080B9C">
        <w:tc>
          <w:tcPr>
            <w:tcW w:w="915" w:type="dxa"/>
          </w:tcPr>
          <w:p w:rsidR="004B269B" w:rsidRPr="004B269B" w:rsidRDefault="004B269B" w:rsidP="004B269B">
            <w:pPr>
              <w:spacing w:after="0" w:line="240" w:lineRule="auto"/>
              <w:jc w:val="both"/>
              <w:rPr>
                <w:rFonts w:ascii="Arial" w:eastAsia="SimSun" w:hAnsi="Arial" w:cs="Arial"/>
                <w:bCs/>
                <w:sz w:val="24"/>
                <w:szCs w:val="24"/>
                <w:lang w:val="en-GB"/>
              </w:rPr>
            </w:pPr>
            <w:r w:rsidRPr="004B269B">
              <w:rPr>
                <w:rFonts w:ascii="Arial" w:eastAsia="SimSun" w:hAnsi="Arial" w:cs="Arial"/>
                <w:bCs/>
                <w:sz w:val="24"/>
                <w:szCs w:val="24"/>
                <w:lang w:val="en-GB"/>
              </w:rPr>
              <w:t>2011</w:t>
            </w:r>
          </w:p>
        </w:tc>
        <w:tc>
          <w:tcPr>
            <w:tcW w:w="3446" w:type="dxa"/>
          </w:tcPr>
          <w:p w:rsidR="004B269B" w:rsidRPr="004B269B" w:rsidRDefault="004B269B" w:rsidP="004B269B">
            <w:pPr>
              <w:spacing w:after="0" w:line="240" w:lineRule="auto"/>
              <w:jc w:val="center"/>
              <w:rPr>
                <w:rFonts w:ascii="Arial" w:eastAsia="SimSun" w:hAnsi="Arial" w:cs="Arial"/>
                <w:bCs/>
                <w:sz w:val="24"/>
                <w:szCs w:val="24"/>
                <w:lang w:val="en-GB"/>
              </w:rPr>
            </w:pPr>
            <w:r w:rsidRPr="004B269B">
              <w:rPr>
                <w:rFonts w:ascii="Arial" w:eastAsia="SimSun" w:hAnsi="Arial" w:cs="Arial"/>
                <w:bCs/>
                <w:sz w:val="24"/>
                <w:szCs w:val="24"/>
                <w:lang w:val="en-GB"/>
              </w:rPr>
              <w:t>87</w:t>
            </w:r>
          </w:p>
        </w:tc>
        <w:tc>
          <w:tcPr>
            <w:tcW w:w="2268" w:type="dxa"/>
          </w:tcPr>
          <w:p w:rsidR="004B269B" w:rsidRPr="004B269B" w:rsidRDefault="004B269B" w:rsidP="004B269B">
            <w:pPr>
              <w:spacing w:after="0" w:line="240" w:lineRule="auto"/>
              <w:jc w:val="center"/>
              <w:rPr>
                <w:rFonts w:ascii="Arial" w:eastAsia="SimSun" w:hAnsi="Arial" w:cs="Arial"/>
                <w:bCs/>
                <w:sz w:val="24"/>
                <w:szCs w:val="24"/>
                <w:lang w:val="en-GB"/>
              </w:rPr>
            </w:pPr>
            <w:r w:rsidRPr="004B269B">
              <w:rPr>
                <w:rFonts w:ascii="Arial" w:eastAsia="SimSun" w:hAnsi="Arial" w:cs="Arial"/>
                <w:bCs/>
                <w:sz w:val="24"/>
                <w:szCs w:val="24"/>
                <w:lang w:val="en-GB"/>
              </w:rPr>
              <w:t>0</w:t>
            </w:r>
          </w:p>
        </w:tc>
        <w:tc>
          <w:tcPr>
            <w:tcW w:w="2941" w:type="dxa"/>
          </w:tcPr>
          <w:p w:rsidR="004B269B" w:rsidRPr="004B269B" w:rsidRDefault="004B269B" w:rsidP="004B269B">
            <w:pPr>
              <w:spacing w:after="0" w:line="240" w:lineRule="auto"/>
              <w:jc w:val="center"/>
              <w:rPr>
                <w:rFonts w:ascii="Arial" w:eastAsia="SimSun" w:hAnsi="Arial" w:cs="Arial"/>
                <w:bCs/>
                <w:sz w:val="24"/>
                <w:szCs w:val="24"/>
                <w:lang w:val="en-GB"/>
              </w:rPr>
            </w:pPr>
            <w:r w:rsidRPr="004B269B">
              <w:rPr>
                <w:rFonts w:ascii="Arial" w:eastAsia="SimSun" w:hAnsi="Arial" w:cs="Arial"/>
                <w:bCs/>
                <w:sz w:val="24"/>
                <w:szCs w:val="24"/>
                <w:lang w:val="en-GB"/>
              </w:rPr>
              <w:t>25</w:t>
            </w:r>
          </w:p>
        </w:tc>
      </w:tr>
      <w:tr w:rsidR="004B269B" w:rsidRPr="004B269B" w:rsidTr="00080B9C">
        <w:tc>
          <w:tcPr>
            <w:tcW w:w="915" w:type="dxa"/>
          </w:tcPr>
          <w:p w:rsidR="004B269B" w:rsidRPr="004B269B" w:rsidRDefault="004B269B" w:rsidP="004B269B">
            <w:pPr>
              <w:spacing w:after="0" w:line="240" w:lineRule="auto"/>
              <w:jc w:val="both"/>
              <w:rPr>
                <w:rFonts w:ascii="Arial" w:eastAsia="SimSun" w:hAnsi="Arial" w:cs="Arial"/>
                <w:bCs/>
                <w:sz w:val="24"/>
                <w:szCs w:val="24"/>
                <w:lang w:val="en-GB"/>
              </w:rPr>
            </w:pPr>
            <w:r w:rsidRPr="004B269B">
              <w:rPr>
                <w:rFonts w:ascii="Arial" w:eastAsia="SimSun" w:hAnsi="Arial" w:cs="Arial"/>
                <w:bCs/>
                <w:sz w:val="24"/>
                <w:szCs w:val="24"/>
                <w:lang w:val="en-GB"/>
              </w:rPr>
              <w:t>2012</w:t>
            </w:r>
          </w:p>
        </w:tc>
        <w:tc>
          <w:tcPr>
            <w:tcW w:w="3446" w:type="dxa"/>
          </w:tcPr>
          <w:p w:rsidR="004B269B" w:rsidRPr="004B269B" w:rsidRDefault="004B269B" w:rsidP="004B269B">
            <w:pPr>
              <w:spacing w:after="0" w:line="240" w:lineRule="auto"/>
              <w:jc w:val="center"/>
              <w:rPr>
                <w:rFonts w:ascii="Arial" w:eastAsia="SimSun" w:hAnsi="Arial" w:cs="Arial"/>
                <w:bCs/>
                <w:sz w:val="24"/>
                <w:szCs w:val="24"/>
                <w:lang w:val="en-GB"/>
              </w:rPr>
            </w:pPr>
            <w:r w:rsidRPr="004B269B">
              <w:rPr>
                <w:rFonts w:ascii="Arial" w:eastAsia="SimSun" w:hAnsi="Arial" w:cs="Arial"/>
                <w:bCs/>
                <w:sz w:val="24"/>
                <w:szCs w:val="24"/>
                <w:lang w:val="en-GB"/>
              </w:rPr>
              <w:t>87</w:t>
            </w:r>
          </w:p>
        </w:tc>
        <w:tc>
          <w:tcPr>
            <w:tcW w:w="2268" w:type="dxa"/>
          </w:tcPr>
          <w:p w:rsidR="004B269B" w:rsidRPr="004B269B" w:rsidRDefault="004B269B" w:rsidP="004B269B">
            <w:pPr>
              <w:spacing w:after="0" w:line="240" w:lineRule="auto"/>
              <w:jc w:val="center"/>
              <w:rPr>
                <w:rFonts w:ascii="Arial" w:eastAsia="SimSun" w:hAnsi="Arial" w:cs="Arial"/>
                <w:bCs/>
                <w:sz w:val="24"/>
                <w:szCs w:val="24"/>
                <w:lang w:val="en-GB"/>
              </w:rPr>
            </w:pPr>
            <w:r w:rsidRPr="004B269B">
              <w:rPr>
                <w:rFonts w:ascii="Arial" w:eastAsia="SimSun" w:hAnsi="Arial" w:cs="Arial"/>
                <w:bCs/>
                <w:sz w:val="24"/>
                <w:szCs w:val="24"/>
                <w:lang w:val="en-GB"/>
              </w:rPr>
              <w:t>0</w:t>
            </w:r>
          </w:p>
        </w:tc>
        <w:tc>
          <w:tcPr>
            <w:tcW w:w="2941" w:type="dxa"/>
          </w:tcPr>
          <w:p w:rsidR="004B269B" w:rsidRPr="004B269B" w:rsidRDefault="004B269B" w:rsidP="004B269B">
            <w:pPr>
              <w:spacing w:after="0" w:line="240" w:lineRule="auto"/>
              <w:jc w:val="center"/>
              <w:rPr>
                <w:rFonts w:ascii="Arial" w:eastAsia="SimSun" w:hAnsi="Arial" w:cs="Arial"/>
                <w:bCs/>
                <w:sz w:val="24"/>
                <w:szCs w:val="24"/>
                <w:lang w:val="en-GB"/>
              </w:rPr>
            </w:pPr>
            <w:r w:rsidRPr="004B269B">
              <w:rPr>
                <w:rFonts w:ascii="Arial" w:eastAsia="SimSun" w:hAnsi="Arial" w:cs="Arial"/>
                <w:bCs/>
                <w:sz w:val="24"/>
                <w:szCs w:val="24"/>
                <w:lang w:val="en-GB"/>
              </w:rPr>
              <w:t>25</w:t>
            </w:r>
          </w:p>
        </w:tc>
      </w:tr>
      <w:tr w:rsidR="004B269B" w:rsidRPr="004B269B" w:rsidTr="00080B9C">
        <w:tc>
          <w:tcPr>
            <w:tcW w:w="915" w:type="dxa"/>
          </w:tcPr>
          <w:p w:rsidR="004B269B" w:rsidRPr="004B269B" w:rsidRDefault="004B269B" w:rsidP="004B269B">
            <w:pPr>
              <w:spacing w:after="0" w:line="240" w:lineRule="auto"/>
              <w:jc w:val="both"/>
              <w:rPr>
                <w:rFonts w:ascii="Arial" w:eastAsia="SimSun" w:hAnsi="Arial" w:cs="Arial"/>
                <w:bCs/>
                <w:sz w:val="24"/>
                <w:szCs w:val="24"/>
                <w:lang w:val="en-GB"/>
              </w:rPr>
            </w:pPr>
            <w:r w:rsidRPr="004B269B">
              <w:rPr>
                <w:rFonts w:ascii="Arial" w:eastAsia="SimSun" w:hAnsi="Arial" w:cs="Arial"/>
                <w:bCs/>
                <w:sz w:val="24"/>
                <w:szCs w:val="24"/>
                <w:lang w:val="en-GB"/>
              </w:rPr>
              <w:lastRenderedPageBreak/>
              <w:t xml:space="preserve">2013 </w:t>
            </w:r>
          </w:p>
        </w:tc>
        <w:tc>
          <w:tcPr>
            <w:tcW w:w="3446" w:type="dxa"/>
          </w:tcPr>
          <w:p w:rsidR="004B269B" w:rsidRPr="004B269B" w:rsidRDefault="004B269B" w:rsidP="004B269B">
            <w:pPr>
              <w:spacing w:after="0" w:line="240" w:lineRule="auto"/>
              <w:jc w:val="center"/>
              <w:rPr>
                <w:rFonts w:ascii="Arial" w:eastAsia="SimSun" w:hAnsi="Arial" w:cs="Arial"/>
                <w:bCs/>
                <w:sz w:val="24"/>
                <w:szCs w:val="24"/>
                <w:lang w:val="en-GB"/>
              </w:rPr>
            </w:pPr>
            <w:r w:rsidRPr="004B269B">
              <w:rPr>
                <w:rFonts w:ascii="Arial" w:eastAsia="SimSun" w:hAnsi="Arial" w:cs="Arial"/>
                <w:bCs/>
                <w:sz w:val="24"/>
                <w:szCs w:val="24"/>
                <w:lang w:val="en-GB"/>
              </w:rPr>
              <w:t>79</w:t>
            </w:r>
          </w:p>
        </w:tc>
        <w:tc>
          <w:tcPr>
            <w:tcW w:w="2268" w:type="dxa"/>
          </w:tcPr>
          <w:p w:rsidR="004B269B" w:rsidRPr="004B269B" w:rsidRDefault="004B269B" w:rsidP="004B269B">
            <w:pPr>
              <w:spacing w:after="0" w:line="240" w:lineRule="auto"/>
              <w:jc w:val="center"/>
              <w:rPr>
                <w:rFonts w:ascii="Arial" w:eastAsia="SimSun" w:hAnsi="Arial" w:cs="Arial"/>
                <w:bCs/>
                <w:sz w:val="24"/>
                <w:szCs w:val="24"/>
                <w:lang w:val="en-GB"/>
              </w:rPr>
            </w:pPr>
            <w:r w:rsidRPr="004B269B">
              <w:rPr>
                <w:rFonts w:ascii="Arial" w:eastAsia="SimSun" w:hAnsi="Arial" w:cs="Arial"/>
                <w:bCs/>
                <w:sz w:val="24"/>
                <w:szCs w:val="24"/>
                <w:lang w:val="en-GB"/>
              </w:rPr>
              <w:t>0</w:t>
            </w:r>
          </w:p>
        </w:tc>
        <w:tc>
          <w:tcPr>
            <w:tcW w:w="2941" w:type="dxa"/>
          </w:tcPr>
          <w:p w:rsidR="004B269B" w:rsidRPr="004B269B" w:rsidRDefault="004B269B" w:rsidP="004B269B">
            <w:pPr>
              <w:spacing w:after="0" w:line="240" w:lineRule="auto"/>
              <w:jc w:val="center"/>
              <w:rPr>
                <w:rFonts w:ascii="Arial" w:eastAsia="SimSun" w:hAnsi="Arial" w:cs="Arial"/>
                <w:bCs/>
                <w:sz w:val="24"/>
                <w:szCs w:val="24"/>
                <w:lang w:val="en-GB"/>
              </w:rPr>
            </w:pPr>
            <w:r w:rsidRPr="004B269B">
              <w:rPr>
                <w:rFonts w:ascii="Arial" w:eastAsia="SimSun" w:hAnsi="Arial" w:cs="Arial"/>
                <w:bCs/>
                <w:sz w:val="24"/>
                <w:szCs w:val="24"/>
                <w:lang w:val="en-GB"/>
              </w:rPr>
              <w:t>23</w:t>
            </w:r>
          </w:p>
        </w:tc>
      </w:tr>
      <w:tr w:rsidR="004B269B" w:rsidRPr="004B269B" w:rsidTr="00080B9C">
        <w:trPr>
          <w:trHeight w:val="70"/>
        </w:trPr>
        <w:tc>
          <w:tcPr>
            <w:tcW w:w="915" w:type="dxa"/>
          </w:tcPr>
          <w:p w:rsidR="004B269B" w:rsidRPr="004B269B" w:rsidRDefault="004B269B" w:rsidP="004B269B">
            <w:pPr>
              <w:spacing w:after="0" w:line="240" w:lineRule="auto"/>
              <w:jc w:val="both"/>
              <w:rPr>
                <w:rFonts w:ascii="Arial" w:eastAsia="SimSun" w:hAnsi="Arial" w:cs="Arial"/>
                <w:bCs/>
                <w:sz w:val="24"/>
                <w:szCs w:val="24"/>
                <w:lang w:val="en-GB"/>
              </w:rPr>
            </w:pPr>
            <w:r w:rsidRPr="004B269B">
              <w:rPr>
                <w:rFonts w:ascii="Arial" w:eastAsia="SimSun" w:hAnsi="Arial" w:cs="Arial"/>
                <w:bCs/>
                <w:sz w:val="24"/>
                <w:szCs w:val="24"/>
                <w:lang w:val="en-GB"/>
              </w:rPr>
              <w:t>2014</w:t>
            </w:r>
          </w:p>
        </w:tc>
        <w:tc>
          <w:tcPr>
            <w:tcW w:w="3446" w:type="dxa"/>
          </w:tcPr>
          <w:p w:rsidR="004B269B" w:rsidRPr="004B269B" w:rsidRDefault="004B269B" w:rsidP="004B269B">
            <w:pPr>
              <w:spacing w:after="0" w:line="240" w:lineRule="auto"/>
              <w:jc w:val="center"/>
              <w:rPr>
                <w:rFonts w:ascii="Arial" w:eastAsia="SimSun" w:hAnsi="Arial" w:cs="Arial"/>
                <w:bCs/>
                <w:sz w:val="24"/>
                <w:szCs w:val="24"/>
                <w:lang w:val="en-GB"/>
              </w:rPr>
            </w:pPr>
            <w:r w:rsidRPr="004B269B">
              <w:rPr>
                <w:rFonts w:ascii="Arial" w:eastAsia="SimSun" w:hAnsi="Arial" w:cs="Arial"/>
                <w:bCs/>
                <w:sz w:val="24"/>
                <w:szCs w:val="24"/>
                <w:lang w:val="en-GB"/>
              </w:rPr>
              <w:t>79</w:t>
            </w:r>
          </w:p>
        </w:tc>
        <w:tc>
          <w:tcPr>
            <w:tcW w:w="2268" w:type="dxa"/>
          </w:tcPr>
          <w:p w:rsidR="004B269B" w:rsidRPr="004B269B" w:rsidRDefault="004B269B" w:rsidP="004B269B">
            <w:pPr>
              <w:spacing w:after="0" w:line="240" w:lineRule="auto"/>
              <w:jc w:val="center"/>
              <w:rPr>
                <w:rFonts w:ascii="Arial" w:eastAsia="SimSun" w:hAnsi="Arial" w:cs="Arial"/>
                <w:bCs/>
                <w:sz w:val="24"/>
                <w:szCs w:val="24"/>
                <w:lang w:val="en-GB"/>
              </w:rPr>
            </w:pPr>
            <w:r w:rsidRPr="004B269B">
              <w:rPr>
                <w:rFonts w:ascii="Arial" w:eastAsia="SimSun" w:hAnsi="Arial" w:cs="Arial"/>
                <w:bCs/>
                <w:sz w:val="24"/>
                <w:szCs w:val="24"/>
                <w:lang w:val="en-GB"/>
              </w:rPr>
              <w:t>0</w:t>
            </w:r>
          </w:p>
        </w:tc>
        <w:tc>
          <w:tcPr>
            <w:tcW w:w="2941" w:type="dxa"/>
          </w:tcPr>
          <w:p w:rsidR="004B269B" w:rsidRPr="004B269B" w:rsidRDefault="004B269B" w:rsidP="004B269B">
            <w:pPr>
              <w:spacing w:after="0" w:line="240" w:lineRule="auto"/>
              <w:jc w:val="center"/>
              <w:rPr>
                <w:rFonts w:ascii="Arial" w:eastAsia="SimSun" w:hAnsi="Arial" w:cs="Arial"/>
                <w:bCs/>
                <w:sz w:val="24"/>
                <w:szCs w:val="24"/>
                <w:lang w:val="en-GB"/>
              </w:rPr>
            </w:pPr>
            <w:r w:rsidRPr="004B269B">
              <w:rPr>
                <w:rFonts w:ascii="Arial" w:eastAsia="SimSun" w:hAnsi="Arial" w:cs="Arial"/>
                <w:bCs/>
                <w:sz w:val="24"/>
                <w:szCs w:val="24"/>
                <w:lang w:val="en-GB"/>
              </w:rPr>
              <w:t>23</w:t>
            </w:r>
          </w:p>
        </w:tc>
      </w:tr>
      <w:tr w:rsidR="004B269B" w:rsidRPr="004B269B" w:rsidTr="00080B9C">
        <w:trPr>
          <w:trHeight w:val="70"/>
        </w:trPr>
        <w:tc>
          <w:tcPr>
            <w:tcW w:w="915" w:type="dxa"/>
          </w:tcPr>
          <w:p w:rsidR="004B269B" w:rsidRPr="004B269B" w:rsidRDefault="004B269B" w:rsidP="004B269B">
            <w:pPr>
              <w:spacing w:after="0" w:line="240" w:lineRule="auto"/>
              <w:jc w:val="both"/>
              <w:rPr>
                <w:rFonts w:ascii="Arial" w:eastAsia="SimSun" w:hAnsi="Arial" w:cs="Arial"/>
                <w:bCs/>
                <w:sz w:val="24"/>
                <w:szCs w:val="24"/>
                <w:lang w:val="en-GB"/>
              </w:rPr>
            </w:pPr>
            <w:r w:rsidRPr="004B269B">
              <w:rPr>
                <w:rFonts w:ascii="Arial" w:eastAsia="SimSun" w:hAnsi="Arial" w:cs="Arial"/>
                <w:bCs/>
                <w:sz w:val="24"/>
                <w:szCs w:val="24"/>
                <w:lang w:val="en-GB"/>
              </w:rPr>
              <w:t>2015</w:t>
            </w:r>
          </w:p>
        </w:tc>
        <w:tc>
          <w:tcPr>
            <w:tcW w:w="3446" w:type="dxa"/>
          </w:tcPr>
          <w:p w:rsidR="004B269B" w:rsidRPr="004B269B" w:rsidRDefault="004B269B" w:rsidP="004B269B">
            <w:pPr>
              <w:spacing w:after="0" w:line="240" w:lineRule="auto"/>
              <w:jc w:val="center"/>
              <w:rPr>
                <w:rFonts w:ascii="Arial" w:eastAsia="SimSun" w:hAnsi="Arial" w:cs="Arial"/>
                <w:bCs/>
                <w:sz w:val="24"/>
                <w:szCs w:val="24"/>
                <w:lang w:val="en-GB"/>
              </w:rPr>
            </w:pPr>
            <w:r w:rsidRPr="004B269B">
              <w:rPr>
                <w:rFonts w:ascii="Arial" w:eastAsia="SimSun" w:hAnsi="Arial" w:cs="Arial"/>
                <w:bCs/>
                <w:sz w:val="24"/>
                <w:szCs w:val="24"/>
                <w:lang w:val="en-GB"/>
              </w:rPr>
              <w:t>-*</w:t>
            </w:r>
          </w:p>
        </w:tc>
        <w:tc>
          <w:tcPr>
            <w:tcW w:w="2268" w:type="dxa"/>
          </w:tcPr>
          <w:p w:rsidR="004B269B" w:rsidRPr="004B269B" w:rsidRDefault="004B269B" w:rsidP="004B269B">
            <w:pPr>
              <w:spacing w:after="0" w:line="240" w:lineRule="auto"/>
              <w:jc w:val="center"/>
              <w:rPr>
                <w:rFonts w:ascii="Arial" w:eastAsia="SimSun" w:hAnsi="Arial" w:cs="Arial"/>
                <w:bCs/>
                <w:sz w:val="24"/>
                <w:szCs w:val="24"/>
                <w:lang w:val="en-GB"/>
              </w:rPr>
            </w:pPr>
            <w:r w:rsidRPr="004B269B">
              <w:rPr>
                <w:rFonts w:ascii="Arial" w:eastAsia="SimSun" w:hAnsi="Arial" w:cs="Arial"/>
                <w:bCs/>
                <w:sz w:val="24"/>
                <w:szCs w:val="24"/>
                <w:lang w:val="en-GB"/>
              </w:rPr>
              <w:t>-*</w:t>
            </w:r>
          </w:p>
        </w:tc>
        <w:tc>
          <w:tcPr>
            <w:tcW w:w="2941" w:type="dxa"/>
          </w:tcPr>
          <w:p w:rsidR="004B269B" w:rsidRPr="004B269B" w:rsidRDefault="004B269B" w:rsidP="004B269B">
            <w:pPr>
              <w:spacing w:after="0" w:line="240" w:lineRule="auto"/>
              <w:jc w:val="center"/>
              <w:rPr>
                <w:rFonts w:ascii="Arial" w:eastAsia="SimSun" w:hAnsi="Arial" w:cs="Arial"/>
                <w:bCs/>
                <w:sz w:val="24"/>
                <w:szCs w:val="24"/>
                <w:lang w:val="en-GB"/>
              </w:rPr>
            </w:pPr>
            <w:r w:rsidRPr="004B269B">
              <w:rPr>
                <w:rFonts w:ascii="Arial" w:eastAsia="SimSun" w:hAnsi="Arial" w:cs="Arial"/>
                <w:bCs/>
                <w:sz w:val="24"/>
                <w:szCs w:val="24"/>
                <w:lang w:val="en-GB"/>
              </w:rPr>
              <w:t>-*</w:t>
            </w:r>
          </w:p>
        </w:tc>
      </w:tr>
    </w:tbl>
    <w:p w:rsidR="004B269B" w:rsidRPr="004B269B" w:rsidRDefault="004B269B" w:rsidP="004B269B">
      <w:pPr>
        <w:spacing w:after="0" w:line="240" w:lineRule="auto"/>
        <w:jc w:val="center"/>
        <w:rPr>
          <w:rFonts w:ascii="Arial" w:eastAsia="SimSun" w:hAnsi="Arial" w:cs="Arial"/>
          <w:sz w:val="20"/>
          <w:szCs w:val="20"/>
          <w:lang w:val="ro-RO"/>
        </w:rPr>
      </w:pPr>
      <w:r w:rsidRPr="004B269B">
        <w:rPr>
          <w:rFonts w:ascii="Arial" w:eastAsia="SimSun" w:hAnsi="Arial" w:cs="Arial"/>
          <w:sz w:val="20"/>
          <w:szCs w:val="20"/>
          <w:lang w:val="ro-RO"/>
        </w:rPr>
        <w:t xml:space="preserve">(Sursa: Administraţia </w:t>
      </w:r>
      <w:r w:rsidRPr="004B269B">
        <w:rPr>
          <w:rFonts w:ascii="Arial" w:eastAsia="SimSun" w:hAnsi="Arial" w:cs="Arial"/>
          <w:sz w:val="20"/>
          <w:szCs w:val="20"/>
          <w:lang w:val="en-GB"/>
        </w:rPr>
        <w:t>“</w:t>
      </w:r>
      <w:r w:rsidRPr="004B269B">
        <w:rPr>
          <w:rFonts w:ascii="Arial" w:eastAsia="SimSun" w:hAnsi="Arial" w:cs="Arial"/>
          <w:sz w:val="20"/>
          <w:szCs w:val="20"/>
          <w:lang w:val="ro-RO"/>
        </w:rPr>
        <w:t>Apele Române”- Administraţia Bazinală de Apă Prut – Bârlad)</w:t>
      </w:r>
    </w:p>
    <w:p w:rsidR="004B269B" w:rsidRPr="004B269B" w:rsidRDefault="004B269B" w:rsidP="004B269B">
      <w:pPr>
        <w:autoSpaceDE w:val="0"/>
        <w:autoSpaceDN w:val="0"/>
        <w:adjustRightInd w:val="0"/>
        <w:spacing w:after="0" w:line="240" w:lineRule="auto"/>
        <w:jc w:val="both"/>
        <w:rPr>
          <w:rFonts w:ascii="Arial" w:eastAsia="SimSun" w:hAnsi="Arial" w:cs="Arial"/>
          <w:sz w:val="24"/>
          <w:szCs w:val="24"/>
          <w:lang w:val="ro-RO"/>
        </w:rPr>
      </w:pPr>
      <w:r w:rsidRPr="004B269B">
        <w:rPr>
          <w:rFonts w:ascii="Arial" w:eastAsia="SimSun" w:hAnsi="Arial" w:cs="Arial"/>
          <w:sz w:val="24"/>
          <w:szCs w:val="24"/>
          <w:lang w:val="ro-RO"/>
        </w:rPr>
        <w:t>-* Pentru anul 2015, nu sunt date disponibile la nivelul judeţului Vaslui privind categoriile de corpuri de apă.</w:t>
      </w:r>
    </w:p>
    <w:p w:rsidR="004B269B" w:rsidRPr="004B269B" w:rsidRDefault="004B269B" w:rsidP="004B269B">
      <w:pPr>
        <w:autoSpaceDE w:val="0"/>
        <w:autoSpaceDN w:val="0"/>
        <w:adjustRightInd w:val="0"/>
        <w:spacing w:after="0" w:line="240" w:lineRule="auto"/>
        <w:jc w:val="both"/>
        <w:rPr>
          <w:rFonts w:ascii="Arial" w:eastAsia="SimSun" w:hAnsi="Arial" w:cs="Arial"/>
          <w:sz w:val="24"/>
          <w:szCs w:val="24"/>
          <w:lang w:val="en-GB"/>
        </w:rPr>
      </w:pPr>
    </w:p>
    <w:p w:rsidR="004B269B" w:rsidRPr="004B269B" w:rsidRDefault="004B269B" w:rsidP="004B269B">
      <w:pPr>
        <w:autoSpaceDE w:val="0"/>
        <w:autoSpaceDN w:val="0"/>
        <w:adjustRightInd w:val="0"/>
        <w:spacing w:after="0" w:line="240" w:lineRule="auto"/>
        <w:rPr>
          <w:rFonts w:ascii="Arial" w:eastAsia="Times New Roman" w:hAnsi="Arial" w:cs="Arial"/>
          <w:b/>
          <w:i/>
          <w:sz w:val="24"/>
          <w:szCs w:val="24"/>
          <w:lang w:val="ro-RO"/>
        </w:rPr>
      </w:pPr>
      <w:r w:rsidRPr="004B269B">
        <w:rPr>
          <w:rFonts w:ascii="Arial" w:eastAsia="Times New Roman" w:hAnsi="Arial" w:cs="Arial"/>
          <w:b/>
          <w:i/>
          <w:sz w:val="24"/>
          <w:szCs w:val="24"/>
          <w:lang w:val="ro-RO"/>
        </w:rPr>
        <w:t xml:space="preserve">II.1.2. Prognoze </w:t>
      </w:r>
    </w:p>
    <w:p w:rsidR="004B269B" w:rsidRPr="004B269B" w:rsidRDefault="004B269B" w:rsidP="004B269B">
      <w:pPr>
        <w:spacing w:after="0" w:line="240" w:lineRule="auto"/>
        <w:rPr>
          <w:rFonts w:ascii="Arial" w:eastAsia="Arial Unicode MS" w:hAnsi="Arial" w:cs="Arial"/>
          <w:bCs/>
          <w:iCs/>
          <w:sz w:val="24"/>
          <w:szCs w:val="24"/>
          <w:lang w:val="ro-RO" w:eastAsia="ro-RO"/>
        </w:rPr>
      </w:pPr>
    </w:p>
    <w:p w:rsidR="004B269B" w:rsidRPr="004B269B" w:rsidRDefault="004B269B" w:rsidP="004B269B">
      <w:pPr>
        <w:spacing w:after="0" w:line="240" w:lineRule="auto"/>
        <w:rPr>
          <w:rFonts w:ascii="Arial" w:eastAsia="Arial Unicode MS" w:hAnsi="Arial" w:cs="Arial"/>
          <w:bCs/>
          <w:iCs/>
          <w:sz w:val="24"/>
          <w:szCs w:val="24"/>
          <w:lang w:val="ro-RO" w:eastAsia="ro-RO"/>
        </w:rPr>
      </w:pPr>
      <w:r w:rsidRPr="004B269B">
        <w:rPr>
          <w:rFonts w:ascii="Arial" w:eastAsia="Arial Unicode MS" w:hAnsi="Arial" w:cs="Arial"/>
          <w:bCs/>
          <w:iCs/>
          <w:sz w:val="24"/>
          <w:szCs w:val="24"/>
          <w:lang w:val="ro-RO" w:eastAsia="ro-RO"/>
        </w:rPr>
        <w:t>II.1.2.1. Disponibilitatea, cererea şi deficitul de apă</w:t>
      </w:r>
    </w:p>
    <w:p w:rsidR="004B269B" w:rsidRPr="004B269B" w:rsidRDefault="004B269B" w:rsidP="004B269B">
      <w:pPr>
        <w:autoSpaceDE w:val="0"/>
        <w:autoSpaceDN w:val="0"/>
        <w:adjustRightInd w:val="0"/>
        <w:spacing w:after="0" w:line="240" w:lineRule="auto"/>
        <w:ind w:firstLine="720"/>
        <w:rPr>
          <w:rFonts w:ascii="Arial" w:eastAsia="Times New Roman" w:hAnsi="Arial" w:cs="Arial"/>
          <w:sz w:val="24"/>
          <w:szCs w:val="24"/>
        </w:rPr>
      </w:pPr>
    </w:p>
    <w:p w:rsidR="004B269B" w:rsidRPr="004B269B" w:rsidRDefault="004B269B" w:rsidP="004B269B">
      <w:pPr>
        <w:autoSpaceDE w:val="0"/>
        <w:autoSpaceDN w:val="0"/>
        <w:adjustRightInd w:val="0"/>
        <w:spacing w:after="0" w:line="240" w:lineRule="auto"/>
        <w:ind w:firstLine="720"/>
        <w:jc w:val="both"/>
        <w:rPr>
          <w:rFonts w:ascii="Arial" w:eastAsia="Times New Roman" w:hAnsi="Arial" w:cs="Arial"/>
          <w:sz w:val="24"/>
          <w:szCs w:val="24"/>
        </w:rPr>
      </w:pPr>
      <w:r w:rsidRPr="004B269B">
        <w:rPr>
          <w:rFonts w:ascii="Arial" w:eastAsia="Times New Roman" w:hAnsi="Arial" w:cs="Arial"/>
          <w:sz w:val="24"/>
          <w:szCs w:val="24"/>
        </w:rPr>
        <w:t xml:space="preserve">Acoperirea cerinţelor de apă ale folosinţelor se poate realiza potential pe două căi: pe calea acţiunii asupra </w:t>
      </w:r>
      <w:r w:rsidRPr="004B269B">
        <w:rPr>
          <w:rFonts w:ascii="Arial" w:eastAsia="Times New Roman" w:hAnsi="Arial" w:cs="Arial"/>
          <w:bCs/>
          <w:i/>
          <w:iCs/>
          <w:sz w:val="24"/>
          <w:szCs w:val="24"/>
        </w:rPr>
        <w:t>disponibilului</w:t>
      </w:r>
      <w:r w:rsidRPr="004B269B">
        <w:rPr>
          <w:rFonts w:ascii="Arial" w:eastAsia="Times New Roman" w:hAnsi="Arial" w:cs="Arial"/>
          <w:b/>
          <w:bCs/>
          <w:i/>
          <w:iCs/>
          <w:sz w:val="24"/>
          <w:szCs w:val="24"/>
        </w:rPr>
        <w:t xml:space="preserve"> </w:t>
      </w:r>
      <w:r w:rsidRPr="004B269B">
        <w:rPr>
          <w:rFonts w:ascii="Arial" w:eastAsia="Times New Roman" w:hAnsi="Arial" w:cs="Arial"/>
          <w:sz w:val="24"/>
          <w:szCs w:val="24"/>
        </w:rPr>
        <w:t xml:space="preserve">la sursă, ceea ce implică acoperirea cerinţelor de apă prin antrenarea a noi resurse de apă, sau acţiuni asupra cerinţelor de apă, gestionând cerinţele consumatoare în sine cu scopul de a amâna sau a evita necesitatea de a dezvolta noi surse de apă. În ceea ce priveşte creşterea disponibilului de apă din punct de vedere al surselor, se pot distinge două categorii de surse: </w:t>
      </w:r>
      <w:r w:rsidRPr="004B269B">
        <w:rPr>
          <w:rFonts w:ascii="Arial" w:eastAsia="Times New Roman" w:hAnsi="Arial" w:cs="Arial"/>
          <w:bCs/>
          <w:i/>
          <w:iCs/>
          <w:sz w:val="24"/>
          <w:szCs w:val="24"/>
        </w:rPr>
        <w:t xml:space="preserve">surse tradiţionale </w:t>
      </w:r>
      <w:r w:rsidRPr="004B269B">
        <w:rPr>
          <w:rFonts w:ascii="Arial" w:eastAsia="Times New Roman" w:hAnsi="Arial" w:cs="Arial"/>
          <w:sz w:val="24"/>
          <w:szCs w:val="24"/>
        </w:rPr>
        <w:t xml:space="preserve">şi </w:t>
      </w:r>
      <w:r w:rsidRPr="004B269B">
        <w:rPr>
          <w:rFonts w:ascii="Arial" w:eastAsia="Times New Roman" w:hAnsi="Arial" w:cs="Arial"/>
          <w:bCs/>
          <w:i/>
          <w:iCs/>
          <w:sz w:val="24"/>
          <w:szCs w:val="24"/>
        </w:rPr>
        <w:t>surse</w:t>
      </w:r>
      <w:r w:rsidRPr="004B269B">
        <w:rPr>
          <w:rFonts w:ascii="Arial" w:eastAsia="Times New Roman" w:hAnsi="Arial" w:cs="Arial"/>
          <w:sz w:val="24"/>
          <w:szCs w:val="24"/>
        </w:rPr>
        <w:t xml:space="preserve"> </w:t>
      </w:r>
      <w:r w:rsidRPr="004B269B">
        <w:rPr>
          <w:rFonts w:ascii="Arial" w:eastAsia="Times New Roman" w:hAnsi="Arial" w:cs="Arial"/>
          <w:bCs/>
          <w:i/>
          <w:iCs/>
          <w:sz w:val="24"/>
          <w:szCs w:val="24"/>
        </w:rPr>
        <w:t>netradiţionale</w:t>
      </w:r>
      <w:r w:rsidRPr="004B269B">
        <w:rPr>
          <w:rFonts w:ascii="Arial" w:eastAsia="Times New Roman" w:hAnsi="Arial" w:cs="Arial"/>
          <w:sz w:val="24"/>
          <w:szCs w:val="24"/>
        </w:rPr>
        <w:t xml:space="preserve">. Sursele tradiţionale se bazează pe realizarea de baraje şi lacuri de acumulare, prize de apă, interconectarea regionala a reţelelor publice, utilizarea apelor subterane (izvoare, drenuri, foraje). Sursele netradiţionale sunt bazate pe recircularea apei utilizate în industrie şi agricultură, colectarea şi conservarea apei provenite din precipitaţii, purificarea apei recirculate, desalinizarea apei de mare şi recircularea aşa numitei </w:t>
      </w:r>
      <w:r w:rsidRPr="004B269B">
        <w:rPr>
          <w:rFonts w:ascii="Arial" w:eastAsia="Times New Roman" w:hAnsi="Arial" w:cs="Arial"/>
          <w:i/>
          <w:iCs/>
          <w:sz w:val="24"/>
          <w:szCs w:val="24"/>
        </w:rPr>
        <w:t>ape gri</w:t>
      </w:r>
      <w:r w:rsidRPr="004B269B">
        <w:rPr>
          <w:rFonts w:ascii="Arial" w:eastAsia="Times New Roman" w:hAnsi="Arial" w:cs="Arial"/>
          <w:sz w:val="24"/>
          <w:szCs w:val="24"/>
        </w:rPr>
        <w:t>, adica a celei ape uzate neindustriale generată de procesul de utilizare menajeră a apei.</w:t>
      </w:r>
    </w:p>
    <w:p w:rsidR="004B269B" w:rsidRPr="004B269B" w:rsidRDefault="004B269B" w:rsidP="004B269B">
      <w:pPr>
        <w:autoSpaceDE w:val="0"/>
        <w:autoSpaceDN w:val="0"/>
        <w:adjustRightInd w:val="0"/>
        <w:spacing w:after="0" w:line="240" w:lineRule="auto"/>
        <w:ind w:firstLine="720"/>
        <w:jc w:val="both"/>
        <w:rPr>
          <w:rFonts w:ascii="Arial" w:eastAsia="SimSun" w:hAnsi="Arial" w:cs="Arial"/>
          <w:sz w:val="24"/>
          <w:szCs w:val="24"/>
          <w:lang w:val="en-GB"/>
        </w:rPr>
      </w:pPr>
      <w:r w:rsidRPr="004B269B">
        <w:rPr>
          <w:rFonts w:ascii="Arial" w:eastAsia="Times New Roman" w:hAnsi="Arial" w:cs="Arial"/>
          <w:sz w:val="24"/>
          <w:szCs w:val="24"/>
        </w:rPr>
        <w:t xml:space="preserve">Scăderea resurselor de apă ca urmare a secetei poate conduce la apariţia unor dezechilibre între disponibilul de apă la sursă şi cerinţele folosinţelor. </w:t>
      </w:r>
      <w:r w:rsidRPr="004B269B">
        <w:rPr>
          <w:rFonts w:ascii="Arial" w:eastAsia="SimSun" w:hAnsi="Arial" w:cs="Arial"/>
          <w:sz w:val="24"/>
          <w:szCs w:val="24"/>
          <w:lang w:val="en-GB"/>
        </w:rPr>
        <w:t>La nivelul anului 2014, cerinţa de apă a fost asigurată în totalitate prin menţinerea volumelor de apă în lacurile de acumulare, conform Programelor de exploatare ale A.N. Apele Române, volume care au asigurat necesarul de apă pentru categoriile de utilizatori, respectiv pentru populaţie, industrie şi agricultură.</w:t>
      </w:r>
    </w:p>
    <w:p w:rsidR="004B269B" w:rsidRPr="004B269B" w:rsidRDefault="004B269B" w:rsidP="004B269B">
      <w:pPr>
        <w:autoSpaceDE w:val="0"/>
        <w:autoSpaceDN w:val="0"/>
        <w:adjustRightInd w:val="0"/>
        <w:spacing w:after="0" w:line="240" w:lineRule="auto"/>
        <w:ind w:firstLine="720"/>
        <w:jc w:val="both"/>
        <w:rPr>
          <w:rFonts w:ascii="Arial" w:eastAsia="Times New Roman" w:hAnsi="Arial" w:cs="Arial"/>
          <w:sz w:val="24"/>
          <w:szCs w:val="24"/>
        </w:rPr>
      </w:pPr>
      <w:r w:rsidRPr="004B269B">
        <w:rPr>
          <w:rFonts w:ascii="Arial" w:eastAsia="Times New Roman" w:hAnsi="Arial" w:cs="Arial"/>
          <w:bCs/>
          <w:i/>
          <w:sz w:val="24"/>
          <w:szCs w:val="24"/>
        </w:rPr>
        <w:t>Deficitul</w:t>
      </w:r>
      <w:r w:rsidRPr="004B269B">
        <w:rPr>
          <w:rFonts w:ascii="Arial" w:eastAsia="Times New Roman" w:hAnsi="Arial" w:cs="Arial"/>
          <w:b/>
          <w:bCs/>
          <w:i/>
          <w:sz w:val="24"/>
          <w:szCs w:val="24"/>
        </w:rPr>
        <w:t xml:space="preserve"> </w:t>
      </w:r>
      <w:r w:rsidRPr="004B269B">
        <w:rPr>
          <w:rFonts w:ascii="Arial" w:eastAsia="Times New Roman" w:hAnsi="Arial" w:cs="Arial"/>
          <w:i/>
          <w:sz w:val="24"/>
          <w:szCs w:val="24"/>
        </w:rPr>
        <w:t>de apă</w:t>
      </w:r>
      <w:r w:rsidRPr="004B269B">
        <w:rPr>
          <w:rFonts w:ascii="Arial" w:eastAsia="Times New Roman" w:hAnsi="Arial" w:cs="Arial"/>
          <w:sz w:val="24"/>
          <w:szCs w:val="24"/>
        </w:rPr>
        <w:t xml:space="preserve"> poate fi descris ca fiind orice situaţie în care disponibilul la sursă este inadecvat să satisfacă cerinţele folosinţelor. Deficitul de apă cauzat de echipamente sau o planificare inadecvată poate fi depăşit prin orientarea spre elaborarea de proiecte şi investiţii de capital, în timp ce deficitul rezultat doar ca urmare a creşterii cerinţelor de apă poate fi eliminat cel mai bine prin intermediul unei gestion</w:t>
      </w:r>
      <w:r w:rsidRPr="004B269B">
        <w:rPr>
          <w:rFonts w:ascii="Arial" w:eastAsia="Times New Roman" w:hAnsi="Arial" w:cs="Arial"/>
          <w:sz w:val="24"/>
          <w:szCs w:val="24"/>
          <w:lang w:val="ro-RO"/>
        </w:rPr>
        <w:t>ă</w:t>
      </w:r>
      <w:r w:rsidRPr="004B269B">
        <w:rPr>
          <w:rFonts w:ascii="Arial" w:eastAsia="Times New Roman" w:hAnsi="Arial" w:cs="Arial"/>
          <w:sz w:val="24"/>
          <w:szCs w:val="24"/>
        </w:rPr>
        <w:t xml:space="preserve">ri eficiente pe termen lung a resurselor de apă. </w:t>
      </w:r>
      <w:r w:rsidRPr="004B269B">
        <w:rPr>
          <w:rFonts w:ascii="Arial" w:eastAsia="Times New Roman" w:hAnsi="Arial" w:cs="Arial"/>
          <w:sz w:val="20"/>
          <w:szCs w:val="20"/>
        </w:rPr>
        <w:t>(Sursa: Studii privind determinarea acţiunilor, măsurilor, opţiunilor şi soluţiilor pentru atingerea obiectivelor gestionării integrate a resurselor de apă ale bazinelor hidrografice . districtul de bazin hidrografic Olt.)</w:t>
      </w:r>
    </w:p>
    <w:p w:rsidR="004B269B" w:rsidRPr="004B269B" w:rsidRDefault="004B269B" w:rsidP="004B269B">
      <w:pPr>
        <w:spacing w:after="0" w:line="240" w:lineRule="auto"/>
        <w:jc w:val="both"/>
        <w:rPr>
          <w:rFonts w:ascii="Arial" w:eastAsia="Times New Roman" w:hAnsi="Arial" w:cs="Arial"/>
          <w:sz w:val="24"/>
          <w:szCs w:val="24"/>
          <w:lang w:val="ro-RO"/>
        </w:rPr>
      </w:pPr>
      <w:r w:rsidRPr="004B269B">
        <w:rPr>
          <w:rFonts w:ascii="Arial" w:eastAsia="Times New Roman" w:hAnsi="Arial" w:cs="Arial"/>
          <w:sz w:val="24"/>
          <w:szCs w:val="24"/>
          <w:lang w:val="ro-RO"/>
        </w:rPr>
        <w:t>Date şi informaţii despre prognozele privind disponibilitatea, cererea şi deficitul de apă se găsesc la nivel naţional. La nivelul judeţului nu sunt informaţii şi date relevante despre prognoza disponibilităţii, cererii şi deficitului de apă.</w:t>
      </w:r>
    </w:p>
    <w:p w:rsidR="004B269B" w:rsidRPr="004B269B" w:rsidRDefault="004B269B" w:rsidP="004B269B">
      <w:pPr>
        <w:spacing w:beforeAutospacing="1" w:after="0" w:afterAutospacing="1" w:line="240" w:lineRule="auto"/>
        <w:rPr>
          <w:rFonts w:ascii="Arial" w:eastAsia="Arial Unicode MS" w:hAnsi="Arial" w:cs="Arial"/>
          <w:bCs/>
          <w:iCs/>
          <w:sz w:val="24"/>
          <w:szCs w:val="24"/>
          <w:lang w:val="ro-RO" w:eastAsia="ro-RO"/>
        </w:rPr>
      </w:pPr>
      <w:r w:rsidRPr="004B269B">
        <w:rPr>
          <w:rFonts w:ascii="Arial" w:eastAsia="Arial Unicode MS" w:hAnsi="Arial" w:cs="Arial"/>
          <w:bCs/>
          <w:iCs/>
          <w:sz w:val="24"/>
          <w:szCs w:val="24"/>
          <w:lang w:val="ro-RO" w:eastAsia="ro-RO"/>
        </w:rPr>
        <w:t>II.1.2.2. Riscurile şi presiunile inundaţiilor</w:t>
      </w:r>
    </w:p>
    <w:p w:rsidR="004B269B" w:rsidRPr="004B269B" w:rsidRDefault="004B269B" w:rsidP="004B269B">
      <w:pPr>
        <w:autoSpaceDE w:val="0"/>
        <w:autoSpaceDN w:val="0"/>
        <w:adjustRightInd w:val="0"/>
        <w:spacing w:after="0" w:line="240" w:lineRule="auto"/>
        <w:ind w:firstLine="720"/>
        <w:jc w:val="both"/>
        <w:rPr>
          <w:rFonts w:ascii="Arial" w:eastAsia="Times New Roman" w:hAnsi="Arial" w:cs="Arial"/>
          <w:sz w:val="24"/>
          <w:szCs w:val="24"/>
        </w:rPr>
      </w:pPr>
      <w:r w:rsidRPr="004B269B">
        <w:rPr>
          <w:rFonts w:ascii="Arial" w:eastAsia="Times New Roman" w:hAnsi="Arial" w:cs="Arial"/>
          <w:sz w:val="24"/>
          <w:szCs w:val="24"/>
        </w:rPr>
        <w:t xml:space="preserve">Inundaţiile pot fi clasificate în funcţie de </w:t>
      </w:r>
      <w:r w:rsidRPr="004B269B">
        <w:rPr>
          <w:rFonts w:ascii="Arial" w:eastAsia="Times New Roman" w:hAnsi="Arial" w:cs="Arial"/>
          <w:iCs/>
          <w:sz w:val="24"/>
          <w:szCs w:val="24"/>
        </w:rPr>
        <w:t xml:space="preserve">sursa </w:t>
      </w:r>
      <w:r w:rsidRPr="004B269B">
        <w:rPr>
          <w:rFonts w:ascii="Arial" w:eastAsia="Times New Roman" w:hAnsi="Arial" w:cs="Arial"/>
          <w:sz w:val="24"/>
          <w:szCs w:val="24"/>
        </w:rPr>
        <w:t xml:space="preserve">acestora (râuri şi lacuri, ploi torenţiale în zone urbane unde capacitatea de retenţie a sistemului de canalizare este depăşită, ape maritime), </w:t>
      </w:r>
      <w:r w:rsidRPr="004B269B">
        <w:rPr>
          <w:rFonts w:ascii="Arial" w:eastAsia="Times New Roman" w:hAnsi="Arial" w:cs="Arial"/>
          <w:iCs/>
          <w:sz w:val="24"/>
          <w:szCs w:val="24"/>
        </w:rPr>
        <w:t xml:space="preserve">mecanismul inundaţiei </w:t>
      </w:r>
      <w:r w:rsidRPr="004B269B">
        <w:rPr>
          <w:rFonts w:ascii="Arial" w:eastAsia="Times New Roman" w:hAnsi="Arial" w:cs="Arial"/>
          <w:sz w:val="24"/>
          <w:szCs w:val="24"/>
        </w:rPr>
        <w:t xml:space="preserve">(depăşiri naturale, avarierea infrastructurii de apărare sau blocaje), precum şi de </w:t>
      </w:r>
      <w:r w:rsidRPr="004B269B">
        <w:rPr>
          <w:rFonts w:ascii="Arial" w:eastAsia="Times New Roman" w:hAnsi="Arial" w:cs="Arial"/>
          <w:iCs/>
          <w:sz w:val="24"/>
          <w:szCs w:val="24"/>
        </w:rPr>
        <w:t xml:space="preserve">alte caracteristici </w:t>
      </w:r>
      <w:r w:rsidRPr="004B269B">
        <w:rPr>
          <w:rFonts w:ascii="Arial" w:eastAsia="Times New Roman" w:hAnsi="Arial" w:cs="Arial"/>
          <w:sz w:val="24"/>
          <w:szCs w:val="24"/>
        </w:rPr>
        <w:t xml:space="preserve">(inundaţii instantanee – viituri, inundaţii cauzate de topirea zăpezii). În Europa, inundaţiile şi furtunile reprezintă cele mai importante dezastre </w:t>
      </w:r>
      <w:r w:rsidRPr="004B269B">
        <w:rPr>
          <w:rFonts w:ascii="Arial" w:eastAsia="Times New Roman" w:hAnsi="Arial" w:cs="Arial"/>
          <w:sz w:val="24"/>
          <w:szCs w:val="24"/>
        </w:rPr>
        <w:lastRenderedPageBreak/>
        <w:t>naturale care produc pierderi economice semnificative (deteriorarea infrastructurii, locuinţelor terenurilor agricole). De asemenea, inundaţiile pot cauza pierderi de vieţi omeneşti şi strămutarea populaţiei, în special în cazul viiturilor, putând avea efecte adverse asupra sănătăţii umane, mediului şi patrimoniului natural.</w:t>
      </w:r>
    </w:p>
    <w:p w:rsidR="004B269B" w:rsidRPr="004B269B" w:rsidRDefault="004B269B" w:rsidP="004B269B">
      <w:pPr>
        <w:autoSpaceDE w:val="0"/>
        <w:autoSpaceDN w:val="0"/>
        <w:adjustRightInd w:val="0"/>
        <w:spacing w:after="0" w:line="240" w:lineRule="auto"/>
        <w:jc w:val="both"/>
        <w:rPr>
          <w:rFonts w:ascii="Arial" w:eastAsia="Times New Roman" w:hAnsi="Arial" w:cs="Arial"/>
          <w:sz w:val="24"/>
          <w:szCs w:val="24"/>
        </w:rPr>
      </w:pPr>
      <w:r w:rsidRPr="004B269B">
        <w:rPr>
          <w:rFonts w:ascii="Arial" w:eastAsia="Times New Roman" w:hAnsi="Arial" w:cs="Arial"/>
          <w:sz w:val="24"/>
          <w:szCs w:val="24"/>
        </w:rPr>
        <w:t xml:space="preserve">Având în vedere consecinţele inundaţiilor şi multitudinea de factori care le influenţează, Strategia naţională de gestionare pe termen mediu şi lung a riscului la inundaţii are ca scop definirea cadrului pentru orientarea coordonată, intersectorială a tuturor acţiunilor, în vederea prevenirii şi reducerii consecinţelor inundaţiilor asupra activităţilor socio-economice, vieţii şi sănătăţii oamenilor şi asupra mediului. Aceasta vizează o gestionare integrată a apei şi a resurselor adiacente: amenajarea teritoriului şi dezvoltarea urbană, protecţia naturii, dezvoltarea agricolă şi silvică, protecţia infrastructurii de transport, a construcţiilor şi a zonelor turistice, protecţia individuală ş.a. </w:t>
      </w:r>
    </w:p>
    <w:p w:rsidR="004B269B" w:rsidRPr="004B269B" w:rsidRDefault="004B269B" w:rsidP="004B269B">
      <w:pPr>
        <w:autoSpaceDE w:val="0"/>
        <w:autoSpaceDN w:val="0"/>
        <w:adjustRightInd w:val="0"/>
        <w:spacing w:after="0" w:line="240" w:lineRule="auto"/>
        <w:jc w:val="both"/>
        <w:rPr>
          <w:rFonts w:ascii="Arial" w:eastAsia="Times New Roman" w:hAnsi="Arial" w:cs="Arial"/>
          <w:sz w:val="24"/>
          <w:szCs w:val="24"/>
        </w:rPr>
      </w:pPr>
      <w:r w:rsidRPr="004B269B">
        <w:rPr>
          <w:rFonts w:ascii="Arial" w:eastAsia="Times New Roman" w:hAnsi="Arial" w:cs="Arial"/>
          <w:sz w:val="24"/>
          <w:szCs w:val="24"/>
        </w:rPr>
        <w:t xml:space="preserve">Pentru gestionarea riscului la inundaţii strategia stabileşte aplicarea unor politici, proceduri şi practici având ca obiective </w:t>
      </w:r>
      <w:r w:rsidRPr="004B269B">
        <w:rPr>
          <w:rFonts w:ascii="Arial" w:eastAsia="Times New Roman" w:hAnsi="Arial" w:cs="Arial"/>
          <w:iCs/>
          <w:sz w:val="24"/>
          <w:szCs w:val="24"/>
        </w:rPr>
        <w:t xml:space="preserve">identificarea, analiza </w:t>
      </w:r>
      <w:r w:rsidRPr="004B269B">
        <w:rPr>
          <w:rFonts w:ascii="Arial" w:eastAsia="Times New Roman" w:hAnsi="Arial" w:cs="Arial"/>
          <w:sz w:val="24"/>
          <w:szCs w:val="24"/>
        </w:rPr>
        <w:t xml:space="preserve">şi </w:t>
      </w:r>
      <w:r w:rsidRPr="004B269B">
        <w:rPr>
          <w:rFonts w:ascii="Arial" w:eastAsia="Times New Roman" w:hAnsi="Arial" w:cs="Arial"/>
          <w:iCs/>
          <w:sz w:val="24"/>
          <w:szCs w:val="24"/>
        </w:rPr>
        <w:t>evaluarea</w:t>
      </w:r>
      <w:r w:rsidRPr="004B269B">
        <w:rPr>
          <w:rFonts w:ascii="Arial" w:eastAsia="Times New Roman" w:hAnsi="Arial" w:cs="Arial"/>
          <w:sz w:val="24"/>
          <w:szCs w:val="24"/>
        </w:rPr>
        <w:t xml:space="preserve">, </w:t>
      </w:r>
      <w:r w:rsidRPr="004B269B">
        <w:rPr>
          <w:rFonts w:ascii="Arial" w:eastAsia="Times New Roman" w:hAnsi="Arial" w:cs="Arial"/>
          <w:iCs/>
          <w:sz w:val="24"/>
          <w:szCs w:val="24"/>
        </w:rPr>
        <w:t xml:space="preserve">tratarea, monitorizarea </w:t>
      </w:r>
      <w:r w:rsidRPr="004B269B">
        <w:rPr>
          <w:rFonts w:ascii="Arial" w:eastAsia="Times New Roman" w:hAnsi="Arial" w:cs="Arial"/>
          <w:sz w:val="24"/>
          <w:szCs w:val="24"/>
        </w:rPr>
        <w:t xml:space="preserve">şi </w:t>
      </w:r>
      <w:r w:rsidRPr="004B269B">
        <w:rPr>
          <w:rFonts w:ascii="Arial" w:eastAsia="Times New Roman" w:hAnsi="Arial" w:cs="Arial"/>
          <w:iCs/>
          <w:sz w:val="24"/>
          <w:szCs w:val="24"/>
        </w:rPr>
        <w:t xml:space="preserve">reevaluarea </w:t>
      </w:r>
      <w:r w:rsidRPr="004B269B">
        <w:rPr>
          <w:rFonts w:ascii="Arial" w:eastAsia="Times New Roman" w:hAnsi="Arial" w:cs="Arial"/>
          <w:sz w:val="24"/>
          <w:szCs w:val="24"/>
        </w:rPr>
        <w:t>riscurilor în vederea reducerii acestora astfel încât comunităţile umane, toţi cetăţenii, să poată trăi, munci şi să-şi satisfacă nevoile şi aspiraţiile într-un mediu fizic şi social durabil.</w:t>
      </w:r>
    </w:p>
    <w:p w:rsidR="004B269B" w:rsidRPr="004B269B" w:rsidRDefault="004B269B" w:rsidP="004B269B">
      <w:pPr>
        <w:autoSpaceDE w:val="0"/>
        <w:autoSpaceDN w:val="0"/>
        <w:adjustRightInd w:val="0"/>
        <w:spacing w:after="0" w:line="240" w:lineRule="auto"/>
        <w:jc w:val="both"/>
        <w:rPr>
          <w:rFonts w:ascii="Arial" w:eastAsia="Times New Roman" w:hAnsi="Arial" w:cs="Arial"/>
          <w:sz w:val="24"/>
          <w:szCs w:val="24"/>
        </w:rPr>
      </w:pPr>
      <w:r w:rsidRPr="004B269B">
        <w:rPr>
          <w:rFonts w:ascii="Arial" w:eastAsia="Times New Roman" w:hAnsi="Arial" w:cs="Arial"/>
          <w:sz w:val="24"/>
          <w:szCs w:val="24"/>
        </w:rPr>
        <w:t xml:space="preserve">Se estimează că încălzirea globală va intensifica ciclul hidrologic şi va creşte frecvenţa acestor evenimente în multe zone ale Europei. Totuşi, modificările estimate privind frecvenţa şi magnitudinea inundaţiilor prezintă o incertitudine ridicată. Astfel, în regiunile cu acumulări de zăpadă nesemnificative, riscul producerii unor inundaţii în anotimpul de primăvară va fi redus. </w:t>
      </w:r>
    </w:p>
    <w:p w:rsidR="004B269B" w:rsidRPr="004B269B" w:rsidRDefault="004B269B" w:rsidP="004B269B">
      <w:pPr>
        <w:autoSpaceDE w:val="0"/>
        <w:autoSpaceDN w:val="0"/>
        <w:adjustRightInd w:val="0"/>
        <w:spacing w:after="0" w:line="240" w:lineRule="auto"/>
        <w:jc w:val="both"/>
        <w:rPr>
          <w:rFonts w:ascii="Arial" w:eastAsia="Times New Roman" w:hAnsi="Arial" w:cs="Arial"/>
          <w:sz w:val="24"/>
          <w:szCs w:val="24"/>
        </w:rPr>
      </w:pPr>
      <w:r w:rsidRPr="004B269B">
        <w:rPr>
          <w:rFonts w:ascii="Arial" w:eastAsia="Times New Roman" w:hAnsi="Arial" w:cs="Arial"/>
          <w:sz w:val="24"/>
          <w:szCs w:val="24"/>
        </w:rPr>
        <w:t>România s-a confruntat, în timpul primului deceniu al acestui secol cu o serie de fenomene meteorologice extreme, ce au determinat producerea de inunda</w:t>
      </w:r>
      <w:r w:rsidRPr="004B269B">
        <w:rPr>
          <w:rFonts w:ascii="Tahoma" w:eastAsia="Times New Roman" w:hAnsi="Tahoma" w:cs="Arial"/>
          <w:sz w:val="24"/>
          <w:szCs w:val="24"/>
        </w:rPr>
        <w:t>ț</w:t>
      </w:r>
      <w:r w:rsidRPr="004B269B">
        <w:rPr>
          <w:rFonts w:ascii="Arial" w:eastAsia="Times New Roman" w:hAnsi="Arial" w:cs="Arial"/>
          <w:sz w:val="24"/>
          <w:szCs w:val="24"/>
        </w:rPr>
        <w:t>ii. Producerea fenomenelor meteo-hidrologice extreme au ca efect atât pierderea de vie</w:t>
      </w:r>
      <w:r w:rsidRPr="004B269B">
        <w:rPr>
          <w:rFonts w:ascii="Tahoma" w:eastAsia="Times New Roman" w:hAnsi="Tahoma" w:cs="Arial"/>
          <w:sz w:val="24"/>
          <w:szCs w:val="24"/>
        </w:rPr>
        <w:t>ț</w:t>
      </w:r>
      <w:r w:rsidRPr="004B269B">
        <w:rPr>
          <w:rFonts w:ascii="Arial" w:eastAsia="Times New Roman" w:hAnsi="Arial" w:cs="Arial"/>
          <w:sz w:val="24"/>
          <w:szCs w:val="24"/>
        </w:rPr>
        <w:t>i omene</w:t>
      </w:r>
      <w:r w:rsidRPr="004B269B">
        <w:rPr>
          <w:rFonts w:ascii="Tahoma" w:eastAsia="Times New Roman" w:hAnsi="Tahoma" w:cs="Arial"/>
          <w:sz w:val="24"/>
          <w:szCs w:val="24"/>
        </w:rPr>
        <w:t>ș</w:t>
      </w:r>
      <w:r w:rsidRPr="004B269B">
        <w:rPr>
          <w:rFonts w:ascii="Arial" w:eastAsia="Times New Roman" w:hAnsi="Arial" w:cs="Arial"/>
          <w:sz w:val="24"/>
          <w:szCs w:val="24"/>
        </w:rPr>
        <w:t xml:space="preserve">ti, cât </w:t>
      </w:r>
      <w:r w:rsidRPr="004B269B">
        <w:rPr>
          <w:rFonts w:ascii="Tahoma" w:eastAsia="Times New Roman" w:hAnsi="Tahoma" w:cs="Arial"/>
          <w:sz w:val="24"/>
          <w:szCs w:val="24"/>
        </w:rPr>
        <w:t>ș</w:t>
      </w:r>
      <w:r w:rsidRPr="004B269B">
        <w:rPr>
          <w:rFonts w:ascii="Arial" w:eastAsia="Times New Roman" w:hAnsi="Arial" w:cs="Arial"/>
          <w:sz w:val="24"/>
          <w:szCs w:val="24"/>
        </w:rPr>
        <w:t>i pierderi economice semnificative în toate sectoarele de activitate, iar modelele climatice globale indică faptul că frecven</w:t>
      </w:r>
      <w:r w:rsidRPr="004B269B">
        <w:rPr>
          <w:rFonts w:ascii="Tahoma" w:eastAsia="Times New Roman" w:hAnsi="Tahoma" w:cs="Arial"/>
          <w:sz w:val="24"/>
          <w:szCs w:val="24"/>
        </w:rPr>
        <w:t>ț</w:t>
      </w:r>
      <w:r w:rsidRPr="004B269B">
        <w:rPr>
          <w:rFonts w:ascii="Arial" w:eastAsia="Times New Roman" w:hAnsi="Arial" w:cs="Arial"/>
          <w:sz w:val="24"/>
          <w:szCs w:val="24"/>
        </w:rPr>
        <w:t xml:space="preserve">a </w:t>
      </w:r>
      <w:r w:rsidRPr="004B269B">
        <w:rPr>
          <w:rFonts w:ascii="Tahoma" w:eastAsia="Times New Roman" w:hAnsi="Tahoma" w:cs="Arial"/>
          <w:sz w:val="24"/>
          <w:szCs w:val="24"/>
        </w:rPr>
        <w:t>ș</w:t>
      </w:r>
      <w:r w:rsidRPr="004B269B">
        <w:rPr>
          <w:rFonts w:ascii="Arial" w:eastAsia="Times New Roman" w:hAnsi="Arial" w:cs="Arial"/>
          <w:sz w:val="24"/>
          <w:szCs w:val="24"/>
        </w:rPr>
        <w:t>i intensitatea acestor evenimente vor cre</w:t>
      </w:r>
      <w:r w:rsidRPr="004B269B">
        <w:rPr>
          <w:rFonts w:ascii="Tahoma" w:eastAsia="Times New Roman" w:hAnsi="Tahoma" w:cs="Arial"/>
          <w:sz w:val="24"/>
          <w:szCs w:val="24"/>
        </w:rPr>
        <w:t>ș</w:t>
      </w:r>
      <w:r w:rsidRPr="004B269B">
        <w:rPr>
          <w:rFonts w:ascii="Arial" w:eastAsia="Times New Roman" w:hAnsi="Arial" w:cs="Arial"/>
          <w:sz w:val="24"/>
          <w:szCs w:val="24"/>
        </w:rPr>
        <w:t>te. Tinând cont de aceste prognoze, adaptarea la efectele schimbarilor climatice va fi un element important în politica na</w:t>
      </w:r>
      <w:r w:rsidRPr="004B269B">
        <w:rPr>
          <w:rFonts w:ascii="Tahoma" w:eastAsia="Times New Roman" w:hAnsi="Tahoma" w:cs="Arial"/>
          <w:sz w:val="24"/>
          <w:szCs w:val="24"/>
        </w:rPr>
        <w:t>ț</w:t>
      </w:r>
      <w:r w:rsidRPr="004B269B">
        <w:rPr>
          <w:rFonts w:ascii="Arial" w:eastAsia="Times New Roman" w:hAnsi="Arial" w:cs="Arial"/>
          <w:sz w:val="24"/>
          <w:szCs w:val="24"/>
        </w:rPr>
        <w:t xml:space="preserve">ională a României privind schimbările climatice </w:t>
      </w:r>
      <w:r w:rsidRPr="004B269B">
        <w:rPr>
          <w:rFonts w:ascii="Tahoma" w:eastAsia="Times New Roman" w:hAnsi="Tahoma" w:cs="Arial"/>
          <w:sz w:val="24"/>
          <w:szCs w:val="24"/>
        </w:rPr>
        <w:t>ș</w:t>
      </w:r>
      <w:r w:rsidRPr="004B269B">
        <w:rPr>
          <w:rFonts w:ascii="Arial" w:eastAsia="Times New Roman" w:hAnsi="Arial" w:cs="Arial"/>
          <w:sz w:val="24"/>
          <w:szCs w:val="24"/>
        </w:rPr>
        <w:t xml:space="preserve">i în dezvoltarea </w:t>
      </w:r>
      <w:r w:rsidRPr="004B269B">
        <w:rPr>
          <w:rFonts w:ascii="Tahoma" w:eastAsia="Times New Roman" w:hAnsi="Tahoma" w:cs="Arial"/>
          <w:sz w:val="24"/>
          <w:szCs w:val="24"/>
        </w:rPr>
        <w:t>ț</w:t>
      </w:r>
      <w:r w:rsidRPr="004B269B">
        <w:rPr>
          <w:rFonts w:ascii="Arial" w:eastAsia="Times New Roman" w:hAnsi="Arial" w:cs="Arial"/>
          <w:sz w:val="24"/>
          <w:szCs w:val="24"/>
        </w:rPr>
        <w:t xml:space="preserve">ării în general. </w:t>
      </w:r>
    </w:p>
    <w:p w:rsidR="004B269B" w:rsidRPr="004B269B" w:rsidRDefault="004B269B" w:rsidP="004B269B">
      <w:pPr>
        <w:spacing w:after="0" w:line="240" w:lineRule="auto"/>
        <w:ind w:firstLine="720"/>
        <w:jc w:val="both"/>
        <w:rPr>
          <w:rFonts w:ascii="Arial" w:eastAsia="Arial Unicode MS" w:hAnsi="Arial" w:cs="Arial"/>
          <w:sz w:val="24"/>
          <w:szCs w:val="24"/>
          <w:lang w:val="ro-RO" w:eastAsia="ro-RO"/>
        </w:rPr>
      </w:pPr>
    </w:p>
    <w:p w:rsidR="004B269B" w:rsidRPr="004B269B" w:rsidRDefault="004B269B" w:rsidP="004B269B">
      <w:pPr>
        <w:spacing w:after="0" w:line="240" w:lineRule="auto"/>
        <w:jc w:val="both"/>
        <w:rPr>
          <w:rFonts w:ascii="Arial" w:eastAsia="Arial Unicode MS" w:hAnsi="Arial" w:cs="Arial"/>
          <w:sz w:val="24"/>
          <w:szCs w:val="24"/>
          <w:lang w:val="ro-RO" w:eastAsia="ro-RO"/>
        </w:rPr>
      </w:pPr>
    </w:p>
    <w:p w:rsidR="004B269B" w:rsidRPr="004B269B" w:rsidRDefault="004B269B" w:rsidP="004B269B">
      <w:pPr>
        <w:spacing w:after="0" w:line="240" w:lineRule="auto"/>
        <w:jc w:val="both"/>
        <w:rPr>
          <w:rFonts w:ascii="Arial" w:eastAsia="Arial Unicode MS" w:hAnsi="Arial" w:cs="Arial"/>
          <w:sz w:val="24"/>
          <w:szCs w:val="24"/>
          <w:lang w:val="ro-RO" w:eastAsia="ro-RO"/>
        </w:rPr>
        <w:sectPr w:rsidR="004B269B" w:rsidRPr="004B269B" w:rsidSect="00830DBB">
          <w:headerReference w:type="default" r:id="rId54"/>
          <w:footerReference w:type="even" r:id="rId55"/>
          <w:footerReference w:type="default" r:id="rId56"/>
          <w:headerReference w:type="first" r:id="rId57"/>
          <w:footerReference w:type="first" r:id="rId58"/>
          <w:pgSz w:w="12240" w:h="15840"/>
          <w:pgMar w:top="1134" w:right="1134" w:bottom="1134" w:left="1418" w:header="709" w:footer="709" w:gutter="0"/>
          <w:pgNumType w:start="0"/>
          <w:cols w:space="708"/>
          <w:docGrid w:linePitch="360"/>
        </w:sectPr>
      </w:pPr>
    </w:p>
    <w:p w:rsidR="004B269B" w:rsidRPr="004B269B" w:rsidRDefault="004B269B" w:rsidP="004B269B">
      <w:pPr>
        <w:spacing w:after="0" w:line="240" w:lineRule="auto"/>
        <w:rPr>
          <w:rFonts w:ascii="Arial" w:eastAsia="SimSun" w:hAnsi="Arial" w:cs="Arial"/>
          <w:b/>
          <w:sz w:val="24"/>
          <w:szCs w:val="24"/>
          <w:lang w:val="en-GB"/>
        </w:rPr>
      </w:pPr>
    </w:p>
    <w:p w:rsidR="004B269B" w:rsidRPr="004B269B" w:rsidRDefault="004B269B" w:rsidP="004B269B">
      <w:pPr>
        <w:spacing w:after="120" w:line="240" w:lineRule="auto"/>
        <w:rPr>
          <w:rFonts w:ascii="Arial" w:eastAsia="SimSun" w:hAnsi="Arial" w:cs="Arial"/>
          <w:sz w:val="20"/>
          <w:szCs w:val="20"/>
          <w:lang w:val="en-GB"/>
        </w:rPr>
      </w:pPr>
      <w:r w:rsidRPr="004B269B">
        <w:rPr>
          <w:rFonts w:ascii="Arial" w:eastAsia="Times New Roman" w:hAnsi="Arial" w:cs="Arial"/>
          <w:bCs/>
          <w:sz w:val="24"/>
          <w:szCs w:val="24"/>
        </w:rPr>
        <w:t xml:space="preserve">Tabelul II.4. Derivaţii de ape mari- judeţ Vaslui </w:t>
      </w:r>
      <w:r w:rsidRPr="004B269B">
        <w:rPr>
          <w:rFonts w:ascii="Arial" w:eastAsia="Times New Roman" w:hAnsi="Arial" w:cs="Arial"/>
          <w:bCs/>
          <w:sz w:val="20"/>
          <w:szCs w:val="20"/>
        </w:rPr>
        <w:t>(Sursa: Planul de management al riscului la inundaţii – ABA Prut Bârlad iunie 2015)</w:t>
      </w:r>
    </w:p>
    <w:tbl>
      <w:tblPr>
        <w:tblW w:w="14142" w:type="dxa"/>
        <w:tblLayout w:type="fixed"/>
        <w:tblLook w:val="04A0" w:firstRow="1" w:lastRow="0" w:firstColumn="1" w:lastColumn="0" w:noHBand="0" w:noVBand="1"/>
      </w:tblPr>
      <w:tblGrid>
        <w:gridCol w:w="534"/>
        <w:gridCol w:w="4394"/>
        <w:gridCol w:w="1276"/>
        <w:gridCol w:w="1275"/>
        <w:gridCol w:w="1134"/>
        <w:gridCol w:w="3119"/>
        <w:gridCol w:w="2410"/>
      </w:tblGrid>
      <w:tr w:rsidR="004B269B" w:rsidRPr="004B269B" w:rsidTr="00080B9C">
        <w:trPr>
          <w:cantSplit/>
          <w:trHeight w:val="1319"/>
        </w:trPr>
        <w:tc>
          <w:tcPr>
            <w:tcW w:w="534" w:type="dxa"/>
            <w:vMerge w:val="restart"/>
            <w:tcBorders>
              <w:top w:val="single" w:sz="4" w:space="0" w:color="auto"/>
              <w:left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b/>
                <w:bCs/>
                <w:sz w:val="20"/>
                <w:szCs w:val="20"/>
              </w:rPr>
            </w:pPr>
            <w:r w:rsidRPr="004B269B">
              <w:rPr>
                <w:rFonts w:ascii="Arial" w:eastAsia="Times New Roman" w:hAnsi="Arial" w:cs="Arial"/>
                <w:b/>
                <w:bCs/>
                <w:sz w:val="20"/>
                <w:szCs w:val="20"/>
              </w:rPr>
              <w:t>Nr. crt.</w:t>
            </w:r>
          </w:p>
        </w:tc>
        <w:tc>
          <w:tcPr>
            <w:tcW w:w="4394" w:type="dxa"/>
            <w:vMerge w:val="restart"/>
            <w:tcBorders>
              <w:top w:val="single" w:sz="4" w:space="0" w:color="auto"/>
              <w:left w:val="nil"/>
              <w:right w:val="single" w:sz="4" w:space="0" w:color="auto"/>
            </w:tcBorders>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20"/>
                <w:szCs w:val="20"/>
              </w:rPr>
            </w:pPr>
            <w:r w:rsidRPr="004B269B">
              <w:rPr>
                <w:rFonts w:ascii="Arial" w:eastAsia="Times New Roman" w:hAnsi="Arial" w:cs="Arial"/>
                <w:b/>
                <w:bCs/>
                <w:sz w:val="20"/>
                <w:szCs w:val="20"/>
              </w:rPr>
              <w:t>Denumire lucrare</w:t>
            </w:r>
          </w:p>
        </w:tc>
        <w:tc>
          <w:tcPr>
            <w:tcW w:w="1276" w:type="dxa"/>
            <w:vMerge w:val="restart"/>
            <w:tcBorders>
              <w:top w:val="single" w:sz="4" w:space="0" w:color="auto"/>
              <w:left w:val="nil"/>
              <w:right w:val="single" w:sz="4" w:space="0" w:color="auto"/>
            </w:tcBorders>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20"/>
                <w:szCs w:val="20"/>
              </w:rPr>
            </w:pPr>
            <w:r w:rsidRPr="004B269B">
              <w:rPr>
                <w:rFonts w:ascii="Arial" w:eastAsia="Times New Roman" w:hAnsi="Arial" w:cs="Arial"/>
                <w:b/>
                <w:bCs/>
                <w:sz w:val="20"/>
                <w:szCs w:val="20"/>
              </w:rPr>
              <w:t>Curs de apă</w:t>
            </w:r>
          </w:p>
        </w:tc>
        <w:tc>
          <w:tcPr>
            <w:tcW w:w="1275" w:type="dxa"/>
            <w:vMerge w:val="restart"/>
            <w:tcBorders>
              <w:top w:val="single" w:sz="4" w:space="0" w:color="auto"/>
              <w:left w:val="nil"/>
              <w:right w:val="single" w:sz="4" w:space="0" w:color="auto"/>
            </w:tcBorders>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20"/>
                <w:szCs w:val="20"/>
              </w:rPr>
            </w:pPr>
            <w:r w:rsidRPr="004B269B">
              <w:rPr>
                <w:rFonts w:ascii="Arial" w:eastAsia="Times New Roman" w:hAnsi="Arial" w:cs="Arial"/>
                <w:b/>
                <w:bCs/>
                <w:sz w:val="20"/>
                <w:szCs w:val="20"/>
              </w:rPr>
              <w:t>Poziţie dig (mal stâng /mal drept) MS/MD</w:t>
            </w:r>
          </w:p>
        </w:tc>
        <w:tc>
          <w:tcPr>
            <w:tcW w:w="1134" w:type="dxa"/>
            <w:vMerge w:val="restart"/>
            <w:tcBorders>
              <w:top w:val="single" w:sz="4" w:space="0" w:color="auto"/>
              <w:left w:val="nil"/>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b/>
                <w:bCs/>
                <w:sz w:val="20"/>
                <w:szCs w:val="20"/>
              </w:rPr>
            </w:pPr>
            <w:r w:rsidRPr="004B269B">
              <w:rPr>
                <w:rFonts w:ascii="Arial" w:eastAsia="Times New Roman" w:hAnsi="Arial" w:cs="Arial"/>
                <w:b/>
                <w:bCs/>
                <w:sz w:val="20"/>
                <w:szCs w:val="20"/>
              </w:rPr>
              <w:t>Lungime (m)*</w:t>
            </w:r>
          </w:p>
        </w:tc>
        <w:tc>
          <w:tcPr>
            <w:tcW w:w="3119" w:type="dxa"/>
            <w:vMerge w:val="restart"/>
            <w:tcBorders>
              <w:top w:val="single" w:sz="4" w:space="0" w:color="auto"/>
              <w:left w:val="nil"/>
              <w:right w:val="single" w:sz="4" w:space="0" w:color="auto"/>
            </w:tcBorders>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20"/>
                <w:szCs w:val="20"/>
              </w:rPr>
            </w:pPr>
            <w:r w:rsidRPr="004B269B">
              <w:rPr>
                <w:rFonts w:ascii="Arial" w:eastAsia="Times New Roman" w:hAnsi="Arial" w:cs="Arial"/>
                <w:b/>
                <w:bCs/>
                <w:sz w:val="20"/>
                <w:szCs w:val="20"/>
              </w:rPr>
              <w:t xml:space="preserve">Localităţi apărate </w:t>
            </w:r>
          </w:p>
        </w:tc>
        <w:tc>
          <w:tcPr>
            <w:tcW w:w="2410" w:type="dxa"/>
            <w:vMerge w:val="restart"/>
            <w:tcBorders>
              <w:top w:val="single" w:sz="4" w:space="0" w:color="auto"/>
              <w:left w:val="nil"/>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b/>
                <w:bCs/>
                <w:sz w:val="20"/>
                <w:szCs w:val="20"/>
              </w:rPr>
              <w:t>Mecanismul de cedare: deversare / eroziune internă / alunecare taluz (surpare)</w:t>
            </w:r>
          </w:p>
        </w:tc>
      </w:tr>
      <w:tr w:rsidR="004B269B" w:rsidRPr="004B269B" w:rsidTr="00080B9C">
        <w:trPr>
          <w:cantSplit/>
          <w:trHeight w:val="230"/>
        </w:trPr>
        <w:tc>
          <w:tcPr>
            <w:tcW w:w="534" w:type="dxa"/>
            <w:vMerge/>
            <w:tcBorders>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b/>
                <w:bCs/>
                <w:sz w:val="20"/>
                <w:szCs w:val="20"/>
              </w:rPr>
            </w:pPr>
          </w:p>
        </w:tc>
        <w:tc>
          <w:tcPr>
            <w:tcW w:w="4394" w:type="dxa"/>
            <w:vMerge/>
            <w:tcBorders>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20"/>
                <w:szCs w:val="20"/>
              </w:rPr>
            </w:pPr>
          </w:p>
        </w:tc>
        <w:tc>
          <w:tcPr>
            <w:tcW w:w="1276" w:type="dxa"/>
            <w:vMerge/>
            <w:tcBorders>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20"/>
                <w:szCs w:val="20"/>
              </w:rPr>
            </w:pPr>
          </w:p>
        </w:tc>
        <w:tc>
          <w:tcPr>
            <w:tcW w:w="1275" w:type="dxa"/>
            <w:vMerge/>
            <w:tcBorders>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20"/>
                <w:szCs w:val="20"/>
              </w:rPr>
            </w:pPr>
          </w:p>
        </w:tc>
        <w:tc>
          <w:tcPr>
            <w:tcW w:w="1134" w:type="dxa"/>
            <w:vMerge/>
            <w:tcBorders>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b/>
                <w:bCs/>
                <w:sz w:val="20"/>
                <w:szCs w:val="20"/>
              </w:rPr>
            </w:pPr>
          </w:p>
        </w:tc>
        <w:tc>
          <w:tcPr>
            <w:tcW w:w="3119" w:type="dxa"/>
            <w:vMerge/>
            <w:tcBorders>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20"/>
                <w:szCs w:val="20"/>
              </w:rPr>
            </w:pPr>
          </w:p>
        </w:tc>
        <w:tc>
          <w:tcPr>
            <w:tcW w:w="2410" w:type="dxa"/>
            <w:vMerge/>
            <w:tcBorders>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b/>
                <w:bCs/>
                <w:sz w:val="20"/>
                <w:szCs w:val="20"/>
              </w:rPr>
            </w:pP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1</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amonte îndiguire confl.  râu Bârlad</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Albeşti</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MD</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727</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Albeşti /Albeşti</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2</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amonte îndiguire confl.  râu Bârlad</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Albiei (Parveşti)</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MS</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1734</w:t>
            </w:r>
          </w:p>
        </w:tc>
        <w:tc>
          <w:tcPr>
            <w:tcW w:w="3119"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c>
          <w:tcPr>
            <w:tcW w:w="2410"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deversări, alunecare taluz (surpare)</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3</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amonte îndiguire confl.  râu Bârlad</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Albiei (Parveşti)</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MD</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1734</w:t>
            </w:r>
          </w:p>
        </w:tc>
        <w:tc>
          <w:tcPr>
            <w:tcW w:w="3119"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c>
          <w:tcPr>
            <w:tcW w:w="2410"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deversări, alunecare taluz (surpare)</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4</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amonte îndiguire confl.  râu Bârlad</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Banca</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MS</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1893</w:t>
            </w:r>
          </w:p>
        </w:tc>
        <w:tc>
          <w:tcPr>
            <w:tcW w:w="3119"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5</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amonte îndiguire confl.  râu Bârlad</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Banca</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MD</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1896</w:t>
            </w:r>
          </w:p>
        </w:tc>
        <w:tc>
          <w:tcPr>
            <w:tcW w:w="3119"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6</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sector Dumeşti</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Barlad</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MS</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3000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7</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sector Dumeşti</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Barlad</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MD</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6700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Dumeşti / Dumeşti</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8</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sector Negreşti - pod CF Vultureşti</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Barlad</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MS</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7824</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9</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sector Negreşti - pod CF Vultureşti</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Barlad</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MD</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6098</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Negreşti/ Poiana</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10</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sector pod CF Vultureşti - pod Rediu Vaslui</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Bârlad</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MS</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19383</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xml:space="preserve">Ştefan cel Mare - Căntălăreşti, Ştefan cel Mare / Mărăşeni, Vaslui/ Vaslui </w:t>
            </w:r>
          </w:p>
        </w:tc>
        <w:tc>
          <w:tcPr>
            <w:tcW w:w="2410"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deversări, alunecare taluz (surpare)</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11</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sector pod CF Vultureşti - pod Rediu Vaslui</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Bârlad</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MD</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24809</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xml:space="preserve">Vaslui/ Brodoc, Vaslui / Rediu  </w:t>
            </w:r>
          </w:p>
        </w:tc>
        <w:tc>
          <w:tcPr>
            <w:tcW w:w="2410"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12</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sector pod Rediu Vaslui - pod CET Vaslui</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Bârlad</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MS</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2479</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mun. Vaslui</w:t>
            </w:r>
          </w:p>
        </w:tc>
        <w:tc>
          <w:tcPr>
            <w:tcW w:w="2410"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deversari, alunecare taluz (surpare)</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13</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sector pod Rediu Vaslui - pod CET Vaslui</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Bârlad</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MD</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2170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xml:space="preserve">mun. Vaslui, Vaslui / Rediu </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14</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sector pod CET Vaslui - pod DN 581 Crasna</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Bârlad</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MS</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17416</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15</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sector pod CET Vaslui - pod DN 581 Crasna</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Bârlad</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MD</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12476</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Deleni/ Bulboaca</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16</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sector pod DN 581 Crasna - conf. râu Simila</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Bârlad</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MS</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32608</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Albeşti/ Crasna, Zorleni/ Zorleni</w:t>
            </w:r>
          </w:p>
        </w:tc>
        <w:tc>
          <w:tcPr>
            <w:tcW w:w="2410"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deversări, alunecare taluz (surpare)</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17</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sector pod DN 581 Crasna - conf. râu Simila</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Bârlad</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MD</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30200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Costeşti/ Satu Nou ( 7 case), Banca/ Sârbi, Zorleni/ Simila</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18</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sector conf. râu Simila - pod  DJ Trestiana</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Bârlad</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MS</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6395</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Mun. Bârlad</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lastRenderedPageBreak/>
              <w:t>19</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sector conf. râu Simila - pod  DJ Trestiana</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Bârlad</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MD</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6019</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Mun. Bârlad</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20</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sector pod  DJ Trestiana - limita judeţ Vaslui</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Bârlad</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MS</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18180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21</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sector pod  DJ Trestiana - limita judeţ Vaslui</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Bârlad</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MD</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15605</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Tutova/ Bădeana,Tutova/ Tutova</w:t>
            </w:r>
          </w:p>
        </w:tc>
        <w:tc>
          <w:tcPr>
            <w:tcW w:w="2410"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deversări,alunecare taluz ( surpare)</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22</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confl. râu Bârlad- pod DC Bârzeşti</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Bârzesti</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MS</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2100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Ştefan cel Mare / Bârzeşti</w:t>
            </w:r>
          </w:p>
        </w:tc>
        <w:tc>
          <w:tcPr>
            <w:tcW w:w="2410"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deversări,eroziuni de mal, alunecare taluz         (surpare)</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23</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confl. râu Bârlad- pod DC Bârzeşti</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Bârzeşti</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MD</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2100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Ştefan cel Mare / Bârzeşti</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24</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amonte îndiguire confl.  râu Bârlad</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Bârzota</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MS</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1450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Tutova/ Criveşti</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25</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amonte îndiguire confl.  râu Bârlad</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Bârzota</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MD</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1450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Tutova/ Criveşti</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26</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confl. râu Bârlad – pod DJ  Bălteni</w:t>
            </w:r>
          </w:p>
        </w:tc>
        <w:tc>
          <w:tcPr>
            <w:tcW w:w="1276"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Stemnic</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MS</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2352</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27</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confl. râu Bârlad – pod DJ  Bălteni</w:t>
            </w:r>
          </w:p>
        </w:tc>
        <w:tc>
          <w:tcPr>
            <w:tcW w:w="1276"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Stemnic</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MD</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2348</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28</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amonte îndiguire confl. râu Bârlad</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Buhăeşti</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MS</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2300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xml:space="preserve">Vultureşti - Buhăeşti </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29</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amonte îndiguire confl. râu Bârlad</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Buhăeşti</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MD</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2300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xml:space="preserve">Vultureşti - Buhaeşti </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30</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Amonte îndiguire confl. râu Bârlad</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Bujoreni</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MS</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1087</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31</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Amonte îndiguire confl. râu Bârlad</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Bujoreni</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MD</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1087</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32</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Amonte îndiguire confl. râu Bârlad</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Bulboaca</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MS</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1000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Deleni/ Bulboaca</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33</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Amonte îndiguire confl. râu Bârlad</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Bulboaca</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MD</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1000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Deleni/ Bulboaca</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34</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amonte îndiguire confl. râu Bârlad</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Chiţcani</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MS</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1056</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35</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amonte îndiguire confl. râu Bârlad</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Chiţcani</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MD</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1056</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36</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amonte îndiguire confl. râu Bârlad</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Chiţoc</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MS</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37</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amonte îndiguire confl. râu Bârlad</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Chiţoc</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MS</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1100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38</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confl. râu Bârlad – ac. Mânjeşti</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xml:space="preserve">Crasna </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MS</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9000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Albeşti/ Crasna</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39</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confl. râu Bârlad – ac. Mânjeşti</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xml:space="preserve">Crasna </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MD</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9000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Albeşti/ Crasna</w:t>
            </w:r>
          </w:p>
        </w:tc>
        <w:tc>
          <w:tcPr>
            <w:tcW w:w="2410"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deversări,alunecare taluz (surpare)</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40</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confl. râu Vaslui – pod CF Vaslui - Iaşi</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Delea</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MS</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1500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Vaslui/ Vaslui</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41</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confl. râu Vaslui – pod CF Vaslui - Iaşi</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Delea</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MD</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1500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Vaslui/ Vaslui</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42</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confl. râu Bârlad – 1,8 km amonte pod DN Vaslui - Bârlad</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Ghilahoi</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MS</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3200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43</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confl. râu Bârlad – 1,8 km amonte pod DN Vaslui - Bârlad</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Ghilahoi</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MD</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3200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44</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amonte îndiguire confl. râu Bârlad</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Gura Albeşti</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MS</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537</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Albeşti/Gura Albeşti</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45</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amonte îndiguire confl. râu Bârlad</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Gura Albeşti</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MD</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537</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Albeşti /Gura Albeşti</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46</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amonte îndiguire confl. râu Bârlad</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Hobana</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MS</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1800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lastRenderedPageBreak/>
              <w:t>47</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amonte îndiguire confl.  râu Bârlad</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Hobana</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MD</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1600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48</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confl. râu Bârlad -  pod DN Vaslui - Bârlad</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Horoiata</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MS</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0.807</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49</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confl. râu Bârlad -  pod DN Vaslui - Bârlad</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Horoiata</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MD</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0.807</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50</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amonte îndiguire confl. râu Bârlad</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Idrici</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MS</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1438</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c>
          <w:tcPr>
            <w:tcW w:w="2410"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deversări, alunecare taluz (surpare)</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51</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amonte îndiguire confl. râu Bârlad</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Idrici</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MD</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1438</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c>
          <w:tcPr>
            <w:tcW w:w="2410"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deversări, alunecare taluz (surpare)</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52</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amonte îndiguire confl. râu Bârlad</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Jăravăţ</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MS</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850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Griviţa/Griviţa</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53</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amonte îndiguire confl. râu Bârlad</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Jăravăţ</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MD</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850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Griviţa/Griviţa</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54</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Dig lateral râului Bârlad</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lateral râu Bârlad</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MD</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2880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55</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Îndigure amonte confluent râu Crasna</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Lohan</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MS</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1000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56</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amonte confl. râu Crasna</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Lohan</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MD</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1000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57</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confl. râu Bârlad- pod DN Vaslui-Negreşti</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Mărăşeni</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MS</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1000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Ştefan cel Mare / Mărăşeni</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58</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confl. râu Bârlad- pod DN Vaslui-Negreşti</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Mărăşeni</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MD</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1000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Ştefan cel Mare / Mărăşeni</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59</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amonte confl. râu Bârlad</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Mitoc (V.Saca )</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MS</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1112</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60</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amonte îndiguire confl. râu Bârlad</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Mitoc (V.Saca )</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MD</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1112</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61</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amonte îndiguire confl. râu Bârlad</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Petrişoara</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MS</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0.638</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62</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amonte îndiguire confl. râu Bârlad</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Petrişoara</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MD</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0.638</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63</w:t>
            </w:r>
          </w:p>
        </w:tc>
        <w:tc>
          <w:tcPr>
            <w:tcW w:w="439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Zona Drânceni</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Prut</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MD</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2400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c>
          <w:tcPr>
            <w:tcW w:w="2410"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xml:space="preserve">deversari,eroziuni de mal, alunecare taluz </w:t>
            </w:r>
          </w:p>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(surpare)</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64</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Albiţa - Fălciu</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Prut</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MD</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67800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xml:space="preserve">Lunca Banului/Broscoşeşti, Lunca Banului/ Condrea, Vetrişoaia / Bumbăta </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65</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Zona Rânzeşti – îndiguire confl.  râu Elan</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Prut</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MD</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14390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xml:space="preserve">Fălciu / Rânzeşti - Murgeni  /Cârja </w:t>
            </w:r>
          </w:p>
        </w:tc>
        <w:tc>
          <w:tcPr>
            <w:tcW w:w="2410"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xml:space="preserve">deversări,eroziuni de mal, alunecare taluz </w:t>
            </w:r>
          </w:p>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(surpare)</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66</w:t>
            </w:r>
          </w:p>
        </w:tc>
        <w:tc>
          <w:tcPr>
            <w:tcW w:w="439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confl. râu Bârlad – zona industrială Vaslui</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Racova</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MS</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4100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Vaslui/Vaslui</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67</w:t>
            </w:r>
          </w:p>
        </w:tc>
        <w:tc>
          <w:tcPr>
            <w:tcW w:w="439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confl. râu Bârlad – zona industrială Vaslui</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Racova</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MD</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800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Vaslui/Vaslui</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68</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am. lac de acumulare Puşcaşi – 1,5 km  amonte pod Oprişiţa</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Racova</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MS</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3000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lastRenderedPageBreak/>
              <w:t>69</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am. lac de acumulare Puşcaşi – 1,5 km  amonte pod Oprişiţa</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Racova</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MD</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3000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70</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confl. râu Bârlad- pod CF Vaslui – Iaşi (Rateş Cuza)</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Rebricea</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MD</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5380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Vultureşti / Buhaeşti Gara -  Rebricea/ Gara Rateş Cuza</w:t>
            </w:r>
          </w:p>
        </w:tc>
        <w:tc>
          <w:tcPr>
            <w:tcW w:w="2410"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deversări, alunecare taluz (surpare)</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71</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xml:space="preserve">Îndiguire confl. râu Bârlad - pod DN 15 D Vaslui – Negreşti </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Rebricea</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MS</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1720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Vultureşti - Buhăeşti Gara</w:t>
            </w:r>
          </w:p>
        </w:tc>
        <w:tc>
          <w:tcPr>
            <w:tcW w:w="2410"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deversări, alunecare taluz (surpare)</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72</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amonte îndiguire confl. râu Bârlad</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Salcuta</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MS</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500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73</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amonte îndiguire confl. râu Bârlad</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Salcuta</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MD</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500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74</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confl. râu Bârlad – ac. Râpa Albastră</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xml:space="preserve">Simila </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MS</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2.3</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75</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confl. râu Bârlad – ac. Râpa Albastră</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Simila + Sohodol</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MD</w:t>
            </w:r>
          </w:p>
        </w:tc>
        <w:tc>
          <w:tcPr>
            <w:tcW w:w="113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0.50               0.30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Bârlad/ Bârlad</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76</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confl. râu Bârlad – pod DN 15 D Vaslui - Negreşti</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Stavnic (Durduc)</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MS</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2670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xml:space="preserve">Negreşti / Parpaniţa </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77</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confl. râu Bârlad – pod DN 15 D Vaslui - Negreşti</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Stavnic (Durduc)</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MD</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2030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xml:space="preserve">Negreşti / Parpaniţa </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78</w:t>
            </w:r>
          </w:p>
        </w:tc>
        <w:tc>
          <w:tcPr>
            <w:tcW w:w="439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confl. râu Bârlad- pod DN 15 D Vaslui – Negreşti</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Telejna</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MS</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1000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79</w:t>
            </w:r>
          </w:p>
        </w:tc>
        <w:tc>
          <w:tcPr>
            <w:tcW w:w="439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confl. râu Bârlad- pod DN 15 D Vaslui – Negreşti</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Telejna</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MD</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1000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80</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amonte îndiguire confl. râu Bârlad</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Trestiana</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MS</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1850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Griviţa/ Trestiana</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81</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amonte îndiguire confl. râu Bârlad</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Trestiana</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MD</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1850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Griviţa/ Trestiana</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82</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confl. râu Bârlad - amonte pod IAS Tutova (aval SP 15 ANIF)</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Tutova</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MS</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2100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c>
          <w:tcPr>
            <w:tcW w:w="2410"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xml:space="preserve">deversări,eroziuni de mal, alunecare taluz </w:t>
            </w:r>
          </w:p>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(surpare)</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83</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confl. râu Bârlad - amonte pod IAS Tutova (aval SP 15 ANIF)</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Tutova</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MD</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2100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c>
          <w:tcPr>
            <w:tcW w:w="2410"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deversări, eroziuni de mal, alunecare taluz</w:t>
            </w:r>
          </w:p>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xml:space="preserve"> (surpare)</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84</w:t>
            </w:r>
          </w:p>
        </w:tc>
        <w:tc>
          <w:tcPr>
            <w:tcW w:w="439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confl. râu Bârlad- pod DN 15 D Vaslui – Negreşti</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Ulmului</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MS</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900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Ştefan cel Mare / Mărăşeni</w:t>
            </w:r>
          </w:p>
        </w:tc>
        <w:tc>
          <w:tcPr>
            <w:tcW w:w="2410"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deversări, alunecare taluz (surpare)</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85</w:t>
            </w:r>
          </w:p>
        </w:tc>
        <w:tc>
          <w:tcPr>
            <w:tcW w:w="439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confl. râu Bârlad- pod DN 15 D Vaslui – Negreşti</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Ulmului</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MD</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900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Ştefan cel Mare / Mărăşeni</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86</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confl. râu Bârlad –pod Caragiale, Bârlad</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Valea Seaca</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MS</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3100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Bârlad/ Bârlad</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87</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confl. râu Bârlad –pod Caragiale, Bârlad</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Valea Seaca</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MD</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3100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Bârlad/ Bârlad</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88</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amonte confl. râu Bârlad</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Văleni</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MS</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0.693</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c>
          <w:tcPr>
            <w:tcW w:w="2410"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deversări, alunecare taluz (surpare)</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89</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amonte  confl. râu Bârlad</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Văleni</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MD</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0.693</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c>
          <w:tcPr>
            <w:tcW w:w="2410"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deversări, alunecare taluz (surpare)</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lastRenderedPageBreak/>
              <w:t>90</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aval Soleşti - pod DN 24 Vaslui</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Vaslui</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MS</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20400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Soleşti / Satu Nou - Soleşti/ Soleşti, Vaslui / Vaslui</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91</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aval Soleşti - pod DN 24 Vaslui</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Vaslui</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MD</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20400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Văleni/ Văleni, Văleni /Moara Domnească, Muntenii de Sus/ Satu Nou, Muntenii de Sus/ Muntenii de Sus, Vaslui / Vaslui</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92</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Pod DN 24 Vaslui – îndiguire confl.  râu Bârlad</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Vaslui</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MS</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13800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Vaslui /Vaslui, Muntenii de Jos/ Muntenii de Jos, Muntenii de Jos / Băcăoani, Muntenii de Jos / Secuia</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93</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Pod DN 24 Vaslui – îndiguire confl.  râu Bârlad</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Vaslui</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MD</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13800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Vaslui /Vaslui , Muntenii de Jos/ Muntenii de Jos</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94</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amonte confl. râu Bârlad</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Viezureni (Volonschi )</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MS</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650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95</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amonte confl. râu Bârlad</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Viezureni (Volonschi )</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MD</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650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96</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amonte confl. râu Bârlad</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Zorleni</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MS</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1700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97</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Amonte Indiguire confl. râu Bârlad</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Zorleni</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MD</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1700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r w:rsidR="004B269B" w:rsidRPr="004B269B" w:rsidTr="00080B9C">
        <w:trPr>
          <w:cantSplit/>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98</w:t>
            </w:r>
          </w:p>
        </w:tc>
        <w:tc>
          <w:tcPr>
            <w:tcW w:w="4394"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Îndiguire amonte îndiguire confl. râu Bârlad</w:t>
            </w:r>
          </w:p>
        </w:tc>
        <w:tc>
          <w:tcPr>
            <w:tcW w:w="1276"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Chiţoc</w:t>
            </w:r>
          </w:p>
        </w:tc>
        <w:tc>
          <w:tcPr>
            <w:tcW w:w="1275"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MD</w:t>
            </w:r>
          </w:p>
        </w:tc>
        <w:tc>
          <w:tcPr>
            <w:tcW w:w="1134"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1100</w:t>
            </w:r>
          </w:p>
        </w:tc>
        <w:tc>
          <w:tcPr>
            <w:tcW w:w="3119" w:type="dxa"/>
            <w:tcBorders>
              <w:top w:val="nil"/>
              <w:left w:val="nil"/>
              <w:bottom w:val="single" w:sz="4" w:space="0" w:color="auto"/>
              <w:right w:val="single" w:sz="4" w:space="0" w:color="auto"/>
            </w:tcBorders>
            <w:shd w:val="clear" w:color="auto" w:fill="auto"/>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c>
          <w:tcPr>
            <w:tcW w:w="2410" w:type="dxa"/>
            <w:tcBorders>
              <w:top w:val="nil"/>
              <w:left w:val="nil"/>
              <w:bottom w:val="single" w:sz="4" w:space="0" w:color="auto"/>
              <w:right w:val="single" w:sz="4" w:space="0" w:color="auto"/>
            </w:tcBorders>
            <w:shd w:val="clear" w:color="auto" w:fill="auto"/>
            <w:noWrap/>
            <w:vAlign w:val="center"/>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 </w:t>
            </w:r>
          </w:p>
        </w:tc>
      </w:tr>
    </w:tbl>
    <w:p w:rsidR="004B269B" w:rsidRPr="004B269B" w:rsidRDefault="004B269B" w:rsidP="004B269B">
      <w:pPr>
        <w:spacing w:after="0" w:line="240" w:lineRule="auto"/>
        <w:ind w:firstLine="720"/>
        <w:jc w:val="both"/>
        <w:rPr>
          <w:rFonts w:ascii="Arial" w:eastAsia="Arial Unicode MS" w:hAnsi="Arial" w:cs="Arial"/>
          <w:sz w:val="24"/>
          <w:szCs w:val="24"/>
          <w:lang w:val="ro-RO" w:eastAsia="ro-RO"/>
        </w:rPr>
      </w:pPr>
    </w:p>
    <w:p w:rsidR="004B269B" w:rsidRPr="004B269B" w:rsidRDefault="004B269B" w:rsidP="004B269B">
      <w:pPr>
        <w:spacing w:after="120" w:line="240" w:lineRule="auto"/>
        <w:rPr>
          <w:rFonts w:ascii="Arial" w:eastAsia="SimSun" w:hAnsi="Arial" w:cs="Arial"/>
          <w:sz w:val="20"/>
          <w:szCs w:val="20"/>
          <w:lang w:val="en-GB"/>
        </w:rPr>
      </w:pPr>
      <w:r w:rsidRPr="004B269B">
        <w:rPr>
          <w:rFonts w:ascii="Arial" w:eastAsia="Times New Roman" w:hAnsi="Arial" w:cs="Arial"/>
          <w:bCs/>
          <w:sz w:val="24"/>
          <w:szCs w:val="24"/>
        </w:rPr>
        <w:t>Tabelul II.5</w:t>
      </w:r>
      <w:r w:rsidRPr="004B269B">
        <w:rPr>
          <w:rFonts w:ascii="Arial" w:eastAsia="Times New Roman" w:hAnsi="Arial" w:cs="Arial"/>
          <w:bCs/>
          <w:i/>
          <w:sz w:val="24"/>
          <w:szCs w:val="24"/>
        </w:rPr>
        <w:t xml:space="preserve"> </w:t>
      </w:r>
      <w:r w:rsidRPr="004B269B">
        <w:rPr>
          <w:rFonts w:ascii="Arial" w:eastAsia="Times New Roman" w:hAnsi="Arial" w:cs="Arial"/>
          <w:bCs/>
          <w:sz w:val="24"/>
          <w:szCs w:val="24"/>
        </w:rPr>
        <w:t xml:space="preserve">Baraje care realizează acumulări permanente- judeţ Vaslui </w:t>
      </w:r>
      <w:r w:rsidRPr="004B269B">
        <w:rPr>
          <w:rFonts w:ascii="Arial" w:eastAsia="Times New Roman" w:hAnsi="Arial" w:cs="Arial"/>
          <w:bCs/>
          <w:sz w:val="20"/>
          <w:szCs w:val="20"/>
        </w:rPr>
        <w:t>(sursa: Planul de management al riscului la inundaţii – ABA Prut Bârlad iunie 2015)</w:t>
      </w:r>
    </w:p>
    <w:tbl>
      <w:tblPr>
        <w:tblW w:w="13213" w:type="dxa"/>
        <w:tblCellMar>
          <w:left w:w="30" w:type="dxa"/>
          <w:right w:w="30" w:type="dxa"/>
        </w:tblCellMar>
        <w:tblLook w:val="0000" w:firstRow="0" w:lastRow="0" w:firstColumn="0" w:lastColumn="0" w:noHBand="0" w:noVBand="0"/>
      </w:tblPr>
      <w:tblGrid>
        <w:gridCol w:w="664"/>
        <w:gridCol w:w="2874"/>
        <w:gridCol w:w="1638"/>
        <w:gridCol w:w="3712"/>
        <w:gridCol w:w="1750"/>
        <w:gridCol w:w="991"/>
        <w:gridCol w:w="1584"/>
      </w:tblGrid>
      <w:tr w:rsidR="004B269B" w:rsidRPr="004B269B" w:rsidTr="00080B9C">
        <w:trPr>
          <w:cantSplit/>
          <w:tblHeader/>
        </w:trPr>
        <w:tc>
          <w:tcPr>
            <w:tcW w:w="0" w:type="auto"/>
            <w:tcBorders>
              <w:top w:val="single" w:sz="12" w:space="0" w:color="auto"/>
              <w:left w:val="single" w:sz="12" w:space="0" w:color="auto"/>
              <w:bottom w:val="single" w:sz="12" w:space="0" w:color="auto"/>
              <w:right w:val="single" w:sz="12" w:space="0" w:color="auto"/>
            </w:tcBorders>
            <w:vAlign w:val="center"/>
          </w:tcPr>
          <w:p w:rsidR="004B269B" w:rsidRPr="004B269B" w:rsidRDefault="004B269B" w:rsidP="004B269B">
            <w:pPr>
              <w:autoSpaceDE w:val="0"/>
              <w:autoSpaceDN w:val="0"/>
              <w:adjustRightInd w:val="0"/>
              <w:spacing w:after="0" w:line="240" w:lineRule="auto"/>
              <w:jc w:val="center"/>
              <w:rPr>
                <w:rFonts w:ascii="Arial" w:eastAsia="SimSun" w:hAnsi="Arial" w:cs="Arial"/>
                <w:b/>
                <w:bCs/>
                <w:sz w:val="20"/>
                <w:szCs w:val="20"/>
              </w:rPr>
            </w:pPr>
            <w:r w:rsidRPr="004B269B">
              <w:rPr>
                <w:rFonts w:ascii="Arial" w:eastAsia="SimSun" w:hAnsi="Arial" w:cs="Arial"/>
                <w:b/>
                <w:bCs/>
                <w:sz w:val="20"/>
                <w:szCs w:val="20"/>
              </w:rPr>
              <w:t>Nr. crt</w:t>
            </w:r>
          </w:p>
        </w:tc>
        <w:tc>
          <w:tcPr>
            <w:tcW w:w="0" w:type="auto"/>
            <w:tcBorders>
              <w:top w:val="single" w:sz="12" w:space="0" w:color="auto"/>
              <w:left w:val="single" w:sz="12" w:space="0" w:color="auto"/>
              <w:bottom w:val="single" w:sz="12" w:space="0" w:color="auto"/>
              <w:right w:val="single" w:sz="12" w:space="0" w:color="auto"/>
            </w:tcBorders>
            <w:vAlign w:val="center"/>
          </w:tcPr>
          <w:p w:rsidR="004B269B" w:rsidRPr="004B269B" w:rsidRDefault="004B269B" w:rsidP="004B269B">
            <w:pPr>
              <w:autoSpaceDE w:val="0"/>
              <w:autoSpaceDN w:val="0"/>
              <w:adjustRightInd w:val="0"/>
              <w:spacing w:after="0" w:line="240" w:lineRule="auto"/>
              <w:jc w:val="center"/>
              <w:rPr>
                <w:rFonts w:ascii="Arial" w:eastAsia="SimSun" w:hAnsi="Arial" w:cs="Arial"/>
                <w:b/>
                <w:bCs/>
                <w:sz w:val="20"/>
                <w:szCs w:val="20"/>
              </w:rPr>
            </w:pPr>
            <w:r w:rsidRPr="004B269B">
              <w:rPr>
                <w:rFonts w:ascii="Arial" w:eastAsia="SimSun" w:hAnsi="Arial" w:cs="Arial"/>
                <w:b/>
                <w:bCs/>
                <w:sz w:val="20"/>
                <w:szCs w:val="20"/>
              </w:rPr>
              <w:t>Denumire baraj / acumulare</w:t>
            </w:r>
          </w:p>
        </w:tc>
        <w:tc>
          <w:tcPr>
            <w:tcW w:w="0" w:type="auto"/>
            <w:tcBorders>
              <w:top w:val="single" w:sz="12" w:space="0" w:color="auto"/>
              <w:left w:val="single" w:sz="12" w:space="0" w:color="auto"/>
              <w:bottom w:val="single" w:sz="12" w:space="0" w:color="auto"/>
              <w:right w:val="single" w:sz="12" w:space="0" w:color="auto"/>
            </w:tcBorders>
            <w:vAlign w:val="center"/>
          </w:tcPr>
          <w:p w:rsidR="004B269B" w:rsidRPr="004B269B" w:rsidRDefault="004B269B" w:rsidP="004B269B">
            <w:pPr>
              <w:autoSpaceDE w:val="0"/>
              <w:autoSpaceDN w:val="0"/>
              <w:adjustRightInd w:val="0"/>
              <w:spacing w:after="0" w:line="240" w:lineRule="auto"/>
              <w:jc w:val="center"/>
              <w:rPr>
                <w:rFonts w:ascii="Arial" w:eastAsia="SimSun" w:hAnsi="Arial" w:cs="Arial"/>
                <w:b/>
                <w:bCs/>
                <w:sz w:val="20"/>
                <w:szCs w:val="20"/>
              </w:rPr>
            </w:pPr>
            <w:r w:rsidRPr="004B269B">
              <w:rPr>
                <w:rFonts w:ascii="Arial" w:eastAsia="SimSun" w:hAnsi="Arial" w:cs="Arial"/>
                <w:b/>
                <w:bCs/>
                <w:sz w:val="20"/>
                <w:szCs w:val="20"/>
              </w:rPr>
              <w:t>Râul</w:t>
            </w:r>
          </w:p>
        </w:tc>
        <w:tc>
          <w:tcPr>
            <w:tcW w:w="0" w:type="auto"/>
            <w:tcBorders>
              <w:top w:val="single" w:sz="12" w:space="0" w:color="auto"/>
              <w:left w:val="single" w:sz="12" w:space="0" w:color="auto"/>
              <w:bottom w:val="single" w:sz="12" w:space="0" w:color="auto"/>
              <w:right w:val="single" w:sz="12" w:space="0" w:color="auto"/>
            </w:tcBorders>
            <w:vAlign w:val="center"/>
          </w:tcPr>
          <w:p w:rsidR="004B269B" w:rsidRPr="004B269B" w:rsidRDefault="004B269B" w:rsidP="004B269B">
            <w:pPr>
              <w:autoSpaceDE w:val="0"/>
              <w:autoSpaceDN w:val="0"/>
              <w:adjustRightInd w:val="0"/>
              <w:spacing w:after="0" w:line="240" w:lineRule="auto"/>
              <w:jc w:val="center"/>
              <w:rPr>
                <w:rFonts w:ascii="Arial" w:eastAsia="SimSun" w:hAnsi="Arial" w:cs="Arial"/>
                <w:b/>
                <w:bCs/>
                <w:sz w:val="20"/>
                <w:szCs w:val="20"/>
              </w:rPr>
            </w:pPr>
            <w:r w:rsidRPr="004B269B">
              <w:rPr>
                <w:rFonts w:ascii="Arial" w:eastAsia="SimSun" w:hAnsi="Arial" w:cs="Arial"/>
                <w:b/>
                <w:bCs/>
                <w:sz w:val="20"/>
                <w:szCs w:val="20"/>
              </w:rPr>
              <w:t>Cea mai apropiată comună / localitate</w:t>
            </w:r>
          </w:p>
        </w:tc>
        <w:tc>
          <w:tcPr>
            <w:tcW w:w="0" w:type="auto"/>
            <w:tcBorders>
              <w:top w:val="single" w:sz="12" w:space="0" w:color="auto"/>
              <w:left w:val="single" w:sz="12" w:space="0" w:color="auto"/>
              <w:bottom w:val="single" w:sz="12" w:space="0" w:color="auto"/>
              <w:right w:val="single" w:sz="12" w:space="0" w:color="auto"/>
            </w:tcBorders>
            <w:vAlign w:val="center"/>
          </w:tcPr>
          <w:p w:rsidR="004B269B" w:rsidRPr="004B269B" w:rsidRDefault="004B269B" w:rsidP="004B269B">
            <w:pPr>
              <w:autoSpaceDE w:val="0"/>
              <w:autoSpaceDN w:val="0"/>
              <w:adjustRightInd w:val="0"/>
              <w:spacing w:after="0" w:line="240" w:lineRule="auto"/>
              <w:jc w:val="center"/>
              <w:rPr>
                <w:rFonts w:ascii="Arial" w:eastAsia="SimSun" w:hAnsi="Arial" w:cs="Arial"/>
                <w:b/>
                <w:bCs/>
                <w:sz w:val="20"/>
                <w:szCs w:val="20"/>
              </w:rPr>
            </w:pPr>
            <w:r w:rsidRPr="004B269B">
              <w:rPr>
                <w:rFonts w:ascii="Arial" w:eastAsia="SimSun" w:hAnsi="Arial" w:cs="Arial"/>
                <w:b/>
                <w:bCs/>
                <w:sz w:val="20"/>
                <w:szCs w:val="20"/>
              </w:rPr>
              <w:t>Înălţime baraj (m)</w:t>
            </w:r>
          </w:p>
        </w:tc>
        <w:tc>
          <w:tcPr>
            <w:tcW w:w="0" w:type="auto"/>
            <w:tcBorders>
              <w:top w:val="single" w:sz="12" w:space="0" w:color="auto"/>
              <w:left w:val="single" w:sz="12" w:space="0" w:color="auto"/>
              <w:bottom w:val="single" w:sz="12" w:space="0" w:color="auto"/>
              <w:right w:val="single" w:sz="12" w:space="0" w:color="auto"/>
            </w:tcBorders>
            <w:vAlign w:val="center"/>
          </w:tcPr>
          <w:p w:rsidR="004B269B" w:rsidRPr="004B269B" w:rsidRDefault="004B269B" w:rsidP="004B269B">
            <w:pPr>
              <w:autoSpaceDE w:val="0"/>
              <w:autoSpaceDN w:val="0"/>
              <w:adjustRightInd w:val="0"/>
              <w:spacing w:after="0" w:line="240" w:lineRule="auto"/>
              <w:jc w:val="center"/>
              <w:rPr>
                <w:rFonts w:ascii="Arial" w:eastAsia="SimSun" w:hAnsi="Arial" w:cs="Arial"/>
                <w:b/>
                <w:bCs/>
                <w:sz w:val="20"/>
                <w:szCs w:val="20"/>
              </w:rPr>
            </w:pPr>
            <w:r w:rsidRPr="004B269B">
              <w:rPr>
                <w:rFonts w:ascii="Arial" w:eastAsia="SimSun" w:hAnsi="Arial" w:cs="Arial"/>
                <w:b/>
                <w:bCs/>
                <w:sz w:val="20"/>
                <w:szCs w:val="20"/>
              </w:rPr>
              <w:t>Tip baraj*</w:t>
            </w:r>
          </w:p>
        </w:tc>
        <w:tc>
          <w:tcPr>
            <w:tcW w:w="1584" w:type="dxa"/>
            <w:tcBorders>
              <w:top w:val="single" w:sz="12" w:space="0" w:color="auto"/>
              <w:left w:val="single" w:sz="12" w:space="0" w:color="auto"/>
              <w:bottom w:val="single" w:sz="12" w:space="0" w:color="auto"/>
              <w:right w:val="single" w:sz="12" w:space="0" w:color="auto"/>
            </w:tcBorders>
            <w:vAlign w:val="center"/>
          </w:tcPr>
          <w:p w:rsidR="004B269B" w:rsidRPr="004B269B" w:rsidRDefault="004B269B" w:rsidP="004B269B">
            <w:pPr>
              <w:autoSpaceDE w:val="0"/>
              <w:autoSpaceDN w:val="0"/>
              <w:adjustRightInd w:val="0"/>
              <w:spacing w:after="0" w:line="240" w:lineRule="auto"/>
              <w:jc w:val="center"/>
              <w:rPr>
                <w:rFonts w:ascii="Arial" w:eastAsia="SimSun" w:hAnsi="Arial" w:cs="Arial"/>
                <w:b/>
                <w:bCs/>
                <w:sz w:val="20"/>
                <w:szCs w:val="20"/>
              </w:rPr>
            </w:pPr>
            <w:r w:rsidRPr="004B269B">
              <w:rPr>
                <w:rFonts w:ascii="Arial" w:eastAsia="SimSun" w:hAnsi="Arial" w:cs="Arial"/>
                <w:b/>
                <w:bCs/>
                <w:sz w:val="20"/>
                <w:szCs w:val="20"/>
              </w:rPr>
              <w:t>Folosinţe**</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19</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Mânjeşti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Crasna</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Crasna / Albeşti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13.7</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V,I,P</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20</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Delea</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Delea</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Mun. Vaslui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17</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V,P</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21</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Poşta Elan</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Elan</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Poşta Elan / Vutcani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10.9</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V,A,P</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22</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Moara Domnească</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Fereşti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Moara Domnească /Văleni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7</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V,P</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23</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Fereşti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Fereşti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Fereşti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6</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V</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24</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Pungeşti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Garceneanca</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Pungeşti/Pungeşti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11.5</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V,P</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25</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Dumeşti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Găureni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Dumeşti/Dumeşti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9</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V,P</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26</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Roşieşti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Idrici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Roşieşti/Roşieşti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10.9</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V</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28</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Puşcaşi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Racova</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Puşcaşi/Puşcaşi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16</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PM</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V,A,P</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29</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Trohan</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Racova</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Trohan/Gârceni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10</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V,P</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31</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Tăcuta</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Rediu</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Tăcuta/Tăcuta</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11.6</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V,I,P</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32</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Rediu Galian</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Rediu</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 xml:space="preserve"> Rediu Galian/Codăeşti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9.5</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V,P</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34</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Râpa Albastră</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Simila</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am. mun. Bârlad</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17.8</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PA</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V,A,P</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36</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Căzăneşti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Stavnic</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Căzăneşti/oraş Negreşti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14.5</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V,A,P</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37</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Corodeşti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Studinet</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Corodeşti/Ghergheşti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10</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V,P</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38</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Cuibul Vulturilor</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Tutova</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Ciocani/Ciocani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17</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PA</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V,A,P</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lastRenderedPageBreak/>
              <w:t>39</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Soleşti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Vaslui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Soleşti/Soleşti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13.7</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V,A,P</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184</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Tanacu (Bahna)</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Burghina</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Beneşti/Tanacu</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4.5</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P,V</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185</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Urlaţi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Elan</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Urlati/Dimitrie Cantemir</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6</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P,V</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186</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Epureni I    (Benta 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Recea</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Epureni/Duda Epureni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4.7</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P,V</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187</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Epureni II (Benta II)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Recea</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Epureni/Duda Epureni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7.4</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188</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Recea II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Recea</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Huşi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4</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P,V</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189</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Morăreni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Simila</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Morăreni/Alexandru Vlahuţă</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5</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P,V</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308</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Blageşti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Blăgeşti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Boţeşti/Gugeşti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4</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P,V,X</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309</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Mantu II (pepiniera)</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Blăgeşti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Gugeşti/Boţeşti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3</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310</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Mantu III (pepiniera)</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Blăgeşti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Gugeşti/Boţeşti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4.5</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311</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Mantu IV</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Blăgeşti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Gugeşti/Boţeşti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2.9</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P,V</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312</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Mantu V</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Blăgeşti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Gugeşti/Boţeşti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3.4</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P,V</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313</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Stroieşti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Blăgeşti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Stroieşti/Tătărăni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6</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314</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Tanacu (Topu)</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Burghina</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Beneşti/Tanacu</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5.9</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P,V</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315</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Chiţoc 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Chiţoc</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Chiţoc/Lipovăţ</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6</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P,V</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316</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Lipovăţ</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Chiţoc</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Lipovăţ /Lipovăţ</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6</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 V</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317</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Dumbrava</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Gârbovăţ</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Pochidia /Pochidia</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5</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P,V</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318</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Deleni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Ghilahoi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Deleni/Deleni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8</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I, V</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319</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Mantu 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Gugu</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Gugeşti/Boteşti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4.8</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P,V</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320</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Alexandru Vlahuţă I (pepiniera)</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Simila</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Alexandru Vlahuţă/ Alexandru Vlahuţă</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2</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321</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Alexandru Vlahuţă  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Simila</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Alexandru Vlahuţă / Alexandru Vlahuţă</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3</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P,V</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322</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Alexandru Vlahuţă II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Simila</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Alexandru Vlahuţă / Alexandru Vlahuţă</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5.6</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P,V</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323</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Buznoaia</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Telejna</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Telejna/Zăpodeni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4</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P,V</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324</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Alexeşti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Velna</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Negreşti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4.7</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V</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325</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Negreşti 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Velna</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Negreşti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4.6</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P,V</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326</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 xml:space="preserve">Negreşti II </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Velna</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Negreşti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3.3</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327</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Negreşti III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Velna</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Negreşti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5.3</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P,V</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328</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Negreşti III (elesteu)</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Velna</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Negreşti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3</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381</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Bălţaţi III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Bălţaţi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Tătărăni/Bălţaţi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4</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V</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382</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Guşiţei-Iaz</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Elan</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Guşiţei/Dimitrie Cantemir</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3</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SBML</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383</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Boţeşti 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Găneşti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 xml:space="preserve">Boţeşti/Boţeşti </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9</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V</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384</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Boţeşti II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Găneşti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Boţeşti/Boţeşti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5</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V</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385</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Tăbălăeşti 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Găneşti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Tăbălăeşti/Buneşti Avereşti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4</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P,V,X</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386</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Tăbălăeşti II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Găneşti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Tăbălăeşti/Buneşti Avereşti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6</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P,V</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387</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Tăbălăeşti IV</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Găneşti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Tăbălăeşti/Buneşti Avereşti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2.5</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P,V</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388</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Fundu Văii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Miceşti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Fundu Văii /Poieneşti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7</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V</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389</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Hoceni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Oţeleni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Oţeleni/Hoceni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2</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390</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Recea 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Recea</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Husi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4</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PM</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R,X</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lastRenderedPageBreak/>
              <w:t>391</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Buda</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Simila</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Buda/Alexandru Vlahuţă</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4</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P,V</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392</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Odaia Bursucani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Odaia Bursucani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Odaia Bursucani/Griviţa</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5</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393</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Zăpodeni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Telejna</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Zăpodeni/Zăpodeni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6</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P,V</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394</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Grădina I (Tanacu 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Torent Grădina</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Tanacu/Tanacu</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3.5</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V</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395</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Grădina II (Tanacu II)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Torent Grădina</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Tanacu/Tanacu</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3.5</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V</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396</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Docăneasa</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Torent Risipa</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Docăneasa/Vinderei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5</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V</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397</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Tăbălăeşti III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Valea Mândreşti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Tăbălăeşti/Buneşti Avereşti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6</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P,V</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415</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Chiţoc II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Chiţoc</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Chiţoc/Lipovăţ</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4.5</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416</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Delea</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Delea</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Vaslui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3</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417</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Lohan</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Lohan</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Bobeşti/Duda Epureni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8</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P,V</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418</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Rogoaza 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 xml:space="preserve">Oţeleni </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Oţeleni/Hoceni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4.3</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419</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Rogoaza II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 xml:space="preserve">Oţeleni </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Oţeleni/Hoceni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4</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420</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Floreşti III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Simila</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Floreşti/Poieneşti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6.5</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421</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Floreşti II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Simila (Gadeasa)</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Floreşti/Poieneşti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5</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P,V</w:t>
            </w:r>
          </w:p>
        </w:tc>
      </w:tr>
      <w:tr w:rsidR="004B269B" w:rsidRPr="004B269B" w:rsidTr="00080B9C">
        <w:trPr>
          <w:cantSplit/>
        </w:trPr>
        <w:tc>
          <w:tcPr>
            <w:tcW w:w="0" w:type="auto"/>
            <w:tcBorders>
              <w:top w:val="single" w:sz="6" w:space="0" w:color="auto"/>
              <w:left w:val="single" w:sz="6" w:space="0" w:color="auto"/>
              <w:bottom w:val="single" w:sz="6" w:space="0" w:color="auto"/>
              <w:right w:val="single" w:sz="6" w:space="0" w:color="auto"/>
            </w:tcBorders>
          </w:tcPr>
          <w:p w:rsidR="004B269B" w:rsidRPr="004B269B" w:rsidRDefault="004B269B" w:rsidP="004B269B">
            <w:pPr>
              <w:autoSpaceDE w:val="0"/>
              <w:autoSpaceDN w:val="0"/>
              <w:adjustRightInd w:val="0"/>
              <w:spacing w:after="0" w:line="240" w:lineRule="auto"/>
              <w:jc w:val="center"/>
              <w:rPr>
                <w:rFonts w:ascii="Arial" w:eastAsia="SimSun" w:hAnsi="Arial" w:cs="Arial"/>
                <w:sz w:val="20"/>
                <w:szCs w:val="20"/>
              </w:rPr>
            </w:pPr>
            <w:r w:rsidRPr="004B269B">
              <w:rPr>
                <w:rFonts w:ascii="Arial" w:eastAsia="SimSun" w:hAnsi="Arial" w:cs="Arial"/>
                <w:sz w:val="20"/>
                <w:szCs w:val="20"/>
              </w:rPr>
              <w:t>422</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Floreşti 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Simila (Gadeasa)</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Floreşti/Poieneşti</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5.1</w:t>
            </w:r>
          </w:p>
        </w:tc>
        <w:tc>
          <w:tcPr>
            <w:tcW w:w="0" w:type="auto"/>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PO</w:t>
            </w:r>
          </w:p>
        </w:tc>
        <w:tc>
          <w:tcPr>
            <w:tcW w:w="1584" w:type="dxa"/>
            <w:tcBorders>
              <w:top w:val="single" w:sz="6" w:space="0" w:color="auto"/>
              <w:left w:val="single" w:sz="6" w:space="0" w:color="auto"/>
              <w:bottom w:val="single" w:sz="6" w:space="0" w:color="auto"/>
              <w:right w:val="single" w:sz="6" w:space="0" w:color="auto"/>
            </w:tcBorders>
            <w:vAlign w:val="center"/>
          </w:tcPr>
          <w:p w:rsidR="004B269B" w:rsidRPr="004B269B" w:rsidRDefault="004B269B" w:rsidP="004B269B">
            <w:pPr>
              <w:autoSpaceDE w:val="0"/>
              <w:autoSpaceDN w:val="0"/>
              <w:adjustRightInd w:val="0"/>
              <w:spacing w:after="0" w:line="240" w:lineRule="auto"/>
              <w:rPr>
                <w:rFonts w:ascii="Arial" w:eastAsia="SimSun" w:hAnsi="Arial" w:cs="Arial"/>
                <w:sz w:val="20"/>
                <w:szCs w:val="20"/>
              </w:rPr>
            </w:pPr>
            <w:r w:rsidRPr="004B269B">
              <w:rPr>
                <w:rFonts w:ascii="Arial" w:eastAsia="SimSun" w:hAnsi="Arial" w:cs="Arial"/>
                <w:sz w:val="20"/>
                <w:szCs w:val="20"/>
              </w:rPr>
              <w:t>P</w:t>
            </w:r>
          </w:p>
        </w:tc>
      </w:tr>
    </w:tbl>
    <w:p w:rsidR="004B269B" w:rsidRPr="004B269B" w:rsidRDefault="004B269B" w:rsidP="004B269B">
      <w:pPr>
        <w:spacing w:after="0" w:line="240" w:lineRule="auto"/>
        <w:ind w:firstLine="720"/>
        <w:jc w:val="both"/>
        <w:rPr>
          <w:rFonts w:ascii="Arial" w:eastAsia="Arial Unicode MS" w:hAnsi="Arial" w:cs="Arial"/>
          <w:sz w:val="24"/>
          <w:szCs w:val="24"/>
          <w:lang w:val="ro-RO" w:eastAsia="ro-RO"/>
        </w:rPr>
      </w:pPr>
    </w:p>
    <w:tbl>
      <w:tblPr>
        <w:tblW w:w="0" w:type="auto"/>
        <w:tblInd w:w="93" w:type="dxa"/>
        <w:tblLook w:val="04A0" w:firstRow="1" w:lastRow="0" w:firstColumn="1" w:lastColumn="0" w:noHBand="0" w:noVBand="1"/>
      </w:tblPr>
      <w:tblGrid>
        <w:gridCol w:w="726"/>
        <w:gridCol w:w="5039"/>
        <w:gridCol w:w="1207"/>
        <w:gridCol w:w="5119"/>
        <w:gridCol w:w="222"/>
        <w:gridCol w:w="222"/>
        <w:gridCol w:w="222"/>
        <w:gridCol w:w="222"/>
      </w:tblGrid>
      <w:tr w:rsidR="004B269B" w:rsidRPr="004B269B" w:rsidTr="00080B9C">
        <w:trPr>
          <w:trHeight w:val="70"/>
        </w:trPr>
        <w:tc>
          <w:tcPr>
            <w:tcW w:w="0" w:type="auto"/>
            <w:vAlign w:val="bottom"/>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w:t>
            </w:r>
          </w:p>
        </w:tc>
        <w:tc>
          <w:tcPr>
            <w:tcW w:w="0" w:type="auto"/>
            <w:vAlign w:val="bottom"/>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b/>
                <w:bCs/>
                <w:sz w:val="18"/>
                <w:szCs w:val="18"/>
              </w:rPr>
              <w:t>Tip baraj</w:t>
            </w:r>
          </w:p>
        </w:tc>
        <w:tc>
          <w:tcPr>
            <w:tcW w:w="0" w:type="auto"/>
            <w:vAlign w:val="bottom"/>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 xml:space="preserve">** </w:t>
            </w:r>
            <w:r w:rsidRPr="004B269B">
              <w:rPr>
                <w:rFonts w:ascii="Arial" w:eastAsia="Times New Roman" w:hAnsi="Arial" w:cs="Arial"/>
                <w:b/>
                <w:bCs/>
                <w:sz w:val="18"/>
                <w:szCs w:val="18"/>
              </w:rPr>
              <w:t>Folosinţe</w:t>
            </w:r>
          </w:p>
        </w:tc>
        <w:tc>
          <w:tcPr>
            <w:tcW w:w="0" w:type="auto"/>
          </w:tcPr>
          <w:p w:rsidR="004B269B" w:rsidRPr="004B269B" w:rsidRDefault="004B269B" w:rsidP="004B269B">
            <w:pPr>
              <w:spacing w:after="0" w:line="240" w:lineRule="auto"/>
              <w:rPr>
                <w:rFonts w:ascii="Arial" w:eastAsia="Times New Roman" w:hAnsi="Arial" w:cs="Arial"/>
                <w:b/>
                <w:bCs/>
                <w:sz w:val="18"/>
                <w:szCs w:val="18"/>
              </w:rPr>
            </w:pPr>
          </w:p>
        </w:tc>
        <w:tc>
          <w:tcPr>
            <w:tcW w:w="0" w:type="auto"/>
          </w:tcPr>
          <w:p w:rsidR="004B269B" w:rsidRPr="004B269B" w:rsidRDefault="004B269B" w:rsidP="004B269B">
            <w:pPr>
              <w:spacing w:after="0" w:line="240" w:lineRule="auto"/>
              <w:rPr>
                <w:rFonts w:ascii="Arial" w:eastAsia="Times New Roman" w:hAnsi="Arial" w:cs="Arial"/>
                <w:b/>
                <w:bCs/>
                <w:sz w:val="18"/>
                <w:szCs w:val="18"/>
              </w:rPr>
            </w:pPr>
          </w:p>
        </w:tc>
        <w:tc>
          <w:tcPr>
            <w:tcW w:w="0" w:type="auto"/>
          </w:tcPr>
          <w:p w:rsidR="004B269B" w:rsidRPr="004B269B" w:rsidRDefault="004B269B" w:rsidP="004B269B">
            <w:pPr>
              <w:spacing w:after="0" w:line="240" w:lineRule="auto"/>
              <w:rPr>
                <w:rFonts w:ascii="Arial" w:eastAsia="Times New Roman" w:hAnsi="Arial" w:cs="Arial"/>
                <w:b/>
                <w:bCs/>
                <w:sz w:val="18"/>
                <w:szCs w:val="18"/>
              </w:rPr>
            </w:pPr>
          </w:p>
        </w:tc>
        <w:tc>
          <w:tcPr>
            <w:tcW w:w="0" w:type="auto"/>
            <w:shd w:val="clear" w:color="auto" w:fill="auto"/>
            <w:noWrap/>
            <w:vAlign w:val="bottom"/>
            <w:hideMark/>
          </w:tcPr>
          <w:p w:rsidR="004B269B" w:rsidRPr="004B269B" w:rsidRDefault="004B269B" w:rsidP="004B269B">
            <w:pPr>
              <w:spacing w:after="0" w:line="240" w:lineRule="auto"/>
              <w:rPr>
                <w:rFonts w:ascii="Arial" w:eastAsia="Times New Roman" w:hAnsi="Arial" w:cs="Arial"/>
                <w:b/>
                <w:bCs/>
                <w:sz w:val="18"/>
                <w:szCs w:val="18"/>
              </w:rPr>
            </w:pPr>
          </w:p>
        </w:tc>
        <w:tc>
          <w:tcPr>
            <w:tcW w:w="0" w:type="auto"/>
            <w:shd w:val="clear" w:color="auto" w:fill="auto"/>
            <w:noWrap/>
            <w:vAlign w:val="bottom"/>
            <w:hideMark/>
          </w:tcPr>
          <w:p w:rsidR="004B269B" w:rsidRPr="004B269B" w:rsidRDefault="004B269B" w:rsidP="004B269B">
            <w:pPr>
              <w:spacing w:after="0" w:line="240" w:lineRule="auto"/>
              <w:rPr>
                <w:rFonts w:ascii="Arial" w:eastAsia="Times New Roman" w:hAnsi="Arial" w:cs="Arial"/>
                <w:i/>
                <w:iCs/>
                <w:sz w:val="18"/>
                <w:szCs w:val="18"/>
              </w:rPr>
            </w:pPr>
          </w:p>
        </w:tc>
      </w:tr>
      <w:tr w:rsidR="004B269B" w:rsidRPr="004B269B" w:rsidTr="00080B9C">
        <w:trPr>
          <w:trHeight w:val="70"/>
        </w:trPr>
        <w:tc>
          <w:tcPr>
            <w:tcW w:w="0" w:type="auto"/>
            <w:vAlign w:val="bottom"/>
          </w:tcPr>
          <w:p w:rsidR="004B269B" w:rsidRPr="004B269B" w:rsidRDefault="004B269B" w:rsidP="004B269B">
            <w:pPr>
              <w:spacing w:after="0" w:line="240" w:lineRule="auto"/>
              <w:rPr>
                <w:rFonts w:ascii="Arial" w:eastAsia="Times New Roman" w:hAnsi="Arial" w:cs="Arial"/>
                <w:b/>
                <w:bCs/>
                <w:sz w:val="18"/>
                <w:szCs w:val="18"/>
              </w:rPr>
            </w:pPr>
            <w:r w:rsidRPr="004B269B">
              <w:rPr>
                <w:rFonts w:ascii="Arial" w:eastAsia="Times New Roman" w:hAnsi="Arial" w:cs="Arial"/>
                <w:b/>
                <w:bCs/>
                <w:sz w:val="18"/>
                <w:szCs w:val="18"/>
              </w:rPr>
              <w:t>PO</w:t>
            </w:r>
          </w:p>
        </w:tc>
        <w:tc>
          <w:tcPr>
            <w:tcW w:w="0" w:type="auto"/>
            <w:vAlign w:val="bottom"/>
          </w:tcPr>
          <w:p w:rsidR="004B269B" w:rsidRPr="004B269B" w:rsidRDefault="004B269B" w:rsidP="004B269B">
            <w:pPr>
              <w:spacing w:after="0" w:line="240" w:lineRule="auto"/>
              <w:rPr>
                <w:rFonts w:ascii="Arial" w:eastAsia="Times New Roman" w:hAnsi="Arial" w:cs="Arial"/>
                <w:i/>
                <w:iCs/>
                <w:sz w:val="18"/>
                <w:szCs w:val="18"/>
              </w:rPr>
            </w:pPr>
            <w:r w:rsidRPr="004B269B">
              <w:rPr>
                <w:rFonts w:ascii="Arial" w:eastAsia="Times New Roman" w:hAnsi="Arial" w:cs="Arial"/>
                <w:i/>
                <w:iCs/>
                <w:sz w:val="18"/>
                <w:szCs w:val="18"/>
              </w:rPr>
              <w:t>Baraj de pământ omogen</w:t>
            </w:r>
          </w:p>
        </w:tc>
        <w:tc>
          <w:tcPr>
            <w:tcW w:w="0" w:type="auto"/>
            <w:vAlign w:val="bottom"/>
          </w:tcPr>
          <w:p w:rsidR="004B269B" w:rsidRPr="004B269B" w:rsidRDefault="004B269B" w:rsidP="004B269B">
            <w:pPr>
              <w:spacing w:after="0" w:line="240" w:lineRule="auto"/>
              <w:rPr>
                <w:rFonts w:ascii="Arial" w:eastAsia="Times New Roman" w:hAnsi="Arial" w:cs="Arial"/>
                <w:sz w:val="18"/>
                <w:szCs w:val="18"/>
              </w:rPr>
            </w:pPr>
          </w:p>
        </w:tc>
        <w:tc>
          <w:tcPr>
            <w:tcW w:w="0" w:type="auto"/>
            <w:vAlign w:val="bottom"/>
          </w:tcPr>
          <w:p w:rsidR="004B269B" w:rsidRPr="004B269B" w:rsidRDefault="004B269B" w:rsidP="004B269B">
            <w:pPr>
              <w:spacing w:after="0" w:line="240" w:lineRule="auto"/>
              <w:rPr>
                <w:rFonts w:ascii="Arial" w:eastAsia="Times New Roman" w:hAnsi="Arial" w:cs="Arial"/>
                <w:b/>
                <w:bCs/>
                <w:sz w:val="18"/>
                <w:szCs w:val="18"/>
              </w:rPr>
            </w:pPr>
            <w:r w:rsidRPr="004B269B">
              <w:rPr>
                <w:rFonts w:ascii="Arial" w:eastAsia="Times New Roman" w:hAnsi="Arial" w:cs="Arial"/>
                <w:b/>
                <w:bCs/>
                <w:sz w:val="18"/>
                <w:szCs w:val="18"/>
              </w:rPr>
              <w:t>V</w:t>
            </w:r>
            <w:r w:rsidRPr="004B269B">
              <w:rPr>
                <w:rFonts w:ascii="Arial" w:eastAsia="Times New Roman" w:hAnsi="Arial" w:cs="Arial"/>
                <w:sz w:val="18"/>
                <w:szCs w:val="18"/>
              </w:rPr>
              <w:t xml:space="preserve"> - apararea împotriva inundaţiilor</w:t>
            </w:r>
          </w:p>
        </w:tc>
        <w:tc>
          <w:tcPr>
            <w:tcW w:w="0" w:type="auto"/>
          </w:tcPr>
          <w:p w:rsidR="004B269B" w:rsidRPr="004B269B" w:rsidRDefault="004B269B" w:rsidP="004B269B">
            <w:pPr>
              <w:spacing w:after="0" w:line="240" w:lineRule="auto"/>
              <w:rPr>
                <w:rFonts w:ascii="Arial" w:eastAsia="Times New Roman" w:hAnsi="Arial" w:cs="Arial"/>
                <w:b/>
                <w:bCs/>
                <w:sz w:val="18"/>
                <w:szCs w:val="18"/>
              </w:rPr>
            </w:pPr>
          </w:p>
        </w:tc>
        <w:tc>
          <w:tcPr>
            <w:tcW w:w="0" w:type="auto"/>
          </w:tcPr>
          <w:p w:rsidR="004B269B" w:rsidRPr="004B269B" w:rsidRDefault="004B269B" w:rsidP="004B269B">
            <w:pPr>
              <w:spacing w:after="0" w:line="240" w:lineRule="auto"/>
              <w:rPr>
                <w:rFonts w:ascii="Arial" w:eastAsia="Times New Roman" w:hAnsi="Arial" w:cs="Arial"/>
                <w:b/>
                <w:bCs/>
                <w:sz w:val="18"/>
                <w:szCs w:val="18"/>
              </w:rPr>
            </w:pPr>
          </w:p>
        </w:tc>
        <w:tc>
          <w:tcPr>
            <w:tcW w:w="0" w:type="auto"/>
            <w:shd w:val="clear" w:color="auto" w:fill="auto"/>
            <w:noWrap/>
            <w:vAlign w:val="bottom"/>
          </w:tcPr>
          <w:p w:rsidR="004B269B" w:rsidRPr="004B269B" w:rsidRDefault="004B269B" w:rsidP="004B269B">
            <w:pPr>
              <w:spacing w:after="0" w:line="240" w:lineRule="auto"/>
              <w:rPr>
                <w:rFonts w:ascii="Arial" w:eastAsia="Times New Roman" w:hAnsi="Arial" w:cs="Arial"/>
                <w:b/>
                <w:bCs/>
                <w:sz w:val="18"/>
                <w:szCs w:val="18"/>
              </w:rPr>
            </w:pPr>
          </w:p>
        </w:tc>
        <w:tc>
          <w:tcPr>
            <w:tcW w:w="0" w:type="auto"/>
            <w:shd w:val="clear" w:color="auto" w:fill="auto"/>
            <w:noWrap/>
            <w:vAlign w:val="bottom"/>
          </w:tcPr>
          <w:p w:rsidR="004B269B" w:rsidRPr="004B269B" w:rsidRDefault="004B269B" w:rsidP="004B269B">
            <w:pPr>
              <w:spacing w:after="0" w:line="240" w:lineRule="auto"/>
              <w:rPr>
                <w:rFonts w:ascii="Arial" w:eastAsia="Times New Roman" w:hAnsi="Arial" w:cs="Arial"/>
                <w:i/>
                <w:iCs/>
                <w:sz w:val="18"/>
                <w:szCs w:val="18"/>
              </w:rPr>
            </w:pPr>
          </w:p>
        </w:tc>
      </w:tr>
      <w:tr w:rsidR="004B269B" w:rsidRPr="004B269B" w:rsidTr="00080B9C">
        <w:trPr>
          <w:trHeight w:val="70"/>
        </w:trPr>
        <w:tc>
          <w:tcPr>
            <w:tcW w:w="0" w:type="auto"/>
            <w:vAlign w:val="bottom"/>
          </w:tcPr>
          <w:p w:rsidR="004B269B" w:rsidRPr="004B269B" w:rsidRDefault="004B269B" w:rsidP="004B269B">
            <w:pPr>
              <w:spacing w:after="0" w:line="240" w:lineRule="auto"/>
              <w:rPr>
                <w:rFonts w:ascii="Arial" w:eastAsia="Times New Roman" w:hAnsi="Arial" w:cs="Arial"/>
                <w:b/>
                <w:bCs/>
                <w:sz w:val="18"/>
                <w:szCs w:val="18"/>
              </w:rPr>
            </w:pPr>
            <w:r w:rsidRPr="004B269B">
              <w:rPr>
                <w:rFonts w:ascii="Arial" w:eastAsia="Times New Roman" w:hAnsi="Arial" w:cs="Arial"/>
                <w:b/>
                <w:bCs/>
                <w:sz w:val="18"/>
                <w:szCs w:val="18"/>
              </w:rPr>
              <w:t>PA</w:t>
            </w:r>
          </w:p>
        </w:tc>
        <w:tc>
          <w:tcPr>
            <w:tcW w:w="0" w:type="auto"/>
            <w:vAlign w:val="bottom"/>
          </w:tcPr>
          <w:p w:rsidR="004B269B" w:rsidRPr="004B269B" w:rsidRDefault="004B269B" w:rsidP="004B269B">
            <w:pPr>
              <w:spacing w:after="0" w:line="240" w:lineRule="auto"/>
              <w:rPr>
                <w:rFonts w:ascii="Arial" w:eastAsia="Times New Roman" w:hAnsi="Arial" w:cs="Arial"/>
                <w:i/>
                <w:iCs/>
                <w:sz w:val="18"/>
                <w:szCs w:val="18"/>
              </w:rPr>
            </w:pPr>
            <w:r w:rsidRPr="004B269B">
              <w:rPr>
                <w:rFonts w:ascii="Arial" w:eastAsia="Times New Roman" w:hAnsi="Arial" w:cs="Arial"/>
                <w:i/>
                <w:iCs/>
                <w:sz w:val="18"/>
                <w:szCs w:val="18"/>
              </w:rPr>
              <w:t>Baraj de pământ etanşat cu argile (pământ fin)</w:t>
            </w:r>
          </w:p>
        </w:tc>
        <w:tc>
          <w:tcPr>
            <w:tcW w:w="0" w:type="auto"/>
            <w:vAlign w:val="bottom"/>
          </w:tcPr>
          <w:p w:rsidR="004B269B" w:rsidRPr="004B269B" w:rsidRDefault="004B269B" w:rsidP="004B269B">
            <w:pPr>
              <w:spacing w:after="0" w:line="240" w:lineRule="auto"/>
              <w:rPr>
                <w:rFonts w:ascii="Arial" w:eastAsia="Times New Roman" w:hAnsi="Arial" w:cs="Arial"/>
                <w:i/>
                <w:iCs/>
                <w:sz w:val="18"/>
                <w:szCs w:val="18"/>
              </w:rPr>
            </w:pPr>
          </w:p>
        </w:tc>
        <w:tc>
          <w:tcPr>
            <w:tcW w:w="0" w:type="auto"/>
            <w:vAlign w:val="bottom"/>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b/>
                <w:bCs/>
                <w:sz w:val="18"/>
                <w:szCs w:val="18"/>
              </w:rPr>
              <w:t xml:space="preserve">I </w:t>
            </w:r>
            <w:r w:rsidRPr="004B269B">
              <w:rPr>
                <w:rFonts w:ascii="Arial" w:eastAsia="Times New Roman" w:hAnsi="Arial" w:cs="Arial"/>
                <w:sz w:val="18"/>
                <w:szCs w:val="18"/>
              </w:rPr>
              <w:t>- irigaţii</w:t>
            </w:r>
          </w:p>
        </w:tc>
        <w:tc>
          <w:tcPr>
            <w:tcW w:w="0" w:type="auto"/>
            <w:vAlign w:val="bottom"/>
          </w:tcPr>
          <w:p w:rsidR="004B269B" w:rsidRPr="004B269B" w:rsidRDefault="004B269B" w:rsidP="004B269B">
            <w:pPr>
              <w:spacing w:after="0" w:line="240" w:lineRule="auto"/>
              <w:rPr>
                <w:rFonts w:ascii="Arial" w:eastAsia="Times New Roman" w:hAnsi="Arial" w:cs="Arial"/>
                <w:sz w:val="18"/>
                <w:szCs w:val="18"/>
              </w:rPr>
            </w:pPr>
          </w:p>
        </w:tc>
        <w:tc>
          <w:tcPr>
            <w:tcW w:w="0" w:type="auto"/>
            <w:vAlign w:val="bottom"/>
          </w:tcPr>
          <w:p w:rsidR="004B269B" w:rsidRPr="004B269B" w:rsidRDefault="004B269B" w:rsidP="004B269B">
            <w:pPr>
              <w:spacing w:after="0" w:line="240" w:lineRule="auto"/>
              <w:rPr>
                <w:rFonts w:ascii="Arial" w:eastAsia="Times New Roman" w:hAnsi="Arial" w:cs="Arial"/>
                <w:b/>
                <w:bCs/>
                <w:sz w:val="18"/>
                <w:szCs w:val="18"/>
              </w:rPr>
            </w:pPr>
          </w:p>
        </w:tc>
        <w:tc>
          <w:tcPr>
            <w:tcW w:w="0" w:type="auto"/>
            <w:shd w:val="clear" w:color="auto" w:fill="auto"/>
            <w:noWrap/>
            <w:vAlign w:val="bottom"/>
          </w:tcPr>
          <w:p w:rsidR="004B269B" w:rsidRPr="004B269B" w:rsidRDefault="004B269B" w:rsidP="004B269B">
            <w:pPr>
              <w:spacing w:after="0" w:line="240" w:lineRule="auto"/>
              <w:rPr>
                <w:rFonts w:ascii="Arial" w:eastAsia="Times New Roman" w:hAnsi="Arial" w:cs="Arial"/>
                <w:b/>
                <w:bCs/>
                <w:sz w:val="18"/>
                <w:szCs w:val="18"/>
              </w:rPr>
            </w:pPr>
          </w:p>
        </w:tc>
        <w:tc>
          <w:tcPr>
            <w:tcW w:w="0" w:type="auto"/>
            <w:shd w:val="clear" w:color="auto" w:fill="auto"/>
            <w:noWrap/>
            <w:vAlign w:val="bottom"/>
          </w:tcPr>
          <w:p w:rsidR="004B269B" w:rsidRPr="004B269B" w:rsidRDefault="004B269B" w:rsidP="004B269B">
            <w:pPr>
              <w:spacing w:after="0" w:line="240" w:lineRule="auto"/>
              <w:rPr>
                <w:rFonts w:ascii="Arial" w:eastAsia="Times New Roman" w:hAnsi="Arial" w:cs="Arial"/>
                <w:i/>
                <w:iCs/>
                <w:sz w:val="18"/>
                <w:szCs w:val="18"/>
              </w:rPr>
            </w:pPr>
          </w:p>
        </w:tc>
      </w:tr>
      <w:tr w:rsidR="004B269B" w:rsidRPr="004B269B" w:rsidTr="00080B9C">
        <w:trPr>
          <w:trHeight w:val="70"/>
        </w:trPr>
        <w:tc>
          <w:tcPr>
            <w:tcW w:w="0" w:type="auto"/>
            <w:vAlign w:val="bottom"/>
          </w:tcPr>
          <w:p w:rsidR="004B269B" w:rsidRPr="004B269B" w:rsidRDefault="004B269B" w:rsidP="004B269B">
            <w:pPr>
              <w:spacing w:after="0" w:line="240" w:lineRule="auto"/>
              <w:rPr>
                <w:rFonts w:ascii="Arial" w:eastAsia="Times New Roman" w:hAnsi="Arial" w:cs="Arial"/>
                <w:b/>
                <w:bCs/>
                <w:sz w:val="18"/>
                <w:szCs w:val="18"/>
              </w:rPr>
            </w:pPr>
            <w:r w:rsidRPr="004B269B">
              <w:rPr>
                <w:rFonts w:ascii="Arial" w:eastAsia="Times New Roman" w:hAnsi="Arial" w:cs="Arial"/>
                <w:b/>
                <w:bCs/>
                <w:sz w:val="18"/>
                <w:szCs w:val="18"/>
              </w:rPr>
              <w:t>PM</w:t>
            </w:r>
          </w:p>
        </w:tc>
        <w:tc>
          <w:tcPr>
            <w:tcW w:w="0" w:type="auto"/>
            <w:vAlign w:val="bottom"/>
          </w:tcPr>
          <w:p w:rsidR="004B269B" w:rsidRPr="004B269B" w:rsidRDefault="004B269B" w:rsidP="004B269B">
            <w:pPr>
              <w:spacing w:after="0" w:line="240" w:lineRule="auto"/>
              <w:rPr>
                <w:rFonts w:ascii="Arial" w:eastAsia="Times New Roman" w:hAnsi="Arial" w:cs="Arial"/>
                <w:i/>
                <w:iCs/>
                <w:sz w:val="18"/>
                <w:szCs w:val="18"/>
              </w:rPr>
            </w:pPr>
            <w:r w:rsidRPr="004B269B">
              <w:rPr>
                <w:rFonts w:ascii="Arial" w:eastAsia="Times New Roman" w:hAnsi="Arial" w:cs="Arial"/>
                <w:i/>
                <w:iCs/>
                <w:sz w:val="18"/>
                <w:szCs w:val="18"/>
              </w:rPr>
              <w:t>Baraj de pământ etanşat cu mască amonte sau pereu</w:t>
            </w:r>
          </w:p>
        </w:tc>
        <w:tc>
          <w:tcPr>
            <w:tcW w:w="0" w:type="auto"/>
            <w:vAlign w:val="bottom"/>
          </w:tcPr>
          <w:p w:rsidR="004B269B" w:rsidRPr="004B269B" w:rsidRDefault="004B269B" w:rsidP="004B269B">
            <w:pPr>
              <w:spacing w:after="0" w:line="240" w:lineRule="auto"/>
              <w:rPr>
                <w:rFonts w:ascii="Arial" w:eastAsia="Times New Roman" w:hAnsi="Arial" w:cs="Arial"/>
                <w:i/>
                <w:iCs/>
                <w:sz w:val="18"/>
                <w:szCs w:val="18"/>
              </w:rPr>
            </w:pPr>
          </w:p>
        </w:tc>
        <w:tc>
          <w:tcPr>
            <w:tcW w:w="0" w:type="auto"/>
            <w:vAlign w:val="bottom"/>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b/>
                <w:bCs/>
                <w:sz w:val="18"/>
                <w:szCs w:val="18"/>
              </w:rPr>
              <w:t>A</w:t>
            </w:r>
            <w:r w:rsidRPr="004B269B">
              <w:rPr>
                <w:rFonts w:ascii="Arial" w:eastAsia="Times New Roman" w:hAnsi="Arial" w:cs="Arial"/>
                <w:sz w:val="18"/>
                <w:szCs w:val="18"/>
              </w:rPr>
              <w:t xml:space="preserve"> - alimentări cu apă</w:t>
            </w:r>
          </w:p>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b/>
                <w:bCs/>
                <w:sz w:val="18"/>
                <w:szCs w:val="18"/>
              </w:rPr>
              <w:t xml:space="preserve">R </w:t>
            </w:r>
            <w:r w:rsidRPr="004B269B">
              <w:rPr>
                <w:rFonts w:ascii="Arial" w:eastAsia="Times New Roman" w:hAnsi="Arial" w:cs="Arial"/>
                <w:sz w:val="18"/>
                <w:szCs w:val="18"/>
              </w:rPr>
              <w:t>- agrement (recreere)</w:t>
            </w:r>
          </w:p>
        </w:tc>
        <w:tc>
          <w:tcPr>
            <w:tcW w:w="0" w:type="auto"/>
            <w:vAlign w:val="bottom"/>
          </w:tcPr>
          <w:p w:rsidR="004B269B" w:rsidRPr="004B269B" w:rsidRDefault="004B269B" w:rsidP="004B269B">
            <w:pPr>
              <w:spacing w:after="0" w:line="240" w:lineRule="auto"/>
              <w:rPr>
                <w:rFonts w:ascii="Arial" w:eastAsia="Times New Roman" w:hAnsi="Arial" w:cs="Arial"/>
                <w:sz w:val="18"/>
                <w:szCs w:val="18"/>
              </w:rPr>
            </w:pPr>
          </w:p>
        </w:tc>
        <w:tc>
          <w:tcPr>
            <w:tcW w:w="0" w:type="auto"/>
            <w:vAlign w:val="bottom"/>
          </w:tcPr>
          <w:p w:rsidR="004B269B" w:rsidRPr="004B269B" w:rsidRDefault="004B269B" w:rsidP="004B269B">
            <w:pPr>
              <w:spacing w:after="0" w:line="240" w:lineRule="auto"/>
              <w:rPr>
                <w:rFonts w:ascii="Arial" w:eastAsia="Times New Roman" w:hAnsi="Arial" w:cs="Arial"/>
                <w:b/>
                <w:bCs/>
                <w:sz w:val="18"/>
                <w:szCs w:val="18"/>
              </w:rPr>
            </w:pPr>
          </w:p>
        </w:tc>
        <w:tc>
          <w:tcPr>
            <w:tcW w:w="0" w:type="auto"/>
            <w:shd w:val="clear" w:color="auto" w:fill="auto"/>
            <w:noWrap/>
            <w:vAlign w:val="bottom"/>
          </w:tcPr>
          <w:p w:rsidR="004B269B" w:rsidRPr="004B269B" w:rsidRDefault="004B269B" w:rsidP="004B269B">
            <w:pPr>
              <w:spacing w:after="0" w:line="240" w:lineRule="auto"/>
              <w:rPr>
                <w:rFonts w:ascii="Arial" w:eastAsia="Times New Roman" w:hAnsi="Arial" w:cs="Arial"/>
                <w:b/>
                <w:bCs/>
                <w:sz w:val="18"/>
                <w:szCs w:val="18"/>
              </w:rPr>
            </w:pPr>
          </w:p>
        </w:tc>
        <w:tc>
          <w:tcPr>
            <w:tcW w:w="0" w:type="auto"/>
            <w:shd w:val="clear" w:color="auto" w:fill="auto"/>
            <w:noWrap/>
            <w:vAlign w:val="bottom"/>
          </w:tcPr>
          <w:p w:rsidR="004B269B" w:rsidRPr="004B269B" w:rsidRDefault="004B269B" w:rsidP="004B269B">
            <w:pPr>
              <w:spacing w:after="0" w:line="240" w:lineRule="auto"/>
              <w:rPr>
                <w:rFonts w:ascii="Arial" w:eastAsia="Times New Roman" w:hAnsi="Arial" w:cs="Arial"/>
                <w:i/>
                <w:iCs/>
                <w:sz w:val="18"/>
                <w:szCs w:val="18"/>
              </w:rPr>
            </w:pPr>
          </w:p>
        </w:tc>
      </w:tr>
      <w:tr w:rsidR="004B269B" w:rsidRPr="004B269B" w:rsidTr="00080B9C">
        <w:trPr>
          <w:trHeight w:val="70"/>
        </w:trPr>
        <w:tc>
          <w:tcPr>
            <w:tcW w:w="0" w:type="auto"/>
            <w:vAlign w:val="bottom"/>
          </w:tcPr>
          <w:p w:rsidR="004B269B" w:rsidRPr="004B269B" w:rsidRDefault="004B269B" w:rsidP="004B269B">
            <w:pPr>
              <w:spacing w:after="0" w:line="240" w:lineRule="auto"/>
              <w:rPr>
                <w:rFonts w:ascii="Arial" w:eastAsia="Times New Roman" w:hAnsi="Arial" w:cs="Arial"/>
                <w:b/>
                <w:bCs/>
                <w:sz w:val="18"/>
                <w:szCs w:val="18"/>
              </w:rPr>
            </w:pPr>
            <w:r w:rsidRPr="004B269B">
              <w:rPr>
                <w:rFonts w:ascii="Arial" w:eastAsia="Times New Roman" w:hAnsi="Arial" w:cs="Arial"/>
                <w:b/>
                <w:bCs/>
                <w:sz w:val="18"/>
                <w:szCs w:val="18"/>
              </w:rPr>
              <w:t>SBML</w:t>
            </w:r>
          </w:p>
        </w:tc>
        <w:tc>
          <w:tcPr>
            <w:tcW w:w="0" w:type="auto"/>
            <w:vAlign w:val="bottom"/>
          </w:tcPr>
          <w:p w:rsidR="004B269B" w:rsidRPr="004B269B" w:rsidRDefault="004B269B" w:rsidP="004B269B">
            <w:pPr>
              <w:spacing w:after="0" w:line="240" w:lineRule="auto"/>
              <w:rPr>
                <w:rFonts w:ascii="Arial" w:eastAsia="Times New Roman" w:hAnsi="Arial" w:cs="Arial"/>
                <w:i/>
                <w:iCs/>
                <w:sz w:val="18"/>
                <w:szCs w:val="18"/>
              </w:rPr>
            </w:pPr>
            <w:r w:rsidRPr="004B269B">
              <w:rPr>
                <w:rFonts w:ascii="Arial" w:eastAsia="Times New Roman" w:hAnsi="Arial" w:cs="Arial"/>
                <w:i/>
                <w:iCs/>
                <w:sz w:val="18"/>
                <w:szCs w:val="18"/>
              </w:rPr>
              <w:t>Stăvilar cu baraj de închidere sau contur din materiale locale</w:t>
            </w:r>
          </w:p>
        </w:tc>
        <w:tc>
          <w:tcPr>
            <w:tcW w:w="0" w:type="auto"/>
            <w:vAlign w:val="bottom"/>
          </w:tcPr>
          <w:p w:rsidR="004B269B" w:rsidRPr="004B269B" w:rsidRDefault="004B269B" w:rsidP="004B269B">
            <w:pPr>
              <w:spacing w:after="0" w:line="240" w:lineRule="auto"/>
              <w:rPr>
                <w:rFonts w:ascii="Arial" w:eastAsia="Times New Roman" w:hAnsi="Arial" w:cs="Arial"/>
                <w:sz w:val="18"/>
                <w:szCs w:val="18"/>
              </w:rPr>
            </w:pPr>
          </w:p>
        </w:tc>
        <w:tc>
          <w:tcPr>
            <w:tcW w:w="0" w:type="auto"/>
            <w:vAlign w:val="bottom"/>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b/>
                <w:bCs/>
                <w:sz w:val="18"/>
                <w:szCs w:val="18"/>
              </w:rPr>
              <w:t xml:space="preserve">P </w:t>
            </w:r>
            <w:r w:rsidRPr="004B269B">
              <w:rPr>
                <w:rFonts w:ascii="Arial" w:eastAsia="Times New Roman" w:hAnsi="Arial" w:cs="Arial"/>
                <w:sz w:val="18"/>
                <w:szCs w:val="18"/>
              </w:rPr>
              <w:t>- piscicultură</w:t>
            </w:r>
          </w:p>
        </w:tc>
        <w:tc>
          <w:tcPr>
            <w:tcW w:w="0" w:type="auto"/>
            <w:vAlign w:val="bottom"/>
          </w:tcPr>
          <w:p w:rsidR="004B269B" w:rsidRPr="004B269B" w:rsidRDefault="004B269B" w:rsidP="004B269B">
            <w:pPr>
              <w:spacing w:after="0" w:line="240" w:lineRule="auto"/>
              <w:rPr>
                <w:rFonts w:ascii="Arial" w:eastAsia="Times New Roman" w:hAnsi="Arial" w:cs="Arial"/>
                <w:b/>
                <w:bCs/>
                <w:sz w:val="18"/>
                <w:szCs w:val="18"/>
              </w:rPr>
            </w:pPr>
          </w:p>
        </w:tc>
        <w:tc>
          <w:tcPr>
            <w:tcW w:w="0" w:type="auto"/>
            <w:vAlign w:val="bottom"/>
          </w:tcPr>
          <w:p w:rsidR="004B269B" w:rsidRPr="004B269B" w:rsidRDefault="004B269B" w:rsidP="004B269B">
            <w:pPr>
              <w:spacing w:after="0" w:line="240" w:lineRule="auto"/>
              <w:rPr>
                <w:rFonts w:ascii="Arial" w:eastAsia="Times New Roman" w:hAnsi="Arial" w:cs="Arial"/>
                <w:b/>
                <w:bCs/>
                <w:sz w:val="18"/>
                <w:szCs w:val="18"/>
              </w:rPr>
            </w:pPr>
          </w:p>
        </w:tc>
        <w:tc>
          <w:tcPr>
            <w:tcW w:w="0" w:type="auto"/>
            <w:shd w:val="clear" w:color="auto" w:fill="auto"/>
            <w:noWrap/>
            <w:vAlign w:val="bottom"/>
          </w:tcPr>
          <w:p w:rsidR="004B269B" w:rsidRPr="004B269B" w:rsidRDefault="004B269B" w:rsidP="004B269B">
            <w:pPr>
              <w:spacing w:after="0" w:line="240" w:lineRule="auto"/>
              <w:rPr>
                <w:rFonts w:ascii="Arial" w:eastAsia="Times New Roman" w:hAnsi="Arial" w:cs="Arial"/>
                <w:b/>
                <w:bCs/>
                <w:sz w:val="18"/>
                <w:szCs w:val="18"/>
              </w:rPr>
            </w:pPr>
          </w:p>
        </w:tc>
        <w:tc>
          <w:tcPr>
            <w:tcW w:w="0" w:type="auto"/>
            <w:shd w:val="clear" w:color="auto" w:fill="auto"/>
            <w:noWrap/>
            <w:vAlign w:val="bottom"/>
          </w:tcPr>
          <w:p w:rsidR="004B269B" w:rsidRPr="004B269B" w:rsidRDefault="004B269B" w:rsidP="004B269B">
            <w:pPr>
              <w:spacing w:after="0" w:line="240" w:lineRule="auto"/>
              <w:rPr>
                <w:rFonts w:ascii="Arial" w:eastAsia="Times New Roman" w:hAnsi="Arial" w:cs="Arial"/>
                <w:i/>
                <w:iCs/>
                <w:sz w:val="18"/>
                <w:szCs w:val="18"/>
              </w:rPr>
            </w:pPr>
          </w:p>
        </w:tc>
      </w:tr>
      <w:tr w:rsidR="004B269B" w:rsidRPr="004B269B" w:rsidTr="00080B9C">
        <w:trPr>
          <w:trHeight w:val="70"/>
        </w:trPr>
        <w:tc>
          <w:tcPr>
            <w:tcW w:w="0" w:type="auto"/>
            <w:vAlign w:val="bottom"/>
          </w:tcPr>
          <w:p w:rsidR="004B269B" w:rsidRPr="004B269B" w:rsidRDefault="004B269B" w:rsidP="004B269B">
            <w:pPr>
              <w:spacing w:after="0" w:line="240" w:lineRule="auto"/>
              <w:rPr>
                <w:rFonts w:ascii="Arial" w:eastAsia="Times New Roman" w:hAnsi="Arial" w:cs="Arial"/>
                <w:b/>
                <w:bCs/>
                <w:sz w:val="18"/>
                <w:szCs w:val="18"/>
              </w:rPr>
            </w:pPr>
          </w:p>
        </w:tc>
        <w:tc>
          <w:tcPr>
            <w:tcW w:w="0" w:type="auto"/>
            <w:vAlign w:val="bottom"/>
          </w:tcPr>
          <w:p w:rsidR="004B269B" w:rsidRPr="004B269B" w:rsidRDefault="004B269B" w:rsidP="004B269B">
            <w:pPr>
              <w:spacing w:after="0" w:line="240" w:lineRule="auto"/>
              <w:rPr>
                <w:rFonts w:ascii="Arial" w:eastAsia="Times New Roman" w:hAnsi="Arial" w:cs="Arial"/>
                <w:i/>
                <w:iCs/>
                <w:sz w:val="18"/>
                <w:szCs w:val="18"/>
              </w:rPr>
            </w:pPr>
          </w:p>
        </w:tc>
        <w:tc>
          <w:tcPr>
            <w:tcW w:w="0" w:type="auto"/>
            <w:vAlign w:val="bottom"/>
          </w:tcPr>
          <w:p w:rsidR="004B269B" w:rsidRPr="004B269B" w:rsidRDefault="004B269B" w:rsidP="004B269B">
            <w:pPr>
              <w:spacing w:after="0" w:line="240" w:lineRule="auto"/>
              <w:rPr>
                <w:rFonts w:ascii="Arial" w:eastAsia="Times New Roman" w:hAnsi="Arial" w:cs="Arial"/>
                <w:sz w:val="18"/>
                <w:szCs w:val="18"/>
              </w:rPr>
            </w:pPr>
          </w:p>
        </w:tc>
        <w:tc>
          <w:tcPr>
            <w:tcW w:w="0" w:type="auto"/>
            <w:vAlign w:val="bottom"/>
          </w:tcPr>
          <w:p w:rsidR="004B269B" w:rsidRPr="004B269B" w:rsidRDefault="004B269B" w:rsidP="004B269B">
            <w:pPr>
              <w:spacing w:after="0" w:line="240" w:lineRule="auto"/>
              <w:rPr>
                <w:rFonts w:ascii="Arial" w:eastAsia="Times New Roman" w:hAnsi="Arial" w:cs="Arial"/>
                <w:b/>
                <w:bCs/>
                <w:sz w:val="18"/>
                <w:szCs w:val="18"/>
              </w:rPr>
            </w:pPr>
            <w:r w:rsidRPr="004B269B">
              <w:rPr>
                <w:rFonts w:ascii="Arial" w:eastAsia="Times New Roman" w:hAnsi="Arial" w:cs="Arial"/>
                <w:b/>
                <w:bCs/>
                <w:sz w:val="18"/>
                <w:szCs w:val="18"/>
              </w:rPr>
              <w:t xml:space="preserve">X </w:t>
            </w:r>
            <w:r w:rsidRPr="004B269B">
              <w:rPr>
                <w:rFonts w:ascii="Arial" w:eastAsia="Times New Roman" w:hAnsi="Arial" w:cs="Arial"/>
                <w:sz w:val="18"/>
                <w:szCs w:val="18"/>
              </w:rPr>
              <w:t>- alte folosinţe care nu se încadrează în tipurile menţionate)</w:t>
            </w:r>
          </w:p>
        </w:tc>
        <w:tc>
          <w:tcPr>
            <w:tcW w:w="0" w:type="auto"/>
            <w:vAlign w:val="bottom"/>
          </w:tcPr>
          <w:p w:rsidR="004B269B" w:rsidRPr="004B269B" w:rsidRDefault="004B269B" w:rsidP="004B269B">
            <w:pPr>
              <w:spacing w:after="0" w:line="240" w:lineRule="auto"/>
              <w:rPr>
                <w:rFonts w:ascii="Arial" w:eastAsia="Times New Roman" w:hAnsi="Arial" w:cs="Arial"/>
                <w:b/>
                <w:bCs/>
                <w:sz w:val="18"/>
                <w:szCs w:val="18"/>
              </w:rPr>
            </w:pPr>
          </w:p>
        </w:tc>
        <w:tc>
          <w:tcPr>
            <w:tcW w:w="0" w:type="auto"/>
            <w:vAlign w:val="bottom"/>
          </w:tcPr>
          <w:p w:rsidR="004B269B" w:rsidRPr="004B269B" w:rsidRDefault="004B269B" w:rsidP="004B269B">
            <w:pPr>
              <w:spacing w:after="0" w:line="240" w:lineRule="auto"/>
              <w:rPr>
                <w:rFonts w:ascii="Arial" w:eastAsia="Times New Roman" w:hAnsi="Arial" w:cs="Arial"/>
                <w:b/>
                <w:bCs/>
                <w:sz w:val="18"/>
                <w:szCs w:val="18"/>
              </w:rPr>
            </w:pPr>
          </w:p>
        </w:tc>
        <w:tc>
          <w:tcPr>
            <w:tcW w:w="0" w:type="auto"/>
            <w:shd w:val="clear" w:color="auto" w:fill="auto"/>
            <w:noWrap/>
            <w:vAlign w:val="bottom"/>
          </w:tcPr>
          <w:p w:rsidR="004B269B" w:rsidRPr="004B269B" w:rsidRDefault="004B269B" w:rsidP="004B269B">
            <w:pPr>
              <w:spacing w:after="0" w:line="240" w:lineRule="auto"/>
              <w:rPr>
                <w:rFonts w:ascii="Arial" w:eastAsia="Times New Roman" w:hAnsi="Arial" w:cs="Arial"/>
                <w:b/>
                <w:bCs/>
                <w:sz w:val="18"/>
                <w:szCs w:val="18"/>
              </w:rPr>
            </w:pPr>
          </w:p>
        </w:tc>
        <w:tc>
          <w:tcPr>
            <w:tcW w:w="0" w:type="auto"/>
            <w:shd w:val="clear" w:color="auto" w:fill="auto"/>
            <w:noWrap/>
            <w:vAlign w:val="bottom"/>
          </w:tcPr>
          <w:p w:rsidR="004B269B" w:rsidRPr="004B269B" w:rsidRDefault="004B269B" w:rsidP="004B269B">
            <w:pPr>
              <w:spacing w:after="0" w:line="240" w:lineRule="auto"/>
              <w:rPr>
                <w:rFonts w:ascii="Arial" w:eastAsia="Times New Roman" w:hAnsi="Arial" w:cs="Arial"/>
                <w:i/>
                <w:iCs/>
                <w:sz w:val="18"/>
                <w:szCs w:val="18"/>
              </w:rPr>
            </w:pPr>
          </w:p>
        </w:tc>
      </w:tr>
      <w:tr w:rsidR="004B269B" w:rsidRPr="004B269B" w:rsidTr="00080B9C">
        <w:trPr>
          <w:trHeight w:val="70"/>
        </w:trPr>
        <w:tc>
          <w:tcPr>
            <w:tcW w:w="0" w:type="auto"/>
            <w:vAlign w:val="bottom"/>
          </w:tcPr>
          <w:p w:rsidR="004B269B" w:rsidRPr="004B269B" w:rsidRDefault="004B269B" w:rsidP="004B269B">
            <w:pPr>
              <w:spacing w:after="0" w:line="240" w:lineRule="auto"/>
              <w:rPr>
                <w:rFonts w:ascii="Arial" w:eastAsia="Times New Roman" w:hAnsi="Arial" w:cs="Arial"/>
                <w:b/>
                <w:bCs/>
                <w:sz w:val="18"/>
                <w:szCs w:val="18"/>
              </w:rPr>
            </w:pPr>
          </w:p>
        </w:tc>
        <w:tc>
          <w:tcPr>
            <w:tcW w:w="0" w:type="auto"/>
            <w:vAlign w:val="bottom"/>
          </w:tcPr>
          <w:p w:rsidR="004B269B" w:rsidRPr="004B269B" w:rsidRDefault="004B269B" w:rsidP="004B269B">
            <w:pPr>
              <w:spacing w:after="0" w:line="240" w:lineRule="auto"/>
              <w:rPr>
                <w:rFonts w:ascii="Arial" w:eastAsia="Times New Roman" w:hAnsi="Arial" w:cs="Arial"/>
                <w:i/>
                <w:iCs/>
                <w:sz w:val="18"/>
                <w:szCs w:val="18"/>
              </w:rPr>
            </w:pPr>
          </w:p>
        </w:tc>
        <w:tc>
          <w:tcPr>
            <w:tcW w:w="0" w:type="auto"/>
            <w:vAlign w:val="bottom"/>
          </w:tcPr>
          <w:p w:rsidR="004B269B" w:rsidRPr="004B269B" w:rsidRDefault="004B269B" w:rsidP="004B269B">
            <w:pPr>
              <w:spacing w:after="0" w:line="240" w:lineRule="auto"/>
              <w:rPr>
                <w:rFonts w:ascii="Arial" w:eastAsia="Times New Roman" w:hAnsi="Arial" w:cs="Arial"/>
                <w:i/>
                <w:iCs/>
                <w:sz w:val="18"/>
                <w:szCs w:val="18"/>
              </w:rPr>
            </w:pPr>
          </w:p>
        </w:tc>
        <w:tc>
          <w:tcPr>
            <w:tcW w:w="0" w:type="auto"/>
            <w:vAlign w:val="bottom"/>
          </w:tcPr>
          <w:p w:rsidR="004B269B" w:rsidRPr="004B269B" w:rsidRDefault="004B269B" w:rsidP="004B269B">
            <w:pPr>
              <w:spacing w:after="0" w:line="240" w:lineRule="auto"/>
              <w:rPr>
                <w:rFonts w:ascii="Arial" w:eastAsia="Times New Roman" w:hAnsi="Arial" w:cs="Arial"/>
                <w:sz w:val="18"/>
                <w:szCs w:val="18"/>
              </w:rPr>
            </w:pPr>
          </w:p>
        </w:tc>
        <w:tc>
          <w:tcPr>
            <w:tcW w:w="0" w:type="auto"/>
            <w:vAlign w:val="bottom"/>
          </w:tcPr>
          <w:p w:rsidR="004B269B" w:rsidRPr="004B269B" w:rsidRDefault="004B269B" w:rsidP="004B269B">
            <w:pPr>
              <w:spacing w:after="0" w:line="240" w:lineRule="auto"/>
              <w:rPr>
                <w:rFonts w:ascii="Arial" w:eastAsia="Times New Roman" w:hAnsi="Arial" w:cs="Arial"/>
                <w:sz w:val="18"/>
                <w:szCs w:val="18"/>
              </w:rPr>
            </w:pPr>
          </w:p>
        </w:tc>
        <w:tc>
          <w:tcPr>
            <w:tcW w:w="0" w:type="auto"/>
            <w:vAlign w:val="bottom"/>
          </w:tcPr>
          <w:p w:rsidR="004B269B" w:rsidRPr="004B269B" w:rsidRDefault="004B269B" w:rsidP="004B269B">
            <w:pPr>
              <w:spacing w:after="0" w:line="240" w:lineRule="auto"/>
              <w:rPr>
                <w:rFonts w:ascii="Arial" w:eastAsia="Times New Roman" w:hAnsi="Arial" w:cs="Arial"/>
                <w:b/>
                <w:bCs/>
                <w:sz w:val="18"/>
                <w:szCs w:val="18"/>
              </w:rPr>
            </w:pPr>
          </w:p>
        </w:tc>
        <w:tc>
          <w:tcPr>
            <w:tcW w:w="0" w:type="auto"/>
            <w:shd w:val="clear" w:color="auto" w:fill="auto"/>
            <w:noWrap/>
            <w:vAlign w:val="bottom"/>
          </w:tcPr>
          <w:p w:rsidR="004B269B" w:rsidRPr="004B269B" w:rsidRDefault="004B269B" w:rsidP="004B269B">
            <w:pPr>
              <w:spacing w:after="0" w:line="240" w:lineRule="auto"/>
              <w:rPr>
                <w:rFonts w:ascii="Arial" w:eastAsia="Times New Roman" w:hAnsi="Arial" w:cs="Arial"/>
                <w:b/>
                <w:bCs/>
                <w:sz w:val="18"/>
                <w:szCs w:val="18"/>
              </w:rPr>
            </w:pPr>
          </w:p>
        </w:tc>
        <w:tc>
          <w:tcPr>
            <w:tcW w:w="0" w:type="auto"/>
            <w:shd w:val="clear" w:color="auto" w:fill="auto"/>
            <w:noWrap/>
            <w:vAlign w:val="bottom"/>
          </w:tcPr>
          <w:p w:rsidR="004B269B" w:rsidRPr="004B269B" w:rsidRDefault="004B269B" w:rsidP="004B269B">
            <w:pPr>
              <w:spacing w:after="0" w:line="240" w:lineRule="auto"/>
              <w:rPr>
                <w:rFonts w:ascii="Arial" w:eastAsia="Times New Roman" w:hAnsi="Arial" w:cs="Arial"/>
                <w:i/>
                <w:iCs/>
                <w:sz w:val="18"/>
                <w:szCs w:val="18"/>
              </w:rPr>
            </w:pPr>
          </w:p>
        </w:tc>
      </w:tr>
      <w:tr w:rsidR="004B269B" w:rsidRPr="004B269B" w:rsidTr="00080B9C">
        <w:trPr>
          <w:trHeight w:val="70"/>
        </w:trPr>
        <w:tc>
          <w:tcPr>
            <w:tcW w:w="0" w:type="auto"/>
            <w:vAlign w:val="bottom"/>
          </w:tcPr>
          <w:p w:rsidR="004B269B" w:rsidRPr="004B269B" w:rsidRDefault="004B269B" w:rsidP="004B269B">
            <w:pPr>
              <w:spacing w:after="0" w:line="240" w:lineRule="auto"/>
              <w:rPr>
                <w:rFonts w:ascii="Arial" w:eastAsia="Times New Roman" w:hAnsi="Arial" w:cs="Arial"/>
                <w:b/>
                <w:bCs/>
                <w:sz w:val="18"/>
                <w:szCs w:val="18"/>
              </w:rPr>
            </w:pPr>
          </w:p>
        </w:tc>
        <w:tc>
          <w:tcPr>
            <w:tcW w:w="0" w:type="auto"/>
            <w:vAlign w:val="bottom"/>
          </w:tcPr>
          <w:p w:rsidR="004B269B" w:rsidRPr="004B269B" w:rsidRDefault="004B269B" w:rsidP="004B269B">
            <w:pPr>
              <w:spacing w:after="0" w:line="240" w:lineRule="auto"/>
              <w:rPr>
                <w:rFonts w:ascii="Arial" w:eastAsia="Times New Roman" w:hAnsi="Arial" w:cs="Arial"/>
                <w:i/>
                <w:iCs/>
                <w:sz w:val="18"/>
                <w:szCs w:val="18"/>
              </w:rPr>
            </w:pPr>
          </w:p>
        </w:tc>
        <w:tc>
          <w:tcPr>
            <w:tcW w:w="0" w:type="auto"/>
            <w:vAlign w:val="bottom"/>
          </w:tcPr>
          <w:p w:rsidR="004B269B" w:rsidRPr="004B269B" w:rsidRDefault="004B269B" w:rsidP="004B269B">
            <w:pPr>
              <w:spacing w:after="0" w:line="240" w:lineRule="auto"/>
              <w:rPr>
                <w:rFonts w:ascii="Arial" w:eastAsia="Times New Roman" w:hAnsi="Arial" w:cs="Arial"/>
                <w:sz w:val="18"/>
                <w:szCs w:val="18"/>
              </w:rPr>
            </w:pPr>
          </w:p>
        </w:tc>
        <w:tc>
          <w:tcPr>
            <w:tcW w:w="0" w:type="auto"/>
            <w:vAlign w:val="bottom"/>
          </w:tcPr>
          <w:p w:rsidR="004B269B" w:rsidRPr="004B269B" w:rsidRDefault="004B269B" w:rsidP="004B269B">
            <w:pPr>
              <w:spacing w:after="0" w:line="240" w:lineRule="auto"/>
              <w:rPr>
                <w:rFonts w:ascii="Arial" w:eastAsia="Times New Roman" w:hAnsi="Arial" w:cs="Arial"/>
                <w:sz w:val="18"/>
                <w:szCs w:val="18"/>
              </w:rPr>
            </w:pPr>
          </w:p>
        </w:tc>
        <w:tc>
          <w:tcPr>
            <w:tcW w:w="0" w:type="auto"/>
            <w:vAlign w:val="bottom"/>
          </w:tcPr>
          <w:p w:rsidR="004B269B" w:rsidRPr="004B269B" w:rsidRDefault="004B269B" w:rsidP="004B269B">
            <w:pPr>
              <w:spacing w:after="0" w:line="240" w:lineRule="auto"/>
              <w:rPr>
                <w:rFonts w:ascii="Arial" w:eastAsia="Times New Roman" w:hAnsi="Arial" w:cs="Arial"/>
                <w:sz w:val="18"/>
                <w:szCs w:val="18"/>
              </w:rPr>
            </w:pPr>
          </w:p>
        </w:tc>
        <w:tc>
          <w:tcPr>
            <w:tcW w:w="0" w:type="auto"/>
            <w:vAlign w:val="bottom"/>
          </w:tcPr>
          <w:p w:rsidR="004B269B" w:rsidRPr="004B269B" w:rsidRDefault="004B269B" w:rsidP="004B269B">
            <w:pPr>
              <w:spacing w:after="0" w:line="240" w:lineRule="auto"/>
              <w:rPr>
                <w:rFonts w:ascii="Arial" w:eastAsia="Times New Roman" w:hAnsi="Arial" w:cs="Arial"/>
                <w:b/>
                <w:bCs/>
                <w:sz w:val="18"/>
                <w:szCs w:val="18"/>
              </w:rPr>
            </w:pPr>
          </w:p>
        </w:tc>
        <w:tc>
          <w:tcPr>
            <w:tcW w:w="0" w:type="auto"/>
            <w:shd w:val="clear" w:color="auto" w:fill="auto"/>
            <w:noWrap/>
            <w:vAlign w:val="bottom"/>
          </w:tcPr>
          <w:p w:rsidR="004B269B" w:rsidRPr="004B269B" w:rsidRDefault="004B269B" w:rsidP="004B269B">
            <w:pPr>
              <w:spacing w:after="0" w:line="240" w:lineRule="auto"/>
              <w:rPr>
                <w:rFonts w:ascii="Arial" w:eastAsia="Times New Roman" w:hAnsi="Arial" w:cs="Arial"/>
                <w:b/>
                <w:bCs/>
                <w:sz w:val="18"/>
                <w:szCs w:val="18"/>
              </w:rPr>
            </w:pPr>
          </w:p>
        </w:tc>
        <w:tc>
          <w:tcPr>
            <w:tcW w:w="0" w:type="auto"/>
            <w:shd w:val="clear" w:color="auto" w:fill="auto"/>
            <w:noWrap/>
            <w:vAlign w:val="bottom"/>
          </w:tcPr>
          <w:p w:rsidR="004B269B" w:rsidRPr="004B269B" w:rsidRDefault="004B269B" w:rsidP="004B269B">
            <w:pPr>
              <w:spacing w:after="0" w:line="240" w:lineRule="auto"/>
              <w:rPr>
                <w:rFonts w:ascii="Arial" w:eastAsia="Times New Roman" w:hAnsi="Arial" w:cs="Arial"/>
                <w:i/>
                <w:iCs/>
                <w:sz w:val="18"/>
                <w:szCs w:val="18"/>
              </w:rPr>
            </w:pPr>
          </w:p>
        </w:tc>
      </w:tr>
    </w:tbl>
    <w:p w:rsidR="004B269B" w:rsidRPr="004B269B" w:rsidRDefault="004B269B" w:rsidP="004B269B">
      <w:pPr>
        <w:spacing w:after="120" w:line="240" w:lineRule="auto"/>
        <w:rPr>
          <w:rFonts w:ascii="Arial" w:eastAsia="SimSun" w:hAnsi="Arial" w:cs="Arial"/>
          <w:sz w:val="20"/>
          <w:szCs w:val="20"/>
          <w:lang w:val="en-GB"/>
        </w:rPr>
      </w:pPr>
      <w:r w:rsidRPr="004B269B">
        <w:rPr>
          <w:rFonts w:ascii="Arial" w:eastAsia="Times New Roman" w:hAnsi="Arial" w:cs="Arial"/>
          <w:bCs/>
          <w:sz w:val="24"/>
          <w:szCs w:val="24"/>
        </w:rPr>
        <w:t xml:space="preserve">Tabelul II.6. Baraje care realizează acumulări nepermanente </w:t>
      </w:r>
      <w:r w:rsidRPr="004B269B">
        <w:rPr>
          <w:rFonts w:ascii="Arial" w:eastAsia="Times New Roman" w:hAnsi="Arial" w:cs="Arial"/>
          <w:bCs/>
          <w:sz w:val="20"/>
          <w:szCs w:val="20"/>
        </w:rPr>
        <w:t>(Sursa: Planul de management al riscului la inundaţii – ABA Prut Bârlad iunie 2015)</w:t>
      </w:r>
    </w:p>
    <w:tbl>
      <w:tblPr>
        <w:tblW w:w="0" w:type="auto"/>
        <w:tblInd w:w="93" w:type="dxa"/>
        <w:tblLayout w:type="fixed"/>
        <w:tblLook w:val="04A0" w:firstRow="1" w:lastRow="0" w:firstColumn="1" w:lastColumn="0" w:noHBand="0" w:noVBand="1"/>
      </w:tblPr>
      <w:tblGrid>
        <w:gridCol w:w="699"/>
        <w:gridCol w:w="386"/>
        <w:gridCol w:w="32"/>
        <w:gridCol w:w="2136"/>
        <w:gridCol w:w="1385"/>
        <w:gridCol w:w="352"/>
        <w:gridCol w:w="353"/>
        <w:gridCol w:w="241"/>
        <w:gridCol w:w="279"/>
        <w:gridCol w:w="900"/>
        <w:gridCol w:w="900"/>
        <w:gridCol w:w="1350"/>
        <w:gridCol w:w="1352"/>
      </w:tblGrid>
      <w:tr w:rsidR="004B269B" w:rsidRPr="004B269B" w:rsidTr="004B269B">
        <w:trPr>
          <w:cantSplit/>
          <w:trHeight w:val="230"/>
          <w:tblHeader/>
        </w:trPr>
        <w:tc>
          <w:tcPr>
            <w:tcW w:w="6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20"/>
                <w:szCs w:val="20"/>
              </w:rPr>
            </w:pPr>
            <w:r w:rsidRPr="004B269B">
              <w:rPr>
                <w:rFonts w:ascii="Arial" w:eastAsia="Times New Roman" w:hAnsi="Arial" w:cs="Arial"/>
                <w:b/>
                <w:bCs/>
                <w:sz w:val="20"/>
                <w:szCs w:val="20"/>
              </w:rPr>
              <w:t>Nr. crt</w:t>
            </w:r>
          </w:p>
        </w:tc>
        <w:tc>
          <w:tcPr>
            <w:tcW w:w="2554"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20"/>
                <w:szCs w:val="20"/>
              </w:rPr>
            </w:pPr>
            <w:r w:rsidRPr="004B269B">
              <w:rPr>
                <w:rFonts w:ascii="Arial" w:eastAsia="Times New Roman" w:hAnsi="Arial" w:cs="Arial"/>
                <w:b/>
                <w:bCs/>
                <w:sz w:val="20"/>
                <w:szCs w:val="20"/>
              </w:rPr>
              <w:t>Denumire baraj / acumulare</w:t>
            </w:r>
          </w:p>
        </w:tc>
        <w:tc>
          <w:tcPr>
            <w:tcW w:w="2610" w:type="dxa"/>
            <w:gridSpan w:val="5"/>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20"/>
                <w:szCs w:val="20"/>
              </w:rPr>
            </w:pPr>
            <w:r w:rsidRPr="004B269B">
              <w:rPr>
                <w:rFonts w:ascii="Arial" w:eastAsia="Times New Roman" w:hAnsi="Arial" w:cs="Arial"/>
                <w:b/>
                <w:bCs/>
                <w:sz w:val="20"/>
                <w:szCs w:val="20"/>
              </w:rPr>
              <w:t>Râul</w:t>
            </w:r>
          </w:p>
        </w:tc>
        <w:tc>
          <w:tcPr>
            <w:tcW w:w="9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20"/>
                <w:szCs w:val="20"/>
              </w:rPr>
            </w:pPr>
            <w:r w:rsidRPr="004B269B">
              <w:rPr>
                <w:rFonts w:ascii="Arial" w:eastAsia="Times New Roman" w:hAnsi="Arial" w:cs="Arial"/>
                <w:b/>
                <w:bCs/>
                <w:sz w:val="20"/>
                <w:szCs w:val="20"/>
              </w:rPr>
              <w:t>Judeţ</w:t>
            </w:r>
          </w:p>
        </w:tc>
        <w:tc>
          <w:tcPr>
            <w:tcW w:w="9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20"/>
                <w:szCs w:val="20"/>
              </w:rPr>
            </w:pPr>
            <w:r w:rsidRPr="004B269B">
              <w:rPr>
                <w:rFonts w:ascii="Arial" w:eastAsia="Times New Roman" w:hAnsi="Arial" w:cs="Arial"/>
                <w:b/>
                <w:bCs/>
                <w:sz w:val="20"/>
                <w:szCs w:val="20"/>
              </w:rPr>
              <w:t>Tip baraj*</w:t>
            </w:r>
          </w:p>
        </w:tc>
        <w:tc>
          <w:tcPr>
            <w:tcW w:w="13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20"/>
                <w:szCs w:val="20"/>
              </w:rPr>
            </w:pPr>
            <w:r w:rsidRPr="004B269B">
              <w:rPr>
                <w:rFonts w:ascii="Arial" w:eastAsia="Times New Roman" w:hAnsi="Arial" w:cs="Arial"/>
                <w:b/>
                <w:bCs/>
                <w:sz w:val="20"/>
                <w:szCs w:val="20"/>
              </w:rPr>
              <w:t>Înălţime baraj (m)</w:t>
            </w:r>
          </w:p>
        </w:tc>
        <w:tc>
          <w:tcPr>
            <w:tcW w:w="13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20"/>
                <w:szCs w:val="20"/>
              </w:rPr>
            </w:pPr>
            <w:r w:rsidRPr="004B269B">
              <w:rPr>
                <w:rFonts w:ascii="Arial" w:eastAsia="Times New Roman" w:hAnsi="Arial" w:cs="Arial"/>
                <w:b/>
                <w:bCs/>
                <w:sz w:val="20"/>
                <w:szCs w:val="20"/>
              </w:rPr>
              <w:t>Volum total (volum atenuare) (mil.m</w:t>
            </w:r>
            <w:r w:rsidRPr="004B269B">
              <w:rPr>
                <w:rFonts w:ascii="Arial" w:eastAsia="Times New Roman" w:hAnsi="Arial" w:cs="Arial"/>
                <w:b/>
                <w:bCs/>
                <w:sz w:val="20"/>
                <w:szCs w:val="20"/>
                <w:vertAlign w:val="superscript"/>
              </w:rPr>
              <w:t>3</w:t>
            </w:r>
            <w:r w:rsidRPr="004B269B">
              <w:rPr>
                <w:rFonts w:ascii="Arial" w:eastAsia="Times New Roman" w:hAnsi="Arial" w:cs="Arial"/>
                <w:b/>
                <w:bCs/>
                <w:sz w:val="20"/>
                <w:szCs w:val="20"/>
              </w:rPr>
              <w:t>)</w:t>
            </w:r>
          </w:p>
        </w:tc>
      </w:tr>
      <w:tr w:rsidR="004B269B" w:rsidRPr="004B269B" w:rsidTr="004B269B">
        <w:trPr>
          <w:cantSplit/>
          <w:trHeight w:val="230"/>
          <w:tblHeader/>
        </w:trPr>
        <w:tc>
          <w:tcPr>
            <w:tcW w:w="699" w:type="dxa"/>
            <w:vMerge/>
            <w:tcBorders>
              <w:top w:val="single" w:sz="4" w:space="0" w:color="auto"/>
              <w:left w:val="single" w:sz="4" w:space="0" w:color="auto"/>
              <w:bottom w:val="single" w:sz="4" w:space="0" w:color="000000"/>
              <w:right w:val="single" w:sz="4" w:space="0" w:color="auto"/>
            </w:tcBorders>
            <w:vAlign w:val="center"/>
            <w:hideMark/>
          </w:tcPr>
          <w:p w:rsidR="004B269B" w:rsidRPr="004B269B" w:rsidRDefault="004B269B" w:rsidP="004B269B">
            <w:pPr>
              <w:spacing w:after="0" w:line="240" w:lineRule="auto"/>
              <w:rPr>
                <w:rFonts w:ascii="Arial" w:eastAsia="Times New Roman" w:hAnsi="Arial" w:cs="Arial"/>
                <w:b/>
                <w:bCs/>
                <w:sz w:val="20"/>
                <w:szCs w:val="20"/>
              </w:rPr>
            </w:pPr>
          </w:p>
        </w:tc>
        <w:tc>
          <w:tcPr>
            <w:tcW w:w="2554" w:type="dxa"/>
            <w:gridSpan w:val="3"/>
            <w:vMerge/>
            <w:tcBorders>
              <w:top w:val="single" w:sz="4" w:space="0" w:color="auto"/>
              <w:left w:val="single" w:sz="4" w:space="0" w:color="auto"/>
              <w:bottom w:val="single" w:sz="4" w:space="0" w:color="000000"/>
              <w:right w:val="single" w:sz="4" w:space="0" w:color="auto"/>
            </w:tcBorders>
            <w:vAlign w:val="center"/>
            <w:hideMark/>
          </w:tcPr>
          <w:p w:rsidR="004B269B" w:rsidRPr="004B269B" w:rsidRDefault="004B269B" w:rsidP="004B269B">
            <w:pPr>
              <w:spacing w:after="0" w:line="240" w:lineRule="auto"/>
              <w:rPr>
                <w:rFonts w:ascii="Arial" w:eastAsia="Times New Roman" w:hAnsi="Arial" w:cs="Arial"/>
                <w:b/>
                <w:bCs/>
                <w:sz w:val="20"/>
                <w:szCs w:val="20"/>
              </w:rPr>
            </w:pPr>
          </w:p>
        </w:tc>
        <w:tc>
          <w:tcPr>
            <w:tcW w:w="2610" w:type="dxa"/>
            <w:gridSpan w:val="5"/>
            <w:vMerge/>
            <w:tcBorders>
              <w:top w:val="single" w:sz="4" w:space="0" w:color="auto"/>
              <w:left w:val="single" w:sz="4" w:space="0" w:color="auto"/>
              <w:bottom w:val="single" w:sz="4" w:space="0" w:color="000000"/>
              <w:right w:val="single" w:sz="4" w:space="0" w:color="auto"/>
            </w:tcBorders>
            <w:vAlign w:val="center"/>
            <w:hideMark/>
          </w:tcPr>
          <w:p w:rsidR="004B269B" w:rsidRPr="004B269B" w:rsidRDefault="004B269B" w:rsidP="004B269B">
            <w:pPr>
              <w:spacing w:after="0" w:line="240" w:lineRule="auto"/>
              <w:rPr>
                <w:rFonts w:ascii="Arial" w:eastAsia="Times New Roman" w:hAnsi="Arial" w:cs="Arial"/>
                <w:b/>
                <w:bCs/>
                <w:sz w:val="20"/>
                <w:szCs w:val="20"/>
              </w:rPr>
            </w:pPr>
          </w:p>
        </w:tc>
        <w:tc>
          <w:tcPr>
            <w:tcW w:w="900" w:type="dxa"/>
            <w:vMerge/>
            <w:tcBorders>
              <w:top w:val="single" w:sz="4" w:space="0" w:color="auto"/>
              <w:left w:val="single" w:sz="4" w:space="0" w:color="auto"/>
              <w:bottom w:val="single" w:sz="4" w:space="0" w:color="000000"/>
              <w:right w:val="single" w:sz="4" w:space="0" w:color="auto"/>
            </w:tcBorders>
            <w:vAlign w:val="center"/>
            <w:hideMark/>
          </w:tcPr>
          <w:p w:rsidR="004B269B" w:rsidRPr="004B269B" w:rsidRDefault="004B269B" w:rsidP="004B269B">
            <w:pPr>
              <w:spacing w:after="0" w:line="240" w:lineRule="auto"/>
              <w:rPr>
                <w:rFonts w:ascii="Arial" w:eastAsia="Times New Roman" w:hAnsi="Arial" w:cs="Arial"/>
                <w:b/>
                <w:bCs/>
                <w:sz w:val="20"/>
                <w:szCs w:val="20"/>
              </w:rPr>
            </w:pPr>
          </w:p>
        </w:tc>
        <w:tc>
          <w:tcPr>
            <w:tcW w:w="900" w:type="dxa"/>
            <w:vMerge/>
            <w:tcBorders>
              <w:top w:val="single" w:sz="4" w:space="0" w:color="auto"/>
              <w:left w:val="single" w:sz="4" w:space="0" w:color="auto"/>
              <w:bottom w:val="single" w:sz="4" w:space="0" w:color="000000"/>
              <w:right w:val="single" w:sz="4" w:space="0" w:color="auto"/>
            </w:tcBorders>
            <w:vAlign w:val="center"/>
            <w:hideMark/>
          </w:tcPr>
          <w:p w:rsidR="004B269B" w:rsidRPr="004B269B" w:rsidRDefault="004B269B" w:rsidP="004B269B">
            <w:pPr>
              <w:spacing w:after="0" w:line="240" w:lineRule="auto"/>
              <w:rPr>
                <w:rFonts w:ascii="Arial" w:eastAsia="Times New Roman" w:hAnsi="Arial" w:cs="Arial"/>
                <w:b/>
                <w:bCs/>
                <w:sz w:val="20"/>
                <w:szCs w:val="20"/>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rsidR="004B269B" w:rsidRPr="004B269B" w:rsidRDefault="004B269B" w:rsidP="004B269B">
            <w:pPr>
              <w:spacing w:after="0" w:line="240" w:lineRule="auto"/>
              <w:rPr>
                <w:rFonts w:ascii="Arial" w:eastAsia="Times New Roman" w:hAnsi="Arial" w:cs="Arial"/>
                <w:b/>
                <w:bCs/>
                <w:sz w:val="20"/>
                <w:szCs w:val="20"/>
              </w:rPr>
            </w:pPr>
          </w:p>
        </w:tc>
        <w:tc>
          <w:tcPr>
            <w:tcW w:w="1352" w:type="dxa"/>
            <w:vMerge/>
            <w:tcBorders>
              <w:top w:val="single" w:sz="4" w:space="0" w:color="auto"/>
              <w:left w:val="single" w:sz="4" w:space="0" w:color="auto"/>
              <w:bottom w:val="single" w:sz="4" w:space="0" w:color="000000"/>
              <w:right w:val="single" w:sz="4" w:space="0" w:color="auto"/>
            </w:tcBorders>
            <w:vAlign w:val="center"/>
            <w:hideMark/>
          </w:tcPr>
          <w:p w:rsidR="004B269B" w:rsidRPr="004B269B" w:rsidRDefault="004B269B" w:rsidP="004B269B">
            <w:pPr>
              <w:spacing w:after="0" w:line="240" w:lineRule="auto"/>
              <w:rPr>
                <w:rFonts w:ascii="Arial" w:eastAsia="Times New Roman" w:hAnsi="Arial" w:cs="Arial"/>
                <w:b/>
                <w:bCs/>
                <w:sz w:val="20"/>
                <w:szCs w:val="20"/>
              </w:rPr>
            </w:pPr>
          </w:p>
        </w:tc>
      </w:tr>
      <w:tr w:rsidR="004B269B" w:rsidRPr="004B269B" w:rsidTr="004B269B">
        <w:trPr>
          <w:cantSplit/>
          <w:trHeight w:val="230"/>
          <w:tblHeader/>
        </w:trPr>
        <w:tc>
          <w:tcPr>
            <w:tcW w:w="699" w:type="dxa"/>
            <w:vMerge/>
            <w:tcBorders>
              <w:top w:val="single" w:sz="4" w:space="0" w:color="auto"/>
              <w:left w:val="single" w:sz="4" w:space="0" w:color="auto"/>
              <w:bottom w:val="single" w:sz="4" w:space="0" w:color="000000"/>
              <w:right w:val="single" w:sz="4" w:space="0" w:color="auto"/>
            </w:tcBorders>
            <w:vAlign w:val="center"/>
            <w:hideMark/>
          </w:tcPr>
          <w:p w:rsidR="004B269B" w:rsidRPr="004B269B" w:rsidRDefault="004B269B" w:rsidP="004B269B">
            <w:pPr>
              <w:spacing w:after="0" w:line="240" w:lineRule="auto"/>
              <w:rPr>
                <w:rFonts w:ascii="Arial" w:eastAsia="Times New Roman" w:hAnsi="Arial" w:cs="Arial"/>
                <w:b/>
                <w:bCs/>
                <w:sz w:val="20"/>
                <w:szCs w:val="20"/>
              </w:rPr>
            </w:pPr>
          </w:p>
        </w:tc>
        <w:tc>
          <w:tcPr>
            <w:tcW w:w="2554" w:type="dxa"/>
            <w:gridSpan w:val="3"/>
            <w:vMerge/>
            <w:tcBorders>
              <w:top w:val="single" w:sz="4" w:space="0" w:color="auto"/>
              <w:left w:val="single" w:sz="4" w:space="0" w:color="auto"/>
              <w:bottom w:val="single" w:sz="4" w:space="0" w:color="000000"/>
              <w:right w:val="single" w:sz="4" w:space="0" w:color="auto"/>
            </w:tcBorders>
            <w:vAlign w:val="center"/>
            <w:hideMark/>
          </w:tcPr>
          <w:p w:rsidR="004B269B" w:rsidRPr="004B269B" w:rsidRDefault="004B269B" w:rsidP="004B269B">
            <w:pPr>
              <w:spacing w:after="0" w:line="240" w:lineRule="auto"/>
              <w:rPr>
                <w:rFonts w:ascii="Arial" w:eastAsia="Times New Roman" w:hAnsi="Arial" w:cs="Arial"/>
                <w:b/>
                <w:bCs/>
                <w:sz w:val="20"/>
                <w:szCs w:val="20"/>
              </w:rPr>
            </w:pPr>
          </w:p>
        </w:tc>
        <w:tc>
          <w:tcPr>
            <w:tcW w:w="2610" w:type="dxa"/>
            <w:gridSpan w:val="5"/>
            <w:vMerge/>
            <w:tcBorders>
              <w:top w:val="single" w:sz="4" w:space="0" w:color="auto"/>
              <w:left w:val="single" w:sz="4" w:space="0" w:color="auto"/>
              <w:bottom w:val="single" w:sz="4" w:space="0" w:color="000000"/>
              <w:right w:val="single" w:sz="4" w:space="0" w:color="auto"/>
            </w:tcBorders>
            <w:vAlign w:val="center"/>
            <w:hideMark/>
          </w:tcPr>
          <w:p w:rsidR="004B269B" w:rsidRPr="004B269B" w:rsidRDefault="004B269B" w:rsidP="004B269B">
            <w:pPr>
              <w:spacing w:after="0" w:line="240" w:lineRule="auto"/>
              <w:rPr>
                <w:rFonts w:ascii="Arial" w:eastAsia="Times New Roman" w:hAnsi="Arial" w:cs="Arial"/>
                <w:b/>
                <w:bCs/>
                <w:sz w:val="20"/>
                <w:szCs w:val="20"/>
              </w:rPr>
            </w:pPr>
          </w:p>
        </w:tc>
        <w:tc>
          <w:tcPr>
            <w:tcW w:w="900" w:type="dxa"/>
            <w:vMerge/>
            <w:tcBorders>
              <w:top w:val="single" w:sz="4" w:space="0" w:color="auto"/>
              <w:left w:val="single" w:sz="4" w:space="0" w:color="auto"/>
              <w:bottom w:val="single" w:sz="4" w:space="0" w:color="000000"/>
              <w:right w:val="single" w:sz="4" w:space="0" w:color="auto"/>
            </w:tcBorders>
            <w:vAlign w:val="center"/>
            <w:hideMark/>
          </w:tcPr>
          <w:p w:rsidR="004B269B" w:rsidRPr="004B269B" w:rsidRDefault="004B269B" w:rsidP="004B269B">
            <w:pPr>
              <w:spacing w:after="0" w:line="240" w:lineRule="auto"/>
              <w:rPr>
                <w:rFonts w:ascii="Arial" w:eastAsia="Times New Roman" w:hAnsi="Arial" w:cs="Arial"/>
                <w:b/>
                <w:bCs/>
                <w:sz w:val="20"/>
                <w:szCs w:val="20"/>
              </w:rPr>
            </w:pPr>
          </w:p>
        </w:tc>
        <w:tc>
          <w:tcPr>
            <w:tcW w:w="900" w:type="dxa"/>
            <w:vMerge/>
            <w:tcBorders>
              <w:top w:val="single" w:sz="4" w:space="0" w:color="auto"/>
              <w:left w:val="single" w:sz="4" w:space="0" w:color="auto"/>
              <w:bottom w:val="single" w:sz="4" w:space="0" w:color="000000"/>
              <w:right w:val="single" w:sz="4" w:space="0" w:color="auto"/>
            </w:tcBorders>
            <w:vAlign w:val="center"/>
            <w:hideMark/>
          </w:tcPr>
          <w:p w:rsidR="004B269B" w:rsidRPr="004B269B" w:rsidRDefault="004B269B" w:rsidP="004B269B">
            <w:pPr>
              <w:spacing w:after="0" w:line="240" w:lineRule="auto"/>
              <w:rPr>
                <w:rFonts w:ascii="Arial" w:eastAsia="Times New Roman" w:hAnsi="Arial" w:cs="Arial"/>
                <w:b/>
                <w:bCs/>
                <w:sz w:val="20"/>
                <w:szCs w:val="20"/>
              </w:rPr>
            </w:pPr>
          </w:p>
        </w:tc>
        <w:tc>
          <w:tcPr>
            <w:tcW w:w="1350" w:type="dxa"/>
            <w:vMerge/>
            <w:tcBorders>
              <w:top w:val="single" w:sz="4" w:space="0" w:color="auto"/>
              <w:left w:val="single" w:sz="4" w:space="0" w:color="auto"/>
              <w:bottom w:val="single" w:sz="4" w:space="0" w:color="000000"/>
              <w:right w:val="single" w:sz="4" w:space="0" w:color="auto"/>
            </w:tcBorders>
            <w:vAlign w:val="center"/>
            <w:hideMark/>
          </w:tcPr>
          <w:p w:rsidR="004B269B" w:rsidRPr="004B269B" w:rsidRDefault="004B269B" w:rsidP="004B269B">
            <w:pPr>
              <w:spacing w:after="0" w:line="240" w:lineRule="auto"/>
              <w:rPr>
                <w:rFonts w:ascii="Arial" w:eastAsia="Times New Roman" w:hAnsi="Arial" w:cs="Arial"/>
                <w:b/>
                <w:bCs/>
                <w:sz w:val="20"/>
                <w:szCs w:val="20"/>
              </w:rPr>
            </w:pPr>
          </w:p>
        </w:tc>
        <w:tc>
          <w:tcPr>
            <w:tcW w:w="1352" w:type="dxa"/>
            <w:vMerge/>
            <w:tcBorders>
              <w:top w:val="single" w:sz="4" w:space="0" w:color="auto"/>
              <w:left w:val="single" w:sz="4" w:space="0" w:color="auto"/>
              <w:bottom w:val="single" w:sz="4" w:space="0" w:color="000000"/>
              <w:right w:val="single" w:sz="4" w:space="0" w:color="auto"/>
            </w:tcBorders>
            <w:vAlign w:val="center"/>
            <w:hideMark/>
          </w:tcPr>
          <w:p w:rsidR="004B269B" w:rsidRPr="004B269B" w:rsidRDefault="004B269B" w:rsidP="004B269B">
            <w:pPr>
              <w:spacing w:after="0" w:line="240" w:lineRule="auto"/>
              <w:rPr>
                <w:rFonts w:ascii="Arial" w:eastAsia="Times New Roman" w:hAnsi="Arial" w:cs="Arial"/>
                <w:b/>
                <w:bCs/>
                <w:sz w:val="20"/>
                <w:szCs w:val="20"/>
              </w:rPr>
            </w:pPr>
          </w:p>
        </w:tc>
      </w:tr>
      <w:tr w:rsidR="004B269B" w:rsidRPr="004B269B" w:rsidTr="004B269B">
        <w:trPr>
          <w:cantSplit/>
          <w:tblHeader/>
        </w:trPr>
        <w:tc>
          <w:tcPr>
            <w:tcW w:w="699" w:type="dxa"/>
            <w:tcBorders>
              <w:top w:val="nil"/>
              <w:left w:val="single" w:sz="4" w:space="0" w:color="auto"/>
              <w:bottom w:val="single" w:sz="4" w:space="0" w:color="auto"/>
              <w:right w:val="single" w:sz="4" w:space="0" w:color="auto"/>
            </w:tcBorders>
            <w:shd w:val="clear" w:color="auto" w:fill="auto"/>
            <w:noWrap/>
            <w:hideMark/>
          </w:tcPr>
          <w:p w:rsidR="004B269B" w:rsidRPr="004B269B" w:rsidRDefault="004B269B" w:rsidP="004B269B">
            <w:pPr>
              <w:spacing w:after="0" w:line="240" w:lineRule="auto"/>
              <w:jc w:val="center"/>
              <w:rPr>
                <w:rFonts w:ascii="Arial" w:eastAsia="Times New Roman" w:hAnsi="Arial" w:cs="Arial"/>
                <w:b/>
                <w:bCs/>
                <w:sz w:val="20"/>
                <w:szCs w:val="20"/>
              </w:rPr>
            </w:pPr>
            <w:r w:rsidRPr="004B269B">
              <w:rPr>
                <w:rFonts w:ascii="Arial" w:eastAsia="Times New Roman" w:hAnsi="Arial" w:cs="Arial"/>
                <w:b/>
                <w:bCs/>
                <w:sz w:val="20"/>
                <w:szCs w:val="20"/>
              </w:rPr>
              <w:t>0</w:t>
            </w:r>
          </w:p>
        </w:tc>
        <w:tc>
          <w:tcPr>
            <w:tcW w:w="2554" w:type="dxa"/>
            <w:gridSpan w:val="3"/>
            <w:tcBorders>
              <w:top w:val="nil"/>
              <w:left w:val="nil"/>
              <w:bottom w:val="single" w:sz="4" w:space="0" w:color="auto"/>
              <w:right w:val="single" w:sz="4" w:space="0" w:color="auto"/>
            </w:tcBorders>
            <w:shd w:val="clear" w:color="auto" w:fill="auto"/>
            <w:noWrap/>
            <w:hideMark/>
          </w:tcPr>
          <w:p w:rsidR="004B269B" w:rsidRPr="004B269B" w:rsidRDefault="004B269B" w:rsidP="004B269B">
            <w:pPr>
              <w:spacing w:after="0" w:line="240" w:lineRule="auto"/>
              <w:jc w:val="center"/>
              <w:rPr>
                <w:rFonts w:ascii="Arial" w:eastAsia="Times New Roman" w:hAnsi="Arial" w:cs="Arial"/>
                <w:b/>
                <w:bCs/>
                <w:sz w:val="20"/>
                <w:szCs w:val="20"/>
              </w:rPr>
            </w:pPr>
            <w:r w:rsidRPr="004B269B">
              <w:rPr>
                <w:rFonts w:ascii="Arial" w:eastAsia="Times New Roman" w:hAnsi="Arial" w:cs="Arial"/>
                <w:b/>
                <w:bCs/>
                <w:sz w:val="20"/>
                <w:szCs w:val="20"/>
              </w:rPr>
              <w:t>1</w:t>
            </w:r>
          </w:p>
        </w:tc>
        <w:tc>
          <w:tcPr>
            <w:tcW w:w="2610" w:type="dxa"/>
            <w:gridSpan w:val="5"/>
            <w:tcBorders>
              <w:top w:val="nil"/>
              <w:left w:val="nil"/>
              <w:bottom w:val="single" w:sz="4" w:space="0" w:color="auto"/>
              <w:right w:val="single" w:sz="4" w:space="0" w:color="auto"/>
            </w:tcBorders>
            <w:shd w:val="clear" w:color="auto" w:fill="auto"/>
            <w:noWrap/>
            <w:hideMark/>
          </w:tcPr>
          <w:p w:rsidR="004B269B" w:rsidRPr="004B269B" w:rsidRDefault="004B269B" w:rsidP="004B269B">
            <w:pPr>
              <w:spacing w:after="0" w:line="240" w:lineRule="auto"/>
              <w:jc w:val="center"/>
              <w:rPr>
                <w:rFonts w:ascii="Arial" w:eastAsia="Times New Roman" w:hAnsi="Arial" w:cs="Arial"/>
                <w:b/>
                <w:bCs/>
                <w:sz w:val="20"/>
                <w:szCs w:val="20"/>
              </w:rPr>
            </w:pPr>
            <w:r w:rsidRPr="004B269B">
              <w:rPr>
                <w:rFonts w:ascii="Arial" w:eastAsia="Times New Roman" w:hAnsi="Arial" w:cs="Arial"/>
                <w:b/>
                <w:bCs/>
                <w:sz w:val="20"/>
                <w:szCs w:val="20"/>
              </w:rPr>
              <w:t>2</w:t>
            </w:r>
          </w:p>
        </w:tc>
        <w:tc>
          <w:tcPr>
            <w:tcW w:w="900" w:type="dxa"/>
            <w:tcBorders>
              <w:top w:val="nil"/>
              <w:left w:val="nil"/>
              <w:bottom w:val="single" w:sz="4" w:space="0" w:color="auto"/>
              <w:right w:val="single" w:sz="4" w:space="0" w:color="auto"/>
            </w:tcBorders>
            <w:shd w:val="clear" w:color="auto" w:fill="auto"/>
            <w:noWrap/>
            <w:hideMark/>
          </w:tcPr>
          <w:p w:rsidR="004B269B" w:rsidRPr="004B269B" w:rsidRDefault="004B269B" w:rsidP="004B269B">
            <w:pPr>
              <w:spacing w:after="0" w:line="240" w:lineRule="auto"/>
              <w:jc w:val="center"/>
              <w:rPr>
                <w:rFonts w:ascii="Arial" w:eastAsia="Times New Roman" w:hAnsi="Arial" w:cs="Arial"/>
                <w:b/>
                <w:bCs/>
                <w:sz w:val="20"/>
                <w:szCs w:val="20"/>
              </w:rPr>
            </w:pPr>
            <w:r w:rsidRPr="004B269B">
              <w:rPr>
                <w:rFonts w:ascii="Arial" w:eastAsia="Times New Roman" w:hAnsi="Arial" w:cs="Arial"/>
                <w:b/>
                <w:bCs/>
                <w:sz w:val="20"/>
                <w:szCs w:val="20"/>
              </w:rPr>
              <w:t>4</w:t>
            </w:r>
          </w:p>
        </w:tc>
        <w:tc>
          <w:tcPr>
            <w:tcW w:w="900" w:type="dxa"/>
            <w:tcBorders>
              <w:top w:val="nil"/>
              <w:left w:val="nil"/>
              <w:bottom w:val="single" w:sz="4" w:space="0" w:color="auto"/>
              <w:right w:val="single" w:sz="4" w:space="0" w:color="auto"/>
            </w:tcBorders>
            <w:shd w:val="clear" w:color="auto" w:fill="auto"/>
            <w:noWrap/>
            <w:hideMark/>
          </w:tcPr>
          <w:p w:rsidR="004B269B" w:rsidRPr="004B269B" w:rsidRDefault="004B269B" w:rsidP="004B269B">
            <w:pPr>
              <w:spacing w:after="0" w:line="240" w:lineRule="auto"/>
              <w:jc w:val="center"/>
              <w:rPr>
                <w:rFonts w:ascii="Arial" w:eastAsia="Times New Roman" w:hAnsi="Arial" w:cs="Arial"/>
                <w:b/>
                <w:bCs/>
                <w:sz w:val="20"/>
                <w:szCs w:val="20"/>
              </w:rPr>
            </w:pPr>
            <w:r w:rsidRPr="004B269B">
              <w:rPr>
                <w:rFonts w:ascii="Arial" w:eastAsia="Times New Roman" w:hAnsi="Arial" w:cs="Arial"/>
                <w:b/>
                <w:bCs/>
                <w:sz w:val="20"/>
                <w:szCs w:val="20"/>
              </w:rPr>
              <w:t>5</w:t>
            </w:r>
          </w:p>
        </w:tc>
        <w:tc>
          <w:tcPr>
            <w:tcW w:w="1350" w:type="dxa"/>
            <w:tcBorders>
              <w:top w:val="nil"/>
              <w:left w:val="nil"/>
              <w:bottom w:val="single" w:sz="4" w:space="0" w:color="auto"/>
              <w:right w:val="single" w:sz="4" w:space="0" w:color="auto"/>
            </w:tcBorders>
            <w:shd w:val="clear" w:color="auto" w:fill="auto"/>
            <w:noWrap/>
            <w:hideMark/>
          </w:tcPr>
          <w:p w:rsidR="004B269B" w:rsidRPr="004B269B" w:rsidRDefault="004B269B" w:rsidP="004B269B">
            <w:pPr>
              <w:spacing w:after="0" w:line="240" w:lineRule="auto"/>
              <w:jc w:val="center"/>
              <w:rPr>
                <w:rFonts w:ascii="Arial" w:eastAsia="Times New Roman" w:hAnsi="Arial" w:cs="Arial"/>
                <w:b/>
                <w:bCs/>
                <w:sz w:val="20"/>
                <w:szCs w:val="20"/>
              </w:rPr>
            </w:pPr>
            <w:r w:rsidRPr="004B269B">
              <w:rPr>
                <w:rFonts w:ascii="Arial" w:eastAsia="Times New Roman" w:hAnsi="Arial" w:cs="Arial"/>
                <w:b/>
                <w:bCs/>
                <w:sz w:val="20"/>
                <w:szCs w:val="20"/>
              </w:rPr>
              <w:t>6</w:t>
            </w:r>
          </w:p>
        </w:tc>
        <w:tc>
          <w:tcPr>
            <w:tcW w:w="1352" w:type="dxa"/>
            <w:tcBorders>
              <w:top w:val="nil"/>
              <w:left w:val="nil"/>
              <w:bottom w:val="single" w:sz="4" w:space="0" w:color="auto"/>
              <w:right w:val="single" w:sz="4" w:space="0" w:color="auto"/>
            </w:tcBorders>
            <w:shd w:val="clear" w:color="auto" w:fill="auto"/>
            <w:noWrap/>
            <w:hideMark/>
          </w:tcPr>
          <w:p w:rsidR="004B269B" w:rsidRPr="004B269B" w:rsidRDefault="004B269B" w:rsidP="004B269B">
            <w:pPr>
              <w:spacing w:after="0" w:line="240" w:lineRule="auto"/>
              <w:jc w:val="center"/>
              <w:rPr>
                <w:rFonts w:ascii="Arial" w:eastAsia="Times New Roman" w:hAnsi="Arial" w:cs="Arial"/>
                <w:b/>
                <w:bCs/>
                <w:sz w:val="20"/>
                <w:szCs w:val="20"/>
              </w:rPr>
            </w:pPr>
            <w:r w:rsidRPr="004B269B">
              <w:rPr>
                <w:rFonts w:ascii="Arial" w:eastAsia="Times New Roman" w:hAnsi="Arial" w:cs="Arial"/>
                <w:b/>
                <w:bCs/>
                <w:sz w:val="20"/>
                <w:szCs w:val="20"/>
              </w:rPr>
              <w:t>7</w:t>
            </w:r>
          </w:p>
        </w:tc>
      </w:tr>
      <w:tr w:rsidR="004B269B" w:rsidRPr="004B269B" w:rsidTr="004B269B">
        <w:trPr>
          <w:cantSplit/>
        </w:trPr>
        <w:tc>
          <w:tcPr>
            <w:tcW w:w="699" w:type="dxa"/>
            <w:tcBorders>
              <w:top w:val="nil"/>
              <w:left w:val="single" w:sz="4" w:space="0" w:color="auto"/>
              <w:bottom w:val="single" w:sz="4" w:space="0" w:color="auto"/>
              <w:right w:val="single" w:sz="4" w:space="0" w:color="auto"/>
            </w:tcBorders>
            <w:shd w:val="clear" w:color="auto" w:fill="auto"/>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1</w:t>
            </w:r>
          </w:p>
        </w:tc>
        <w:tc>
          <w:tcPr>
            <w:tcW w:w="2554" w:type="dxa"/>
            <w:gridSpan w:val="3"/>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Bozia</w:t>
            </w:r>
          </w:p>
        </w:tc>
        <w:tc>
          <w:tcPr>
            <w:tcW w:w="2610" w:type="dxa"/>
            <w:gridSpan w:val="5"/>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Bozia</w:t>
            </w:r>
          </w:p>
        </w:tc>
        <w:tc>
          <w:tcPr>
            <w:tcW w:w="900" w:type="dxa"/>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VS</w:t>
            </w:r>
          </w:p>
        </w:tc>
        <w:tc>
          <w:tcPr>
            <w:tcW w:w="900" w:type="dxa"/>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jc w:val="right"/>
              <w:rPr>
                <w:rFonts w:ascii="Arial" w:eastAsia="Times New Roman" w:hAnsi="Arial" w:cs="Arial"/>
                <w:sz w:val="20"/>
                <w:szCs w:val="20"/>
              </w:rPr>
            </w:pPr>
            <w:r w:rsidRPr="004B269B">
              <w:rPr>
                <w:rFonts w:ascii="Arial" w:eastAsia="Times New Roman" w:hAnsi="Arial" w:cs="Arial"/>
                <w:sz w:val="20"/>
                <w:szCs w:val="20"/>
              </w:rPr>
              <w:t>PO</w:t>
            </w:r>
          </w:p>
        </w:tc>
        <w:tc>
          <w:tcPr>
            <w:tcW w:w="1350" w:type="dxa"/>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jc w:val="right"/>
              <w:rPr>
                <w:rFonts w:ascii="Arial" w:eastAsia="Times New Roman" w:hAnsi="Arial" w:cs="Arial"/>
                <w:sz w:val="20"/>
                <w:szCs w:val="20"/>
              </w:rPr>
            </w:pPr>
            <w:r w:rsidRPr="004B269B">
              <w:rPr>
                <w:rFonts w:ascii="Arial" w:eastAsia="Times New Roman" w:hAnsi="Arial" w:cs="Arial"/>
                <w:sz w:val="20"/>
                <w:szCs w:val="20"/>
              </w:rPr>
              <w:t>3.65</w:t>
            </w:r>
          </w:p>
        </w:tc>
        <w:tc>
          <w:tcPr>
            <w:tcW w:w="1352" w:type="dxa"/>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jc w:val="right"/>
              <w:rPr>
                <w:rFonts w:ascii="Arial" w:eastAsia="Times New Roman" w:hAnsi="Arial" w:cs="Arial"/>
                <w:sz w:val="20"/>
                <w:szCs w:val="20"/>
              </w:rPr>
            </w:pPr>
            <w:r w:rsidRPr="004B269B">
              <w:rPr>
                <w:rFonts w:ascii="Arial" w:eastAsia="Times New Roman" w:hAnsi="Arial" w:cs="Arial"/>
                <w:sz w:val="20"/>
                <w:szCs w:val="20"/>
              </w:rPr>
              <w:t>1.25</w:t>
            </w:r>
          </w:p>
        </w:tc>
      </w:tr>
      <w:tr w:rsidR="004B269B" w:rsidRPr="004B269B" w:rsidTr="004B269B">
        <w:trPr>
          <w:cantSplit/>
        </w:trPr>
        <w:tc>
          <w:tcPr>
            <w:tcW w:w="699" w:type="dxa"/>
            <w:tcBorders>
              <w:top w:val="nil"/>
              <w:left w:val="single" w:sz="4" w:space="0" w:color="auto"/>
              <w:bottom w:val="single" w:sz="4" w:space="0" w:color="auto"/>
              <w:right w:val="single" w:sz="4" w:space="0" w:color="auto"/>
            </w:tcBorders>
            <w:shd w:val="clear" w:color="auto" w:fill="auto"/>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2</w:t>
            </w:r>
          </w:p>
        </w:tc>
        <w:tc>
          <w:tcPr>
            <w:tcW w:w="2554" w:type="dxa"/>
            <w:gridSpan w:val="3"/>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Gura Văii</w:t>
            </w:r>
          </w:p>
        </w:tc>
        <w:tc>
          <w:tcPr>
            <w:tcW w:w="2610" w:type="dxa"/>
            <w:gridSpan w:val="5"/>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Gura Văii</w:t>
            </w:r>
          </w:p>
        </w:tc>
        <w:tc>
          <w:tcPr>
            <w:tcW w:w="900" w:type="dxa"/>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VS</w:t>
            </w:r>
          </w:p>
        </w:tc>
        <w:tc>
          <w:tcPr>
            <w:tcW w:w="900" w:type="dxa"/>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jc w:val="right"/>
              <w:rPr>
                <w:rFonts w:ascii="Arial" w:eastAsia="Times New Roman" w:hAnsi="Arial" w:cs="Arial"/>
                <w:sz w:val="20"/>
                <w:szCs w:val="20"/>
              </w:rPr>
            </w:pPr>
            <w:r w:rsidRPr="004B269B">
              <w:rPr>
                <w:rFonts w:ascii="Arial" w:eastAsia="Times New Roman" w:hAnsi="Arial" w:cs="Arial"/>
                <w:sz w:val="20"/>
                <w:szCs w:val="20"/>
              </w:rPr>
              <w:t>PO</w:t>
            </w:r>
          </w:p>
        </w:tc>
        <w:tc>
          <w:tcPr>
            <w:tcW w:w="1350" w:type="dxa"/>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jc w:val="right"/>
              <w:rPr>
                <w:rFonts w:ascii="Arial" w:eastAsia="Times New Roman" w:hAnsi="Arial" w:cs="Arial"/>
                <w:sz w:val="20"/>
                <w:szCs w:val="20"/>
              </w:rPr>
            </w:pPr>
            <w:r w:rsidRPr="004B269B">
              <w:rPr>
                <w:rFonts w:ascii="Arial" w:eastAsia="Times New Roman" w:hAnsi="Arial" w:cs="Arial"/>
                <w:sz w:val="20"/>
                <w:szCs w:val="20"/>
              </w:rPr>
              <w:t>8.35</w:t>
            </w:r>
          </w:p>
        </w:tc>
        <w:tc>
          <w:tcPr>
            <w:tcW w:w="1352" w:type="dxa"/>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jc w:val="right"/>
              <w:rPr>
                <w:rFonts w:ascii="Arial" w:eastAsia="Times New Roman" w:hAnsi="Arial" w:cs="Arial"/>
                <w:sz w:val="20"/>
                <w:szCs w:val="20"/>
              </w:rPr>
            </w:pPr>
            <w:r w:rsidRPr="004B269B">
              <w:rPr>
                <w:rFonts w:ascii="Arial" w:eastAsia="Times New Roman" w:hAnsi="Arial" w:cs="Arial"/>
                <w:sz w:val="20"/>
                <w:szCs w:val="20"/>
              </w:rPr>
              <w:t>4.62</w:t>
            </w:r>
          </w:p>
        </w:tc>
      </w:tr>
      <w:tr w:rsidR="004B269B" w:rsidRPr="004B269B" w:rsidTr="004B269B">
        <w:trPr>
          <w:cantSplit/>
        </w:trPr>
        <w:tc>
          <w:tcPr>
            <w:tcW w:w="699" w:type="dxa"/>
            <w:tcBorders>
              <w:top w:val="nil"/>
              <w:left w:val="single" w:sz="4" w:space="0" w:color="auto"/>
              <w:bottom w:val="single" w:sz="4" w:space="0" w:color="auto"/>
              <w:right w:val="single" w:sz="4" w:space="0" w:color="auto"/>
            </w:tcBorders>
            <w:shd w:val="clear" w:color="auto" w:fill="auto"/>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3</w:t>
            </w:r>
          </w:p>
        </w:tc>
        <w:tc>
          <w:tcPr>
            <w:tcW w:w="2554" w:type="dxa"/>
            <w:gridSpan w:val="3"/>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Şuletea</w:t>
            </w:r>
          </w:p>
        </w:tc>
        <w:tc>
          <w:tcPr>
            <w:tcW w:w="2610" w:type="dxa"/>
            <w:gridSpan w:val="5"/>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Jigalia</w:t>
            </w:r>
          </w:p>
        </w:tc>
        <w:tc>
          <w:tcPr>
            <w:tcW w:w="900" w:type="dxa"/>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VS</w:t>
            </w:r>
          </w:p>
        </w:tc>
        <w:tc>
          <w:tcPr>
            <w:tcW w:w="900" w:type="dxa"/>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jc w:val="right"/>
              <w:rPr>
                <w:rFonts w:ascii="Arial" w:eastAsia="Times New Roman" w:hAnsi="Arial" w:cs="Arial"/>
                <w:sz w:val="20"/>
                <w:szCs w:val="20"/>
              </w:rPr>
            </w:pPr>
            <w:r w:rsidRPr="004B269B">
              <w:rPr>
                <w:rFonts w:ascii="Arial" w:eastAsia="Times New Roman" w:hAnsi="Arial" w:cs="Arial"/>
                <w:sz w:val="20"/>
                <w:szCs w:val="20"/>
              </w:rPr>
              <w:t>PO</w:t>
            </w:r>
          </w:p>
        </w:tc>
        <w:tc>
          <w:tcPr>
            <w:tcW w:w="1350" w:type="dxa"/>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jc w:val="right"/>
              <w:rPr>
                <w:rFonts w:ascii="Arial" w:eastAsia="Times New Roman" w:hAnsi="Arial" w:cs="Arial"/>
                <w:sz w:val="20"/>
                <w:szCs w:val="20"/>
              </w:rPr>
            </w:pPr>
            <w:r w:rsidRPr="004B269B">
              <w:rPr>
                <w:rFonts w:ascii="Arial" w:eastAsia="Times New Roman" w:hAnsi="Arial" w:cs="Arial"/>
                <w:sz w:val="20"/>
                <w:szCs w:val="20"/>
              </w:rPr>
              <w:t>7</w:t>
            </w:r>
          </w:p>
        </w:tc>
        <w:tc>
          <w:tcPr>
            <w:tcW w:w="1352" w:type="dxa"/>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jc w:val="right"/>
              <w:rPr>
                <w:rFonts w:ascii="Arial" w:eastAsia="Times New Roman" w:hAnsi="Arial" w:cs="Arial"/>
                <w:sz w:val="20"/>
                <w:szCs w:val="20"/>
              </w:rPr>
            </w:pPr>
            <w:r w:rsidRPr="004B269B">
              <w:rPr>
                <w:rFonts w:ascii="Arial" w:eastAsia="Times New Roman" w:hAnsi="Arial" w:cs="Arial"/>
                <w:sz w:val="20"/>
                <w:szCs w:val="20"/>
              </w:rPr>
              <w:t>1.015</w:t>
            </w:r>
          </w:p>
        </w:tc>
      </w:tr>
      <w:tr w:rsidR="004B269B" w:rsidRPr="004B269B" w:rsidTr="004B269B">
        <w:trPr>
          <w:cantSplit/>
        </w:trPr>
        <w:tc>
          <w:tcPr>
            <w:tcW w:w="699" w:type="dxa"/>
            <w:tcBorders>
              <w:top w:val="nil"/>
              <w:left w:val="single" w:sz="4" w:space="0" w:color="auto"/>
              <w:bottom w:val="single" w:sz="4" w:space="0" w:color="auto"/>
              <w:right w:val="single" w:sz="4" w:space="0" w:color="auto"/>
            </w:tcBorders>
            <w:shd w:val="clear" w:color="auto" w:fill="auto"/>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4</w:t>
            </w:r>
          </w:p>
        </w:tc>
        <w:tc>
          <w:tcPr>
            <w:tcW w:w="2554" w:type="dxa"/>
            <w:gridSpan w:val="3"/>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Muşata</w:t>
            </w:r>
          </w:p>
        </w:tc>
        <w:tc>
          <w:tcPr>
            <w:tcW w:w="2610" w:type="dxa"/>
            <w:gridSpan w:val="5"/>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Muşata</w:t>
            </w:r>
          </w:p>
        </w:tc>
        <w:tc>
          <w:tcPr>
            <w:tcW w:w="900" w:type="dxa"/>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VS</w:t>
            </w:r>
          </w:p>
        </w:tc>
        <w:tc>
          <w:tcPr>
            <w:tcW w:w="900" w:type="dxa"/>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jc w:val="right"/>
              <w:rPr>
                <w:rFonts w:ascii="Arial" w:eastAsia="Times New Roman" w:hAnsi="Arial" w:cs="Arial"/>
                <w:sz w:val="20"/>
                <w:szCs w:val="20"/>
              </w:rPr>
            </w:pPr>
            <w:r w:rsidRPr="004B269B">
              <w:rPr>
                <w:rFonts w:ascii="Arial" w:eastAsia="Times New Roman" w:hAnsi="Arial" w:cs="Arial"/>
                <w:sz w:val="20"/>
                <w:szCs w:val="20"/>
              </w:rPr>
              <w:t>PO</w:t>
            </w:r>
          </w:p>
        </w:tc>
        <w:tc>
          <w:tcPr>
            <w:tcW w:w="1350" w:type="dxa"/>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jc w:val="right"/>
              <w:rPr>
                <w:rFonts w:ascii="Arial" w:eastAsia="Times New Roman" w:hAnsi="Arial" w:cs="Arial"/>
                <w:sz w:val="20"/>
                <w:szCs w:val="20"/>
              </w:rPr>
            </w:pPr>
            <w:r w:rsidRPr="004B269B">
              <w:rPr>
                <w:rFonts w:ascii="Arial" w:eastAsia="Times New Roman" w:hAnsi="Arial" w:cs="Arial"/>
                <w:sz w:val="20"/>
                <w:szCs w:val="20"/>
              </w:rPr>
              <w:t>10.5</w:t>
            </w:r>
          </w:p>
        </w:tc>
        <w:tc>
          <w:tcPr>
            <w:tcW w:w="1352" w:type="dxa"/>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jc w:val="right"/>
              <w:rPr>
                <w:rFonts w:ascii="Arial" w:eastAsia="Times New Roman" w:hAnsi="Arial" w:cs="Arial"/>
                <w:sz w:val="20"/>
                <w:szCs w:val="20"/>
              </w:rPr>
            </w:pPr>
            <w:r w:rsidRPr="004B269B">
              <w:rPr>
                <w:rFonts w:ascii="Arial" w:eastAsia="Times New Roman" w:hAnsi="Arial" w:cs="Arial"/>
                <w:sz w:val="20"/>
                <w:szCs w:val="20"/>
              </w:rPr>
              <w:t>2.714</w:t>
            </w:r>
          </w:p>
        </w:tc>
      </w:tr>
      <w:tr w:rsidR="004B269B" w:rsidRPr="004B269B" w:rsidTr="004B269B">
        <w:trPr>
          <w:cantSplit/>
        </w:trPr>
        <w:tc>
          <w:tcPr>
            <w:tcW w:w="699" w:type="dxa"/>
            <w:tcBorders>
              <w:top w:val="nil"/>
              <w:left w:val="single" w:sz="4" w:space="0" w:color="auto"/>
              <w:bottom w:val="single" w:sz="4" w:space="0" w:color="auto"/>
              <w:right w:val="single" w:sz="4" w:space="0" w:color="auto"/>
            </w:tcBorders>
            <w:shd w:val="clear" w:color="auto" w:fill="auto"/>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5</w:t>
            </w:r>
          </w:p>
        </w:tc>
        <w:tc>
          <w:tcPr>
            <w:tcW w:w="2554" w:type="dxa"/>
            <w:gridSpan w:val="3"/>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Sărata</w:t>
            </w:r>
          </w:p>
        </w:tc>
        <w:tc>
          <w:tcPr>
            <w:tcW w:w="2610" w:type="dxa"/>
            <w:gridSpan w:val="5"/>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Sărata</w:t>
            </w:r>
          </w:p>
        </w:tc>
        <w:tc>
          <w:tcPr>
            <w:tcW w:w="900" w:type="dxa"/>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VS</w:t>
            </w:r>
          </w:p>
        </w:tc>
        <w:tc>
          <w:tcPr>
            <w:tcW w:w="900" w:type="dxa"/>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jc w:val="right"/>
              <w:rPr>
                <w:rFonts w:ascii="Arial" w:eastAsia="Times New Roman" w:hAnsi="Arial" w:cs="Arial"/>
                <w:sz w:val="20"/>
                <w:szCs w:val="20"/>
              </w:rPr>
            </w:pPr>
            <w:r w:rsidRPr="004B269B">
              <w:rPr>
                <w:rFonts w:ascii="Arial" w:eastAsia="Times New Roman" w:hAnsi="Arial" w:cs="Arial"/>
                <w:sz w:val="20"/>
                <w:szCs w:val="20"/>
              </w:rPr>
              <w:t>PO</w:t>
            </w:r>
          </w:p>
        </w:tc>
        <w:tc>
          <w:tcPr>
            <w:tcW w:w="1350" w:type="dxa"/>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jc w:val="right"/>
              <w:rPr>
                <w:rFonts w:ascii="Arial" w:eastAsia="Times New Roman" w:hAnsi="Arial" w:cs="Arial"/>
                <w:sz w:val="20"/>
                <w:szCs w:val="20"/>
              </w:rPr>
            </w:pPr>
            <w:r w:rsidRPr="004B269B">
              <w:rPr>
                <w:rFonts w:ascii="Arial" w:eastAsia="Times New Roman" w:hAnsi="Arial" w:cs="Arial"/>
                <w:sz w:val="20"/>
                <w:szCs w:val="20"/>
              </w:rPr>
              <w:t>10.4</w:t>
            </w:r>
          </w:p>
        </w:tc>
        <w:tc>
          <w:tcPr>
            <w:tcW w:w="1352" w:type="dxa"/>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jc w:val="right"/>
              <w:rPr>
                <w:rFonts w:ascii="Arial" w:eastAsia="Times New Roman" w:hAnsi="Arial" w:cs="Arial"/>
                <w:sz w:val="20"/>
                <w:szCs w:val="20"/>
              </w:rPr>
            </w:pPr>
            <w:r w:rsidRPr="004B269B">
              <w:rPr>
                <w:rFonts w:ascii="Arial" w:eastAsia="Times New Roman" w:hAnsi="Arial" w:cs="Arial"/>
                <w:sz w:val="20"/>
                <w:szCs w:val="20"/>
              </w:rPr>
              <w:t>6.12</w:t>
            </w:r>
          </w:p>
        </w:tc>
      </w:tr>
      <w:tr w:rsidR="004B269B" w:rsidRPr="004B269B" w:rsidTr="004B269B">
        <w:trPr>
          <w:cantSplit/>
        </w:trPr>
        <w:tc>
          <w:tcPr>
            <w:tcW w:w="699" w:type="dxa"/>
            <w:tcBorders>
              <w:top w:val="nil"/>
              <w:left w:val="single" w:sz="4" w:space="0" w:color="auto"/>
              <w:bottom w:val="single" w:sz="4" w:space="0" w:color="auto"/>
              <w:right w:val="single" w:sz="4" w:space="0" w:color="auto"/>
            </w:tcBorders>
            <w:shd w:val="clear" w:color="auto" w:fill="auto"/>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6</w:t>
            </w:r>
          </w:p>
        </w:tc>
        <w:tc>
          <w:tcPr>
            <w:tcW w:w="2554" w:type="dxa"/>
            <w:gridSpan w:val="3"/>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Şopârleni</w:t>
            </w:r>
          </w:p>
        </w:tc>
        <w:tc>
          <w:tcPr>
            <w:tcW w:w="2610" w:type="dxa"/>
            <w:gridSpan w:val="5"/>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Şopârleni</w:t>
            </w:r>
          </w:p>
        </w:tc>
        <w:tc>
          <w:tcPr>
            <w:tcW w:w="900" w:type="dxa"/>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VS</w:t>
            </w:r>
          </w:p>
        </w:tc>
        <w:tc>
          <w:tcPr>
            <w:tcW w:w="900" w:type="dxa"/>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jc w:val="right"/>
              <w:rPr>
                <w:rFonts w:ascii="Arial" w:eastAsia="Times New Roman" w:hAnsi="Arial" w:cs="Arial"/>
                <w:sz w:val="20"/>
                <w:szCs w:val="20"/>
              </w:rPr>
            </w:pPr>
            <w:r w:rsidRPr="004B269B">
              <w:rPr>
                <w:rFonts w:ascii="Arial" w:eastAsia="Times New Roman" w:hAnsi="Arial" w:cs="Arial"/>
                <w:sz w:val="20"/>
                <w:szCs w:val="20"/>
              </w:rPr>
              <w:t>PO</w:t>
            </w:r>
          </w:p>
        </w:tc>
        <w:tc>
          <w:tcPr>
            <w:tcW w:w="1350" w:type="dxa"/>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jc w:val="right"/>
              <w:rPr>
                <w:rFonts w:ascii="Arial" w:eastAsia="Times New Roman" w:hAnsi="Arial" w:cs="Arial"/>
                <w:sz w:val="20"/>
                <w:szCs w:val="20"/>
              </w:rPr>
            </w:pPr>
            <w:r w:rsidRPr="004B269B">
              <w:rPr>
                <w:rFonts w:ascii="Arial" w:eastAsia="Times New Roman" w:hAnsi="Arial" w:cs="Arial"/>
                <w:sz w:val="20"/>
                <w:szCs w:val="20"/>
              </w:rPr>
              <w:t>7</w:t>
            </w:r>
          </w:p>
        </w:tc>
        <w:tc>
          <w:tcPr>
            <w:tcW w:w="1352" w:type="dxa"/>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jc w:val="right"/>
              <w:rPr>
                <w:rFonts w:ascii="Arial" w:eastAsia="Times New Roman" w:hAnsi="Arial" w:cs="Arial"/>
                <w:sz w:val="20"/>
                <w:szCs w:val="20"/>
              </w:rPr>
            </w:pPr>
            <w:r w:rsidRPr="004B269B">
              <w:rPr>
                <w:rFonts w:ascii="Arial" w:eastAsia="Times New Roman" w:hAnsi="Arial" w:cs="Arial"/>
                <w:sz w:val="20"/>
                <w:szCs w:val="20"/>
              </w:rPr>
              <w:t>1.375</w:t>
            </w:r>
          </w:p>
        </w:tc>
      </w:tr>
      <w:tr w:rsidR="004B269B" w:rsidRPr="004B269B" w:rsidTr="004B269B">
        <w:trPr>
          <w:cantSplit/>
        </w:trPr>
        <w:tc>
          <w:tcPr>
            <w:tcW w:w="699" w:type="dxa"/>
            <w:tcBorders>
              <w:top w:val="nil"/>
              <w:left w:val="single" w:sz="4" w:space="0" w:color="auto"/>
              <w:bottom w:val="single" w:sz="4" w:space="0" w:color="auto"/>
              <w:right w:val="single" w:sz="4" w:space="0" w:color="auto"/>
            </w:tcBorders>
            <w:shd w:val="clear" w:color="auto" w:fill="auto"/>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7</w:t>
            </w:r>
          </w:p>
        </w:tc>
        <w:tc>
          <w:tcPr>
            <w:tcW w:w="2554" w:type="dxa"/>
            <w:gridSpan w:val="3"/>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Valea Seacă</w:t>
            </w:r>
          </w:p>
        </w:tc>
        <w:tc>
          <w:tcPr>
            <w:tcW w:w="2610" w:type="dxa"/>
            <w:gridSpan w:val="5"/>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Valea Seacă</w:t>
            </w:r>
          </w:p>
        </w:tc>
        <w:tc>
          <w:tcPr>
            <w:tcW w:w="900" w:type="dxa"/>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VS</w:t>
            </w:r>
          </w:p>
        </w:tc>
        <w:tc>
          <w:tcPr>
            <w:tcW w:w="900" w:type="dxa"/>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jc w:val="right"/>
              <w:rPr>
                <w:rFonts w:ascii="Arial" w:eastAsia="Times New Roman" w:hAnsi="Arial" w:cs="Arial"/>
                <w:sz w:val="20"/>
                <w:szCs w:val="20"/>
              </w:rPr>
            </w:pPr>
            <w:r w:rsidRPr="004B269B">
              <w:rPr>
                <w:rFonts w:ascii="Arial" w:eastAsia="Times New Roman" w:hAnsi="Arial" w:cs="Arial"/>
                <w:sz w:val="20"/>
                <w:szCs w:val="20"/>
              </w:rPr>
              <w:t>PO</w:t>
            </w:r>
          </w:p>
        </w:tc>
        <w:tc>
          <w:tcPr>
            <w:tcW w:w="1350" w:type="dxa"/>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jc w:val="right"/>
              <w:rPr>
                <w:rFonts w:ascii="Arial" w:eastAsia="Times New Roman" w:hAnsi="Arial" w:cs="Arial"/>
                <w:sz w:val="20"/>
                <w:szCs w:val="20"/>
              </w:rPr>
            </w:pPr>
            <w:r w:rsidRPr="004B269B">
              <w:rPr>
                <w:rFonts w:ascii="Arial" w:eastAsia="Times New Roman" w:hAnsi="Arial" w:cs="Arial"/>
                <w:sz w:val="20"/>
                <w:szCs w:val="20"/>
              </w:rPr>
              <w:t>17</w:t>
            </w:r>
          </w:p>
        </w:tc>
        <w:tc>
          <w:tcPr>
            <w:tcW w:w="1352" w:type="dxa"/>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jc w:val="right"/>
              <w:rPr>
                <w:rFonts w:ascii="Arial" w:eastAsia="Times New Roman" w:hAnsi="Arial" w:cs="Arial"/>
                <w:sz w:val="20"/>
                <w:szCs w:val="20"/>
              </w:rPr>
            </w:pPr>
            <w:r w:rsidRPr="004B269B">
              <w:rPr>
                <w:rFonts w:ascii="Arial" w:eastAsia="Times New Roman" w:hAnsi="Arial" w:cs="Arial"/>
                <w:sz w:val="20"/>
                <w:szCs w:val="20"/>
              </w:rPr>
              <w:t>6.05</w:t>
            </w:r>
          </w:p>
        </w:tc>
      </w:tr>
      <w:tr w:rsidR="004B269B" w:rsidRPr="004B269B" w:rsidTr="004B269B">
        <w:trPr>
          <w:cantSplit/>
        </w:trPr>
        <w:tc>
          <w:tcPr>
            <w:tcW w:w="699" w:type="dxa"/>
            <w:tcBorders>
              <w:top w:val="nil"/>
              <w:left w:val="single" w:sz="4" w:space="0" w:color="auto"/>
              <w:bottom w:val="single" w:sz="4" w:space="0" w:color="auto"/>
              <w:right w:val="single" w:sz="4" w:space="0" w:color="auto"/>
            </w:tcBorders>
            <w:shd w:val="clear" w:color="auto" w:fill="auto"/>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lastRenderedPageBreak/>
              <w:t>8</w:t>
            </w:r>
          </w:p>
        </w:tc>
        <w:tc>
          <w:tcPr>
            <w:tcW w:w="2554" w:type="dxa"/>
            <w:gridSpan w:val="3"/>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Bălţaţi I</w:t>
            </w:r>
          </w:p>
        </w:tc>
        <w:tc>
          <w:tcPr>
            <w:tcW w:w="2610" w:type="dxa"/>
            <w:gridSpan w:val="5"/>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Bălţaţi</w:t>
            </w:r>
          </w:p>
        </w:tc>
        <w:tc>
          <w:tcPr>
            <w:tcW w:w="900" w:type="dxa"/>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VS</w:t>
            </w:r>
          </w:p>
        </w:tc>
        <w:tc>
          <w:tcPr>
            <w:tcW w:w="900" w:type="dxa"/>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jc w:val="right"/>
              <w:rPr>
                <w:rFonts w:ascii="Arial" w:eastAsia="Times New Roman" w:hAnsi="Arial" w:cs="Arial"/>
                <w:sz w:val="20"/>
                <w:szCs w:val="20"/>
              </w:rPr>
            </w:pPr>
            <w:r w:rsidRPr="004B269B">
              <w:rPr>
                <w:rFonts w:ascii="Arial" w:eastAsia="Times New Roman" w:hAnsi="Arial" w:cs="Arial"/>
                <w:sz w:val="20"/>
                <w:szCs w:val="20"/>
              </w:rPr>
              <w:t>PO</w:t>
            </w:r>
          </w:p>
        </w:tc>
        <w:tc>
          <w:tcPr>
            <w:tcW w:w="1350" w:type="dxa"/>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jc w:val="right"/>
              <w:rPr>
                <w:rFonts w:ascii="Arial" w:eastAsia="Times New Roman" w:hAnsi="Arial" w:cs="Arial"/>
                <w:sz w:val="20"/>
                <w:szCs w:val="20"/>
              </w:rPr>
            </w:pPr>
            <w:r w:rsidRPr="004B269B">
              <w:rPr>
                <w:rFonts w:ascii="Arial" w:eastAsia="Times New Roman" w:hAnsi="Arial" w:cs="Arial"/>
                <w:sz w:val="20"/>
                <w:szCs w:val="20"/>
              </w:rPr>
              <w:t>4</w:t>
            </w:r>
          </w:p>
        </w:tc>
        <w:tc>
          <w:tcPr>
            <w:tcW w:w="1352" w:type="dxa"/>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jc w:val="right"/>
              <w:rPr>
                <w:rFonts w:ascii="Arial" w:eastAsia="Times New Roman" w:hAnsi="Arial" w:cs="Arial"/>
                <w:sz w:val="20"/>
                <w:szCs w:val="20"/>
              </w:rPr>
            </w:pPr>
            <w:r w:rsidRPr="004B269B">
              <w:rPr>
                <w:rFonts w:ascii="Arial" w:eastAsia="Times New Roman" w:hAnsi="Arial" w:cs="Arial"/>
                <w:sz w:val="20"/>
                <w:szCs w:val="20"/>
              </w:rPr>
              <w:t>0.182</w:t>
            </w:r>
          </w:p>
        </w:tc>
      </w:tr>
      <w:tr w:rsidR="004B269B" w:rsidRPr="004B269B" w:rsidTr="004B269B">
        <w:trPr>
          <w:cantSplit/>
        </w:trPr>
        <w:tc>
          <w:tcPr>
            <w:tcW w:w="699" w:type="dxa"/>
            <w:tcBorders>
              <w:top w:val="nil"/>
              <w:left w:val="single" w:sz="4" w:space="0" w:color="auto"/>
              <w:bottom w:val="single" w:sz="4" w:space="0" w:color="auto"/>
              <w:right w:val="single" w:sz="4" w:space="0" w:color="auto"/>
            </w:tcBorders>
            <w:shd w:val="clear" w:color="auto" w:fill="auto"/>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9</w:t>
            </w:r>
          </w:p>
        </w:tc>
        <w:tc>
          <w:tcPr>
            <w:tcW w:w="2554" w:type="dxa"/>
            <w:gridSpan w:val="3"/>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Bălţaţi II</w:t>
            </w:r>
          </w:p>
        </w:tc>
        <w:tc>
          <w:tcPr>
            <w:tcW w:w="2610" w:type="dxa"/>
            <w:gridSpan w:val="5"/>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Bălţaţi</w:t>
            </w:r>
          </w:p>
        </w:tc>
        <w:tc>
          <w:tcPr>
            <w:tcW w:w="900" w:type="dxa"/>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VS</w:t>
            </w:r>
          </w:p>
        </w:tc>
        <w:tc>
          <w:tcPr>
            <w:tcW w:w="900" w:type="dxa"/>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jc w:val="right"/>
              <w:rPr>
                <w:rFonts w:ascii="Arial" w:eastAsia="Times New Roman" w:hAnsi="Arial" w:cs="Arial"/>
                <w:sz w:val="20"/>
                <w:szCs w:val="20"/>
              </w:rPr>
            </w:pPr>
            <w:r w:rsidRPr="004B269B">
              <w:rPr>
                <w:rFonts w:ascii="Arial" w:eastAsia="Times New Roman" w:hAnsi="Arial" w:cs="Arial"/>
                <w:sz w:val="20"/>
                <w:szCs w:val="20"/>
              </w:rPr>
              <w:t>PO</w:t>
            </w:r>
          </w:p>
        </w:tc>
        <w:tc>
          <w:tcPr>
            <w:tcW w:w="1350" w:type="dxa"/>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jc w:val="right"/>
              <w:rPr>
                <w:rFonts w:ascii="Arial" w:eastAsia="Times New Roman" w:hAnsi="Arial" w:cs="Arial"/>
                <w:sz w:val="20"/>
                <w:szCs w:val="20"/>
              </w:rPr>
            </w:pPr>
            <w:r w:rsidRPr="004B269B">
              <w:rPr>
                <w:rFonts w:ascii="Arial" w:eastAsia="Times New Roman" w:hAnsi="Arial" w:cs="Arial"/>
                <w:sz w:val="20"/>
                <w:szCs w:val="20"/>
              </w:rPr>
              <w:t>4</w:t>
            </w:r>
          </w:p>
        </w:tc>
        <w:tc>
          <w:tcPr>
            <w:tcW w:w="1352" w:type="dxa"/>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jc w:val="right"/>
              <w:rPr>
                <w:rFonts w:ascii="Arial" w:eastAsia="Times New Roman" w:hAnsi="Arial" w:cs="Arial"/>
                <w:sz w:val="20"/>
                <w:szCs w:val="20"/>
              </w:rPr>
            </w:pPr>
            <w:r w:rsidRPr="004B269B">
              <w:rPr>
                <w:rFonts w:ascii="Arial" w:eastAsia="Times New Roman" w:hAnsi="Arial" w:cs="Arial"/>
                <w:sz w:val="20"/>
                <w:szCs w:val="20"/>
              </w:rPr>
              <w:t>0.21</w:t>
            </w:r>
          </w:p>
        </w:tc>
      </w:tr>
      <w:tr w:rsidR="004B269B" w:rsidRPr="004B269B" w:rsidTr="004B269B">
        <w:trPr>
          <w:cantSplit/>
        </w:trPr>
        <w:tc>
          <w:tcPr>
            <w:tcW w:w="699" w:type="dxa"/>
            <w:tcBorders>
              <w:top w:val="nil"/>
              <w:left w:val="single" w:sz="4" w:space="0" w:color="auto"/>
              <w:bottom w:val="single" w:sz="4" w:space="0" w:color="auto"/>
              <w:right w:val="single" w:sz="4" w:space="0" w:color="auto"/>
            </w:tcBorders>
            <w:shd w:val="clear" w:color="auto" w:fill="auto"/>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10</w:t>
            </w:r>
          </w:p>
        </w:tc>
        <w:tc>
          <w:tcPr>
            <w:tcW w:w="2554" w:type="dxa"/>
            <w:gridSpan w:val="3"/>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Stănileşti</w:t>
            </w:r>
          </w:p>
        </w:tc>
        <w:tc>
          <w:tcPr>
            <w:tcW w:w="2610" w:type="dxa"/>
            <w:gridSpan w:val="5"/>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Pruteţ</w:t>
            </w:r>
          </w:p>
        </w:tc>
        <w:tc>
          <w:tcPr>
            <w:tcW w:w="900" w:type="dxa"/>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VS</w:t>
            </w:r>
          </w:p>
        </w:tc>
        <w:tc>
          <w:tcPr>
            <w:tcW w:w="900" w:type="dxa"/>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jc w:val="right"/>
              <w:rPr>
                <w:rFonts w:ascii="Arial" w:eastAsia="Times New Roman" w:hAnsi="Arial" w:cs="Arial"/>
                <w:sz w:val="20"/>
                <w:szCs w:val="20"/>
              </w:rPr>
            </w:pPr>
            <w:r w:rsidRPr="004B269B">
              <w:rPr>
                <w:rFonts w:ascii="Arial" w:eastAsia="Times New Roman" w:hAnsi="Arial" w:cs="Arial"/>
                <w:sz w:val="20"/>
                <w:szCs w:val="20"/>
              </w:rPr>
              <w:t>PO</w:t>
            </w:r>
          </w:p>
        </w:tc>
        <w:tc>
          <w:tcPr>
            <w:tcW w:w="1350" w:type="dxa"/>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jc w:val="right"/>
              <w:rPr>
                <w:rFonts w:ascii="Arial" w:eastAsia="Times New Roman" w:hAnsi="Arial" w:cs="Arial"/>
                <w:sz w:val="20"/>
                <w:szCs w:val="20"/>
              </w:rPr>
            </w:pPr>
            <w:r w:rsidRPr="004B269B">
              <w:rPr>
                <w:rFonts w:ascii="Arial" w:eastAsia="Times New Roman" w:hAnsi="Arial" w:cs="Arial"/>
                <w:sz w:val="20"/>
                <w:szCs w:val="20"/>
              </w:rPr>
              <w:t>4.5</w:t>
            </w:r>
          </w:p>
        </w:tc>
        <w:tc>
          <w:tcPr>
            <w:tcW w:w="1352" w:type="dxa"/>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jc w:val="right"/>
              <w:rPr>
                <w:rFonts w:ascii="Arial" w:eastAsia="Times New Roman" w:hAnsi="Arial" w:cs="Arial"/>
                <w:sz w:val="20"/>
                <w:szCs w:val="20"/>
              </w:rPr>
            </w:pPr>
            <w:r w:rsidRPr="004B269B">
              <w:rPr>
                <w:rFonts w:ascii="Arial" w:eastAsia="Times New Roman" w:hAnsi="Arial" w:cs="Arial"/>
                <w:sz w:val="20"/>
                <w:szCs w:val="20"/>
              </w:rPr>
              <w:t>0.365</w:t>
            </w:r>
          </w:p>
        </w:tc>
      </w:tr>
      <w:tr w:rsidR="004B269B" w:rsidRPr="004B269B" w:rsidTr="004B269B">
        <w:trPr>
          <w:cantSplit/>
        </w:trPr>
        <w:tc>
          <w:tcPr>
            <w:tcW w:w="699" w:type="dxa"/>
            <w:tcBorders>
              <w:top w:val="nil"/>
              <w:left w:val="single" w:sz="4" w:space="0" w:color="auto"/>
              <w:bottom w:val="single" w:sz="4" w:space="0" w:color="auto"/>
              <w:right w:val="single" w:sz="4" w:space="0" w:color="auto"/>
            </w:tcBorders>
            <w:shd w:val="clear" w:color="auto" w:fill="auto"/>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11</w:t>
            </w:r>
          </w:p>
        </w:tc>
        <w:tc>
          <w:tcPr>
            <w:tcW w:w="2554" w:type="dxa"/>
            <w:gridSpan w:val="3"/>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Budu Cantemir</w:t>
            </w:r>
          </w:p>
        </w:tc>
        <w:tc>
          <w:tcPr>
            <w:tcW w:w="2610" w:type="dxa"/>
            <w:gridSpan w:val="5"/>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Torent Budu</w:t>
            </w:r>
          </w:p>
        </w:tc>
        <w:tc>
          <w:tcPr>
            <w:tcW w:w="900" w:type="dxa"/>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VS</w:t>
            </w:r>
          </w:p>
        </w:tc>
        <w:tc>
          <w:tcPr>
            <w:tcW w:w="900" w:type="dxa"/>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jc w:val="right"/>
              <w:rPr>
                <w:rFonts w:ascii="Arial" w:eastAsia="Times New Roman" w:hAnsi="Arial" w:cs="Arial"/>
                <w:sz w:val="20"/>
                <w:szCs w:val="20"/>
              </w:rPr>
            </w:pPr>
            <w:r w:rsidRPr="004B269B">
              <w:rPr>
                <w:rFonts w:ascii="Arial" w:eastAsia="Times New Roman" w:hAnsi="Arial" w:cs="Arial"/>
                <w:sz w:val="20"/>
                <w:szCs w:val="20"/>
              </w:rPr>
              <w:t>PO</w:t>
            </w:r>
          </w:p>
        </w:tc>
        <w:tc>
          <w:tcPr>
            <w:tcW w:w="1350" w:type="dxa"/>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jc w:val="right"/>
              <w:rPr>
                <w:rFonts w:ascii="Arial" w:eastAsia="Times New Roman" w:hAnsi="Arial" w:cs="Arial"/>
                <w:sz w:val="20"/>
                <w:szCs w:val="20"/>
              </w:rPr>
            </w:pPr>
            <w:r w:rsidRPr="004B269B">
              <w:rPr>
                <w:rFonts w:ascii="Arial" w:eastAsia="Times New Roman" w:hAnsi="Arial" w:cs="Arial"/>
                <w:sz w:val="20"/>
                <w:szCs w:val="20"/>
              </w:rPr>
              <w:t>10.4</w:t>
            </w:r>
          </w:p>
        </w:tc>
        <w:tc>
          <w:tcPr>
            <w:tcW w:w="1352" w:type="dxa"/>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jc w:val="right"/>
              <w:rPr>
                <w:rFonts w:ascii="Arial" w:eastAsia="Times New Roman" w:hAnsi="Arial" w:cs="Arial"/>
                <w:sz w:val="20"/>
                <w:szCs w:val="20"/>
              </w:rPr>
            </w:pPr>
            <w:r w:rsidRPr="004B269B">
              <w:rPr>
                <w:rFonts w:ascii="Arial" w:eastAsia="Times New Roman" w:hAnsi="Arial" w:cs="Arial"/>
                <w:sz w:val="20"/>
                <w:szCs w:val="20"/>
              </w:rPr>
              <w:t>0.885</w:t>
            </w:r>
          </w:p>
        </w:tc>
      </w:tr>
      <w:tr w:rsidR="004B269B" w:rsidRPr="004B269B" w:rsidTr="004B269B">
        <w:trPr>
          <w:cantSplit/>
        </w:trPr>
        <w:tc>
          <w:tcPr>
            <w:tcW w:w="699" w:type="dxa"/>
            <w:tcBorders>
              <w:top w:val="nil"/>
              <w:left w:val="single" w:sz="4" w:space="0" w:color="auto"/>
              <w:bottom w:val="single" w:sz="4" w:space="0" w:color="auto"/>
              <w:right w:val="single" w:sz="4" w:space="0" w:color="auto"/>
            </w:tcBorders>
            <w:shd w:val="clear" w:color="auto" w:fill="auto"/>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12</w:t>
            </w:r>
          </w:p>
        </w:tc>
        <w:tc>
          <w:tcPr>
            <w:tcW w:w="2554" w:type="dxa"/>
            <w:gridSpan w:val="3"/>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Voloşeni</w:t>
            </w:r>
          </w:p>
        </w:tc>
        <w:tc>
          <w:tcPr>
            <w:tcW w:w="2610" w:type="dxa"/>
            <w:gridSpan w:val="5"/>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Torent Voloşeni</w:t>
            </w:r>
          </w:p>
        </w:tc>
        <w:tc>
          <w:tcPr>
            <w:tcW w:w="900" w:type="dxa"/>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rPr>
                <w:rFonts w:ascii="Arial" w:eastAsia="Times New Roman" w:hAnsi="Arial" w:cs="Arial"/>
                <w:sz w:val="20"/>
                <w:szCs w:val="20"/>
              </w:rPr>
            </w:pPr>
            <w:r w:rsidRPr="004B269B">
              <w:rPr>
                <w:rFonts w:ascii="Arial" w:eastAsia="Times New Roman" w:hAnsi="Arial" w:cs="Arial"/>
                <w:sz w:val="20"/>
                <w:szCs w:val="20"/>
              </w:rPr>
              <w:t>VS</w:t>
            </w:r>
          </w:p>
        </w:tc>
        <w:tc>
          <w:tcPr>
            <w:tcW w:w="900" w:type="dxa"/>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jc w:val="right"/>
              <w:rPr>
                <w:rFonts w:ascii="Arial" w:eastAsia="Times New Roman" w:hAnsi="Arial" w:cs="Arial"/>
                <w:sz w:val="20"/>
                <w:szCs w:val="20"/>
              </w:rPr>
            </w:pPr>
            <w:r w:rsidRPr="004B269B">
              <w:rPr>
                <w:rFonts w:ascii="Arial" w:eastAsia="Times New Roman" w:hAnsi="Arial" w:cs="Arial"/>
                <w:sz w:val="20"/>
                <w:szCs w:val="20"/>
              </w:rPr>
              <w:t>PO</w:t>
            </w:r>
          </w:p>
        </w:tc>
        <w:tc>
          <w:tcPr>
            <w:tcW w:w="1350" w:type="dxa"/>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jc w:val="right"/>
              <w:rPr>
                <w:rFonts w:ascii="Arial" w:eastAsia="Times New Roman" w:hAnsi="Arial" w:cs="Arial"/>
                <w:sz w:val="20"/>
                <w:szCs w:val="20"/>
              </w:rPr>
            </w:pPr>
            <w:r w:rsidRPr="004B269B">
              <w:rPr>
                <w:rFonts w:ascii="Arial" w:eastAsia="Times New Roman" w:hAnsi="Arial" w:cs="Arial"/>
                <w:sz w:val="20"/>
                <w:szCs w:val="20"/>
              </w:rPr>
              <w:t>9.25</w:t>
            </w:r>
          </w:p>
        </w:tc>
        <w:tc>
          <w:tcPr>
            <w:tcW w:w="1352" w:type="dxa"/>
            <w:tcBorders>
              <w:top w:val="nil"/>
              <w:left w:val="nil"/>
              <w:bottom w:val="single" w:sz="4" w:space="0" w:color="auto"/>
              <w:right w:val="single" w:sz="4" w:space="0" w:color="auto"/>
            </w:tcBorders>
            <w:shd w:val="clear" w:color="auto" w:fill="auto"/>
            <w:hideMark/>
          </w:tcPr>
          <w:p w:rsidR="004B269B" w:rsidRPr="004B269B" w:rsidRDefault="004B269B" w:rsidP="004B269B">
            <w:pPr>
              <w:spacing w:after="0" w:line="240" w:lineRule="auto"/>
              <w:jc w:val="right"/>
              <w:rPr>
                <w:rFonts w:ascii="Arial" w:eastAsia="Times New Roman" w:hAnsi="Arial" w:cs="Arial"/>
                <w:sz w:val="20"/>
                <w:szCs w:val="20"/>
              </w:rPr>
            </w:pPr>
            <w:r w:rsidRPr="004B269B">
              <w:rPr>
                <w:rFonts w:ascii="Arial" w:eastAsia="Times New Roman" w:hAnsi="Arial" w:cs="Arial"/>
                <w:sz w:val="20"/>
                <w:szCs w:val="20"/>
              </w:rPr>
              <w:t>0.488</w:t>
            </w:r>
          </w:p>
        </w:tc>
      </w:tr>
      <w:tr w:rsidR="004B269B" w:rsidRPr="004B269B" w:rsidTr="00080B9C">
        <w:trPr>
          <w:gridAfter w:val="5"/>
          <w:wAfter w:w="4781" w:type="dxa"/>
          <w:trHeight w:val="62"/>
        </w:trPr>
        <w:tc>
          <w:tcPr>
            <w:tcW w:w="1117" w:type="dxa"/>
            <w:gridSpan w:val="3"/>
            <w:shd w:val="clear" w:color="auto" w:fill="auto"/>
            <w:noWrap/>
            <w:vAlign w:val="bottom"/>
            <w:hideMark/>
          </w:tcPr>
          <w:p w:rsidR="004B269B" w:rsidRPr="004B269B" w:rsidRDefault="004B269B" w:rsidP="004B269B">
            <w:pPr>
              <w:spacing w:after="0" w:line="240" w:lineRule="auto"/>
              <w:rPr>
                <w:rFonts w:ascii="Arial" w:eastAsia="Times New Roman" w:hAnsi="Arial" w:cs="Arial"/>
                <w:b/>
                <w:bCs/>
                <w:sz w:val="18"/>
                <w:szCs w:val="18"/>
              </w:rPr>
            </w:pPr>
            <w:r w:rsidRPr="004B269B">
              <w:rPr>
                <w:rFonts w:ascii="Arial" w:eastAsia="Times New Roman" w:hAnsi="Arial" w:cs="Arial"/>
                <w:b/>
                <w:bCs/>
                <w:sz w:val="18"/>
                <w:szCs w:val="18"/>
              </w:rPr>
              <w:t>Tip baraj *</w:t>
            </w:r>
          </w:p>
        </w:tc>
        <w:tc>
          <w:tcPr>
            <w:tcW w:w="3521" w:type="dxa"/>
            <w:gridSpan w:val="2"/>
            <w:shd w:val="clear" w:color="auto" w:fill="auto"/>
            <w:noWrap/>
            <w:vAlign w:val="bottom"/>
            <w:hideMark/>
          </w:tcPr>
          <w:p w:rsidR="004B269B" w:rsidRPr="004B269B" w:rsidRDefault="004B269B" w:rsidP="004B269B">
            <w:pPr>
              <w:spacing w:after="0" w:line="240" w:lineRule="auto"/>
              <w:rPr>
                <w:rFonts w:ascii="Arial" w:eastAsia="Times New Roman" w:hAnsi="Arial" w:cs="Arial"/>
                <w:sz w:val="18"/>
                <w:szCs w:val="18"/>
              </w:rPr>
            </w:pPr>
          </w:p>
        </w:tc>
        <w:tc>
          <w:tcPr>
            <w:tcW w:w="352" w:type="dxa"/>
            <w:shd w:val="clear" w:color="auto" w:fill="auto"/>
            <w:noWrap/>
            <w:vAlign w:val="bottom"/>
            <w:hideMark/>
          </w:tcPr>
          <w:p w:rsidR="004B269B" w:rsidRPr="004B269B" w:rsidRDefault="004B269B" w:rsidP="004B269B">
            <w:pPr>
              <w:spacing w:after="0" w:line="240" w:lineRule="auto"/>
              <w:rPr>
                <w:rFonts w:ascii="Arial" w:eastAsia="Times New Roman" w:hAnsi="Arial" w:cs="Arial"/>
                <w:sz w:val="18"/>
                <w:szCs w:val="18"/>
              </w:rPr>
            </w:pPr>
          </w:p>
        </w:tc>
        <w:tc>
          <w:tcPr>
            <w:tcW w:w="353" w:type="dxa"/>
            <w:shd w:val="clear" w:color="auto" w:fill="auto"/>
            <w:noWrap/>
            <w:vAlign w:val="bottom"/>
            <w:hideMark/>
          </w:tcPr>
          <w:p w:rsidR="004B269B" w:rsidRPr="004B269B" w:rsidRDefault="004B269B" w:rsidP="004B269B">
            <w:pPr>
              <w:spacing w:after="0" w:line="240" w:lineRule="auto"/>
              <w:rPr>
                <w:rFonts w:ascii="Arial" w:eastAsia="Times New Roman" w:hAnsi="Arial" w:cs="Arial"/>
                <w:sz w:val="18"/>
                <w:szCs w:val="18"/>
              </w:rPr>
            </w:pPr>
          </w:p>
        </w:tc>
        <w:tc>
          <w:tcPr>
            <w:tcW w:w="241" w:type="dxa"/>
            <w:shd w:val="clear" w:color="auto" w:fill="auto"/>
            <w:noWrap/>
            <w:vAlign w:val="bottom"/>
            <w:hideMark/>
          </w:tcPr>
          <w:p w:rsidR="004B269B" w:rsidRPr="004B269B" w:rsidRDefault="004B269B" w:rsidP="004B269B">
            <w:pPr>
              <w:spacing w:after="0" w:line="240" w:lineRule="auto"/>
              <w:rPr>
                <w:rFonts w:ascii="Arial" w:eastAsia="Times New Roman" w:hAnsi="Arial" w:cs="Arial"/>
                <w:sz w:val="18"/>
                <w:szCs w:val="18"/>
              </w:rPr>
            </w:pPr>
          </w:p>
        </w:tc>
      </w:tr>
      <w:tr w:rsidR="004B269B" w:rsidRPr="004B269B" w:rsidTr="00080B9C">
        <w:trPr>
          <w:gridAfter w:val="5"/>
          <w:wAfter w:w="4781" w:type="dxa"/>
          <w:trHeight w:val="72"/>
        </w:trPr>
        <w:tc>
          <w:tcPr>
            <w:tcW w:w="1085" w:type="dxa"/>
            <w:gridSpan w:val="2"/>
            <w:shd w:val="clear" w:color="auto" w:fill="auto"/>
            <w:noWrap/>
            <w:vAlign w:val="bottom"/>
            <w:hideMark/>
          </w:tcPr>
          <w:p w:rsidR="004B269B" w:rsidRPr="004B269B" w:rsidRDefault="004B269B" w:rsidP="004B269B">
            <w:pPr>
              <w:spacing w:after="0" w:line="240" w:lineRule="auto"/>
              <w:rPr>
                <w:rFonts w:ascii="Arial" w:eastAsia="Times New Roman" w:hAnsi="Arial" w:cs="Arial"/>
                <w:b/>
                <w:bCs/>
                <w:sz w:val="18"/>
                <w:szCs w:val="18"/>
              </w:rPr>
            </w:pPr>
            <w:r w:rsidRPr="004B269B">
              <w:rPr>
                <w:rFonts w:ascii="Arial" w:eastAsia="Times New Roman" w:hAnsi="Arial" w:cs="Arial"/>
                <w:b/>
                <w:bCs/>
                <w:sz w:val="18"/>
                <w:szCs w:val="18"/>
              </w:rPr>
              <w:t>PO</w:t>
            </w:r>
          </w:p>
        </w:tc>
        <w:tc>
          <w:tcPr>
            <w:tcW w:w="3553" w:type="dxa"/>
            <w:gridSpan w:val="3"/>
            <w:shd w:val="clear" w:color="auto" w:fill="auto"/>
            <w:noWrap/>
            <w:vAlign w:val="bottom"/>
            <w:hideMark/>
          </w:tcPr>
          <w:p w:rsidR="004B269B" w:rsidRPr="004B269B" w:rsidRDefault="004B269B" w:rsidP="004B269B">
            <w:pPr>
              <w:spacing w:after="0" w:line="240" w:lineRule="auto"/>
              <w:rPr>
                <w:rFonts w:ascii="Arial" w:eastAsia="Times New Roman" w:hAnsi="Arial" w:cs="Arial"/>
                <w:i/>
                <w:iCs/>
                <w:sz w:val="18"/>
                <w:szCs w:val="18"/>
              </w:rPr>
            </w:pPr>
            <w:r w:rsidRPr="004B269B">
              <w:rPr>
                <w:rFonts w:ascii="Arial" w:eastAsia="Times New Roman" w:hAnsi="Arial" w:cs="Arial"/>
                <w:i/>
                <w:iCs/>
                <w:sz w:val="18"/>
                <w:szCs w:val="18"/>
              </w:rPr>
              <w:t>Baraj de pământ omogen</w:t>
            </w:r>
          </w:p>
        </w:tc>
        <w:tc>
          <w:tcPr>
            <w:tcW w:w="352" w:type="dxa"/>
            <w:shd w:val="clear" w:color="auto" w:fill="auto"/>
            <w:noWrap/>
            <w:vAlign w:val="bottom"/>
            <w:hideMark/>
          </w:tcPr>
          <w:p w:rsidR="004B269B" w:rsidRPr="004B269B" w:rsidRDefault="004B269B" w:rsidP="004B269B">
            <w:pPr>
              <w:spacing w:after="0" w:line="240" w:lineRule="auto"/>
              <w:rPr>
                <w:rFonts w:ascii="Arial" w:eastAsia="Times New Roman" w:hAnsi="Arial" w:cs="Arial"/>
                <w:i/>
                <w:iCs/>
                <w:sz w:val="18"/>
                <w:szCs w:val="18"/>
              </w:rPr>
            </w:pPr>
          </w:p>
        </w:tc>
        <w:tc>
          <w:tcPr>
            <w:tcW w:w="353" w:type="dxa"/>
            <w:shd w:val="clear" w:color="auto" w:fill="auto"/>
            <w:noWrap/>
            <w:vAlign w:val="bottom"/>
            <w:hideMark/>
          </w:tcPr>
          <w:p w:rsidR="004B269B" w:rsidRPr="004B269B" w:rsidRDefault="004B269B" w:rsidP="004B269B">
            <w:pPr>
              <w:spacing w:after="0" w:line="240" w:lineRule="auto"/>
              <w:rPr>
                <w:rFonts w:ascii="Arial" w:eastAsia="Times New Roman" w:hAnsi="Arial" w:cs="Arial"/>
                <w:i/>
                <w:iCs/>
                <w:sz w:val="18"/>
                <w:szCs w:val="18"/>
              </w:rPr>
            </w:pPr>
          </w:p>
        </w:tc>
        <w:tc>
          <w:tcPr>
            <w:tcW w:w="241" w:type="dxa"/>
            <w:shd w:val="clear" w:color="auto" w:fill="auto"/>
            <w:noWrap/>
            <w:vAlign w:val="bottom"/>
            <w:hideMark/>
          </w:tcPr>
          <w:p w:rsidR="004B269B" w:rsidRPr="004B269B" w:rsidRDefault="004B269B" w:rsidP="004B269B">
            <w:pPr>
              <w:spacing w:after="0" w:line="240" w:lineRule="auto"/>
              <w:rPr>
                <w:rFonts w:ascii="Arial" w:eastAsia="Times New Roman" w:hAnsi="Arial" w:cs="Arial"/>
                <w:i/>
                <w:iCs/>
                <w:sz w:val="18"/>
                <w:szCs w:val="18"/>
              </w:rPr>
            </w:pPr>
          </w:p>
        </w:tc>
      </w:tr>
      <w:tr w:rsidR="004B269B" w:rsidRPr="004B269B" w:rsidTr="00080B9C">
        <w:trPr>
          <w:gridAfter w:val="5"/>
          <w:wAfter w:w="4781" w:type="dxa"/>
          <w:trHeight w:val="62"/>
        </w:trPr>
        <w:tc>
          <w:tcPr>
            <w:tcW w:w="1085" w:type="dxa"/>
            <w:gridSpan w:val="2"/>
            <w:shd w:val="clear" w:color="auto" w:fill="auto"/>
            <w:noWrap/>
            <w:vAlign w:val="bottom"/>
            <w:hideMark/>
          </w:tcPr>
          <w:p w:rsidR="004B269B" w:rsidRPr="004B269B" w:rsidRDefault="004B269B" w:rsidP="004B269B">
            <w:pPr>
              <w:spacing w:after="0" w:line="240" w:lineRule="auto"/>
              <w:rPr>
                <w:rFonts w:ascii="Arial" w:eastAsia="Times New Roman" w:hAnsi="Arial" w:cs="Arial"/>
                <w:b/>
                <w:bCs/>
                <w:sz w:val="18"/>
                <w:szCs w:val="18"/>
              </w:rPr>
            </w:pPr>
          </w:p>
        </w:tc>
        <w:tc>
          <w:tcPr>
            <w:tcW w:w="4258" w:type="dxa"/>
            <w:gridSpan w:val="5"/>
            <w:shd w:val="clear" w:color="auto" w:fill="auto"/>
            <w:noWrap/>
            <w:vAlign w:val="bottom"/>
            <w:hideMark/>
          </w:tcPr>
          <w:p w:rsidR="004B269B" w:rsidRPr="004B269B" w:rsidRDefault="004B269B" w:rsidP="004B269B">
            <w:pPr>
              <w:spacing w:after="0" w:line="240" w:lineRule="auto"/>
              <w:rPr>
                <w:rFonts w:ascii="Arial" w:eastAsia="Times New Roman" w:hAnsi="Arial" w:cs="Arial"/>
                <w:i/>
                <w:iCs/>
                <w:sz w:val="18"/>
                <w:szCs w:val="18"/>
              </w:rPr>
            </w:pPr>
          </w:p>
        </w:tc>
        <w:tc>
          <w:tcPr>
            <w:tcW w:w="241" w:type="dxa"/>
            <w:shd w:val="clear" w:color="auto" w:fill="auto"/>
            <w:noWrap/>
            <w:vAlign w:val="bottom"/>
            <w:hideMark/>
          </w:tcPr>
          <w:p w:rsidR="004B269B" w:rsidRPr="004B269B" w:rsidRDefault="004B269B" w:rsidP="004B269B">
            <w:pPr>
              <w:spacing w:after="0" w:line="240" w:lineRule="auto"/>
              <w:rPr>
                <w:rFonts w:ascii="Arial" w:eastAsia="Times New Roman" w:hAnsi="Arial" w:cs="Arial"/>
                <w:i/>
                <w:iCs/>
                <w:sz w:val="18"/>
                <w:szCs w:val="18"/>
              </w:rPr>
            </w:pPr>
          </w:p>
        </w:tc>
      </w:tr>
      <w:tr w:rsidR="004B269B" w:rsidRPr="004B269B" w:rsidTr="00080B9C">
        <w:trPr>
          <w:gridAfter w:val="5"/>
          <w:wAfter w:w="4781" w:type="dxa"/>
          <w:trHeight w:val="72"/>
        </w:trPr>
        <w:tc>
          <w:tcPr>
            <w:tcW w:w="1085" w:type="dxa"/>
            <w:gridSpan w:val="2"/>
            <w:shd w:val="clear" w:color="auto" w:fill="auto"/>
            <w:noWrap/>
            <w:vAlign w:val="bottom"/>
            <w:hideMark/>
          </w:tcPr>
          <w:p w:rsidR="004B269B" w:rsidRPr="004B269B" w:rsidRDefault="004B269B" w:rsidP="004B269B">
            <w:pPr>
              <w:spacing w:after="0" w:line="240" w:lineRule="auto"/>
              <w:rPr>
                <w:rFonts w:ascii="Arial" w:eastAsia="Times New Roman" w:hAnsi="Arial" w:cs="Arial"/>
                <w:b/>
                <w:bCs/>
                <w:sz w:val="18"/>
                <w:szCs w:val="18"/>
              </w:rPr>
            </w:pPr>
          </w:p>
        </w:tc>
        <w:tc>
          <w:tcPr>
            <w:tcW w:w="4499" w:type="dxa"/>
            <w:gridSpan w:val="6"/>
            <w:shd w:val="clear" w:color="auto" w:fill="auto"/>
            <w:noWrap/>
            <w:vAlign w:val="bottom"/>
            <w:hideMark/>
          </w:tcPr>
          <w:p w:rsidR="004B269B" w:rsidRPr="004B269B" w:rsidRDefault="004B269B" w:rsidP="004B269B">
            <w:pPr>
              <w:spacing w:after="0" w:line="240" w:lineRule="auto"/>
              <w:rPr>
                <w:rFonts w:ascii="Arial" w:eastAsia="Times New Roman" w:hAnsi="Arial" w:cs="Arial"/>
                <w:i/>
                <w:iCs/>
                <w:sz w:val="18"/>
                <w:szCs w:val="18"/>
              </w:rPr>
            </w:pPr>
          </w:p>
        </w:tc>
      </w:tr>
      <w:tr w:rsidR="004B269B" w:rsidRPr="004B269B" w:rsidTr="00080B9C">
        <w:trPr>
          <w:gridAfter w:val="5"/>
          <w:wAfter w:w="4781" w:type="dxa"/>
          <w:trHeight w:val="72"/>
        </w:trPr>
        <w:tc>
          <w:tcPr>
            <w:tcW w:w="1085" w:type="dxa"/>
            <w:gridSpan w:val="2"/>
            <w:shd w:val="clear" w:color="auto" w:fill="auto"/>
            <w:noWrap/>
            <w:vAlign w:val="bottom"/>
            <w:hideMark/>
          </w:tcPr>
          <w:p w:rsidR="004B269B" w:rsidRPr="004B269B" w:rsidRDefault="004B269B" w:rsidP="004B269B">
            <w:pPr>
              <w:spacing w:after="0" w:line="240" w:lineRule="auto"/>
              <w:rPr>
                <w:rFonts w:ascii="Arial" w:eastAsia="Times New Roman" w:hAnsi="Arial" w:cs="Arial"/>
                <w:b/>
                <w:bCs/>
                <w:sz w:val="18"/>
                <w:szCs w:val="18"/>
              </w:rPr>
            </w:pPr>
          </w:p>
        </w:tc>
        <w:tc>
          <w:tcPr>
            <w:tcW w:w="3905" w:type="dxa"/>
            <w:gridSpan w:val="4"/>
            <w:shd w:val="clear" w:color="auto" w:fill="auto"/>
            <w:noWrap/>
            <w:vAlign w:val="bottom"/>
            <w:hideMark/>
          </w:tcPr>
          <w:p w:rsidR="004B269B" w:rsidRPr="004B269B" w:rsidRDefault="004B269B" w:rsidP="004B269B">
            <w:pPr>
              <w:spacing w:after="0" w:line="240" w:lineRule="auto"/>
              <w:rPr>
                <w:rFonts w:ascii="Arial" w:eastAsia="Times New Roman" w:hAnsi="Arial" w:cs="Arial"/>
                <w:i/>
                <w:iCs/>
                <w:sz w:val="18"/>
                <w:szCs w:val="18"/>
              </w:rPr>
            </w:pPr>
          </w:p>
        </w:tc>
        <w:tc>
          <w:tcPr>
            <w:tcW w:w="353" w:type="dxa"/>
            <w:shd w:val="clear" w:color="auto" w:fill="auto"/>
            <w:noWrap/>
            <w:vAlign w:val="bottom"/>
            <w:hideMark/>
          </w:tcPr>
          <w:p w:rsidR="004B269B" w:rsidRPr="004B269B" w:rsidRDefault="004B269B" w:rsidP="004B269B">
            <w:pPr>
              <w:spacing w:after="0" w:line="240" w:lineRule="auto"/>
              <w:rPr>
                <w:rFonts w:ascii="Arial" w:eastAsia="Times New Roman" w:hAnsi="Arial" w:cs="Arial"/>
                <w:i/>
                <w:iCs/>
                <w:sz w:val="18"/>
                <w:szCs w:val="18"/>
              </w:rPr>
            </w:pPr>
          </w:p>
        </w:tc>
        <w:tc>
          <w:tcPr>
            <w:tcW w:w="241" w:type="dxa"/>
            <w:shd w:val="clear" w:color="auto" w:fill="auto"/>
            <w:noWrap/>
            <w:vAlign w:val="bottom"/>
            <w:hideMark/>
          </w:tcPr>
          <w:p w:rsidR="004B269B" w:rsidRPr="004B269B" w:rsidRDefault="004B269B" w:rsidP="004B269B">
            <w:pPr>
              <w:spacing w:after="0" w:line="240" w:lineRule="auto"/>
              <w:rPr>
                <w:rFonts w:ascii="Arial" w:eastAsia="Times New Roman" w:hAnsi="Arial" w:cs="Arial"/>
                <w:i/>
                <w:iCs/>
                <w:sz w:val="18"/>
                <w:szCs w:val="18"/>
              </w:rPr>
            </w:pPr>
          </w:p>
        </w:tc>
      </w:tr>
    </w:tbl>
    <w:p w:rsidR="004B269B" w:rsidRPr="004B269B" w:rsidRDefault="004B269B" w:rsidP="004B269B">
      <w:pPr>
        <w:spacing w:after="0" w:line="240" w:lineRule="auto"/>
        <w:ind w:firstLine="720"/>
        <w:jc w:val="both"/>
        <w:rPr>
          <w:rFonts w:ascii="Arial" w:eastAsia="Arial Unicode MS" w:hAnsi="Arial" w:cs="Arial"/>
          <w:sz w:val="24"/>
          <w:szCs w:val="24"/>
          <w:lang w:val="ro-RO" w:eastAsia="ro-RO"/>
        </w:rPr>
      </w:pPr>
    </w:p>
    <w:p w:rsidR="004B269B" w:rsidRPr="004B269B" w:rsidRDefault="004B269B" w:rsidP="004B269B">
      <w:pPr>
        <w:spacing w:after="0" w:line="240" w:lineRule="auto"/>
        <w:ind w:firstLine="720"/>
        <w:jc w:val="both"/>
        <w:rPr>
          <w:rFonts w:ascii="Arial" w:eastAsia="Arial Unicode MS" w:hAnsi="Arial" w:cs="Arial"/>
          <w:sz w:val="24"/>
          <w:szCs w:val="24"/>
          <w:lang w:val="ro-RO" w:eastAsia="ro-RO"/>
        </w:rPr>
      </w:pPr>
    </w:p>
    <w:p w:rsidR="004B269B" w:rsidRPr="004B269B" w:rsidRDefault="004B269B" w:rsidP="004B269B">
      <w:pPr>
        <w:spacing w:after="0" w:line="240" w:lineRule="auto"/>
        <w:ind w:firstLine="720"/>
        <w:jc w:val="both"/>
        <w:rPr>
          <w:rFonts w:ascii="Arial" w:eastAsia="Arial Unicode MS" w:hAnsi="Arial" w:cs="Arial"/>
          <w:sz w:val="24"/>
          <w:szCs w:val="24"/>
          <w:lang w:val="ro-RO" w:eastAsia="ro-RO"/>
        </w:rPr>
      </w:pPr>
    </w:p>
    <w:p w:rsidR="004B269B" w:rsidRPr="004B269B" w:rsidRDefault="004B269B" w:rsidP="004B269B">
      <w:pPr>
        <w:spacing w:after="0" w:line="240" w:lineRule="auto"/>
        <w:ind w:firstLine="720"/>
        <w:jc w:val="both"/>
        <w:rPr>
          <w:rFonts w:ascii="Arial" w:eastAsia="Arial Unicode MS" w:hAnsi="Arial" w:cs="Arial"/>
          <w:sz w:val="24"/>
          <w:szCs w:val="24"/>
          <w:lang w:val="ro-RO" w:eastAsia="ro-RO"/>
        </w:rPr>
      </w:pPr>
    </w:p>
    <w:p w:rsidR="004B269B" w:rsidRPr="004B269B" w:rsidRDefault="004B269B" w:rsidP="004B269B">
      <w:pPr>
        <w:spacing w:after="0" w:line="240" w:lineRule="auto"/>
        <w:ind w:firstLine="720"/>
        <w:jc w:val="both"/>
        <w:rPr>
          <w:rFonts w:ascii="Arial" w:eastAsia="Arial Unicode MS" w:hAnsi="Arial" w:cs="Arial"/>
          <w:sz w:val="24"/>
          <w:szCs w:val="24"/>
          <w:lang w:val="ro-RO" w:eastAsia="ro-RO"/>
        </w:rPr>
      </w:pPr>
    </w:p>
    <w:p w:rsidR="004B269B" w:rsidRPr="004B269B" w:rsidRDefault="004B269B" w:rsidP="004B269B">
      <w:pPr>
        <w:spacing w:after="0" w:line="240" w:lineRule="auto"/>
        <w:ind w:firstLine="720"/>
        <w:jc w:val="both"/>
        <w:rPr>
          <w:rFonts w:ascii="Arial" w:eastAsia="Arial Unicode MS" w:hAnsi="Arial" w:cs="Arial"/>
          <w:sz w:val="24"/>
          <w:szCs w:val="24"/>
          <w:lang w:val="ro-RO" w:eastAsia="ro-RO"/>
        </w:rPr>
      </w:pPr>
    </w:p>
    <w:p w:rsidR="004B269B" w:rsidRPr="004B269B" w:rsidRDefault="004B269B" w:rsidP="004B269B">
      <w:pPr>
        <w:spacing w:after="0" w:line="240" w:lineRule="auto"/>
        <w:ind w:firstLine="720"/>
        <w:jc w:val="both"/>
        <w:rPr>
          <w:rFonts w:ascii="Arial" w:eastAsia="Arial Unicode MS" w:hAnsi="Arial" w:cs="Arial"/>
          <w:sz w:val="24"/>
          <w:szCs w:val="24"/>
          <w:lang w:val="ro-RO" w:eastAsia="ro-RO"/>
        </w:rPr>
      </w:pPr>
    </w:p>
    <w:p w:rsidR="004B269B" w:rsidRPr="004B269B" w:rsidRDefault="004B269B" w:rsidP="004B269B">
      <w:pPr>
        <w:spacing w:after="0" w:line="240" w:lineRule="auto"/>
        <w:ind w:firstLine="720"/>
        <w:jc w:val="both"/>
        <w:rPr>
          <w:rFonts w:ascii="Arial" w:eastAsia="Arial Unicode MS" w:hAnsi="Arial" w:cs="Arial"/>
          <w:sz w:val="24"/>
          <w:szCs w:val="24"/>
          <w:lang w:val="ro-RO" w:eastAsia="ro-RO"/>
        </w:rPr>
      </w:pPr>
    </w:p>
    <w:p w:rsidR="004B269B" w:rsidRPr="004B269B" w:rsidRDefault="004B269B" w:rsidP="004B269B">
      <w:pPr>
        <w:spacing w:after="0" w:line="240" w:lineRule="auto"/>
        <w:ind w:firstLine="720"/>
        <w:jc w:val="both"/>
        <w:rPr>
          <w:rFonts w:ascii="Arial" w:eastAsia="Arial Unicode MS" w:hAnsi="Arial" w:cs="Arial"/>
          <w:sz w:val="24"/>
          <w:szCs w:val="24"/>
          <w:lang w:val="ro-RO" w:eastAsia="ro-RO"/>
        </w:rPr>
      </w:pPr>
    </w:p>
    <w:p w:rsidR="004B269B" w:rsidRPr="004B269B" w:rsidRDefault="004B269B" w:rsidP="004B269B">
      <w:pPr>
        <w:spacing w:after="0" w:line="240" w:lineRule="auto"/>
        <w:ind w:firstLine="720"/>
        <w:jc w:val="both"/>
        <w:rPr>
          <w:rFonts w:ascii="Arial" w:eastAsia="Arial Unicode MS" w:hAnsi="Arial" w:cs="Arial"/>
          <w:sz w:val="24"/>
          <w:szCs w:val="24"/>
          <w:lang w:val="ro-RO" w:eastAsia="ro-RO"/>
        </w:rPr>
      </w:pPr>
    </w:p>
    <w:p w:rsidR="004B269B" w:rsidRPr="004B269B" w:rsidRDefault="004B269B" w:rsidP="004B269B">
      <w:pPr>
        <w:spacing w:after="0" w:line="240" w:lineRule="auto"/>
        <w:ind w:firstLine="720"/>
        <w:jc w:val="both"/>
        <w:rPr>
          <w:rFonts w:ascii="Arial" w:eastAsia="Arial Unicode MS" w:hAnsi="Arial" w:cs="Arial"/>
          <w:sz w:val="24"/>
          <w:szCs w:val="24"/>
          <w:lang w:val="ro-RO" w:eastAsia="ro-RO"/>
        </w:rPr>
      </w:pPr>
    </w:p>
    <w:p w:rsidR="004B269B" w:rsidRPr="004B269B" w:rsidRDefault="004B269B" w:rsidP="004B269B">
      <w:pPr>
        <w:spacing w:after="0" w:line="240" w:lineRule="auto"/>
        <w:ind w:firstLine="720"/>
        <w:jc w:val="both"/>
        <w:rPr>
          <w:rFonts w:ascii="Arial" w:eastAsia="Arial Unicode MS" w:hAnsi="Arial" w:cs="Arial"/>
          <w:sz w:val="24"/>
          <w:szCs w:val="24"/>
          <w:lang w:val="ro-RO" w:eastAsia="ro-RO"/>
        </w:rPr>
      </w:pPr>
    </w:p>
    <w:p w:rsidR="004B269B" w:rsidRPr="004B269B" w:rsidRDefault="004B269B" w:rsidP="004B269B">
      <w:pPr>
        <w:spacing w:after="0" w:line="240" w:lineRule="auto"/>
        <w:ind w:firstLine="720"/>
        <w:jc w:val="both"/>
        <w:rPr>
          <w:rFonts w:ascii="Arial" w:eastAsia="Arial Unicode MS" w:hAnsi="Arial" w:cs="Arial"/>
          <w:sz w:val="24"/>
          <w:szCs w:val="24"/>
          <w:lang w:val="ro-RO" w:eastAsia="ro-RO"/>
        </w:rPr>
      </w:pPr>
    </w:p>
    <w:p w:rsidR="004B269B" w:rsidRPr="004B269B" w:rsidRDefault="004B269B" w:rsidP="004B269B">
      <w:pPr>
        <w:spacing w:after="0" w:line="240" w:lineRule="auto"/>
        <w:ind w:firstLine="720"/>
        <w:jc w:val="both"/>
        <w:rPr>
          <w:rFonts w:ascii="Arial" w:eastAsia="Arial Unicode MS" w:hAnsi="Arial" w:cs="Arial"/>
          <w:sz w:val="24"/>
          <w:szCs w:val="24"/>
          <w:lang w:val="ro-RO" w:eastAsia="ro-RO"/>
        </w:rPr>
        <w:sectPr w:rsidR="004B269B" w:rsidRPr="004B269B" w:rsidSect="00080B9C">
          <w:pgSz w:w="15840" w:h="12240" w:orient="landscape"/>
          <w:pgMar w:top="1134" w:right="1134" w:bottom="1418" w:left="1134" w:header="709" w:footer="709" w:gutter="0"/>
          <w:cols w:space="708"/>
          <w:docGrid w:linePitch="360"/>
        </w:sectPr>
      </w:pPr>
    </w:p>
    <w:p w:rsidR="004B269B" w:rsidRPr="004B269B" w:rsidRDefault="004B269B" w:rsidP="004B269B">
      <w:pPr>
        <w:spacing w:before="100" w:beforeAutospacing="1" w:after="100" w:afterAutospacing="1" w:line="240" w:lineRule="auto"/>
        <w:rPr>
          <w:rFonts w:ascii="Arial" w:eastAsia="Arial Unicode MS" w:hAnsi="Arial" w:cs="Arial"/>
          <w:b/>
          <w:i/>
          <w:sz w:val="24"/>
          <w:szCs w:val="24"/>
          <w:lang w:val="ro-RO" w:eastAsia="ro-RO"/>
        </w:rPr>
      </w:pPr>
      <w:r w:rsidRPr="004B269B">
        <w:rPr>
          <w:rFonts w:ascii="Arial Unicode MS" w:eastAsia="Arial Unicode MS" w:hAnsi="Arial Unicode MS" w:cs="Arial Unicode MS"/>
          <w:b/>
          <w:i/>
          <w:sz w:val="24"/>
          <w:szCs w:val="24"/>
          <w:lang w:val="ro-RO" w:eastAsia="ro-RO"/>
        </w:rPr>
        <w:lastRenderedPageBreak/>
        <w:t>II.1.3</w:t>
      </w:r>
      <w:r w:rsidRPr="004B269B">
        <w:rPr>
          <w:rFonts w:ascii="Arial" w:eastAsia="Arial Unicode MS" w:hAnsi="Arial" w:cs="Arial"/>
          <w:b/>
          <w:i/>
          <w:sz w:val="24"/>
          <w:szCs w:val="24"/>
          <w:lang w:val="ro-RO" w:eastAsia="ro-RO"/>
        </w:rPr>
        <w:t xml:space="preserve">. Utilizarea şi gestionarea eficientă a resurselor de apă </w:t>
      </w:r>
    </w:p>
    <w:p w:rsidR="004B269B" w:rsidRPr="004B269B" w:rsidRDefault="004B269B" w:rsidP="004B269B">
      <w:pPr>
        <w:spacing w:after="0" w:line="240" w:lineRule="auto"/>
        <w:ind w:firstLine="720"/>
        <w:jc w:val="both"/>
        <w:rPr>
          <w:rFonts w:ascii="Arial" w:eastAsia="Arial Unicode MS" w:hAnsi="Arial" w:cs="Arial"/>
          <w:sz w:val="24"/>
          <w:szCs w:val="24"/>
          <w:lang w:val="ro-RO" w:eastAsia="ro-RO"/>
        </w:rPr>
      </w:pPr>
    </w:p>
    <w:p w:rsidR="004B269B" w:rsidRPr="004B269B" w:rsidRDefault="004B269B" w:rsidP="004B269B">
      <w:pPr>
        <w:spacing w:after="0" w:line="240" w:lineRule="auto"/>
        <w:ind w:firstLine="720"/>
        <w:jc w:val="both"/>
        <w:rPr>
          <w:rFonts w:ascii="Arial" w:eastAsia="Times New Roman" w:hAnsi="Arial" w:cs="Arial"/>
          <w:sz w:val="20"/>
          <w:szCs w:val="20"/>
        </w:rPr>
      </w:pPr>
      <w:r w:rsidRPr="004B269B">
        <w:rPr>
          <w:rFonts w:ascii="Arial" w:eastAsia="Arial Unicode MS" w:hAnsi="Arial" w:cs="Arial"/>
          <w:sz w:val="24"/>
          <w:szCs w:val="24"/>
          <w:lang w:val="ro-RO" w:eastAsia="ro-RO"/>
        </w:rPr>
        <w:t xml:space="preserve">Gestionarea eficientă a resurselor de apă poate atenua crizele legate de apă, cum ar fi seceta, inundațiile, degradarea calității apei, consecințele negative ale utilizării excesive a apelor subterane și determina îmbunătăţirea fiabilităţii şi alocării resurselor de apă, răspunzând la nevoile de apă populaţiei influenţate de creşterea numărului de locuitori ai planetei, de creşterea veniturilor, dar şi de alţi factori precum schimbările climatice care influenţează atât cererea, cât şi oferta. </w:t>
      </w:r>
      <w:r w:rsidRPr="004B269B">
        <w:rPr>
          <w:rFonts w:ascii="Arial" w:eastAsia="Times New Roman" w:hAnsi="Arial" w:cs="Arial"/>
          <w:sz w:val="20"/>
          <w:szCs w:val="20"/>
        </w:rPr>
        <w:t>(Sursa: Utilizarea apei pentru dezvoltare rurală durabilă: Studiu de caz Kurdistan Regional Government)</w:t>
      </w:r>
    </w:p>
    <w:p w:rsidR="004B269B" w:rsidRPr="004B269B" w:rsidRDefault="004B269B" w:rsidP="004B269B">
      <w:pPr>
        <w:autoSpaceDE w:val="0"/>
        <w:autoSpaceDN w:val="0"/>
        <w:adjustRightInd w:val="0"/>
        <w:spacing w:after="0" w:line="240" w:lineRule="auto"/>
        <w:jc w:val="center"/>
        <w:rPr>
          <w:rFonts w:ascii="Times New Roman" w:eastAsia="Times New Roman" w:hAnsi="Times New Roman" w:cs="Times New Roman"/>
          <w:sz w:val="20"/>
          <w:szCs w:val="20"/>
          <w:lang w:val="ro-RO"/>
        </w:rPr>
      </w:pPr>
      <w:r w:rsidRPr="004B269B">
        <w:rPr>
          <w:rFonts w:ascii="Arial" w:eastAsia="Times New Roman" w:hAnsi="Arial" w:cs="Arial"/>
          <w:sz w:val="20"/>
          <w:szCs w:val="20"/>
        </w:rPr>
        <w:t>(Sursa: Planul de management al spaţiului hidrografic Prut-Bârlad, Ciclul al II lea 2016-2021)</w:t>
      </w:r>
    </w:p>
    <w:p w:rsidR="004B269B" w:rsidRPr="004B269B" w:rsidRDefault="004B269B" w:rsidP="004B269B">
      <w:pPr>
        <w:autoSpaceDE w:val="0"/>
        <w:autoSpaceDN w:val="0"/>
        <w:adjustRightInd w:val="0"/>
        <w:spacing w:after="0" w:line="240" w:lineRule="auto"/>
        <w:rPr>
          <w:rFonts w:ascii="Arial" w:eastAsia="Times New Roman" w:hAnsi="Arial" w:cs="Arial"/>
          <w:sz w:val="20"/>
          <w:szCs w:val="20"/>
        </w:rPr>
      </w:pPr>
      <w:r w:rsidRPr="004B269B">
        <w:rPr>
          <w:rFonts w:ascii="Arial" w:eastAsia="Times New Roman" w:hAnsi="Arial" w:cs="Arial"/>
          <w:sz w:val="20"/>
          <w:szCs w:val="20"/>
        </w:rPr>
        <w:t xml:space="preserve">     </w:t>
      </w:r>
      <w:r w:rsidR="00A04EB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1" o:spid="_x0000_i1025" type="#_x0000_t75" style="width:453.75pt;height:454.5pt;visibility:visible;mso-wrap-style:square">
            <v:imagedata r:id="rId59" o:title=""/>
          </v:shape>
        </w:pict>
      </w:r>
      <w:r w:rsidRPr="004B269B">
        <w:rPr>
          <w:rFonts w:ascii="Arial" w:eastAsia="Times New Roman" w:hAnsi="Arial" w:cs="Arial"/>
          <w:sz w:val="20"/>
          <w:szCs w:val="20"/>
        </w:rPr>
        <w:t xml:space="preserve">             </w:t>
      </w:r>
    </w:p>
    <w:p w:rsidR="004B269B" w:rsidRPr="004B269B" w:rsidRDefault="004B269B" w:rsidP="004B269B">
      <w:pPr>
        <w:spacing w:after="0" w:line="240" w:lineRule="auto"/>
        <w:ind w:firstLine="720"/>
        <w:rPr>
          <w:rFonts w:ascii="Arial" w:eastAsia="Arial Unicode MS" w:hAnsi="Arial" w:cs="Arial"/>
          <w:bCs/>
          <w:iCs/>
          <w:sz w:val="24"/>
          <w:szCs w:val="24"/>
          <w:lang w:val="ro-RO" w:eastAsia="ro-RO"/>
        </w:rPr>
      </w:pPr>
      <w:r w:rsidRPr="004B269B">
        <w:rPr>
          <w:rFonts w:ascii="Arial" w:eastAsia="Arial Unicode MS" w:hAnsi="Arial" w:cs="Arial"/>
          <w:bCs/>
          <w:iCs/>
          <w:sz w:val="24"/>
          <w:szCs w:val="24"/>
          <w:lang w:val="ro-RO" w:eastAsia="ro-RO"/>
        </w:rPr>
        <w:t xml:space="preserve">Figura II.5. </w:t>
      </w:r>
      <w:r w:rsidRPr="004B269B">
        <w:rPr>
          <w:rFonts w:ascii="Arial" w:eastAsia="Arial Unicode MS" w:hAnsi="Arial" w:cs="Arial"/>
          <w:iCs/>
          <w:sz w:val="24"/>
          <w:szCs w:val="24"/>
          <w:lang w:val="ro-RO" w:eastAsia="ro-RO"/>
        </w:rPr>
        <w:t>Categorii de ape de suprafaţă din spaţiul hidrografic Prut-Bârlad</w:t>
      </w:r>
    </w:p>
    <w:p w:rsidR="004B269B" w:rsidRPr="004B269B" w:rsidRDefault="004B269B" w:rsidP="004B269B">
      <w:pPr>
        <w:spacing w:beforeAutospacing="1" w:after="0" w:afterAutospacing="1" w:line="240" w:lineRule="auto"/>
        <w:rPr>
          <w:rFonts w:ascii="Arial" w:eastAsia="Arial Unicode MS" w:hAnsi="Arial" w:cs="Arial"/>
          <w:b/>
          <w:bCs/>
          <w:iCs/>
          <w:sz w:val="24"/>
          <w:szCs w:val="24"/>
          <w:lang w:val="ro-RO" w:eastAsia="ro-RO"/>
        </w:rPr>
      </w:pPr>
      <w:r w:rsidRPr="004B269B">
        <w:rPr>
          <w:rFonts w:ascii="Arial" w:eastAsia="Arial Unicode MS" w:hAnsi="Arial" w:cs="Arial"/>
          <w:b/>
          <w:bCs/>
          <w:iCs/>
          <w:sz w:val="24"/>
          <w:szCs w:val="24"/>
          <w:lang w:val="ro-RO" w:eastAsia="ro-RO"/>
        </w:rPr>
        <w:lastRenderedPageBreak/>
        <w:t>II.2. Calitatea apei</w:t>
      </w:r>
    </w:p>
    <w:p w:rsidR="004B269B" w:rsidRPr="004B269B" w:rsidRDefault="004B269B" w:rsidP="004B269B">
      <w:pPr>
        <w:spacing w:after="0" w:line="240" w:lineRule="auto"/>
        <w:ind w:firstLine="720"/>
        <w:jc w:val="both"/>
        <w:rPr>
          <w:rFonts w:ascii="Arial" w:eastAsia="SimSun" w:hAnsi="Arial" w:cs="Arial"/>
          <w:sz w:val="24"/>
          <w:szCs w:val="24"/>
          <w:lang w:val="en-GB"/>
        </w:rPr>
      </w:pPr>
      <w:r w:rsidRPr="004B269B">
        <w:rPr>
          <w:rFonts w:ascii="Arial" w:eastAsia="SimSun" w:hAnsi="Arial" w:cs="Arial"/>
          <w:iCs/>
          <w:sz w:val="24"/>
          <w:szCs w:val="24"/>
          <w:lang w:val="en-GB"/>
        </w:rPr>
        <w:t xml:space="preserve"> Calitatea apei </w:t>
      </w:r>
      <w:r w:rsidRPr="004B269B">
        <w:rPr>
          <w:rFonts w:ascii="Arial" w:eastAsia="SimSun" w:hAnsi="Arial" w:cs="Arial"/>
          <w:sz w:val="24"/>
          <w:szCs w:val="24"/>
          <w:lang w:val="en-GB"/>
        </w:rPr>
        <w:t>reprezintă ansamblul caracteristicilor fizice chimice, biologice şi bacteriologice, exprimate cuantificat, care permit încadrarea probei într-o categorie, căpătând astfel însuşirea de a servi unui anumit scop.</w:t>
      </w:r>
    </w:p>
    <w:p w:rsidR="004B269B" w:rsidRPr="004B269B" w:rsidRDefault="004B269B" w:rsidP="004B269B">
      <w:pPr>
        <w:autoSpaceDE w:val="0"/>
        <w:autoSpaceDN w:val="0"/>
        <w:adjustRightInd w:val="0"/>
        <w:spacing w:after="0" w:line="240" w:lineRule="auto"/>
        <w:jc w:val="both"/>
        <w:rPr>
          <w:rFonts w:ascii="Arial" w:eastAsia="Times New Roman" w:hAnsi="Arial" w:cs="Arial"/>
          <w:sz w:val="24"/>
          <w:szCs w:val="24"/>
        </w:rPr>
      </w:pPr>
      <w:r w:rsidRPr="004B269B">
        <w:rPr>
          <w:rFonts w:ascii="Arial" w:eastAsia="Times New Roman" w:hAnsi="Arial" w:cs="Arial"/>
          <w:sz w:val="24"/>
          <w:szCs w:val="24"/>
        </w:rPr>
        <w:t>Schema de clasificare a cursurilor de apă este de tip combinat şi se bazează pe elemente</w:t>
      </w:r>
    </w:p>
    <w:p w:rsidR="004B269B" w:rsidRPr="004B269B" w:rsidRDefault="004B269B" w:rsidP="004B269B">
      <w:pPr>
        <w:autoSpaceDE w:val="0"/>
        <w:autoSpaceDN w:val="0"/>
        <w:adjustRightInd w:val="0"/>
        <w:spacing w:after="0" w:line="240" w:lineRule="auto"/>
        <w:jc w:val="both"/>
        <w:rPr>
          <w:rFonts w:ascii="Arial" w:eastAsia="Times New Roman" w:hAnsi="Arial" w:cs="Arial"/>
          <w:sz w:val="24"/>
          <w:szCs w:val="24"/>
        </w:rPr>
      </w:pPr>
      <w:r w:rsidRPr="004B269B">
        <w:rPr>
          <w:rFonts w:ascii="Arial" w:eastAsia="Times New Roman" w:hAnsi="Arial" w:cs="Arial"/>
          <w:sz w:val="24"/>
          <w:szCs w:val="24"/>
        </w:rPr>
        <w:t>de calitate biologice, chimice şi fizico-chimice, evidentiind, sub aspect general, dacă aexistat o ameliorare sau nu a calităţii acestora.</w:t>
      </w:r>
    </w:p>
    <w:p w:rsidR="004B269B" w:rsidRPr="004B269B" w:rsidRDefault="004B269B" w:rsidP="004B269B">
      <w:pPr>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noProof/>
          <w:sz w:val="24"/>
          <w:szCs w:val="24"/>
        </w:rPr>
        <w:drawing>
          <wp:inline distT="0" distB="0" distL="0" distR="0">
            <wp:extent cx="6181725" cy="18669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0">
                      <a:lum contrast="35000"/>
                      <a:extLst>
                        <a:ext uri="{28A0092B-C50C-407E-A947-70E740481C1C}">
                          <a14:useLocalDpi xmlns:a14="http://schemas.microsoft.com/office/drawing/2010/main" val="0"/>
                        </a:ext>
                      </a:extLst>
                    </a:blip>
                    <a:srcRect/>
                    <a:stretch>
                      <a:fillRect/>
                    </a:stretch>
                  </pic:blipFill>
                  <pic:spPr bwMode="auto">
                    <a:xfrm>
                      <a:off x="0" y="0"/>
                      <a:ext cx="6181725" cy="1866900"/>
                    </a:xfrm>
                    <a:prstGeom prst="rect">
                      <a:avLst/>
                    </a:prstGeom>
                    <a:noFill/>
                    <a:ln>
                      <a:noFill/>
                    </a:ln>
                  </pic:spPr>
                </pic:pic>
              </a:graphicData>
            </a:graphic>
          </wp:inline>
        </w:drawing>
      </w:r>
    </w:p>
    <w:p w:rsidR="004B269B" w:rsidRPr="004B269B" w:rsidRDefault="004B269B" w:rsidP="004B269B">
      <w:pPr>
        <w:autoSpaceDE w:val="0"/>
        <w:autoSpaceDN w:val="0"/>
        <w:adjustRightInd w:val="0"/>
        <w:spacing w:after="0" w:line="240" w:lineRule="auto"/>
        <w:jc w:val="both"/>
        <w:rPr>
          <w:rFonts w:ascii="Arial" w:eastAsia="Times New Roman" w:hAnsi="Arial" w:cs="Arial"/>
          <w:sz w:val="24"/>
          <w:szCs w:val="24"/>
        </w:rPr>
      </w:pPr>
      <w:r w:rsidRPr="004B269B">
        <w:rPr>
          <w:rFonts w:ascii="Arial" w:eastAsia="Times New Roman" w:hAnsi="Arial" w:cs="Arial"/>
          <w:sz w:val="24"/>
          <w:szCs w:val="24"/>
        </w:rPr>
        <w:t>Starea ecologică este o expresie a calităţii structurii şi funcţionării ecosistemelor acvatice asociate corpurilor de apă, clasificate în concordanţă cu Ordinul nr. 161/2006 pentru aprobarea Normativului privind clasificarea calităţii apelor de suprafaţă în vederea stabilirii stării ecologice a corpurilor de apă. Pentru categoriile de cursuri de apă, evaluarea stării ecologice se realizează pe baza a 5 clase de calitate, respectiv: foarte bună, bună, moderată, slabă şi proastă cu codul de culori corespunzător (albastru, verde, galben, portocaliu şi roşu).</w:t>
      </w:r>
    </w:p>
    <w:p w:rsidR="004B269B" w:rsidRPr="004B269B" w:rsidRDefault="004B269B" w:rsidP="004B269B">
      <w:pPr>
        <w:spacing w:beforeAutospacing="1" w:after="0" w:afterAutospacing="1" w:line="240" w:lineRule="auto"/>
        <w:rPr>
          <w:rFonts w:ascii="Arial" w:eastAsia="Arial Unicode MS" w:hAnsi="Arial" w:cs="Arial"/>
          <w:b/>
          <w:bCs/>
          <w:i/>
          <w:iCs/>
          <w:sz w:val="24"/>
          <w:szCs w:val="24"/>
          <w:lang w:val="ro-RO" w:eastAsia="ro-RO"/>
        </w:rPr>
      </w:pPr>
      <w:r w:rsidRPr="004B269B">
        <w:rPr>
          <w:rFonts w:ascii="Arial" w:eastAsia="Arial Unicode MS" w:hAnsi="Arial" w:cs="Arial"/>
          <w:b/>
          <w:bCs/>
          <w:i/>
          <w:iCs/>
          <w:sz w:val="24"/>
          <w:szCs w:val="24"/>
          <w:lang w:val="ro-RO" w:eastAsia="ro-RO"/>
        </w:rPr>
        <w:t>II.2.1. Calitatea apei: stare şi consecinţe</w:t>
      </w:r>
    </w:p>
    <w:p w:rsidR="004B269B" w:rsidRPr="004B269B" w:rsidRDefault="004B269B" w:rsidP="004B269B">
      <w:pPr>
        <w:autoSpaceDE w:val="0"/>
        <w:autoSpaceDN w:val="0"/>
        <w:adjustRightInd w:val="0"/>
        <w:spacing w:after="0" w:line="240" w:lineRule="auto"/>
        <w:ind w:firstLine="720"/>
        <w:jc w:val="both"/>
        <w:rPr>
          <w:rFonts w:ascii="Arial" w:eastAsia="Times New Roman" w:hAnsi="Arial" w:cs="Arial"/>
          <w:sz w:val="24"/>
          <w:szCs w:val="24"/>
        </w:rPr>
      </w:pPr>
      <w:r w:rsidRPr="004B269B">
        <w:rPr>
          <w:rFonts w:ascii="Arial" w:eastAsia="Times New Roman" w:hAnsi="Arial" w:cs="Arial"/>
          <w:bCs/>
          <w:sz w:val="24"/>
          <w:szCs w:val="24"/>
        </w:rPr>
        <w:t xml:space="preserve">Corpul de apă </w:t>
      </w:r>
      <w:r w:rsidRPr="004B269B">
        <w:rPr>
          <w:rFonts w:ascii="Arial" w:eastAsia="Times New Roman" w:hAnsi="Arial" w:cs="Arial"/>
          <w:sz w:val="24"/>
          <w:szCs w:val="24"/>
        </w:rPr>
        <w:t>este unitatea de bază care se utilizează pentru stabilirea, raportarea şi verificarea modului de atingere al obiectivelor ţintă ale Directivei Cadru Apă. Conform Directivei Cadru Apă (DCA), prin „</w:t>
      </w:r>
      <w:r w:rsidRPr="004B269B">
        <w:rPr>
          <w:rFonts w:ascii="Arial" w:eastAsia="Times New Roman" w:hAnsi="Arial" w:cs="Arial"/>
          <w:i/>
          <w:iCs/>
          <w:sz w:val="24"/>
          <w:szCs w:val="24"/>
        </w:rPr>
        <w:t>corp de apă de suprafaţă</w:t>
      </w:r>
      <w:r w:rsidRPr="004B269B">
        <w:rPr>
          <w:rFonts w:ascii="Arial" w:eastAsia="Times New Roman" w:hAnsi="Arial" w:cs="Arial"/>
          <w:sz w:val="24"/>
          <w:szCs w:val="24"/>
        </w:rPr>
        <w:t xml:space="preserve">” se înţelege un element discret şi semnificativ al apelor de suprafaţă: râu, lac, canal, sector de râu, sector de canal, ape tranzitorii, o parte din apele costiere. </w:t>
      </w:r>
    </w:p>
    <w:p w:rsidR="004B269B" w:rsidRPr="004B269B" w:rsidRDefault="004B269B" w:rsidP="004B269B">
      <w:pPr>
        <w:autoSpaceDE w:val="0"/>
        <w:autoSpaceDN w:val="0"/>
        <w:adjustRightInd w:val="0"/>
        <w:spacing w:after="0" w:line="240" w:lineRule="auto"/>
        <w:ind w:firstLine="720"/>
        <w:jc w:val="both"/>
        <w:rPr>
          <w:rFonts w:ascii="Arial" w:eastAsia="Times New Roman" w:hAnsi="Arial" w:cs="Arial"/>
          <w:sz w:val="24"/>
          <w:szCs w:val="24"/>
        </w:rPr>
      </w:pPr>
      <w:r w:rsidRPr="004B269B">
        <w:rPr>
          <w:rFonts w:ascii="Arial" w:eastAsia="Times New Roman" w:hAnsi="Arial" w:cs="Arial"/>
          <w:sz w:val="24"/>
          <w:szCs w:val="24"/>
        </w:rPr>
        <w:t xml:space="preserve">"Starea bună a apelor de suprafaţă" înseamnă starea atinsă de un corp de apă de suprafaţă atunci când, atât starea sa ecologică, cât şi starea chimică sunt cel puţin “bune”. </w:t>
      </w:r>
    </w:p>
    <w:p w:rsidR="004B269B" w:rsidRPr="004B269B" w:rsidRDefault="004B269B" w:rsidP="004B269B">
      <w:pPr>
        <w:autoSpaceDE w:val="0"/>
        <w:autoSpaceDN w:val="0"/>
        <w:adjustRightInd w:val="0"/>
        <w:spacing w:after="0" w:line="240" w:lineRule="auto"/>
        <w:ind w:firstLine="720"/>
        <w:jc w:val="both"/>
        <w:rPr>
          <w:rFonts w:ascii="Arial" w:eastAsia="Times New Roman" w:hAnsi="Arial" w:cs="Arial"/>
          <w:sz w:val="24"/>
          <w:szCs w:val="24"/>
        </w:rPr>
      </w:pPr>
      <w:r w:rsidRPr="004B269B">
        <w:rPr>
          <w:rFonts w:ascii="Arial" w:eastAsia="Times New Roman" w:hAnsi="Arial" w:cs="Arial"/>
          <w:sz w:val="24"/>
          <w:szCs w:val="24"/>
        </w:rPr>
        <w:t xml:space="preserve">"Starea ecologică" este o expresie a calităţii structurii şi funcţionării ecosistemelor acvatice asociate apelor de suprafaţă, clasificate în concordanţă cu Anexa V DCA. </w:t>
      </w:r>
    </w:p>
    <w:p w:rsidR="004B269B" w:rsidRPr="004B269B" w:rsidRDefault="004B269B" w:rsidP="004B269B">
      <w:pPr>
        <w:autoSpaceDE w:val="0"/>
        <w:autoSpaceDN w:val="0"/>
        <w:adjustRightInd w:val="0"/>
        <w:spacing w:after="0" w:line="240" w:lineRule="auto"/>
        <w:ind w:firstLine="720"/>
        <w:jc w:val="both"/>
        <w:rPr>
          <w:rFonts w:ascii="Arial" w:eastAsia="Times New Roman" w:hAnsi="Arial" w:cs="Arial"/>
          <w:sz w:val="24"/>
          <w:szCs w:val="24"/>
        </w:rPr>
      </w:pPr>
      <w:r w:rsidRPr="004B269B">
        <w:rPr>
          <w:rFonts w:ascii="Arial" w:eastAsia="Times New Roman" w:hAnsi="Arial" w:cs="Arial"/>
          <w:sz w:val="24"/>
          <w:szCs w:val="24"/>
        </w:rPr>
        <w:t xml:space="preserve">Pentru categoriile de ape de suprafaţă, evaluarea stării ecologice pentru corpurile de apă de suprafaţă se realizează pe 5 stări de calitate, respectiv: foarte bună, bună, moderată, slabă şi proastă cu codul de culori corespunzător (albastru, verde, galben, portocaliu şi roşu). </w:t>
      </w:r>
    </w:p>
    <w:p w:rsidR="004B269B" w:rsidRPr="004B269B" w:rsidRDefault="004B269B" w:rsidP="004B269B">
      <w:pPr>
        <w:spacing w:after="0" w:line="240" w:lineRule="auto"/>
        <w:ind w:firstLine="720"/>
        <w:jc w:val="both"/>
        <w:rPr>
          <w:rFonts w:ascii="Arial" w:eastAsia="Arial Unicode MS" w:hAnsi="Arial" w:cs="Arial"/>
          <w:sz w:val="20"/>
          <w:szCs w:val="20"/>
          <w:lang w:val="ro-RO" w:eastAsia="ro-RO"/>
        </w:rPr>
      </w:pPr>
      <w:r w:rsidRPr="004B269B">
        <w:rPr>
          <w:rFonts w:ascii="Arial" w:eastAsia="Times New Roman" w:hAnsi="Arial" w:cs="Arial"/>
          <w:bCs/>
          <w:sz w:val="24"/>
          <w:szCs w:val="24"/>
        </w:rPr>
        <w:t>Evaluarea stării ecologice a corpurilor de apă de suprafaţă se realizează prin integrarea elementelor de calitate (biologice, fizico-chimice generale, poluanţi specifici). Starea ecologică finală ia în considerare principiul “</w:t>
      </w:r>
      <w:r w:rsidRPr="004B269B">
        <w:rPr>
          <w:rFonts w:ascii="Arial" w:eastAsia="Times New Roman" w:hAnsi="Arial" w:cs="Arial"/>
          <w:bCs/>
          <w:i/>
          <w:iCs/>
          <w:sz w:val="24"/>
          <w:szCs w:val="24"/>
        </w:rPr>
        <w:t>one out – all out</w:t>
      </w:r>
      <w:r w:rsidRPr="004B269B">
        <w:rPr>
          <w:rFonts w:ascii="Arial" w:eastAsia="Times New Roman" w:hAnsi="Arial" w:cs="Arial"/>
          <w:bCs/>
          <w:sz w:val="24"/>
          <w:szCs w:val="24"/>
        </w:rPr>
        <w:t>”, respectiv cea mai defavorabilă situaţie</w:t>
      </w:r>
      <w:r w:rsidRPr="004B269B">
        <w:rPr>
          <w:rFonts w:ascii="Arial" w:eastAsia="Times New Roman" w:hAnsi="Arial" w:cs="Arial"/>
          <w:bCs/>
          <w:sz w:val="20"/>
          <w:szCs w:val="20"/>
        </w:rPr>
        <w:t>.</w:t>
      </w:r>
      <w:r w:rsidRPr="004B269B">
        <w:rPr>
          <w:rFonts w:ascii="Arial" w:eastAsia="Arial Unicode MS" w:hAnsi="Arial" w:cs="Arial"/>
          <w:sz w:val="20"/>
          <w:szCs w:val="20"/>
          <w:lang w:val="ro-RO" w:eastAsia="ro-RO"/>
        </w:rPr>
        <w:t xml:space="preserve">(Sursa: Administraţia Naţională Apele Române - </w:t>
      </w:r>
      <w:r w:rsidRPr="004B269B">
        <w:rPr>
          <w:rFonts w:ascii="Arial" w:eastAsia="Arial Unicode MS" w:hAnsi="Arial" w:cs="Arial"/>
          <w:bCs/>
          <w:sz w:val="20"/>
          <w:szCs w:val="20"/>
          <w:lang w:val="ro-RO" w:eastAsia="ro-RO"/>
        </w:rPr>
        <w:t xml:space="preserve">Sinteza calităţii apelor din România </w:t>
      </w:r>
      <w:r w:rsidRPr="004B269B">
        <w:rPr>
          <w:rFonts w:ascii="Arial" w:eastAsia="Arial Unicode MS" w:hAnsi="Arial" w:cs="Arial"/>
          <w:sz w:val="20"/>
          <w:szCs w:val="20"/>
          <w:lang w:val="ro-RO" w:eastAsia="ro-RO"/>
        </w:rPr>
        <w:t>în anul 2013).</w:t>
      </w:r>
    </w:p>
    <w:p w:rsidR="004B269B" w:rsidRPr="004B269B" w:rsidRDefault="004B269B" w:rsidP="004B269B">
      <w:pPr>
        <w:spacing w:after="0" w:line="240" w:lineRule="auto"/>
        <w:ind w:firstLine="720"/>
        <w:jc w:val="both"/>
        <w:rPr>
          <w:rFonts w:ascii="Arial" w:eastAsia="Times New Roman" w:hAnsi="Arial" w:cs="Arial"/>
          <w:bCs/>
          <w:sz w:val="24"/>
          <w:szCs w:val="24"/>
        </w:rPr>
      </w:pPr>
    </w:p>
    <w:p w:rsidR="004B269B" w:rsidRPr="004B269B" w:rsidRDefault="004B269B" w:rsidP="004B269B">
      <w:pPr>
        <w:spacing w:after="0" w:line="240" w:lineRule="auto"/>
        <w:rPr>
          <w:rFonts w:ascii="Arial" w:eastAsia="Arial Unicode MS" w:hAnsi="Arial" w:cs="Arial"/>
          <w:bCs/>
          <w:iCs/>
          <w:sz w:val="24"/>
          <w:szCs w:val="24"/>
          <w:lang w:val="ro-RO" w:eastAsia="ro-RO"/>
        </w:rPr>
      </w:pPr>
      <w:r w:rsidRPr="004B269B">
        <w:rPr>
          <w:rFonts w:ascii="Arial" w:eastAsia="Arial Unicode MS" w:hAnsi="Arial" w:cs="Arial"/>
          <w:bCs/>
          <w:iCs/>
          <w:sz w:val="24"/>
          <w:szCs w:val="24"/>
          <w:lang w:val="ro-RO" w:eastAsia="ro-RO"/>
        </w:rPr>
        <w:t>II.2.1.1. Calitatea apei cursurilor de apă</w:t>
      </w:r>
    </w:p>
    <w:p w:rsidR="004B269B" w:rsidRPr="004B269B" w:rsidRDefault="004B269B" w:rsidP="004B269B">
      <w:pPr>
        <w:spacing w:after="0" w:line="240" w:lineRule="auto"/>
        <w:rPr>
          <w:rFonts w:ascii="Arial" w:eastAsia="Arial Unicode MS" w:hAnsi="Arial" w:cs="Arial"/>
          <w:bCs/>
          <w:iCs/>
          <w:sz w:val="24"/>
          <w:szCs w:val="24"/>
          <w:lang w:val="ro-RO" w:eastAsia="ro-RO"/>
        </w:rPr>
      </w:pPr>
    </w:p>
    <w:p w:rsidR="004B269B" w:rsidRPr="004B269B" w:rsidRDefault="004B269B" w:rsidP="004B269B">
      <w:pPr>
        <w:autoSpaceDE w:val="0"/>
        <w:autoSpaceDN w:val="0"/>
        <w:adjustRightInd w:val="0"/>
        <w:spacing w:after="0" w:line="240" w:lineRule="auto"/>
        <w:ind w:firstLine="720"/>
        <w:jc w:val="both"/>
        <w:rPr>
          <w:rFonts w:ascii="Arial" w:eastAsia="Times New Roman" w:hAnsi="Arial" w:cs="Arial"/>
          <w:sz w:val="24"/>
          <w:szCs w:val="24"/>
        </w:rPr>
      </w:pPr>
      <w:r w:rsidRPr="004B269B">
        <w:rPr>
          <w:rFonts w:ascii="Arial" w:eastAsia="Times New Roman" w:hAnsi="Arial" w:cs="Arial"/>
          <w:sz w:val="24"/>
          <w:szCs w:val="24"/>
        </w:rPr>
        <w:t>Evaluarea stării ecologice şi a potenţialului ecologic pentru cursurile de apă se efectuează conform Legii Apelor nr. 107/1996 cu modificările şi completările ulterioare, pe baza metodologiilor privind schemele de clasificare şi evaluare globală a stării apelor de suprafaţă elaborate conform cerinţelor Directivei Cadru a Apei (2000/60/CEE).</w:t>
      </w:r>
    </w:p>
    <w:p w:rsidR="004B269B" w:rsidRPr="004B269B" w:rsidRDefault="004B269B" w:rsidP="004B269B">
      <w:pPr>
        <w:autoSpaceDE w:val="0"/>
        <w:autoSpaceDN w:val="0"/>
        <w:adjustRightInd w:val="0"/>
        <w:spacing w:after="0" w:line="240" w:lineRule="auto"/>
        <w:jc w:val="both"/>
        <w:rPr>
          <w:rFonts w:ascii="Arial" w:eastAsia="Times New Roman" w:hAnsi="Arial" w:cs="Arial"/>
          <w:sz w:val="24"/>
          <w:szCs w:val="24"/>
        </w:rPr>
      </w:pPr>
      <w:r w:rsidRPr="004B269B">
        <w:rPr>
          <w:rFonts w:ascii="Arial" w:eastAsia="Times New Roman" w:hAnsi="Arial" w:cs="Arial"/>
          <w:sz w:val="24"/>
          <w:szCs w:val="24"/>
        </w:rPr>
        <w:t>În România, schema de clasificare a cursurilor de apă este de tip combinat şi se bazează pe elemente de calitate biologice, chimice şi fizico-chimice. Schemele de clasificare a cursurilor de apă evidenţiază, sub aspect general, dacă a existat o ameliorare sau nu a calităţii acestora.</w:t>
      </w:r>
    </w:p>
    <w:p w:rsidR="004B269B" w:rsidRPr="004B269B" w:rsidRDefault="004B269B" w:rsidP="005D1AAE">
      <w:pPr>
        <w:autoSpaceDE w:val="0"/>
        <w:autoSpaceDN w:val="0"/>
        <w:adjustRightInd w:val="0"/>
        <w:spacing w:after="0" w:line="240" w:lineRule="auto"/>
        <w:ind w:firstLine="720"/>
        <w:jc w:val="both"/>
        <w:rPr>
          <w:rFonts w:ascii="Arial" w:eastAsia="Times New Roman" w:hAnsi="Arial" w:cs="Arial"/>
          <w:sz w:val="24"/>
          <w:szCs w:val="24"/>
        </w:rPr>
      </w:pPr>
      <w:r w:rsidRPr="004B269B">
        <w:rPr>
          <w:rFonts w:ascii="Arial" w:eastAsia="Times New Roman" w:hAnsi="Arial" w:cs="Arial"/>
          <w:sz w:val="24"/>
          <w:szCs w:val="24"/>
        </w:rPr>
        <w:t>Evaluarea elementelor de calitate biologice, chimice şi fizico-chimice se face pe baza unor standarde de calitate, în sprijinul procesului de stabilire a stării ecologice a diferitelor tipuri de ecosisteme acvatice, naturale sau artificiale. Starea ecologică finală ia în considerare principiul conform căruia cea mai scăzută valoare stabileşte starea calităţii, respectiv cea mai defavorabilă situaţie.</w:t>
      </w:r>
    </w:p>
    <w:p w:rsidR="004B269B" w:rsidRPr="004B269B" w:rsidRDefault="004B269B" w:rsidP="005D1AAE">
      <w:pPr>
        <w:autoSpaceDE w:val="0"/>
        <w:autoSpaceDN w:val="0"/>
        <w:adjustRightInd w:val="0"/>
        <w:spacing w:after="0" w:line="240" w:lineRule="auto"/>
        <w:ind w:firstLine="720"/>
        <w:jc w:val="both"/>
        <w:rPr>
          <w:rFonts w:ascii="Arial" w:eastAsia="Times New Roman" w:hAnsi="Arial" w:cs="Arial"/>
          <w:sz w:val="24"/>
          <w:szCs w:val="24"/>
        </w:rPr>
      </w:pPr>
      <w:r w:rsidRPr="004B269B">
        <w:rPr>
          <w:rFonts w:ascii="Arial" w:eastAsia="Times New Roman" w:hAnsi="Arial" w:cs="Arial"/>
          <w:sz w:val="24"/>
          <w:szCs w:val="24"/>
        </w:rPr>
        <w:t xml:space="preserve">Directiva Cadru a Apei (2000/60/CE) îşi propune să atingă şi să menţină calitatea bună a apei prin utilizarea managementului integrat la nivelul bazinului hidrografic. Stabilirea stării ecologice a ecosistemelor acvatice trebuie să se facă pe baza elementelor de calitate biologice, ţinând cont de indicatorii hidromorfologici, chimici, fizico-chimici şi de poluanţii specifici care influenţează indicatorii biologici. Evaluarea acestor elemente poate arăta prezenţa condiţiilor naturale, alterări minore ale acestora sau amploarea impactului antropic </w:t>
      </w:r>
      <w:r w:rsidRPr="004B269B">
        <w:rPr>
          <w:rFonts w:ascii="Cambria Math" w:eastAsia="Times New Roman" w:hAnsi="Cambria Math" w:cs="Cambria Math"/>
          <w:sz w:val="24"/>
          <w:szCs w:val="24"/>
        </w:rPr>
        <w:t>ș</w:t>
      </w:r>
      <w:r w:rsidRPr="004B269B">
        <w:rPr>
          <w:rFonts w:ascii="Arial" w:eastAsia="Times New Roman" w:hAnsi="Arial" w:cs="Arial"/>
          <w:sz w:val="24"/>
          <w:szCs w:val="24"/>
        </w:rPr>
        <w:t>i respectiv, starea calităţii corpurilor de apă într-o anumită perioadă de timp.</w:t>
      </w:r>
    </w:p>
    <w:p w:rsidR="004B269B" w:rsidRPr="004B269B" w:rsidRDefault="004B269B" w:rsidP="005D1AAE">
      <w:pPr>
        <w:autoSpaceDE w:val="0"/>
        <w:autoSpaceDN w:val="0"/>
        <w:adjustRightInd w:val="0"/>
        <w:spacing w:after="0" w:line="240" w:lineRule="auto"/>
        <w:ind w:firstLine="720"/>
        <w:jc w:val="both"/>
        <w:rPr>
          <w:rFonts w:ascii="Arial" w:eastAsia="Times New Roman" w:hAnsi="Arial" w:cs="Arial"/>
          <w:sz w:val="24"/>
          <w:szCs w:val="24"/>
        </w:rPr>
      </w:pPr>
      <w:r w:rsidRPr="004B269B">
        <w:rPr>
          <w:rFonts w:ascii="Arial" w:eastAsia="Times New Roman" w:hAnsi="Arial" w:cs="Arial"/>
          <w:sz w:val="24"/>
          <w:szCs w:val="24"/>
        </w:rPr>
        <w:t xml:space="preserve">Schemele de clasificare a cursurilor de apă oferă o modalitate de a evalua starea general de calitate a râurilor. În plus, acestea sunt adesea concepute pentru a evalua poluarea organică şi examinarea schemelor de clasificare rezultate oferă o indicaţie a eficacităţii implementării directivelor care sunt menite să reducă poluarea organică, cum ar fi Directivele privind Epurarea Apelor Uzate Urbane (91/271/CEE </w:t>
      </w:r>
      <w:r w:rsidRPr="004B269B">
        <w:rPr>
          <w:rFonts w:ascii="Cambria Math" w:eastAsia="Times New Roman" w:hAnsi="Cambria Math" w:cs="Cambria Math"/>
          <w:sz w:val="24"/>
          <w:szCs w:val="24"/>
        </w:rPr>
        <w:t>ș</w:t>
      </w:r>
      <w:r w:rsidRPr="004B269B">
        <w:rPr>
          <w:rFonts w:ascii="Arial" w:eastAsia="Times New Roman" w:hAnsi="Arial" w:cs="Arial"/>
          <w:sz w:val="24"/>
          <w:szCs w:val="24"/>
        </w:rPr>
        <w:t>i 98/15/CE) şi Directiva privind Nitraţii (91/676/CEE). De asemenea, schemele de clasificare sunt utile pentru a avea o imagine de ansamblu cu privire la efectele directivelor care sunt implicate în consumul de apă, cum ar fi Directiva privind Pescuitul de Apă Dulce (78/659/CEE) şi Directiva privind Captarea Apei de Suprafaţă în Scop Potabil (75/440/CEE).</w:t>
      </w:r>
    </w:p>
    <w:p w:rsidR="004B269B" w:rsidRPr="004B269B" w:rsidRDefault="004B269B" w:rsidP="004B269B">
      <w:pPr>
        <w:spacing w:after="0" w:line="240" w:lineRule="auto"/>
        <w:ind w:firstLine="720"/>
        <w:rPr>
          <w:rFonts w:ascii="Times New Roman" w:eastAsia="SimSun" w:hAnsi="Times New Roman" w:cs="Times New Roman"/>
          <w:b/>
          <w:bCs/>
          <w:sz w:val="16"/>
          <w:szCs w:val="16"/>
          <w:lang w:val="en-GB"/>
        </w:rPr>
      </w:pPr>
      <w:r w:rsidRPr="004B269B">
        <w:rPr>
          <w:rFonts w:ascii="Times New Roman" w:eastAsia="SimSun" w:hAnsi="Times New Roman" w:cs="Times New Roman"/>
          <w:b/>
          <w:bCs/>
          <w:sz w:val="16"/>
          <w:szCs w:val="16"/>
          <w:lang w:val="en-GB"/>
        </w:rPr>
        <w:t xml:space="preserve"> </w:t>
      </w:r>
    </w:p>
    <w:p w:rsidR="004B269B" w:rsidRPr="004B269B" w:rsidRDefault="004B269B" w:rsidP="004B269B">
      <w:pPr>
        <w:spacing w:after="0" w:line="240" w:lineRule="auto"/>
        <w:jc w:val="both"/>
        <w:rPr>
          <w:rFonts w:ascii="Arial" w:eastAsia="Arial Unicode MS" w:hAnsi="Arial" w:cs="Arial"/>
          <w:sz w:val="24"/>
          <w:szCs w:val="24"/>
          <w:lang w:val="ro-RO" w:eastAsia="ro-RO"/>
        </w:rPr>
      </w:pPr>
      <w:r w:rsidRPr="004B269B">
        <w:rPr>
          <w:rFonts w:ascii="Arial" w:eastAsia="Arial Unicode MS" w:hAnsi="Arial" w:cs="Arial"/>
          <w:bCs/>
          <w:sz w:val="24"/>
          <w:szCs w:val="24"/>
          <w:lang w:val="ro-RO" w:eastAsia="ro-RO"/>
        </w:rPr>
        <w:t xml:space="preserve">Tabelul </w:t>
      </w:r>
      <w:r w:rsidRPr="004B269B">
        <w:rPr>
          <w:rFonts w:ascii="Arial" w:eastAsia="Arial Unicode MS" w:hAnsi="Arial" w:cs="Arial"/>
          <w:sz w:val="24"/>
          <w:szCs w:val="24"/>
          <w:lang w:val="ro-RO" w:eastAsia="ro-RO"/>
        </w:rPr>
        <w:t>II</w:t>
      </w:r>
      <w:r w:rsidRPr="004B269B">
        <w:rPr>
          <w:rFonts w:ascii="Arial" w:eastAsia="Arial Unicode MS" w:hAnsi="Arial" w:cs="Arial"/>
          <w:bCs/>
          <w:sz w:val="24"/>
          <w:szCs w:val="24"/>
          <w:lang w:val="ro-RO" w:eastAsia="ro-RO"/>
        </w:rPr>
        <w:t xml:space="preserve">.7. </w:t>
      </w:r>
      <w:r w:rsidRPr="004B269B">
        <w:rPr>
          <w:rFonts w:ascii="Arial" w:eastAsia="Arial Unicode MS" w:hAnsi="Arial" w:cs="Arial"/>
          <w:sz w:val="24"/>
          <w:szCs w:val="24"/>
          <w:lang w:val="ro-RO" w:eastAsia="ro-RO"/>
        </w:rPr>
        <w:t>Evoluția calității cursurilor de apă monitorizate la nivelul judeţului Vaslui, în perioada anilor 2011-2015</w:t>
      </w:r>
    </w:p>
    <w:tbl>
      <w:tblPr>
        <w:tblW w:w="960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0"/>
        <w:gridCol w:w="1080"/>
        <w:gridCol w:w="1057"/>
        <w:gridCol w:w="1080"/>
        <w:gridCol w:w="1485"/>
        <w:gridCol w:w="675"/>
      </w:tblGrid>
      <w:tr w:rsidR="004B269B" w:rsidRPr="004B269B" w:rsidTr="00080B9C">
        <w:trPr>
          <w:trHeight w:val="70"/>
        </w:trPr>
        <w:tc>
          <w:tcPr>
            <w:tcW w:w="4230" w:type="dxa"/>
            <w:vMerge w:val="restart"/>
            <w:shd w:val="clear" w:color="auto" w:fill="auto"/>
            <w:vAlign w:val="center"/>
            <w:hideMark/>
          </w:tcPr>
          <w:p w:rsidR="004B269B" w:rsidRPr="004B269B" w:rsidRDefault="004B269B" w:rsidP="004B269B">
            <w:pPr>
              <w:spacing w:after="0" w:line="240" w:lineRule="auto"/>
              <w:jc w:val="both"/>
              <w:rPr>
                <w:rFonts w:ascii="Arial" w:eastAsia="Times New Roman" w:hAnsi="Arial" w:cs="Arial"/>
                <w:b/>
                <w:bCs/>
                <w:sz w:val="20"/>
                <w:szCs w:val="20"/>
              </w:rPr>
            </w:pPr>
            <w:r w:rsidRPr="004B269B">
              <w:rPr>
                <w:rFonts w:ascii="Arial" w:eastAsia="Times New Roman" w:hAnsi="Arial" w:cs="Arial"/>
                <w:b/>
                <w:bCs/>
                <w:sz w:val="20"/>
                <w:szCs w:val="20"/>
              </w:rPr>
              <w:t>Stare / Potenţial ecologic</w:t>
            </w:r>
          </w:p>
        </w:tc>
        <w:tc>
          <w:tcPr>
            <w:tcW w:w="5377" w:type="dxa"/>
            <w:gridSpan w:val="5"/>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20"/>
                <w:szCs w:val="20"/>
              </w:rPr>
            </w:pPr>
            <w:r w:rsidRPr="004B269B">
              <w:rPr>
                <w:rFonts w:ascii="Arial" w:eastAsia="Times New Roman" w:hAnsi="Arial" w:cs="Arial"/>
                <w:b/>
                <w:bCs/>
                <w:sz w:val="20"/>
                <w:szCs w:val="20"/>
              </w:rPr>
              <w:t>% din reţea monitorizată</w:t>
            </w:r>
          </w:p>
        </w:tc>
      </w:tr>
      <w:tr w:rsidR="004B269B" w:rsidRPr="004B269B" w:rsidTr="00080B9C">
        <w:trPr>
          <w:trHeight w:val="70"/>
        </w:trPr>
        <w:tc>
          <w:tcPr>
            <w:tcW w:w="4230" w:type="dxa"/>
            <w:vMerge/>
            <w:vAlign w:val="center"/>
            <w:hideMark/>
          </w:tcPr>
          <w:p w:rsidR="004B269B" w:rsidRPr="004B269B" w:rsidRDefault="004B269B" w:rsidP="004B269B">
            <w:pPr>
              <w:spacing w:after="0" w:line="240" w:lineRule="auto"/>
              <w:rPr>
                <w:rFonts w:ascii="Arial" w:eastAsia="Times New Roman" w:hAnsi="Arial" w:cs="Arial"/>
                <w:b/>
                <w:bCs/>
                <w:sz w:val="20"/>
                <w:szCs w:val="20"/>
              </w:rPr>
            </w:pPr>
          </w:p>
        </w:tc>
        <w:tc>
          <w:tcPr>
            <w:tcW w:w="1080"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20"/>
                <w:szCs w:val="20"/>
              </w:rPr>
            </w:pPr>
            <w:r w:rsidRPr="004B269B">
              <w:rPr>
                <w:rFonts w:ascii="Arial" w:eastAsia="Times New Roman" w:hAnsi="Arial" w:cs="Arial"/>
                <w:b/>
                <w:bCs/>
                <w:sz w:val="20"/>
                <w:szCs w:val="20"/>
              </w:rPr>
              <w:t>2011</w:t>
            </w:r>
          </w:p>
        </w:tc>
        <w:tc>
          <w:tcPr>
            <w:tcW w:w="105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20"/>
                <w:szCs w:val="20"/>
              </w:rPr>
            </w:pPr>
            <w:r w:rsidRPr="004B269B">
              <w:rPr>
                <w:rFonts w:ascii="Arial" w:eastAsia="Times New Roman" w:hAnsi="Arial" w:cs="Arial"/>
                <w:b/>
                <w:bCs/>
                <w:sz w:val="20"/>
                <w:szCs w:val="20"/>
              </w:rPr>
              <w:t>2012</w:t>
            </w:r>
          </w:p>
        </w:tc>
        <w:tc>
          <w:tcPr>
            <w:tcW w:w="1080"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20"/>
                <w:szCs w:val="20"/>
              </w:rPr>
            </w:pPr>
            <w:r w:rsidRPr="004B269B">
              <w:rPr>
                <w:rFonts w:ascii="Arial" w:eastAsia="Times New Roman" w:hAnsi="Arial" w:cs="Arial"/>
                <w:b/>
                <w:bCs/>
                <w:sz w:val="20"/>
                <w:szCs w:val="20"/>
              </w:rPr>
              <w:t>2013</w:t>
            </w:r>
          </w:p>
        </w:tc>
        <w:tc>
          <w:tcPr>
            <w:tcW w:w="1485"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20"/>
                <w:szCs w:val="20"/>
              </w:rPr>
            </w:pPr>
            <w:r w:rsidRPr="004B269B">
              <w:rPr>
                <w:rFonts w:ascii="Arial" w:eastAsia="Times New Roman" w:hAnsi="Arial" w:cs="Arial"/>
                <w:b/>
                <w:bCs/>
                <w:sz w:val="20"/>
                <w:szCs w:val="20"/>
              </w:rPr>
              <w:t>2014</w:t>
            </w:r>
          </w:p>
        </w:tc>
        <w:tc>
          <w:tcPr>
            <w:tcW w:w="675" w:type="dxa"/>
            <w:shd w:val="clear" w:color="auto" w:fill="auto"/>
            <w:vAlign w:val="center"/>
          </w:tcPr>
          <w:p w:rsidR="004B269B" w:rsidRPr="004B269B" w:rsidRDefault="004B269B" w:rsidP="004B269B">
            <w:pPr>
              <w:spacing w:after="0" w:line="240" w:lineRule="auto"/>
              <w:jc w:val="center"/>
              <w:rPr>
                <w:rFonts w:ascii="Arial" w:eastAsia="Times New Roman" w:hAnsi="Arial" w:cs="Arial"/>
                <w:b/>
                <w:bCs/>
                <w:sz w:val="20"/>
                <w:szCs w:val="20"/>
              </w:rPr>
            </w:pPr>
            <w:r w:rsidRPr="004B269B">
              <w:rPr>
                <w:rFonts w:ascii="Arial" w:eastAsia="Times New Roman" w:hAnsi="Arial" w:cs="Arial"/>
                <w:b/>
                <w:bCs/>
                <w:sz w:val="20"/>
                <w:szCs w:val="20"/>
              </w:rPr>
              <w:t>2015</w:t>
            </w:r>
          </w:p>
        </w:tc>
      </w:tr>
      <w:tr w:rsidR="004B269B" w:rsidRPr="004B269B" w:rsidTr="00080B9C">
        <w:trPr>
          <w:trHeight w:val="70"/>
        </w:trPr>
        <w:tc>
          <w:tcPr>
            <w:tcW w:w="4230" w:type="dxa"/>
            <w:shd w:val="clear" w:color="auto" w:fill="auto"/>
            <w:vAlign w:val="center"/>
            <w:hideMark/>
          </w:tcPr>
          <w:p w:rsidR="004B269B" w:rsidRPr="004B269B" w:rsidRDefault="004B269B" w:rsidP="004B269B">
            <w:pPr>
              <w:spacing w:after="0" w:line="240" w:lineRule="auto"/>
              <w:jc w:val="both"/>
              <w:rPr>
                <w:rFonts w:ascii="Arial" w:eastAsia="Times New Roman" w:hAnsi="Arial" w:cs="Arial"/>
                <w:bCs/>
                <w:sz w:val="20"/>
                <w:szCs w:val="20"/>
              </w:rPr>
            </w:pPr>
            <w:r w:rsidRPr="004B269B">
              <w:rPr>
                <w:rFonts w:ascii="Arial" w:eastAsia="Times New Roman" w:hAnsi="Arial" w:cs="Arial"/>
                <w:bCs/>
                <w:sz w:val="20"/>
                <w:szCs w:val="20"/>
              </w:rPr>
              <w:t>Foarte bună (Clasa I )</w:t>
            </w:r>
          </w:p>
        </w:tc>
        <w:tc>
          <w:tcPr>
            <w:tcW w:w="1080"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0.000</w:t>
            </w:r>
          </w:p>
        </w:tc>
        <w:tc>
          <w:tcPr>
            <w:tcW w:w="105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0.00</w:t>
            </w:r>
          </w:p>
        </w:tc>
        <w:tc>
          <w:tcPr>
            <w:tcW w:w="1080"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0.000</w:t>
            </w:r>
          </w:p>
        </w:tc>
        <w:tc>
          <w:tcPr>
            <w:tcW w:w="1485"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0.000</w:t>
            </w:r>
          </w:p>
        </w:tc>
        <w:tc>
          <w:tcPr>
            <w:tcW w:w="675" w:type="dxa"/>
            <w:shd w:val="clear" w:color="auto" w:fill="auto"/>
            <w:vAlign w:val="center"/>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w:t>
            </w:r>
          </w:p>
        </w:tc>
      </w:tr>
      <w:tr w:rsidR="004B269B" w:rsidRPr="004B269B" w:rsidTr="00080B9C">
        <w:trPr>
          <w:trHeight w:val="70"/>
        </w:trPr>
        <w:tc>
          <w:tcPr>
            <w:tcW w:w="4230" w:type="dxa"/>
            <w:shd w:val="clear" w:color="auto" w:fill="auto"/>
            <w:vAlign w:val="center"/>
            <w:hideMark/>
          </w:tcPr>
          <w:p w:rsidR="004B269B" w:rsidRPr="004B269B" w:rsidRDefault="004B269B" w:rsidP="004B269B">
            <w:pPr>
              <w:spacing w:after="0" w:line="240" w:lineRule="auto"/>
              <w:jc w:val="both"/>
              <w:rPr>
                <w:rFonts w:ascii="Arial" w:eastAsia="Times New Roman" w:hAnsi="Arial" w:cs="Arial"/>
                <w:bCs/>
                <w:sz w:val="20"/>
                <w:szCs w:val="20"/>
              </w:rPr>
            </w:pPr>
            <w:r w:rsidRPr="004B269B">
              <w:rPr>
                <w:rFonts w:ascii="Arial" w:eastAsia="Times New Roman" w:hAnsi="Arial" w:cs="Arial"/>
                <w:bCs/>
                <w:sz w:val="20"/>
                <w:szCs w:val="20"/>
              </w:rPr>
              <w:t>Bună (Clasa II )</w:t>
            </w:r>
          </w:p>
        </w:tc>
        <w:tc>
          <w:tcPr>
            <w:tcW w:w="1080"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0.000</w:t>
            </w:r>
          </w:p>
        </w:tc>
        <w:tc>
          <w:tcPr>
            <w:tcW w:w="105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0.00</w:t>
            </w:r>
          </w:p>
        </w:tc>
        <w:tc>
          <w:tcPr>
            <w:tcW w:w="1080"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0.000</w:t>
            </w:r>
          </w:p>
        </w:tc>
        <w:tc>
          <w:tcPr>
            <w:tcW w:w="1485"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0.000</w:t>
            </w:r>
          </w:p>
        </w:tc>
        <w:tc>
          <w:tcPr>
            <w:tcW w:w="675" w:type="dxa"/>
            <w:shd w:val="clear" w:color="auto" w:fill="auto"/>
            <w:vAlign w:val="center"/>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w:t>
            </w:r>
          </w:p>
        </w:tc>
      </w:tr>
      <w:tr w:rsidR="004B269B" w:rsidRPr="004B269B" w:rsidTr="00080B9C">
        <w:trPr>
          <w:trHeight w:val="70"/>
        </w:trPr>
        <w:tc>
          <w:tcPr>
            <w:tcW w:w="4230" w:type="dxa"/>
            <w:shd w:val="clear" w:color="auto" w:fill="auto"/>
            <w:vAlign w:val="center"/>
            <w:hideMark/>
          </w:tcPr>
          <w:p w:rsidR="004B269B" w:rsidRPr="004B269B" w:rsidRDefault="004B269B" w:rsidP="004B269B">
            <w:pPr>
              <w:spacing w:after="0" w:line="240" w:lineRule="auto"/>
              <w:jc w:val="both"/>
              <w:rPr>
                <w:rFonts w:ascii="Arial" w:eastAsia="Times New Roman" w:hAnsi="Arial" w:cs="Arial"/>
                <w:bCs/>
                <w:sz w:val="20"/>
                <w:szCs w:val="20"/>
              </w:rPr>
            </w:pPr>
            <w:r w:rsidRPr="004B269B">
              <w:rPr>
                <w:rFonts w:ascii="Arial" w:eastAsia="Times New Roman" w:hAnsi="Arial" w:cs="Arial"/>
                <w:bCs/>
                <w:sz w:val="20"/>
                <w:szCs w:val="20"/>
              </w:rPr>
              <w:t>Moderată (Clasa III)</w:t>
            </w:r>
          </w:p>
        </w:tc>
        <w:tc>
          <w:tcPr>
            <w:tcW w:w="1080"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0.000</w:t>
            </w:r>
          </w:p>
        </w:tc>
        <w:tc>
          <w:tcPr>
            <w:tcW w:w="105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0.00</w:t>
            </w:r>
          </w:p>
        </w:tc>
        <w:tc>
          <w:tcPr>
            <w:tcW w:w="1080"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0.000</w:t>
            </w:r>
          </w:p>
        </w:tc>
        <w:tc>
          <w:tcPr>
            <w:tcW w:w="1485"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0.000</w:t>
            </w:r>
          </w:p>
        </w:tc>
        <w:tc>
          <w:tcPr>
            <w:tcW w:w="675" w:type="dxa"/>
            <w:shd w:val="clear" w:color="auto" w:fill="auto"/>
            <w:vAlign w:val="center"/>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w:t>
            </w:r>
          </w:p>
        </w:tc>
      </w:tr>
      <w:tr w:rsidR="004B269B" w:rsidRPr="004B269B" w:rsidTr="00080B9C">
        <w:trPr>
          <w:trHeight w:val="70"/>
        </w:trPr>
        <w:tc>
          <w:tcPr>
            <w:tcW w:w="4230" w:type="dxa"/>
            <w:shd w:val="clear" w:color="auto" w:fill="auto"/>
            <w:vAlign w:val="center"/>
            <w:hideMark/>
          </w:tcPr>
          <w:p w:rsidR="004B269B" w:rsidRPr="004B269B" w:rsidRDefault="004B269B" w:rsidP="004B269B">
            <w:pPr>
              <w:spacing w:after="0" w:line="240" w:lineRule="auto"/>
              <w:jc w:val="both"/>
              <w:rPr>
                <w:rFonts w:ascii="Arial" w:eastAsia="Times New Roman" w:hAnsi="Arial" w:cs="Arial"/>
                <w:bCs/>
                <w:sz w:val="20"/>
                <w:szCs w:val="20"/>
              </w:rPr>
            </w:pPr>
            <w:r w:rsidRPr="004B269B">
              <w:rPr>
                <w:rFonts w:ascii="Arial" w:eastAsia="Times New Roman" w:hAnsi="Arial" w:cs="Arial"/>
                <w:bCs/>
                <w:sz w:val="20"/>
                <w:szCs w:val="20"/>
              </w:rPr>
              <w:t>Slabă (Clasa IV)</w:t>
            </w:r>
          </w:p>
        </w:tc>
        <w:tc>
          <w:tcPr>
            <w:tcW w:w="1080"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0.000</w:t>
            </w:r>
          </w:p>
        </w:tc>
        <w:tc>
          <w:tcPr>
            <w:tcW w:w="105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0.00</w:t>
            </w:r>
          </w:p>
        </w:tc>
        <w:tc>
          <w:tcPr>
            <w:tcW w:w="1080"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0.000</w:t>
            </w:r>
          </w:p>
        </w:tc>
        <w:tc>
          <w:tcPr>
            <w:tcW w:w="1485"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0.000</w:t>
            </w:r>
          </w:p>
        </w:tc>
        <w:tc>
          <w:tcPr>
            <w:tcW w:w="675" w:type="dxa"/>
            <w:shd w:val="clear" w:color="auto" w:fill="auto"/>
            <w:vAlign w:val="center"/>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w:t>
            </w:r>
          </w:p>
        </w:tc>
      </w:tr>
      <w:tr w:rsidR="004B269B" w:rsidRPr="004B269B" w:rsidTr="00080B9C">
        <w:trPr>
          <w:trHeight w:val="70"/>
        </w:trPr>
        <w:tc>
          <w:tcPr>
            <w:tcW w:w="4230" w:type="dxa"/>
            <w:shd w:val="clear" w:color="auto" w:fill="auto"/>
            <w:vAlign w:val="center"/>
            <w:hideMark/>
          </w:tcPr>
          <w:p w:rsidR="004B269B" w:rsidRPr="004B269B" w:rsidRDefault="004B269B" w:rsidP="004B269B">
            <w:pPr>
              <w:spacing w:after="0" w:line="240" w:lineRule="auto"/>
              <w:jc w:val="both"/>
              <w:rPr>
                <w:rFonts w:ascii="Arial" w:eastAsia="Times New Roman" w:hAnsi="Arial" w:cs="Arial"/>
                <w:bCs/>
                <w:sz w:val="20"/>
                <w:szCs w:val="20"/>
              </w:rPr>
            </w:pPr>
            <w:r w:rsidRPr="004B269B">
              <w:rPr>
                <w:rFonts w:ascii="Arial" w:eastAsia="Times New Roman" w:hAnsi="Arial" w:cs="Arial"/>
                <w:bCs/>
                <w:sz w:val="20"/>
                <w:szCs w:val="20"/>
              </w:rPr>
              <w:t>Proastă (Clasa V)</w:t>
            </w:r>
          </w:p>
        </w:tc>
        <w:tc>
          <w:tcPr>
            <w:tcW w:w="1080"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0.000</w:t>
            </w:r>
          </w:p>
        </w:tc>
        <w:tc>
          <w:tcPr>
            <w:tcW w:w="105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0.00</w:t>
            </w:r>
          </w:p>
        </w:tc>
        <w:tc>
          <w:tcPr>
            <w:tcW w:w="1080"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0.000</w:t>
            </w:r>
          </w:p>
        </w:tc>
        <w:tc>
          <w:tcPr>
            <w:tcW w:w="1485"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0.000</w:t>
            </w:r>
          </w:p>
        </w:tc>
        <w:tc>
          <w:tcPr>
            <w:tcW w:w="675" w:type="dxa"/>
            <w:shd w:val="clear" w:color="auto" w:fill="auto"/>
            <w:vAlign w:val="center"/>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w:t>
            </w:r>
          </w:p>
        </w:tc>
      </w:tr>
      <w:tr w:rsidR="004B269B" w:rsidRPr="004B269B" w:rsidTr="00080B9C">
        <w:trPr>
          <w:trHeight w:val="70"/>
        </w:trPr>
        <w:tc>
          <w:tcPr>
            <w:tcW w:w="4230" w:type="dxa"/>
            <w:shd w:val="clear" w:color="auto" w:fill="auto"/>
            <w:vAlign w:val="center"/>
            <w:hideMark/>
          </w:tcPr>
          <w:p w:rsidR="004B269B" w:rsidRPr="004B269B" w:rsidRDefault="004B269B" w:rsidP="004B269B">
            <w:pPr>
              <w:spacing w:after="0" w:line="240" w:lineRule="auto"/>
              <w:jc w:val="both"/>
              <w:rPr>
                <w:rFonts w:ascii="Arial" w:eastAsia="Times New Roman" w:hAnsi="Arial" w:cs="Arial"/>
                <w:bCs/>
                <w:sz w:val="20"/>
                <w:szCs w:val="20"/>
              </w:rPr>
            </w:pPr>
            <w:r w:rsidRPr="004B269B">
              <w:rPr>
                <w:rFonts w:ascii="Arial" w:eastAsia="Times New Roman" w:hAnsi="Arial" w:cs="Arial"/>
                <w:bCs/>
                <w:sz w:val="20"/>
                <w:szCs w:val="20"/>
              </w:rPr>
              <w:t>SE inferioară stării bune (%)</w:t>
            </w:r>
          </w:p>
        </w:tc>
        <w:tc>
          <w:tcPr>
            <w:tcW w:w="1080"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72.78</w:t>
            </w:r>
          </w:p>
        </w:tc>
        <w:tc>
          <w:tcPr>
            <w:tcW w:w="105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100.00</w:t>
            </w:r>
          </w:p>
        </w:tc>
        <w:tc>
          <w:tcPr>
            <w:tcW w:w="1080"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64.36</w:t>
            </w:r>
          </w:p>
        </w:tc>
        <w:tc>
          <w:tcPr>
            <w:tcW w:w="1485"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64.36</w:t>
            </w:r>
          </w:p>
        </w:tc>
        <w:tc>
          <w:tcPr>
            <w:tcW w:w="675" w:type="dxa"/>
            <w:shd w:val="clear" w:color="auto" w:fill="auto"/>
            <w:vAlign w:val="center"/>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w:t>
            </w:r>
          </w:p>
        </w:tc>
      </w:tr>
      <w:tr w:rsidR="004B269B" w:rsidRPr="004B269B" w:rsidTr="00080B9C">
        <w:trPr>
          <w:trHeight w:val="70"/>
        </w:trPr>
        <w:tc>
          <w:tcPr>
            <w:tcW w:w="4230" w:type="dxa"/>
            <w:shd w:val="clear" w:color="auto" w:fill="auto"/>
            <w:vAlign w:val="center"/>
            <w:hideMark/>
          </w:tcPr>
          <w:p w:rsidR="004B269B" w:rsidRPr="004B269B" w:rsidRDefault="004B269B" w:rsidP="004B269B">
            <w:pPr>
              <w:spacing w:after="0" w:line="240" w:lineRule="auto"/>
              <w:jc w:val="both"/>
              <w:rPr>
                <w:rFonts w:ascii="Arial" w:eastAsia="Times New Roman" w:hAnsi="Arial" w:cs="Arial"/>
                <w:bCs/>
                <w:sz w:val="20"/>
                <w:szCs w:val="20"/>
              </w:rPr>
            </w:pPr>
            <w:r w:rsidRPr="004B269B">
              <w:rPr>
                <w:rFonts w:ascii="Arial" w:eastAsia="Times New Roman" w:hAnsi="Arial" w:cs="Arial"/>
                <w:bCs/>
                <w:sz w:val="20"/>
                <w:szCs w:val="20"/>
              </w:rPr>
              <w:t>Reţea monitorizată (km)</w:t>
            </w:r>
          </w:p>
        </w:tc>
        <w:tc>
          <w:tcPr>
            <w:tcW w:w="1080"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413.19</w:t>
            </w:r>
          </w:p>
        </w:tc>
        <w:tc>
          <w:tcPr>
            <w:tcW w:w="105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365.7</w:t>
            </w:r>
          </w:p>
        </w:tc>
        <w:tc>
          <w:tcPr>
            <w:tcW w:w="1080"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365.7</w:t>
            </w:r>
          </w:p>
        </w:tc>
        <w:tc>
          <w:tcPr>
            <w:tcW w:w="1485"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365.7</w:t>
            </w:r>
          </w:p>
        </w:tc>
        <w:tc>
          <w:tcPr>
            <w:tcW w:w="675" w:type="dxa"/>
            <w:shd w:val="clear" w:color="auto" w:fill="auto"/>
            <w:vAlign w:val="center"/>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w:t>
            </w:r>
          </w:p>
        </w:tc>
      </w:tr>
      <w:tr w:rsidR="004B269B" w:rsidRPr="004B269B" w:rsidTr="00080B9C">
        <w:trPr>
          <w:trHeight w:val="70"/>
        </w:trPr>
        <w:tc>
          <w:tcPr>
            <w:tcW w:w="4230" w:type="dxa"/>
            <w:shd w:val="clear" w:color="auto" w:fill="auto"/>
            <w:vAlign w:val="center"/>
            <w:hideMark/>
          </w:tcPr>
          <w:p w:rsidR="004B269B" w:rsidRPr="004B269B" w:rsidRDefault="004B269B" w:rsidP="004B269B">
            <w:pPr>
              <w:spacing w:after="0" w:line="240" w:lineRule="auto"/>
              <w:jc w:val="both"/>
              <w:rPr>
                <w:rFonts w:ascii="Arial" w:eastAsia="Times New Roman" w:hAnsi="Arial" w:cs="Arial"/>
                <w:bCs/>
                <w:sz w:val="20"/>
                <w:szCs w:val="20"/>
              </w:rPr>
            </w:pPr>
            <w:r w:rsidRPr="004B269B">
              <w:rPr>
                <w:rFonts w:ascii="Arial" w:eastAsia="Times New Roman" w:hAnsi="Arial" w:cs="Arial"/>
                <w:bCs/>
                <w:sz w:val="20"/>
                <w:szCs w:val="20"/>
              </w:rPr>
              <w:t>Număr puncte de monitorizare</w:t>
            </w:r>
          </w:p>
        </w:tc>
        <w:tc>
          <w:tcPr>
            <w:tcW w:w="1080"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13</w:t>
            </w:r>
          </w:p>
        </w:tc>
        <w:tc>
          <w:tcPr>
            <w:tcW w:w="105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15</w:t>
            </w:r>
          </w:p>
        </w:tc>
        <w:tc>
          <w:tcPr>
            <w:tcW w:w="1080"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15</w:t>
            </w:r>
          </w:p>
        </w:tc>
        <w:tc>
          <w:tcPr>
            <w:tcW w:w="1485"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15</w:t>
            </w:r>
          </w:p>
        </w:tc>
        <w:tc>
          <w:tcPr>
            <w:tcW w:w="675" w:type="dxa"/>
            <w:shd w:val="clear" w:color="auto" w:fill="auto"/>
            <w:vAlign w:val="center"/>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w:t>
            </w:r>
          </w:p>
        </w:tc>
      </w:tr>
    </w:tbl>
    <w:p w:rsidR="004B269B" w:rsidRPr="004B269B" w:rsidRDefault="004B269B" w:rsidP="004B269B">
      <w:pPr>
        <w:spacing w:after="0" w:line="240" w:lineRule="auto"/>
        <w:jc w:val="center"/>
        <w:rPr>
          <w:rFonts w:ascii="Arial" w:eastAsia="SimSun" w:hAnsi="Arial" w:cs="Arial"/>
          <w:sz w:val="20"/>
          <w:szCs w:val="20"/>
          <w:lang w:val="ro-RO"/>
        </w:rPr>
      </w:pPr>
      <w:r w:rsidRPr="004B269B">
        <w:rPr>
          <w:rFonts w:ascii="Arial" w:eastAsia="SimSun" w:hAnsi="Arial" w:cs="Arial"/>
          <w:sz w:val="20"/>
          <w:szCs w:val="20"/>
          <w:lang w:val="ro-RO"/>
        </w:rPr>
        <w:t xml:space="preserve">Sursa: Administraţia </w:t>
      </w:r>
      <w:r w:rsidRPr="004B269B">
        <w:rPr>
          <w:rFonts w:ascii="Arial" w:eastAsia="SimSun" w:hAnsi="Arial" w:cs="Arial"/>
          <w:sz w:val="20"/>
          <w:szCs w:val="20"/>
          <w:lang w:val="en-GB"/>
        </w:rPr>
        <w:t>“</w:t>
      </w:r>
      <w:r w:rsidRPr="004B269B">
        <w:rPr>
          <w:rFonts w:ascii="Arial" w:eastAsia="SimSun" w:hAnsi="Arial" w:cs="Arial"/>
          <w:sz w:val="20"/>
          <w:szCs w:val="20"/>
          <w:lang w:val="ro-RO"/>
        </w:rPr>
        <w:t>Apele Române”- Administraţia Bazinală de Apă Prut - Bârlad</w:t>
      </w:r>
    </w:p>
    <w:p w:rsidR="004B269B" w:rsidRPr="004B269B" w:rsidRDefault="004B269B" w:rsidP="004B269B">
      <w:pPr>
        <w:spacing w:after="0" w:line="240" w:lineRule="auto"/>
        <w:jc w:val="both"/>
        <w:rPr>
          <w:rFonts w:ascii="Arial" w:eastAsia="Arial Unicode MS" w:hAnsi="Arial" w:cs="Arial"/>
          <w:bCs/>
          <w:sz w:val="24"/>
          <w:szCs w:val="24"/>
          <w:lang w:val="ro-RO" w:eastAsia="ro-RO"/>
        </w:rPr>
      </w:pPr>
    </w:p>
    <w:p w:rsidR="004B269B" w:rsidRPr="004B269B" w:rsidRDefault="004B269B" w:rsidP="005D1AAE">
      <w:pPr>
        <w:spacing w:after="0" w:line="240" w:lineRule="auto"/>
        <w:ind w:left="720"/>
        <w:jc w:val="both"/>
        <w:rPr>
          <w:rFonts w:ascii="Arial" w:eastAsia="Arial Unicode MS" w:hAnsi="Arial" w:cs="Arial"/>
          <w:bCs/>
          <w:sz w:val="24"/>
          <w:szCs w:val="24"/>
          <w:lang w:val="ro-RO" w:eastAsia="ro-RO"/>
        </w:rPr>
      </w:pPr>
      <w:r w:rsidRPr="004B269B">
        <w:rPr>
          <w:rFonts w:ascii="Arial" w:eastAsia="Arial Unicode MS" w:hAnsi="Arial" w:cs="Arial"/>
          <w:bCs/>
          <w:sz w:val="24"/>
          <w:szCs w:val="24"/>
          <w:lang w:val="ro-RO" w:eastAsia="ro-RO"/>
        </w:rPr>
        <w:t>*La nivelul judeţului Vaslui, nu deţinem date privind calitatea cursurilor de apă monitorizate pentru anul 2015.</w:t>
      </w:r>
    </w:p>
    <w:p w:rsidR="004B269B" w:rsidRPr="004B269B" w:rsidRDefault="004B269B" w:rsidP="004B269B">
      <w:pPr>
        <w:spacing w:after="0" w:line="240" w:lineRule="auto"/>
        <w:jc w:val="both"/>
        <w:rPr>
          <w:rFonts w:ascii="Arial" w:eastAsia="Arial Unicode MS" w:hAnsi="Arial" w:cs="Arial"/>
          <w:bCs/>
          <w:sz w:val="24"/>
          <w:szCs w:val="24"/>
          <w:lang w:val="ro-RO" w:eastAsia="ro-RO"/>
        </w:rPr>
      </w:pPr>
    </w:p>
    <w:p w:rsidR="004B269B" w:rsidRPr="004B269B" w:rsidRDefault="004B269B" w:rsidP="004B269B">
      <w:pPr>
        <w:spacing w:after="0" w:line="240" w:lineRule="auto"/>
        <w:jc w:val="both"/>
        <w:rPr>
          <w:rFonts w:ascii="Arial" w:eastAsia="Arial Unicode MS" w:hAnsi="Arial" w:cs="Arial"/>
          <w:sz w:val="24"/>
          <w:szCs w:val="24"/>
          <w:lang w:val="ro-RO" w:eastAsia="ro-RO"/>
        </w:rPr>
      </w:pPr>
      <w:r w:rsidRPr="004B269B">
        <w:rPr>
          <w:rFonts w:ascii="Arial" w:eastAsia="Arial Unicode MS" w:hAnsi="Arial" w:cs="Arial"/>
          <w:bCs/>
          <w:sz w:val="24"/>
          <w:szCs w:val="24"/>
          <w:lang w:val="ro-RO" w:eastAsia="ro-RO"/>
        </w:rPr>
        <w:t xml:space="preserve">Figura II.6. </w:t>
      </w:r>
      <w:r w:rsidRPr="004B269B">
        <w:rPr>
          <w:rFonts w:ascii="Arial" w:eastAsia="Arial Unicode MS" w:hAnsi="Arial" w:cs="Arial"/>
          <w:sz w:val="24"/>
          <w:szCs w:val="24"/>
          <w:lang w:val="ro-RO" w:eastAsia="ro-RO"/>
        </w:rPr>
        <w:t>Calitatea cursurilor de apă monitorizate la nivelul judeţului Vaslui, în perioada anilor 2011-2015</w:t>
      </w:r>
    </w:p>
    <w:p w:rsidR="004B269B" w:rsidRPr="004B269B" w:rsidRDefault="004B269B" w:rsidP="004B269B">
      <w:pPr>
        <w:spacing w:after="0" w:line="240" w:lineRule="auto"/>
        <w:jc w:val="both"/>
        <w:rPr>
          <w:rFonts w:ascii="Arial" w:eastAsia="Times New Roman" w:hAnsi="Arial" w:cs="Arial"/>
          <w:sz w:val="24"/>
          <w:szCs w:val="24"/>
          <w:lang w:eastAsia="ro-RO"/>
        </w:rPr>
      </w:pPr>
      <w:r>
        <w:rPr>
          <w:rFonts w:ascii="Arial Unicode MS" w:eastAsia="Arial Unicode MS" w:hAnsi="Arial Unicode MS" w:cs="Arial Unicode MS"/>
          <w:noProof/>
          <w:sz w:val="16"/>
          <w:szCs w:val="16"/>
        </w:rPr>
        <w:drawing>
          <wp:inline distT="0" distB="0" distL="0" distR="0">
            <wp:extent cx="6159261" cy="1690777"/>
            <wp:effectExtent l="0" t="0" r="0" b="0"/>
            <wp:docPr id="199" name="Chart 19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4B269B">
        <w:rPr>
          <w:rFonts w:ascii="Arial Unicode MS" w:eastAsia="Arial Unicode MS" w:hAnsi="Arial Unicode MS" w:cs="Arial Unicode MS"/>
          <w:sz w:val="16"/>
          <w:szCs w:val="16"/>
          <w:lang w:val="ro-RO" w:eastAsia="ro-RO"/>
        </w:rPr>
        <w:tab/>
      </w:r>
      <w:r w:rsidRPr="004B269B">
        <w:rPr>
          <w:rFonts w:ascii="Arial" w:eastAsia="Times New Roman" w:hAnsi="Arial" w:cs="Arial"/>
          <w:sz w:val="24"/>
          <w:szCs w:val="24"/>
          <w:lang w:eastAsia="ro-RO"/>
        </w:rPr>
        <w:t xml:space="preserve">Prezenţa în mediul acvatic a unor cantităţi mari de substanţe organice pot determina deteriorarea calităţii chimice şi biologice a ecosistemelor lotice, diminuarea diversităţii comunităţilor acvatice şi o contaminare microbiologică care poate afecta calitatea apei potabile şi a apei de îmbăiere. </w:t>
      </w:r>
    </w:p>
    <w:p w:rsidR="005D1AAE" w:rsidRDefault="004B269B" w:rsidP="005D1AAE">
      <w:pPr>
        <w:autoSpaceDE w:val="0"/>
        <w:autoSpaceDN w:val="0"/>
        <w:adjustRightInd w:val="0"/>
        <w:spacing w:after="0" w:line="240" w:lineRule="auto"/>
        <w:ind w:firstLine="720"/>
        <w:jc w:val="both"/>
        <w:rPr>
          <w:rFonts w:ascii="Arial" w:eastAsia="Times New Roman" w:hAnsi="Arial" w:cs="Arial"/>
          <w:sz w:val="24"/>
          <w:szCs w:val="24"/>
        </w:rPr>
      </w:pPr>
      <w:r w:rsidRPr="004B269B">
        <w:rPr>
          <w:rFonts w:ascii="Arial" w:eastAsia="Times New Roman" w:hAnsi="Arial" w:cs="Arial"/>
          <w:sz w:val="24"/>
          <w:szCs w:val="24"/>
        </w:rPr>
        <w:t xml:space="preserve">Sursele de substanţe organice sunt evacuările provenite din staţiile de epurare a apelor uzate, efluenţii industriali şi scurgerile provenite din agricultură. Poluarea organică conduce la creşterea vitezelor proceselor metabolice care necesită oxigen. Acest fapt poate avea ca rezultat dezvoltarea unor zone acvatice anaerobe (lipsite de oxigen). </w:t>
      </w:r>
    </w:p>
    <w:p w:rsidR="004B269B" w:rsidRPr="004B269B" w:rsidRDefault="004B269B" w:rsidP="005D1AAE">
      <w:pPr>
        <w:autoSpaceDE w:val="0"/>
        <w:autoSpaceDN w:val="0"/>
        <w:adjustRightInd w:val="0"/>
        <w:spacing w:after="0" w:line="240" w:lineRule="auto"/>
        <w:ind w:firstLine="720"/>
        <w:jc w:val="both"/>
        <w:rPr>
          <w:rFonts w:ascii="Arial" w:eastAsia="Times New Roman" w:hAnsi="Arial" w:cs="Arial"/>
          <w:sz w:val="24"/>
          <w:szCs w:val="24"/>
        </w:rPr>
      </w:pPr>
      <w:r w:rsidRPr="004B269B">
        <w:rPr>
          <w:rFonts w:ascii="Arial" w:eastAsia="Times New Roman" w:hAnsi="Arial" w:cs="Arial"/>
          <w:sz w:val="24"/>
          <w:szCs w:val="24"/>
        </w:rPr>
        <w:t>Descompunerea substanţelor organice cu azot, în condiţii anaerobe, conduce la creşterea concentraţiilor de amoniu care este toxic pentru viaţa acvatică (atunci când depăşeşte anumite concentraţii) în funcţie de temperatura, salinitatea şi pH-ul apei.</w:t>
      </w:r>
    </w:p>
    <w:p w:rsidR="004B269B" w:rsidRPr="004B269B" w:rsidRDefault="004B269B" w:rsidP="004B269B">
      <w:pPr>
        <w:autoSpaceDE w:val="0"/>
        <w:autoSpaceDN w:val="0"/>
        <w:adjustRightInd w:val="0"/>
        <w:spacing w:after="0" w:line="240" w:lineRule="auto"/>
        <w:jc w:val="both"/>
        <w:rPr>
          <w:rFonts w:ascii="Arial" w:eastAsia="Times New Roman" w:hAnsi="Arial" w:cs="Arial"/>
          <w:sz w:val="24"/>
          <w:szCs w:val="24"/>
        </w:rPr>
      </w:pPr>
      <w:r w:rsidRPr="004B269B">
        <w:rPr>
          <w:rFonts w:ascii="Arial" w:eastAsia="Times New Roman" w:hAnsi="Arial" w:cs="Arial"/>
          <w:sz w:val="24"/>
          <w:szCs w:val="24"/>
        </w:rPr>
        <w:t>Indicatorul principal pentru starea de oxigenare a corpurilor de apă este consumul biochimic de oxigen după 5 de incubaţie (CBO5) care reprezintă necesarul de oxigen al organismelor acvatice care consumă materiile organice uşor oxidabile prezente în mediul acvatic.</w:t>
      </w:r>
    </w:p>
    <w:p w:rsidR="004B269B" w:rsidRPr="004B269B" w:rsidRDefault="004B269B" w:rsidP="004B269B">
      <w:pPr>
        <w:spacing w:after="0" w:line="240" w:lineRule="auto"/>
        <w:ind w:firstLine="720"/>
        <w:jc w:val="both"/>
        <w:rPr>
          <w:rFonts w:ascii="Arial" w:eastAsia="SimSun" w:hAnsi="Arial" w:cs="Arial"/>
          <w:i/>
          <w:iCs/>
          <w:sz w:val="24"/>
          <w:szCs w:val="24"/>
          <w:lang w:val="ro-RO"/>
        </w:rPr>
      </w:pPr>
      <w:r w:rsidRPr="004B269B">
        <w:rPr>
          <w:rFonts w:ascii="Arial" w:eastAsia="SimSun" w:hAnsi="Arial" w:cs="Arial"/>
          <w:sz w:val="24"/>
          <w:szCs w:val="24"/>
          <w:lang w:val="en-GB"/>
        </w:rPr>
        <w:t>Oxigenul dizolvat reprezintă cantitatea de oxigen rămasă dizolvată în apă la o anumită presiune şi temperatură.</w:t>
      </w:r>
      <w:r w:rsidRPr="004B269B">
        <w:rPr>
          <w:rFonts w:ascii="Arial" w:eastAsia="SimSun" w:hAnsi="Arial" w:cs="Arial"/>
          <w:i/>
          <w:iCs/>
          <w:sz w:val="24"/>
          <w:szCs w:val="24"/>
          <w:lang w:val="ro-RO"/>
        </w:rPr>
        <w:t xml:space="preserve"> </w:t>
      </w:r>
      <w:r w:rsidRPr="004B269B">
        <w:rPr>
          <w:rFonts w:ascii="Arial" w:eastAsia="SimSun" w:hAnsi="Arial" w:cs="Arial"/>
          <w:sz w:val="24"/>
          <w:szCs w:val="24"/>
          <w:shd w:val="clear" w:color="auto" w:fill="FFFFFF"/>
          <w:lang w:val="en-GB"/>
        </w:rPr>
        <w:t>Prezenţa oxigenului în mediul acvatic depinde de schimburile cu atmosfera și de producerea acestuia de către organismele fotosintetice. </w:t>
      </w:r>
      <w:r w:rsidRPr="004B269B">
        <w:rPr>
          <w:rFonts w:ascii="Arial" w:eastAsia="SimSun" w:hAnsi="Arial" w:cs="Arial"/>
          <w:i/>
          <w:iCs/>
          <w:sz w:val="24"/>
          <w:szCs w:val="24"/>
          <w:lang w:val="ro-RO"/>
        </w:rPr>
        <w:t xml:space="preserve"> </w:t>
      </w:r>
    </w:p>
    <w:p w:rsidR="004B269B" w:rsidRPr="004B269B" w:rsidRDefault="004B269B" w:rsidP="004B269B">
      <w:pPr>
        <w:spacing w:after="0" w:line="240" w:lineRule="auto"/>
        <w:jc w:val="both"/>
        <w:rPr>
          <w:rFonts w:ascii="Arial" w:eastAsia="Times New Roman" w:hAnsi="Arial" w:cs="Arial"/>
          <w:sz w:val="24"/>
          <w:szCs w:val="24"/>
          <w:lang w:val="ro-RO"/>
        </w:rPr>
      </w:pPr>
    </w:p>
    <w:p w:rsidR="004B269B" w:rsidRPr="004B269B" w:rsidRDefault="004B269B" w:rsidP="004B269B">
      <w:pPr>
        <w:spacing w:after="0" w:line="240" w:lineRule="auto"/>
        <w:jc w:val="both"/>
        <w:rPr>
          <w:rFonts w:ascii="Arial" w:eastAsia="Times New Roman" w:hAnsi="Arial" w:cs="Arial"/>
          <w:sz w:val="24"/>
          <w:szCs w:val="24"/>
          <w:lang w:val="ro-RO"/>
        </w:rPr>
      </w:pPr>
      <w:r w:rsidRPr="004B269B">
        <w:rPr>
          <w:rFonts w:ascii="Arial" w:eastAsia="Times New Roman" w:hAnsi="Arial" w:cs="Arial"/>
          <w:sz w:val="24"/>
          <w:szCs w:val="24"/>
          <w:lang w:val="ro-RO"/>
        </w:rPr>
        <w:t xml:space="preserve">* Pentru anul 2015, date şi informaţii despre tendinţele concentraţiilor de </w:t>
      </w:r>
      <w:r w:rsidRPr="004B269B">
        <w:rPr>
          <w:rFonts w:ascii="Arial" w:eastAsia="SimSun" w:hAnsi="Arial" w:cs="Arial"/>
          <w:sz w:val="24"/>
          <w:szCs w:val="24"/>
          <w:lang w:val="en-GB"/>
        </w:rPr>
        <w:t>CBO5</w:t>
      </w:r>
      <w:r w:rsidRPr="004B269B">
        <w:rPr>
          <w:rFonts w:ascii="Arial" w:eastAsia="Times New Roman" w:hAnsi="Arial" w:cs="Arial"/>
          <w:sz w:val="24"/>
          <w:szCs w:val="24"/>
          <w:lang w:val="ro-RO"/>
        </w:rPr>
        <w:t xml:space="preserve"> şi de </w:t>
      </w:r>
      <w:r w:rsidRPr="004B269B">
        <w:rPr>
          <w:rFonts w:ascii="Arial" w:eastAsia="SimSun" w:hAnsi="Arial" w:cs="Arial"/>
          <w:sz w:val="24"/>
          <w:szCs w:val="24"/>
          <w:lang w:val="en-GB"/>
        </w:rPr>
        <w:t>NH4+</w:t>
      </w:r>
      <w:r w:rsidRPr="004B269B">
        <w:rPr>
          <w:rFonts w:ascii="Arial" w:eastAsia="Times New Roman" w:hAnsi="Arial" w:cs="Arial"/>
          <w:sz w:val="24"/>
          <w:szCs w:val="24"/>
          <w:lang w:val="ro-RO"/>
        </w:rPr>
        <w:t xml:space="preserve"> în corpurile de apă monitorizate la nivelul bazinelor hidrografice Prut şi Bârlad nu au fost puse la dispoziţia APM Vaslui.</w:t>
      </w:r>
    </w:p>
    <w:p w:rsidR="004B269B" w:rsidRPr="004B269B" w:rsidRDefault="004B269B" w:rsidP="004B269B">
      <w:pPr>
        <w:spacing w:after="0" w:line="240" w:lineRule="auto"/>
        <w:ind w:firstLine="720"/>
        <w:jc w:val="both"/>
        <w:rPr>
          <w:rFonts w:ascii="Arial" w:eastAsia="SimSun" w:hAnsi="Arial" w:cs="Arial"/>
          <w:i/>
          <w:iCs/>
          <w:sz w:val="24"/>
          <w:szCs w:val="24"/>
          <w:lang w:val="ro-RO"/>
        </w:rPr>
      </w:pPr>
    </w:p>
    <w:p w:rsidR="004B269B" w:rsidRPr="004B269B" w:rsidRDefault="004B269B" w:rsidP="004B269B">
      <w:pPr>
        <w:spacing w:after="0" w:line="240" w:lineRule="auto"/>
        <w:rPr>
          <w:rFonts w:ascii="Arial" w:eastAsia="SimSun" w:hAnsi="Arial" w:cs="Arial"/>
          <w:sz w:val="24"/>
          <w:szCs w:val="24"/>
          <w:lang w:val="en-GB"/>
        </w:rPr>
      </w:pPr>
      <w:r w:rsidRPr="004B269B">
        <w:rPr>
          <w:rFonts w:ascii="Arial" w:eastAsia="SimSun" w:hAnsi="Arial" w:cs="Arial"/>
          <w:bCs/>
          <w:sz w:val="24"/>
          <w:szCs w:val="24"/>
          <w:lang w:val="en-GB"/>
        </w:rPr>
        <w:t xml:space="preserve">Figura </w:t>
      </w:r>
      <w:r w:rsidRPr="004B269B">
        <w:rPr>
          <w:rFonts w:ascii="Arial" w:eastAsia="SimSun" w:hAnsi="Arial" w:cs="Arial"/>
          <w:sz w:val="24"/>
          <w:szCs w:val="24"/>
          <w:lang w:val="ro-RO"/>
        </w:rPr>
        <w:t>II</w:t>
      </w:r>
      <w:r w:rsidRPr="004B269B">
        <w:rPr>
          <w:rFonts w:ascii="Arial" w:eastAsia="SimSun" w:hAnsi="Arial" w:cs="Arial"/>
          <w:bCs/>
          <w:sz w:val="24"/>
          <w:szCs w:val="24"/>
          <w:lang w:val="en-GB"/>
        </w:rPr>
        <w:t xml:space="preserve">.7. </w:t>
      </w:r>
      <w:r w:rsidRPr="004B269B">
        <w:rPr>
          <w:rFonts w:ascii="Arial" w:eastAsia="SimSun" w:hAnsi="Arial" w:cs="Arial"/>
          <w:sz w:val="24"/>
          <w:szCs w:val="24"/>
          <w:lang w:val="en-GB"/>
        </w:rPr>
        <w:t>Evoluția indicatorilor CBO5 şi NH4+ în cursurile de apă, din  judeţul Vaslui, în perioada anilor 2011-2015</w:t>
      </w:r>
    </w:p>
    <w:p w:rsidR="004B269B" w:rsidRPr="004B269B" w:rsidRDefault="004B269B" w:rsidP="004B269B">
      <w:pPr>
        <w:spacing w:after="0" w:line="240" w:lineRule="auto"/>
        <w:jc w:val="both"/>
        <w:rPr>
          <w:rFonts w:ascii="Arial" w:eastAsia="SimSun" w:hAnsi="Arial" w:cs="Arial"/>
          <w:sz w:val="24"/>
          <w:szCs w:val="24"/>
          <w:lang w:val="ro-RO"/>
        </w:rPr>
      </w:pPr>
      <w:r>
        <w:rPr>
          <w:rFonts w:ascii="Arial" w:eastAsia="SimSun" w:hAnsi="Arial" w:cs="Arial"/>
          <w:noProof/>
          <w:sz w:val="24"/>
          <w:szCs w:val="24"/>
        </w:rPr>
        <w:drawing>
          <wp:inline distT="0" distB="0" distL="0" distR="0">
            <wp:extent cx="6019800" cy="1485900"/>
            <wp:effectExtent l="0" t="0" r="0" b="0"/>
            <wp:docPr id="198" name="Chart 19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4B269B" w:rsidRPr="004B269B" w:rsidRDefault="004B269B" w:rsidP="004B269B">
      <w:pPr>
        <w:spacing w:after="0" w:line="240" w:lineRule="auto"/>
        <w:ind w:left="1260"/>
        <w:jc w:val="both"/>
        <w:rPr>
          <w:rFonts w:ascii="Times New Roman" w:eastAsia="SimSun" w:hAnsi="Times New Roman" w:cs="Times New Roman"/>
          <w:b/>
          <w:bCs/>
          <w:sz w:val="20"/>
          <w:szCs w:val="20"/>
          <w:lang w:val="en-GB"/>
        </w:rPr>
      </w:pPr>
    </w:p>
    <w:p w:rsidR="004B269B" w:rsidRPr="004B269B" w:rsidRDefault="004B269B" w:rsidP="004B269B">
      <w:pPr>
        <w:spacing w:after="0" w:line="240" w:lineRule="auto"/>
        <w:ind w:firstLine="720"/>
        <w:jc w:val="both"/>
        <w:rPr>
          <w:rFonts w:ascii="Arial" w:eastAsia="Times New Roman" w:hAnsi="Arial" w:cs="Arial"/>
          <w:sz w:val="24"/>
          <w:szCs w:val="24"/>
          <w:lang w:val="ro-RO"/>
        </w:rPr>
      </w:pPr>
      <w:r w:rsidRPr="004B269B">
        <w:rPr>
          <w:rFonts w:ascii="Arial" w:eastAsia="Times New Roman" w:hAnsi="Arial" w:cs="Arial"/>
          <w:sz w:val="24"/>
          <w:szCs w:val="24"/>
        </w:rPr>
        <w:lastRenderedPageBreak/>
        <w:t>Intrările mari de azot şi fosfor din zonele urbane, industriale şi zonele agricole în corpurile de apă subterane şi de suprafaţă pot duce la eutrofizare. Acest lucru provoacă schimbări ecologice care pot duce la deteriorarea stării ecologice, la dispariţia unor specii de plante şi animale şi au un impact negativ asupra utilizării ulterioare a apei (potabilizare, îmbăiere, etc.).</w:t>
      </w:r>
    </w:p>
    <w:p w:rsidR="004B269B" w:rsidRPr="004B269B" w:rsidRDefault="004B269B" w:rsidP="005D1AAE">
      <w:pPr>
        <w:autoSpaceDE w:val="0"/>
        <w:autoSpaceDN w:val="0"/>
        <w:adjustRightInd w:val="0"/>
        <w:spacing w:after="0" w:line="240" w:lineRule="auto"/>
        <w:ind w:firstLine="720"/>
        <w:jc w:val="both"/>
        <w:rPr>
          <w:rFonts w:ascii="Arial" w:eastAsia="Times New Roman" w:hAnsi="Arial" w:cs="Arial"/>
          <w:sz w:val="24"/>
          <w:szCs w:val="24"/>
        </w:rPr>
      </w:pPr>
      <w:r w:rsidRPr="004B269B">
        <w:rPr>
          <w:rFonts w:ascii="Arial" w:eastAsia="Times New Roman" w:hAnsi="Arial" w:cs="Arial"/>
          <w:sz w:val="24"/>
          <w:szCs w:val="24"/>
        </w:rPr>
        <w:t>Indicatorul numit generic “</w:t>
      </w:r>
      <w:r w:rsidRPr="004B269B">
        <w:rPr>
          <w:rFonts w:ascii="Arial" w:eastAsia="Times New Roman" w:hAnsi="Arial" w:cs="Arial"/>
          <w:i/>
          <w:iCs/>
          <w:sz w:val="24"/>
          <w:szCs w:val="24"/>
        </w:rPr>
        <w:t>nutrienţi în apă</w:t>
      </w:r>
      <w:r w:rsidRPr="004B269B">
        <w:rPr>
          <w:rFonts w:ascii="Arial" w:eastAsia="Times New Roman" w:hAnsi="Arial" w:cs="Arial"/>
          <w:sz w:val="24"/>
          <w:szCs w:val="24"/>
        </w:rPr>
        <w:t>” este un indicator global al poluării cu substanţe nutritive a corpurilor de apă. Astfel, indicatorul cuantifică ortofosfaţii solubili şi azotaţii prezenţi în râuri, fosforul total prezent în lacuri şi azotaţii prezenţi în apele subterane.</w:t>
      </w:r>
    </w:p>
    <w:p w:rsidR="004B269B" w:rsidRPr="004B269B" w:rsidRDefault="004B269B" w:rsidP="005D1AAE">
      <w:pPr>
        <w:autoSpaceDE w:val="0"/>
        <w:autoSpaceDN w:val="0"/>
        <w:adjustRightInd w:val="0"/>
        <w:spacing w:after="0" w:line="240" w:lineRule="auto"/>
        <w:ind w:firstLine="720"/>
        <w:jc w:val="both"/>
        <w:rPr>
          <w:rFonts w:ascii="Arial" w:eastAsia="Times New Roman" w:hAnsi="Arial" w:cs="Arial"/>
          <w:sz w:val="24"/>
          <w:szCs w:val="24"/>
        </w:rPr>
      </w:pPr>
      <w:r w:rsidRPr="004B269B">
        <w:rPr>
          <w:rFonts w:ascii="Arial" w:eastAsia="Times New Roman" w:hAnsi="Arial" w:cs="Arial"/>
          <w:sz w:val="24"/>
          <w:szCs w:val="24"/>
        </w:rPr>
        <w:t>Excesul de nutrienţi, indiferent de sursa din care provin, ajunge prin spălare sau infiltraţie în corpurile de apă (ape subterane, râuri, lacuri, etc.</w:t>
      </w:r>
      <w:r w:rsidR="005D1AAE">
        <w:rPr>
          <w:rFonts w:ascii="Arial" w:eastAsia="Times New Roman" w:hAnsi="Arial" w:cs="Arial"/>
          <w:sz w:val="24"/>
          <w:szCs w:val="24"/>
        </w:rPr>
        <w:t>). În mod natural nitraţii (NO3</w:t>
      </w:r>
      <w:r w:rsidRPr="004B269B">
        <w:rPr>
          <w:rFonts w:ascii="Arial" w:eastAsia="Times New Roman" w:hAnsi="Arial" w:cs="Arial"/>
          <w:sz w:val="24"/>
          <w:szCs w:val="24"/>
        </w:rPr>
        <w:t xml:space="preserve">) şi ortofosfaţii (PO43-) din ape provin din dejecţiile animalelor acvatice (peştilor cu precădere), din solul ce formează cuveta lacustră sau din descompunerea materiei organice specifice acviferului. Surplusul de fosfaţi şi nitraţi provine din activităţile antropice, respectiv din dejecţii umane şi din diverse surse industriale şi agricole (îngrăşăminte şi dejecţii animaliere). </w:t>
      </w:r>
    </w:p>
    <w:p w:rsidR="004B269B" w:rsidRPr="004B269B" w:rsidRDefault="004B269B" w:rsidP="005D1AAE">
      <w:pPr>
        <w:autoSpaceDE w:val="0"/>
        <w:autoSpaceDN w:val="0"/>
        <w:adjustRightInd w:val="0"/>
        <w:spacing w:after="0" w:line="240" w:lineRule="auto"/>
        <w:ind w:firstLine="720"/>
        <w:jc w:val="both"/>
        <w:rPr>
          <w:rFonts w:ascii="Arial" w:eastAsia="Times New Roman" w:hAnsi="Arial" w:cs="Arial"/>
          <w:sz w:val="24"/>
          <w:szCs w:val="24"/>
        </w:rPr>
      </w:pPr>
      <w:r w:rsidRPr="004B269B">
        <w:rPr>
          <w:rFonts w:ascii="Arial" w:eastAsia="Times New Roman" w:hAnsi="Arial" w:cs="Arial"/>
          <w:sz w:val="24"/>
          <w:szCs w:val="24"/>
        </w:rPr>
        <w:t xml:space="preserve">Prezenţa în apele uzate, în cantităţi mari, a nutrienţilor, determină contaminarea râurilor şi lacurilor care pot suferi procesul de eutrofizare sau de "înflorire". Deosebit de important este că ajunşi în apa potabilă, nitraţii se transformă în nitriţi şi provoacă sugarilor o boală letală a sângelui numită “maladia albastră”. </w:t>
      </w:r>
    </w:p>
    <w:p w:rsidR="004B269B" w:rsidRPr="004B269B" w:rsidRDefault="004B269B" w:rsidP="005D1AAE">
      <w:pPr>
        <w:autoSpaceDE w:val="0"/>
        <w:autoSpaceDN w:val="0"/>
        <w:adjustRightInd w:val="0"/>
        <w:spacing w:after="0" w:line="240" w:lineRule="auto"/>
        <w:ind w:firstLine="720"/>
        <w:jc w:val="both"/>
        <w:rPr>
          <w:rFonts w:ascii="Arial" w:eastAsia="Times New Roman" w:hAnsi="Arial" w:cs="Arial"/>
          <w:sz w:val="24"/>
          <w:szCs w:val="24"/>
        </w:rPr>
      </w:pPr>
      <w:r w:rsidRPr="004B269B">
        <w:rPr>
          <w:rFonts w:ascii="Arial" w:eastAsia="Times New Roman" w:hAnsi="Arial" w:cs="Arial"/>
          <w:i/>
          <w:iCs/>
          <w:sz w:val="24"/>
          <w:szCs w:val="24"/>
        </w:rPr>
        <w:t xml:space="preserve">Nitraţii şi ortofosfaţii </w:t>
      </w:r>
      <w:r w:rsidRPr="004B269B">
        <w:rPr>
          <w:rFonts w:ascii="Arial" w:eastAsia="Times New Roman" w:hAnsi="Arial" w:cs="Arial"/>
          <w:sz w:val="24"/>
          <w:szCs w:val="24"/>
        </w:rPr>
        <w:t xml:space="preserve">se monitorizează în apele de suprafaţă, atât în râuri cât şi în lacuri, şi sunt indicatori ce contribuie la evaluarea stării ecologice/potenţialului ecologic al corpurilor de apă de suprafaţă. </w:t>
      </w:r>
    </w:p>
    <w:p w:rsidR="004B269B" w:rsidRPr="004B269B" w:rsidRDefault="004B269B" w:rsidP="004B269B">
      <w:pPr>
        <w:spacing w:after="0" w:line="240" w:lineRule="auto"/>
        <w:jc w:val="both"/>
        <w:rPr>
          <w:rFonts w:ascii="Arial" w:eastAsia="Times New Roman" w:hAnsi="Arial" w:cs="Arial"/>
          <w:sz w:val="24"/>
          <w:szCs w:val="24"/>
          <w:lang w:val="ro-RO"/>
        </w:rPr>
      </w:pPr>
    </w:p>
    <w:p w:rsidR="004B269B" w:rsidRPr="004B269B" w:rsidRDefault="004B269B" w:rsidP="004B269B">
      <w:pPr>
        <w:spacing w:after="0" w:line="240" w:lineRule="auto"/>
        <w:jc w:val="both"/>
        <w:rPr>
          <w:rFonts w:ascii="Arial" w:eastAsia="Times New Roman" w:hAnsi="Arial" w:cs="Arial"/>
          <w:sz w:val="24"/>
          <w:szCs w:val="24"/>
          <w:lang w:val="ro-RO"/>
        </w:rPr>
      </w:pPr>
      <w:r w:rsidRPr="004B269B">
        <w:rPr>
          <w:rFonts w:ascii="Arial" w:eastAsia="Times New Roman" w:hAnsi="Arial" w:cs="Arial"/>
          <w:sz w:val="24"/>
          <w:szCs w:val="24"/>
          <w:lang w:val="ro-RO"/>
        </w:rPr>
        <w:t xml:space="preserve">* Date şi informaţii despre tendinţele concentraţiilor de </w:t>
      </w:r>
      <w:r w:rsidRPr="004B269B">
        <w:rPr>
          <w:rFonts w:ascii="Arial" w:eastAsia="SimSun" w:hAnsi="Arial" w:cs="Arial"/>
          <w:sz w:val="24"/>
          <w:szCs w:val="24"/>
          <w:lang w:val="en-GB"/>
        </w:rPr>
        <w:t>NO3</w:t>
      </w:r>
      <w:r w:rsidRPr="004B269B">
        <w:rPr>
          <w:rFonts w:ascii="Arial" w:eastAsia="SimSun" w:hAnsi="Arial" w:cs="Arial"/>
          <w:sz w:val="24"/>
          <w:szCs w:val="24"/>
          <w:vertAlign w:val="superscript"/>
          <w:lang w:val="en-GB"/>
        </w:rPr>
        <w:t>-</w:t>
      </w:r>
      <w:r w:rsidRPr="004B269B">
        <w:rPr>
          <w:rFonts w:ascii="Arial" w:eastAsia="Times New Roman" w:hAnsi="Arial" w:cs="Arial"/>
          <w:sz w:val="24"/>
          <w:szCs w:val="24"/>
          <w:lang w:val="ro-RO"/>
        </w:rPr>
        <w:t xml:space="preserve"> şi de </w:t>
      </w:r>
      <w:r w:rsidRPr="004B269B">
        <w:rPr>
          <w:rFonts w:ascii="Arial" w:eastAsia="SimSun" w:hAnsi="Arial" w:cs="Arial"/>
          <w:sz w:val="24"/>
          <w:szCs w:val="24"/>
          <w:lang w:val="en-GB"/>
        </w:rPr>
        <w:t>PO4</w:t>
      </w:r>
      <w:r w:rsidRPr="004B269B">
        <w:rPr>
          <w:rFonts w:ascii="Arial" w:eastAsia="SimSun" w:hAnsi="Arial" w:cs="Arial"/>
          <w:sz w:val="24"/>
          <w:szCs w:val="24"/>
          <w:vertAlign w:val="superscript"/>
          <w:lang w:val="en-GB"/>
        </w:rPr>
        <w:t>3-</w:t>
      </w:r>
      <w:r w:rsidRPr="004B269B">
        <w:rPr>
          <w:rFonts w:ascii="Arial" w:eastAsia="Times New Roman" w:hAnsi="Arial" w:cs="Arial"/>
          <w:sz w:val="24"/>
          <w:szCs w:val="24"/>
          <w:lang w:val="ro-RO"/>
        </w:rPr>
        <w:t xml:space="preserve"> în corpurile de apă monitorizate la nivelul bazinelor hidrografice Prut şi Bârlad nu au fost puse la dispoziţia APM Vaslui.</w:t>
      </w:r>
    </w:p>
    <w:p w:rsidR="004B269B" w:rsidRPr="004B269B" w:rsidRDefault="004B269B" w:rsidP="004B269B">
      <w:pPr>
        <w:spacing w:after="0" w:line="240" w:lineRule="auto"/>
        <w:jc w:val="both"/>
        <w:rPr>
          <w:rFonts w:ascii="Arial" w:eastAsia="SimSun" w:hAnsi="Arial" w:cs="Arial"/>
          <w:bCs/>
          <w:sz w:val="24"/>
          <w:szCs w:val="24"/>
          <w:lang w:val="en-GB"/>
        </w:rPr>
      </w:pPr>
    </w:p>
    <w:p w:rsidR="004B269B" w:rsidRPr="004B269B" w:rsidRDefault="004B269B" w:rsidP="004B269B">
      <w:pPr>
        <w:spacing w:after="0" w:line="240" w:lineRule="auto"/>
        <w:jc w:val="both"/>
        <w:rPr>
          <w:rFonts w:ascii="Arial" w:eastAsia="SimSun" w:hAnsi="Arial" w:cs="Arial"/>
          <w:sz w:val="24"/>
          <w:szCs w:val="24"/>
          <w:lang w:val="en-GB"/>
        </w:rPr>
      </w:pPr>
      <w:r w:rsidRPr="004B269B">
        <w:rPr>
          <w:rFonts w:ascii="Arial" w:eastAsia="SimSun" w:hAnsi="Arial" w:cs="Arial"/>
          <w:bCs/>
          <w:sz w:val="24"/>
          <w:szCs w:val="24"/>
          <w:lang w:val="en-GB"/>
        </w:rPr>
        <w:t xml:space="preserve">Figura </w:t>
      </w:r>
      <w:r w:rsidRPr="004B269B">
        <w:rPr>
          <w:rFonts w:ascii="Arial" w:eastAsia="SimSun" w:hAnsi="Arial" w:cs="Arial"/>
          <w:sz w:val="24"/>
          <w:szCs w:val="24"/>
          <w:lang w:val="ro-RO"/>
        </w:rPr>
        <w:t>II</w:t>
      </w:r>
      <w:r w:rsidRPr="004B269B">
        <w:rPr>
          <w:rFonts w:ascii="Arial" w:eastAsia="SimSun" w:hAnsi="Arial" w:cs="Arial"/>
          <w:bCs/>
          <w:sz w:val="24"/>
          <w:szCs w:val="24"/>
          <w:lang w:val="en-GB"/>
        </w:rPr>
        <w:t xml:space="preserve">. 8. </w:t>
      </w:r>
      <w:r w:rsidRPr="004B269B">
        <w:rPr>
          <w:rFonts w:ascii="Arial" w:eastAsia="SimSun" w:hAnsi="Arial" w:cs="Arial"/>
          <w:sz w:val="24"/>
          <w:szCs w:val="24"/>
          <w:lang w:val="en-GB"/>
        </w:rPr>
        <w:t>Evoluția indicatorilor azotați şi ortofosfați solubili în cursurile de apă, la nivel judeţului Vaslui, în perioada anilor 2011-2015</w:t>
      </w:r>
    </w:p>
    <w:p w:rsidR="004B269B" w:rsidRPr="004B269B" w:rsidRDefault="004B269B" w:rsidP="004B269B">
      <w:pPr>
        <w:spacing w:after="0" w:line="240" w:lineRule="auto"/>
        <w:jc w:val="both"/>
        <w:rPr>
          <w:rFonts w:ascii="Times New Roman" w:eastAsia="SimSun" w:hAnsi="Times New Roman" w:cs="Times New Roman"/>
          <w:sz w:val="16"/>
          <w:szCs w:val="16"/>
          <w:lang w:val="en-GB"/>
        </w:rPr>
      </w:pPr>
      <w:r>
        <w:rPr>
          <w:rFonts w:ascii="Times New Roman" w:eastAsia="SimSun" w:hAnsi="Times New Roman" w:cs="Times New Roman"/>
          <w:b/>
          <w:bCs/>
          <w:noProof/>
          <w:sz w:val="20"/>
          <w:szCs w:val="20"/>
        </w:rPr>
        <w:drawing>
          <wp:inline distT="0" distB="0" distL="0" distR="0">
            <wp:extent cx="6286500" cy="2247900"/>
            <wp:effectExtent l="0" t="0" r="0" b="0"/>
            <wp:docPr id="197" name="Chart 19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4B269B" w:rsidRPr="004B269B" w:rsidRDefault="004B269B" w:rsidP="004B269B">
      <w:pPr>
        <w:spacing w:after="0" w:line="240" w:lineRule="auto"/>
        <w:ind w:firstLine="720"/>
        <w:jc w:val="both"/>
        <w:rPr>
          <w:rFonts w:ascii="Arial" w:eastAsia="SimSun" w:hAnsi="Arial" w:cs="Arial"/>
          <w:sz w:val="24"/>
          <w:szCs w:val="24"/>
          <w:lang w:val="en-GB"/>
        </w:rPr>
      </w:pPr>
    </w:p>
    <w:p w:rsidR="004B269B" w:rsidRPr="004B269B" w:rsidRDefault="004B269B" w:rsidP="004B269B">
      <w:pPr>
        <w:spacing w:after="0" w:line="240" w:lineRule="auto"/>
        <w:ind w:firstLine="720"/>
        <w:jc w:val="both"/>
        <w:rPr>
          <w:rFonts w:ascii="Arial" w:eastAsia="SimSun" w:hAnsi="Arial" w:cs="Arial"/>
          <w:sz w:val="24"/>
          <w:szCs w:val="24"/>
          <w:lang w:val="en-GB"/>
        </w:rPr>
      </w:pPr>
      <w:r w:rsidRPr="004B269B">
        <w:rPr>
          <w:rFonts w:ascii="Arial" w:eastAsia="SimSun" w:hAnsi="Arial" w:cs="Arial"/>
          <w:sz w:val="24"/>
          <w:szCs w:val="24"/>
          <w:lang w:val="en-GB"/>
        </w:rPr>
        <w:t xml:space="preserve">Conform prevederilor din Directiva Cadru a Apei (60/200/UE) şi ale Directivei 2008/105/UE, evaluarea stării chimice la substanţele periculoase şi prioritar periculoase, atât sintetice (organice) cât şi nesintetice (metale), pentru apele de suprafaţă, corpuri </w:t>
      </w:r>
      <w:r w:rsidRPr="004B269B">
        <w:rPr>
          <w:rFonts w:ascii="Arial" w:eastAsia="SimSun" w:hAnsi="Arial" w:cs="Arial"/>
          <w:sz w:val="24"/>
          <w:szCs w:val="24"/>
          <w:lang w:val="en-GB"/>
        </w:rPr>
        <w:lastRenderedPageBreak/>
        <w:t>naturale şi cele modificate din punct de vedere hidromorfologic, s-a procedat după cum urmează:</w:t>
      </w:r>
    </w:p>
    <w:p w:rsidR="004B269B" w:rsidRPr="004B269B" w:rsidRDefault="004B269B" w:rsidP="004B269B">
      <w:pPr>
        <w:spacing w:after="0" w:line="240" w:lineRule="auto"/>
        <w:jc w:val="both"/>
        <w:rPr>
          <w:rFonts w:ascii="Arial" w:eastAsia="SimSun" w:hAnsi="Arial" w:cs="Arial"/>
          <w:sz w:val="24"/>
          <w:szCs w:val="24"/>
          <w:lang w:val="en-GB"/>
        </w:rPr>
      </w:pPr>
      <w:r w:rsidRPr="004B269B">
        <w:rPr>
          <w:rFonts w:ascii="Arial" w:eastAsia="SimSun" w:hAnsi="Arial" w:cs="Arial"/>
          <w:sz w:val="24"/>
          <w:szCs w:val="24"/>
          <w:lang w:val="en-GB"/>
        </w:rPr>
        <w:t>- pentru substanţele nesintetice (metale) raportările se referă la concentraţia fracţiunii dizolvate în coloana de apă;</w:t>
      </w:r>
    </w:p>
    <w:p w:rsidR="004B269B" w:rsidRPr="004B269B" w:rsidRDefault="004B269B" w:rsidP="004B269B">
      <w:pPr>
        <w:spacing w:after="0" w:line="240" w:lineRule="auto"/>
        <w:jc w:val="both"/>
        <w:rPr>
          <w:rFonts w:ascii="Arial" w:eastAsia="SimSun" w:hAnsi="Arial" w:cs="Arial"/>
          <w:sz w:val="24"/>
          <w:szCs w:val="24"/>
          <w:lang w:val="en-GB"/>
        </w:rPr>
      </w:pPr>
      <w:r w:rsidRPr="004B269B">
        <w:rPr>
          <w:rFonts w:ascii="Arial" w:eastAsia="SimSun" w:hAnsi="Arial" w:cs="Arial"/>
          <w:sz w:val="24"/>
          <w:szCs w:val="24"/>
          <w:lang w:val="en-GB"/>
        </w:rPr>
        <w:t xml:space="preserve">- pentru substanţele sintetice  (organice) raportările se referă la concentraţia totală în coloana de apă. </w:t>
      </w:r>
    </w:p>
    <w:p w:rsidR="004B269B" w:rsidRPr="004B269B" w:rsidRDefault="004B269B" w:rsidP="004B269B">
      <w:pPr>
        <w:spacing w:after="0" w:line="240" w:lineRule="auto"/>
        <w:ind w:firstLine="720"/>
        <w:jc w:val="both"/>
        <w:rPr>
          <w:rFonts w:ascii="Arial" w:eastAsia="SimSun" w:hAnsi="Arial" w:cs="Arial"/>
          <w:sz w:val="24"/>
          <w:szCs w:val="24"/>
          <w:lang w:val="it-IT"/>
        </w:rPr>
      </w:pPr>
      <w:r w:rsidRPr="004B269B">
        <w:rPr>
          <w:rFonts w:ascii="Arial" w:eastAsia="SimSun" w:hAnsi="Arial" w:cs="Arial"/>
          <w:sz w:val="24"/>
          <w:szCs w:val="24"/>
          <w:lang w:val="en-GB"/>
        </w:rPr>
        <w:t xml:space="preserve">În cazul stării chimice, clasificarea se face astfel: stare chimică bună, stare chimică proastă. </w:t>
      </w:r>
      <w:r w:rsidRPr="004B269B">
        <w:rPr>
          <w:rFonts w:ascii="Arial" w:eastAsia="SimSun" w:hAnsi="Arial" w:cs="Arial"/>
          <w:sz w:val="24"/>
          <w:szCs w:val="24"/>
          <w:lang w:val="it-IT"/>
        </w:rPr>
        <w:t xml:space="preserve">La evaluarea stării chimice s-a avut în vedere conformarea cu valorile standard de calitate pentru mediu, pentru substanţele prioritare. </w:t>
      </w:r>
      <w:r w:rsidRPr="004B269B">
        <w:rPr>
          <w:rFonts w:ascii="Arial" w:eastAsia="SimSun" w:hAnsi="Arial" w:cs="Arial"/>
          <w:sz w:val="24"/>
          <w:szCs w:val="24"/>
          <w:lang w:val="ro-RO"/>
        </w:rPr>
        <w:t xml:space="preserve">Monitorizarea </w:t>
      </w:r>
      <w:r w:rsidRPr="004B269B">
        <w:rPr>
          <w:rFonts w:ascii="Arial" w:eastAsia="SimSun" w:hAnsi="Arial" w:cs="Arial"/>
          <w:sz w:val="24"/>
          <w:szCs w:val="24"/>
          <w:lang w:val="it-IT"/>
        </w:rPr>
        <w:t>substanţelor periculoase şi prioritar periculoase, s-a efectuat doar pe corpurile unde aceste substanţe au fost identificate în urma screeningului.</w:t>
      </w:r>
    </w:p>
    <w:p w:rsidR="004B269B" w:rsidRPr="004B269B" w:rsidRDefault="004B269B" w:rsidP="004B269B">
      <w:pPr>
        <w:spacing w:after="0" w:line="240" w:lineRule="auto"/>
        <w:jc w:val="both"/>
        <w:rPr>
          <w:rFonts w:ascii="Arial" w:eastAsia="SimSun" w:hAnsi="Arial" w:cs="Arial"/>
          <w:sz w:val="24"/>
          <w:szCs w:val="24"/>
          <w:lang w:val="en-GB"/>
        </w:rPr>
      </w:pPr>
    </w:p>
    <w:p w:rsidR="004B269B" w:rsidRPr="004B269B" w:rsidRDefault="004B269B" w:rsidP="004B269B">
      <w:pPr>
        <w:spacing w:after="0" w:line="240" w:lineRule="auto"/>
        <w:jc w:val="both"/>
        <w:rPr>
          <w:rFonts w:ascii="Arial" w:eastAsia="SimSun" w:hAnsi="Arial" w:cs="Arial"/>
          <w:bCs/>
          <w:iCs/>
          <w:sz w:val="24"/>
          <w:szCs w:val="24"/>
          <w:lang w:val="en-GB"/>
        </w:rPr>
      </w:pPr>
      <w:r w:rsidRPr="004B269B">
        <w:rPr>
          <w:rFonts w:ascii="Arial" w:eastAsia="SimSun" w:hAnsi="Arial" w:cs="Arial"/>
          <w:bCs/>
          <w:iCs/>
          <w:sz w:val="24"/>
          <w:szCs w:val="24"/>
          <w:lang w:val="en-GB"/>
        </w:rPr>
        <w:t>II.2.1.2. Calitatea apei lacurilor</w:t>
      </w:r>
    </w:p>
    <w:p w:rsidR="004B269B" w:rsidRPr="004B269B" w:rsidRDefault="004B269B" w:rsidP="004B269B">
      <w:pPr>
        <w:spacing w:after="0" w:line="240" w:lineRule="auto"/>
        <w:jc w:val="both"/>
        <w:rPr>
          <w:rFonts w:ascii="Arial" w:eastAsia="SimSun" w:hAnsi="Arial" w:cs="Arial"/>
          <w:b/>
          <w:bCs/>
          <w:iCs/>
          <w:sz w:val="24"/>
          <w:szCs w:val="24"/>
          <w:lang w:val="en-GB"/>
        </w:rPr>
      </w:pPr>
    </w:p>
    <w:p w:rsidR="004B269B" w:rsidRPr="004B269B" w:rsidRDefault="004B269B" w:rsidP="004B269B">
      <w:pPr>
        <w:autoSpaceDE w:val="0"/>
        <w:autoSpaceDN w:val="0"/>
        <w:adjustRightInd w:val="0"/>
        <w:spacing w:after="0" w:line="240" w:lineRule="auto"/>
        <w:ind w:firstLine="708"/>
        <w:jc w:val="both"/>
        <w:rPr>
          <w:rFonts w:ascii="Arial" w:eastAsia="SimSun" w:hAnsi="Arial" w:cs="Arial"/>
          <w:sz w:val="24"/>
          <w:szCs w:val="24"/>
          <w:lang w:val="ro-RO"/>
        </w:rPr>
      </w:pPr>
      <w:r w:rsidRPr="004B269B">
        <w:rPr>
          <w:rFonts w:ascii="Arial" w:eastAsia="SimSun" w:hAnsi="Arial" w:cs="Arial"/>
          <w:sz w:val="24"/>
          <w:szCs w:val="24"/>
          <w:lang w:val="ro-RO" w:eastAsia="ro-RO"/>
        </w:rPr>
        <w:t>Lacurile de acumulare la nivelul judeţului Vaslui au rol de reţinere şi valorificare a apei în scopul alimentarii cu apă, atenuării undelor de viitură, piscicultură.</w:t>
      </w:r>
      <w:r w:rsidRPr="004B269B">
        <w:rPr>
          <w:rFonts w:ascii="Arial" w:eastAsia="SimSun" w:hAnsi="Arial" w:cs="Arial"/>
          <w:b/>
          <w:sz w:val="24"/>
          <w:szCs w:val="24"/>
          <w:lang w:val="ro-RO"/>
        </w:rPr>
        <w:t xml:space="preserve"> </w:t>
      </w:r>
      <w:r w:rsidRPr="004B269B">
        <w:rPr>
          <w:rFonts w:ascii="Arial" w:eastAsia="SimSun" w:hAnsi="Arial" w:cs="Arial"/>
          <w:sz w:val="24"/>
          <w:szCs w:val="24"/>
          <w:lang w:val="ro-RO"/>
        </w:rPr>
        <w:t xml:space="preserve">Starea chimică a apelor se stabileşte în raport cu concentraţiile substanţelor periculoase şi prioritare/prioritare periculoase: fracţia dizolvată a metalelor grele şi micropoluanţii organici. Evaluarea stării chimice s-a realizat conform prevederilor </w:t>
      </w:r>
      <w:r w:rsidRPr="004B269B">
        <w:rPr>
          <w:rFonts w:ascii="Arial" w:eastAsia="SimSun" w:hAnsi="Arial" w:cs="Arial"/>
          <w:i/>
          <w:iCs/>
          <w:sz w:val="24"/>
          <w:szCs w:val="24"/>
          <w:lang w:val="ro-RO"/>
        </w:rPr>
        <w:t xml:space="preserve">Ordinului nr.161/2006 </w:t>
      </w:r>
      <w:r w:rsidRPr="004B269B">
        <w:rPr>
          <w:rFonts w:ascii="Arial" w:eastAsia="SimSun" w:hAnsi="Arial" w:cs="Arial"/>
          <w:sz w:val="24"/>
          <w:szCs w:val="24"/>
          <w:lang w:val="ro-RO"/>
        </w:rPr>
        <w:t>pe baza valorii stabilite prin standardul de calitate pentru caracterizarea stării chimice.</w:t>
      </w:r>
    </w:p>
    <w:p w:rsidR="004B269B" w:rsidRPr="004B269B" w:rsidRDefault="004B269B" w:rsidP="004B269B">
      <w:pPr>
        <w:autoSpaceDE w:val="0"/>
        <w:autoSpaceDN w:val="0"/>
        <w:adjustRightInd w:val="0"/>
        <w:spacing w:after="0" w:line="240" w:lineRule="auto"/>
        <w:ind w:firstLine="708"/>
        <w:jc w:val="both"/>
        <w:rPr>
          <w:rFonts w:ascii="Arial" w:eastAsia="SimSun" w:hAnsi="Arial" w:cs="Arial"/>
          <w:sz w:val="24"/>
          <w:szCs w:val="24"/>
          <w:lang w:val="ro-RO"/>
        </w:rPr>
      </w:pPr>
    </w:p>
    <w:p w:rsidR="004B269B" w:rsidRPr="004B269B" w:rsidRDefault="004B269B" w:rsidP="004B269B">
      <w:pPr>
        <w:spacing w:after="0" w:line="240" w:lineRule="auto"/>
        <w:jc w:val="both"/>
        <w:rPr>
          <w:rFonts w:ascii="Arial" w:eastAsia="Times New Roman" w:hAnsi="Arial" w:cs="Arial"/>
          <w:sz w:val="24"/>
          <w:szCs w:val="24"/>
          <w:lang w:val="ro-RO"/>
        </w:rPr>
      </w:pPr>
      <w:r w:rsidRPr="004B269B">
        <w:rPr>
          <w:rFonts w:ascii="Arial" w:eastAsia="Times New Roman" w:hAnsi="Arial" w:cs="Arial"/>
          <w:sz w:val="24"/>
          <w:szCs w:val="24"/>
          <w:lang w:val="ro-RO"/>
        </w:rPr>
        <w:t xml:space="preserve">* Date şi informaţii despre tendinţele concentraţiilor de </w:t>
      </w:r>
      <w:r w:rsidRPr="004B269B">
        <w:rPr>
          <w:rFonts w:ascii="Arial" w:eastAsia="SimSun" w:hAnsi="Arial" w:cs="Arial"/>
          <w:sz w:val="24"/>
          <w:szCs w:val="24"/>
          <w:lang w:val="en-GB"/>
        </w:rPr>
        <w:t>PT</w:t>
      </w:r>
      <w:r w:rsidRPr="004B269B">
        <w:rPr>
          <w:rFonts w:ascii="Arial" w:eastAsia="Times New Roman" w:hAnsi="Arial" w:cs="Arial"/>
          <w:sz w:val="24"/>
          <w:szCs w:val="24"/>
          <w:lang w:val="ro-RO"/>
        </w:rPr>
        <w:t xml:space="preserve"> şi de </w:t>
      </w:r>
      <w:r w:rsidRPr="004B269B">
        <w:rPr>
          <w:rFonts w:ascii="Arial" w:eastAsia="SimSun" w:hAnsi="Arial" w:cs="Arial"/>
          <w:sz w:val="24"/>
          <w:szCs w:val="24"/>
          <w:lang w:val="en-GB"/>
        </w:rPr>
        <w:t>NO3</w:t>
      </w:r>
      <w:r w:rsidRPr="004B269B">
        <w:rPr>
          <w:rFonts w:ascii="Arial" w:eastAsia="SimSun" w:hAnsi="Arial" w:cs="Arial"/>
          <w:sz w:val="24"/>
          <w:szCs w:val="24"/>
          <w:vertAlign w:val="superscript"/>
          <w:lang w:val="en-GB"/>
        </w:rPr>
        <w:t>-</w:t>
      </w:r>
      <w:r w:rsidRPr="004B269B">
        <w:rPr>
          <w:rFonts w:ascii="Arial" w:eastAsia="Times New Roman" w:hAnsi="Arial" w:cs="Arial"/>
          <w:sz w:val="24"/>
          <w:szCs w:val="24"/>
          <w:lang w:val="ro-RO"/>
        </w:rPr>
        <w:t xml:space="preserve"> determinate în lacurile  monitorizate la nivelul bazinelor hidrografice Prut şi Bârlad nu au fost puse la dispoziţia APM Vaslui, pentru anul 2015.</w:t>
      </w:r>
    </w:p>
    <w:p w:rsidR="004B269B" w:rsidRPr="004B269B" w:rsidRDefault="004B269B" w:rsidP="004B269B">
      <w:pPr>
        <w:spacing w:after="0" w:line="240" w:lineRule="auto"/>
        <w:jc w:val="both"/>
        <w:rPr>
          <w:rFonts w:ascii="Arial" w:eastAsia="SimSun" w:hAnsi="Arial" w:cs="Arial"/>
          <w:bCs/>
          <w:sz w:val="24"/>
          <w:szCs w:val="24"/>
          <w:lang w:val="en-GB"/>
        </w:rPr>
      </w:pPr>
    </w:p>
    <w:p w:rsidR="004B269B" w:rsidRPr="004B269B" w:rsidRDefault="004B269B" w:rsidP="004B269B">
      <w:pPr>
        <w:spacing w:after="0" w:line="240" w:lineRule="auto"/>
        <w:jc w:val="both"/>
        <w:rPr>
          <w:rFonts w:ascii="Arial" w:eastAsia="SimSun" w:hAnsi="Arial" w:cs="Arial"/>
          <w:sz w:val="24"/>
          <w:szCs w:val="24"/>
          <w:lang w:val="en-GB"/>
        </w:rPr>
      </w:pPr>
      <w:r w:rsidRPr="004B269B">
        <w:rPr>
          <w:rFonts w:ascii="Arial" w:eastAsia="SimSun" w:hAnsi="Arial" w:cs="Arial"/>
          <w:bCs/>
          <w:sz w:val="24"/>
          <w:szCs w:val="24"/>
          <w:lang w:val="en-GB"/>
        </w:rPr>
        <w:t xml:space="preserve">Figura </w:t>
      </w:r>
      <w:r w:rsidRPr="004B269B">
        <w:rPr>
          <w:rFonts w:ascii="Arial" w:eastAsia="SimSun" w:hAnsi="Arial" w:cs="Arial"/>
          <w:sz w:val="24"/>
          <w:szCs w:val="24"/>
          <w:lang w:val="ro-RO"/>
        </w:rPr>
        <w:t>II</w:t>
      </w:r>
      <w:r w:rsidRPr="004B269B">
        <w:rPr>
          <w:rFonts w:ascii="Arial" w:eastAsia="SimSun" w:hAnsi="Arial" w:cs="Arial"/>
          <w:bCs/>
          <w:sz w:val="24"/>
          <w:szCs w:val="24"/>
          <w:lang w:val="en-GB"/>
        </w:rPr>
        <w:t>.9.</w:t>
      </w:r>
      <w:r w:rsidRPr="004B269B">
        <w:rPr>
          <w:rFonts w:ascii="Arial" w:eastAsia="SimSun" w:hAnsi="Arial" w:cs="Arial"/>
          <w:b/>
          <w:bCs/>
          <w:sz w:val="24"/>
          <w:szCs w:val="24"/>
          <w:lang w:val="en-GB"/>
        </w:rPr>
        <w:t xml:space="preserve"> </w:t>
      </w:r>
      <w:r w:rsidRPr="004B269B">
        <w:rPr>
          <w:rFonts w:ascii="Arial" w:eastAsia="SimSun" w:hAnsi="Arial" w:cs="Arial"/>
          <w:sz w:val="24"/>
          <w:szCs w:val="24"/>
          <w:lang w:val="en-GB"/>
        </w:rPr>
        <w:t xml:space="preserve"> Evoluția indicatorilor fosfor total și azotaţi în lacuri, la nivel judeţului Vaslui, în perioada anilor 2011-2015</w:t>
      </w:r>
    </w:p>
    <w:p w:rsidR="004B269B" w:rsidRPr="004B269B" w:rsidRDefault="004B269B" w:rsidP="004B269B">
      <w:pPr>
        <w:spacing w:after="0" w:line="240" w:lineRule="auto"/>
        <w:jc w:val="both"/>
        <w:rPr>
          <w:rFonts w:ascii="Arial" w:eastAsia="SimSun" w:hAnsi="Arial" w:cs="Arial"/>
          <w:sz w:val="24"/>
          <w:szCs w:val="24"/>
          <w:lang w:val="en-GB"/>
        </w:rPr>
      </w:pPr>
    </w:p>
    <w:p w:rsidR="004B269B" w:rsidRPr="004B269B" w:rsidRDefault="004B269B" w:rsidP="004B269B">
      <w:pPr>
        <w:spacing w:after="0" w:line="240" w:lineRule="auto"/>
        <w:rPr>
          <w:rFonts w:ascii="Arial" w:eastAsia="SimSun" w:hAnsi="Arial" w:cs="Arial"/>
          <w:sz w:val="24"/>
          <w:szCs w:val="24"/>
          <w:lang w:val="it-IT"/>
        </w:rPr>
      </w:pPr>
      <w:r>
        <w:rPr>
          <w:rFonts w:ascii="Arial" w:eastAsia="SimSun" w:hAnsi="Arial" w:cs="Arial"/>
          <w:noProof/>
          <w:sz w:val="24"/>
          <w:szCs w:val="24"/>
        </w:rPr>
        <w:drawing>
          <wp:inline distT="0" distB="0" distL="0" distR="0">
            <wp:extent cx="6019800" cy="3114675"/>
            <wp:effectExtent l="0" t="0" r="0" b="0"/>
            <wp:docPr id="196" name="Chart 19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4B269B" w:rsidRPr="004B269B" w:rsidRDefault="004B269B" w:rsidP="004B269B">
      <w:pPr>
        <w:spacing w:after="0" w:line="240" w:lineRule="auto"/>
        <w:jc w:val="center"/>
        <w:rPr>
          <w:rFonts w:ascii="Arial" w:eastAsia="SimSun" w:hAnsi="Arial" w:cs="Arial"/>
          <w:sz w:val="20"/>
          <w:szCs w:val="20"/>
          <w:lang w:val="ro-RO"/>
        </w:rPr>
      </w:pPr>
    </w:p>
    <w:p w:rsidR="004B269B" w:rsidRPr="004B269B" w:rsidRDefault="004B269B" w:rsidP="004B269B">
      <w:pPr>
        <w:spacing w:after="0" w:line="240" w:lineRule="auto"/>
        <w:jc w:val="both"/>
        <w:rPr>
          <w:rFonts w:ascii="Arial" w:eastAsia="SimSun" w:hAnsi="Arial" w:cs="Arial"/>
          <w:sz w:val="24"/>
          <w:szCs w:val="24"/>
          <w:lang w:val="en-GB"/>
        </w:rPr>
      </w:pPr>
      <w:r w:rsidRPr="004B269B">
        <w:rPr>
          <w:rFonts w:ascii="Arial" w:eastAsia="SimSun" w:hAnsi="Arial" w:cs="Arial"/>
          <w:bCs/>
          <w:sz w:val="24"/>
          <w:szCs w:val="24"/>
          <w:lang w:val="en-GB"/>
        </w:rPr>
        <w:lastRenderedPageBreak/>
        <w:t xml:space="preserve">Tabelul </w:t>
      </w:r>
      <w:r w:rsidRPr="004B269B">
        <w:rPr>
          <w:rFonts w:ascii="Arial" w:eastAsia="SimSun" w:hAnsi="Arial" w:cs="Arial"/>
          <w:sz w:val="24"/>
          <w:szCs w:val="24"/>
          <w:lang w:val="ro-RO"/>
        </w:rPr>
        <w:t>II</w:t>
      </w:r>
      <w:r w:rsidRPr="004B269B">
        <w:rPr>
          <w:rFonts w:ascii="Arial" w:eastAsia="SimSun" w:hAnsi="Arial" w:cs="Arial"/>
          <w:bCs/>
          <w:sz w:val="24"/>
          <w:szCs w:val="24"/>
          <w:lang w:val="en-GB"/>
        </w:rPr>
        <w:t xml:space="preserve">.8. </w:t>
      </w:r>
      <w:r w:rsidRPr="004B269B">
        <w:rPr>
          <w:rFonts w:ascii="Arial" w:eastAsia="SimSun" w:hAnsi="Arial" w:cs="Arial"/>
          <w:sz w:val="24"/>
          <w:szCs w:val="24"/>
          <w:lang w:val="en-GB"/>
        </w:rPr>
        <w:t>Tendinţe de poluare cu substanţe periculoase a lacurilor, la nivel judeţului Vaslui , în perioada 2011-2015</w:t>
      </w:r>
    </w:p>
    <w:tbl>
      <w:tblPr>
        <w:tblW w:w="1008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0"/>
        <w:gridCol w:w="676"/>
        <w:gridCol w:w="850"/>
        <w:gridCol w:w="851"/>
        <w:gridCol w:w="992"/>
        <w:gridCol w:w="709"/>
      </w:tblGrid>
      <w:tr w:rsidR="004B269B" w:rsidRPr="004B269B" w:rsidTr="00080B9C">
        <w:trPr>
          <w:trHeight w:val="369"/>
        </w:trPr>
        <w:tc>
          <w:tcPr>
            <w:tcW w:w="6010" w:type="dxa"/>
            <w:shd w:val="clear" w:color="auto" w:fill="auto"/>
            <w:hideMark/>
          </w:tcPr>
          <w:p w:rsidR="004B269B" w:rsidRPr="004B269B" w:rsidRDefault="004B269B" w:rsidP="004B269B">
            <w:pPr>
              <w:spacing w:after="0" w:line="240" w:lineRule="auto"/>
              <w:jc w:val="center"/>
              <w:rPr>
                <w:rFonts w:ascii="Arial" w:eastAsia="Times New Roman" w:hAnsi="Arial" w:cs="Arial"/>
                <w:b/>
                <w:bCs/>
                <w:sz w:val="20"/>
                <w:szCs w:val="20"/>
              </w:rPr>
            </w:pPr>
            <w:r w:rsidRPr="004B269B">
              <w:rPr>
                <w:rFonts w:ascii="Arial" w:eastAsia="Times New Roman" w:hAnsi="Arial" w:cs="Arial"/>
                <w:b/>
                <w:bCs/>
                <w:sz w:val="20"/>
                <w:szCs w:val="20"/>
              </w:rPr>
              <w:t>Anul</w:t>
            </w:r>
          </w:p>
        </w:tc>
        <w:tc>
          <w:tcPr>
            <w:tcW w:w="676" w:type="dxa"/>
            <w:shd w:val="clear" w:color="auto" w:fill="auto"/>
            <w:hideMark/>
          </w:tcPr>
          <w:p w:rsidR="004B269B" w:rsidRPr="004B269B" w:rsidRDefault="004B269B" w:rsidP="004B269B">
            <w:pPr>
              <w:spacing w:after="0" w:line="240" w:lineRule="auto"/>
              <w:jc w:val="center"/>
              <w:rPr>
                <w:rFonts w:ascii="Arial" w:eastAsia="Times New Roman" w:hAnsi="Arial" w:cs="Arial"/>
                <w:b/>
                <w:bCs/>
                <w:sz w:val="20"/>
                <w:szCs w:val="20"/>
              </w:rPr>
            </w:pPr>
            <w:r w:rsidRPr="004B269B">
              <w:rPr>
                <w:rFonts w:ascii="Arial" w:eastAsia="Times New Roman" w:hAnsi="Arial" w:cs="Arial"/>
                <w:b/>
                <w:bCs/>
                <w:sz w:val="20"/>
                <w:szCs w:val="20"/>
              </w:rPr>
              <w:t>2011</w:t>
            </w:r>
          </w:p>
        </w:tc>
        <w:tc>
          <w:tcPr>
            <w:tcW w:w="850" w:type="dxa"/>
            <w:shd w:val="clear" w:color="auto" w:fill="auto"/>
            <w:hideMark/>
          </w:tcPr>
          <w:p w:rsidR="004B269B" w:rsidRPr="004B269B" w:rsidRDefault="004B269B" w:rsidP="004B269B">
            <w:pPr>
              <w:spacing w:after="0" w:line="240" w:lineRule="auto"/>
              <w:jc w:val="center"/>
              <w:rPr>
                <w:rFonts w:ascii="Arial" w:eastAsia="Times New Roman" w:hAnsi="Arial" w:cs="Arial"/>
                <w:b/>
                <w:bCs/>
                <w:sz w:val="20"/>
                <w:szCs w:val="20"/>
              </w:rPr>
            </w:pPr>
            <w:r w:rsidRPr="004B269B">
              <w:rPr>
                <w:rFonts w:ascii="Arial" w:eastAsia="Times New Roman" w:hAnsi="Arial" w:cs="Arial"/>
                <w:b/>
                <w:bCs/>
                <w:sz w:val="20"/>
                <w:szCs w:val="20"/>
              </w:rPr>
              <w:t>2012</w:t>
            </w:r>
          </w:p>
        </w:tc>
        <w:tc>
          <w:tcPr>
            <w:tcW w:w="851" w:type="dxa"/>
            <w:shd w:val="clear" w:color="auto" w:fill="auto"/>
            <w:hideMark/>
          </w:tcPr>
          <w:p w:rsidR="004B269B" w:rsidRPr="004B269B" w:rsidRDefault="004B269B" w:rsidP="004B269B">
            <w:pPr>
              <w:spacing w:after="0" w:line="240" w:lineRule="auto"/>
              <w:jc w:val="center"/>
              <w:rPr>
                <w:rFonts w:ascii="Arial" w:eastAsia="Times New Roman" w:hAnsi="Arial" w:cs="Arial"/>
                <w:b/>
                <w:bCs/>
                <w:sz w:val="20"/>
                <w:szCs w:val="20"/>
              </w:rPr>
            </w:pPr>
            <w:r w:rsidRPr="004B269B">
              <w:rPr>
                <w:rFonts w:ascii="Arial" w:eastAsia="Times New Roman" w:hAnsi="Arial" w:cs="Arial"/>
                <w:b/>
                <w:bCs/>
                <w:sz w:val="20"/>
                <w:szCs w:val="20"/>
              </w:rPr>
              <w:t>2013</w:t>
            </w:r>
          </w:p>
        </w:tc>
        <w:tc>
          <w:tcPr>
            <w:tcW w:w="992" w:type="dxa"/>
            <w:shd w:val="clear" w:color="auto" w:fill="auto"/>
            <w:hideMark/>
          </w:tcPr>
          <w:p w:rsidR="004B269B" w:rsidRPr="004B269B" w:rsidRDefault="004B269B" w:rsidP="004B269B">
            <w:pPr>
              <w:spacing w:after="0" w:line="240" w:lineRule="auto"/>
              <w:jc w:val="center"/>
              <w:rPr>
                <w:rFonts w:ascii="Arial" w:eastAsia="Times New Roman" w:hAnsi="Arial" w:cs="Arial"/>
                <w:b/>
                <w:bCs/>
                <w:sz w:val="20"/>
                <w:szCs w:val="20"/>
              </w:rPr>
            </w:pPr>
            <w:r w:rsidRPr="004B269B">
              <w:rPr>
                <w:rFonts w:ascii="Arial" w:eastAsia="Times New Roman" w:hAnsi="Arial" w:cs="Arial"/>
                <w:b/>
                <w:bCs/>
                <w:sz w:val="20"/>
                <w:szCs w:val="20"/>
              </w:rPr>
              <w:t>2014</w:t>
            </w:r>
          </w:p>
        </w:tc>
        <w:tc>
          <w:tcPr>
            <w:tcW w:w="709" w:type="dxa"/>
            <w:shd w:val="clear" w:color="auto" w:fill="auto"/>
          </w:tcPr>
          <w:p w:rsidR="004B269B" w:rsidRPr="004B269B" w:rsidRDefault="004B269B" w:rsidP="004B269B">
            <w:pPr>
              <w:spacing w:after="0" w:line="240" w:lineRule="auto"/>
              <w:jc w:val="center"/>
              <w:rPr>
                <w:rFonts w:ascii="Arial" w:eastAsia="Times New Roman" w:hAnsi="Arial" w:cs="Arial"/>
                <w:b/>
                <w:bCs/>
                <w:sz w:val="20"/>
                <w:szCs w:val="20"/>
              </w:rPr>
            </w:pPr>
            <w:r w:rsidRPr="004B269B">
              <w:rPr>
                <w:rFonts w:ascii="Arial" w:eastAsia="Times New Roman" w:hAnsi="Arial" w:cs="Arial"/>
                <w:b/>
                <w:bCs/>
                <w:sz w:val="20"/>
                <w:szCs w:val="20"/>
              </w:rPr>
              <w:t>2015</w:t>
            </w:r>
          </w:p>
        </w:tc>
      </w:tr>
      <w:tr w:rsidR="004B269B" w:rsidRPr="004B269B" w:rsidTr="00080B9C">
        <w:trPr>
          <w:trHeight w:val="115"/>
        </w:trPr>
        <w:tc>
          <w:tcPr>
            <w:tcW w:w="10088" w:type="dxa"/>
            <w:gridSpan w:val="6"/>
            <w:shd w:val="clear" w:color="000000" w:fill="C0C0C0"/>
            <w:hideMark/>
          </w:tcPr>
          <w:p w:rsidR="004B269B" w:rsidRPr="004B269B" w:rsidRDefault="004B269B" w:rsidP="004B269B">
            <w:pPr>
              <w:spacing w:after="0" w:line="240" w:lineRule="auto"/>
              <w:jc w:val="center"/>
              <w:rPr>
                <w:rFonts w:ascii="Arial" w:eastAsia="Times New Roman" w:hAnsi="Arial" w:cs="Arial"/>
                <w:b/>
                <w:bCs/>
                <w:sz w:val="20"/>
                <w:szCs w:val="20"/>
              </w:rPr>
            </w:pPr>
            <w:r w:rsidRPr="004B269B">
              <w:rPr>
                <w:rFonts w:ascii="Arial" w:eastAsia="Times New Roman" w:hAnsi="Arial" w:cs="Arial"/>
                <w:b/>
                <w:bCs/>
                <w:sz w:val="20"/>
                <w:szCs w:val="20"/>
              </w:rPr>
              <w:t>Coloana de apă</w:t>
            </w:r>
          </w:p>
        </w:tc>
      </w:tr>
      <w:tr w:rsidR="004B269B" w:rsidRPr="004B269B" w:rsidTr="00080B9C">
        <w:trPr>
          <w:trHeight w:val="166"/>
        </w:trPr>
        <w:tc>
          <w:tcPr>
            <w:tcW w:w="6010" w:type="dxa"/>
            <w:shd w:val="clear" w:color="auto" w:fill="auto"/>
            <w:hideMark/>
          </w:tcPr>
          <w:p w:rsidR="004B269B" w:rsidRPr="004B269B" w:rsidRDefault="004B269B" w:rsidP="004B269B">
            <w:pPr>
              <w:spacing w:after="0" w:line="240" w:lineRule="auto"/>
              <w:jc w:val="center"/>
              <w:rPr>
                <w:rFonts w:ascii="Arial" w:eastAsia="Times New Roman" w:hAnsi="Arial" w:cs="Arial"/>
                <w:b/>
                <w:bCs/>
                <w:sz w:val="20"/>
                <w:szCs w:val="20"/>
              </w:rPr>
            </w:pPr>
            <w:r w:rsidRPr="004B269B">
              <w:rPr>
                <w:rFonts w:ascii="Arial" w:eastAsia="Times New Roman" w:hAnsi="Arial" w:cs="Arial"/>
                <w:b/>
                <w:bCs/>
                <w:sz w:val="20"/>
                <w:szCs w:val="20"/>
              </w:rPr>
              <w:t>Nr. substanţe periculoase monitorizate</w:t>
            </w:r>
          </w:p>
        </w:tc>
        <w:tc>
          <w:tcPr>
            <w:tcW w:w="676" w:type="dxa"/>
            <w:shd w:val="clear" w:color="auto" w:fill="auto"/>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55</w:t>
            </w:r>
          </w:p>
        </w:tc>
        <w:tc>
          <w:tcPr>
            <w:tcW w:w="850" w:type="dxa"/>
            <w:shd w:val="clear" w:color="auto" w:fill="auto"/>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59</w:t>
            </w:r>
          </w:p>
        </w:tc>
        <w:tc>
          <w:tcPr>
            <w:tcW w:w="851" w:type="dxa"/>
            <w:shd w:val="clear" w:color="auto" w:fill="auto"/>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55</w:t>
            </w:r>
          </w:p>
        </w:tc>
        <w:tc>
          <w:tcPr>
            <w:tcW w:w="992" w:type="dxa"/>
            <w:shd w:val="clear" w:color="auto" w:fill="auto"/>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48</w:t>
            </w:r>
          </w:p>
        </w:tc>
        <w:tc>
          <w:tcPr>
            <w:tcW w:w="709" w:type="dxa"/>
            <w:shd w:val="clear" w:color="auto" w:fill="auto"/>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w:t>
            </w:r>
          </w:p>
        </w:tc>
      </w:tr>
      <w:tr w:rsidR="004B269B" w:rsidRPr="004B269B" w:rsidTr="00080B9C">
        <w:trPr>
          <w:trHeight w:val="75"/>
        </w:trPr>
        <w:tc>
          <w:tcPr>
            <w:tcW w:w="6010" w:type="dxa"/>
            <w:shd w:val="clear" w:color="auto" w:fill="auto"/>
            <w:hideMark/>
          </w:tcPr>
          <w:p w:rsidR="004B269B" w:rsidRPr="004B269B" w:rsidRDefault="004B269B" w:rsidP="004B269B">
            <w:pPr>
              <w:spacing w:after="0" w:line="240" w:lineRule="auto"/>
              <w:jc w:val="center"/>
              <w:rPr>
                <w:rFonts w:ascii="Arial" w:eastAsia="Times New Roman" w:hAnsi="Arial" w:cs="Arial"/>
                <w:b/>
                <w:bCs/>
                <w:sz w:val="20"/>
                <w:szCs w:val="20"/>
              </w:rPr>
            </w:pPr>
            <w:r w:rsidRPr="004B269B">
              <w:rPr>
                <w:rFonts w:ascii="Arial" w:eastAsia="Times New Roman" w:hAnsi="Arial" w:cs="Arial"/>
                <w:b/>
                <w:bCs/>
                <w:sz w:val="20"/>
                <w:szCs w:val="20"/>
              </w:rPr>
              <w:t>Număr puncte de monitorizare</w:t>
            </w:r>
          </w:p>
        </w:tc>
        <w:tc>
          <w:tcPr>
            <w:tcW w:w="676" w:type="dxa"/>
            <w:shd w:val="clear" w:color="auto" w:fill="auto"/>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5</w:t>
            </w:r>
          </w:p>
        </w:tc>
        <w:tc>
          <w:tcPr>
            <w:tcW w:w="850" w:type="dxa"/>
            <w:shd w:val="clear" w:color="auto" w:fill="auto"/>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6</w:t>
            </w:r>
          </w:p>
        </w:tc>
        <w:tc>
          <w:tcPr>
            <w:tcW w:w="851" w:type="dxa"/>
            <w:shd w:val="clear" w:color="auto" w:fill="auto"/>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6</w:t>
            </w:r>
          </w:p>
        </w:tc>
        <w:tc>
          <w:tcPr>
            <w:tcW w:w="992" w:type="dxa"/>
            <w:shd w:val="clear" w:color="auto" w:fill="auto"/>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9</w:t>
            </w:r>
          </w:p>
        </w:tc>
        <w:tc>
          <w:tcPr>
            <w:tcW w:w="709" w:type="dxa"/>
            <w:shd w:val="clear" w:color="auto" w:fill="auto"/>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w:t>
            </w:r>
          </w:p>
        </w:tc>
      </w:tr>
      <w:tr w:rsidR="004B269B" w:rsidRPr="004B269B" w:rsidTr="00080B9C">
        <w:trPr>
          <w:trHeight w:val="296"/>
        </w:trPr>
        <w:tc>
          <w:tcPr>
            <w:tcW w:w="6010" w:type="dxa"/>
            <w:shd w:val="clear" w:color="auto" w:fill="auto"/>
            <w:hideMark/>
          </w:tcPr>
          <w:p w:rsidR="004B269B" w:rsidRPr="004B269B" w:rsidRDefault="004B269B" w:rsidP="004B269B">
            <w:pPr>
              <w:spacing w:after="0" w:line="240" w:lineRule="auto"/>
              <w:jc w:val="center"/>
              <w:rPr>
                <w:rFonts w:ascii="Arial" w:eastAsia="Times New Roman" w:hAnsi="Arial" w:cs="Arial"/>
                <w:b/>
                <w:bCs/>
                <w:sz w:val="20"/>
                <w:szCs w:val="20"/>
              </w:rPr>
            </w:pPr>
            <w:r w:rsidRPr="004B269B">
              <w:rPr>
                <w:rFonts w:ascii="Arial" w:eastAsia="Times New Roman" w:hAnsi="Arial" w:cs="Arial"/>
                <w:b/>
                <w:bCs/>
                <w:sz w:val="20"/>
                <w:szCs w:val="20"/>
              </w:rPr>
              <w:t>Ponderea punctelor cu concentraţie mai mare decât SCM (%)</w:t>
            </w:r>
          </w:p>
        </w:tc>
        <w:tc>
          <w:tcPr>
            <w:tcW w:w="676" w:type="dxa"/>
            <w:shd w:val="clear" w:color="auto" w:fill="auto"/>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40</w:t>
            </w:r>
          </w:p>
        </w:tc>
        <w:tc>
          <w:tcPr>
            <w:tcW w:w="850" w:type="dxa"/>
            <w:shd w:val="clear" w:color="auto" w:fill="auto"/>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50</w:t>
            </w:r>
          </w:p>
        </w:tc>
        <w:tc>
          <w:tcPr>
            <w:tcW w:w="851" w:type="dxa"/>
            <w:shd w:val="clear" w:color="auto" w:fill="auto"/>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100</w:t>
            </w:r>
          </w:p>
        </w:tc>
        <w:tc>
          <w:tcPr>
            <w:tcW w:w="992" w:type="dxa"/>
            <w:shd w:val="clear" w:color="auto" w:fill="auto"/>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44.44</w:t>
            </w:r>
          </w:p>
        </w:tc>
        <w:tc>
          <w:tcPr>
            <w:tcW w:w="709" w:type="dxa"/>
            <w:shd w:val="clear" w:color="auto" w:fill="auto"/>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w:t>
            </w:r>
          </w:p>
        </w:tc>
      </w:tr>
      <w:tr w:rsidR="004B269B" w:rsidRPr="004B269B" w:rsidTr="00080B9C">
        <w:trPr>
          <w:trHeight w:val="75"/>
        </w:trPr>
        <w:tc>
          <w:tcPr>
            <w:tcW w:w="10088" w:type="dxa"/>
            <w:gridSpan w:val="6"/>
            <w:shd w:val="clear" w:color="000000" w:fill="C0C0C0"/>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Sedimente</w:t>
            </w:r>
          </w:p>
        </w:tc>
      </w:tr>
      <w:tr w:rsidR="004B269B" w:rsidRPr="004B269B" w:rsidTr="00080B9C">
        <w:trPr>
          <w:trHeight w:val="79"/>
        </w:trPr>
        <w:tc>
          <w:tcPr>
            <w:tcW w:w="6010" w:type="dxa"/>
            <w:shd w:val="clear" w:color="auto" w:fill="auto"/>
            <w:hideMark/>
          </w:tcPr>
          <w:p w:rsidR="004B269B" w:rsidRPr="004B269B" w:rsidRDefault="004B269B" w:rsidP="004B269B">
            <w:pPr>
              <w:spacing w:after="0" w:line="240" w:lineRule="auto"/>
              <w:jc w:val="center"/>
              <w:rPr>
                <w:rFonts w:ascii="Arial" w:eastAsia="Times New Roman" w:hAnsi="Arial" w:cs="Arial"/>
                <w:b/>
                <w:bCs/>
                <w:sz w:val="20"/>
                <w:szCs w:val="20"/>
              </w:rPr>
            </w:pPr>
            <w:r w:rsidRPr="004B269B">
              <w:rPr>
                <w:rFonts w:ascii="Arial" w:eastAsia="Times New Roman" w:hAnsi="Arial" w:cs="Arial"/>
                <w:b/>
                <w:bCs/>
                <w:sz w:val="20"/>
                <w:szCs w:val="20"/>
              </w:rPr>
              <w:t>Nr. substanţe periculoase monitorizate</w:t>
            </w:r>
          </w:p>
        </w:tc>
        <w:tc>
          <w:tcPr>
            <w:tcW w:w="676" w:type="dxa"/>
            <w:shd w:val="clear" w:color="auto" w:fill="auto"/>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15</w:t>
            </w:r>
          </w:p>
        </w:tc>
        <w:tc>
          <w:tcPr>
            <w:tcW w:w="850" w:type="dxa"/>
            <w:shd w:val="clear" w:color="auto" w:fill="auto"/>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32</w:t>
            </w:r>
          </w:p>
        </w:tc>
        <w:tc>
          <w:tcPr>
            <w:tcW w:w="851" w:type="dxa"/>
            <w:shd w:val="clear" w:color="auto" w:fill="auto"/>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32</w:t>
            </w:r>
          </w:p>
        </w:tc>
        <w:tc>
          <w:tcPr>
            <w:tcW w:w="992" w:type="dxa"/>
            <w:shd w:val="clear" w:color="auto" w:fill="auto"/>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24</w:t>
            </w:r>
          </w:p>
        </w:tc>
        <w:tc>
          <w:tcPr>
            <w:tcW w:w="709" w:type="dxa"/>
            <w:shd w:val="clear" w:color="auto" w:fill="auto"/>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w:t>
            </w:r>
          </w:p>
        </w:tc>
      </w:tr>
      <w:tr w:rsidR="004B269B" w:rsidRPr="004B269B" w:rsidTr="00080B9C">
        <w:trPr>
          <w:trHeight w:val="75"/>
        </w:trPr>
        <w:tc>
          <w:tcPr>
            <w:tcW w:w="6010" w:type="dxa"/>
            <w:shd w:val="clear" w:color="auto" w:fill="auto"/>
            <w:hideMark/>
          </w:tcPr>
          <w:p w:rsidR="004B269B" w:rsidRPr="004B269B" w:rsidRDefault="004B269B" w:rsidP="004B269B">
            <w:pPr>
              <w:spacing w:after="0" w:line="240" w:lineRule="auto"/>
              <w:jc w:val="center"/>
              <w:rPr>
                <w:rFonts w:ascii="Arial" w:eastAsia="Times New Roman" w:hAnsi="Arial" w:cs="Arial"/>
                <w:b/>
                <w:bCs/>
                <w:sz w:val="20"/>
                <w:szCs w:val="20"/>
              </w:rPr>
            </w:pPr>
            <w:r w:rsidRPr="004B269B">
              <w:rPr>
                <w:rFonts w:ascii="Arial" w:eastAsia="Times New Roman" w:hAnsi="Arial" w:cs="Arial"/>
                <w:b/>
                <w:bCs/>
                <w:sz w:val="20"/>
                <w:szCs w:val="20"/>
              </w:rPr>
              <w:t>Număr puncte de monitorizare</w:t>
            </w:r>
          </w:p>
        </w:tc>
        <w:tc>
          <w:tcPr>
            <w:tcW w:w="676" w:type="dxa"/>
            <w:shd w:val="clear" w:color="auto" w:fill="auto"/>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3</w:t>
            </w:r>
          </w:p>
        </w:tc>
        <w:tc>
          <w:tcPr>
            <w:tcW w:w="850" w:type="dxa"/>
            <w:shd w:val="clear" w:color="auto" w:fill="auto"/>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4</w:t>
            </w:r>
          </w:p>
        </w:tc>
        <w:tc>
          <w:tcPr>
            <w:tcW w:w="851" w:type="dxa"/>
            <w:shd w:val="clear" w:color="auto" w:fill="auto"/>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4</w:t>
            </w:r>
          </w:p>
        </w:tc>
        <w:tc>
          <w:tcPr>
            <w:tcW w:w="992" w:type="dxa"/>
            <w:shd w:val="clear" w:color="auto" w:fill="auto"/>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4</w:t>
            </w:r>
          </w:p>
        </w:tc>
        <w:tc>
          <w:tcPr>
            <w:tcW w:w="709" w:type="dxa"/>
            <w:shd w:val="clear" w:color="auto" w:fill="auto"/>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w:t>
            </w:r>
          </w:p>
        </w:tc>
      </w:tr>
      <w:tr w:rsidR="004B269B" w:rsidRPr="004B269B" w:rsidTr="00080B9C">
        <w:trPr>
          <w:trHeight w:val="235"/>
        </w:trPr>
        <w:tc>
          <w:tcPr>
            <w:tcW w:w="6010" w:type="dxa"/>
            <w:shd w:val="clear" w:color="auto" w:fill="auto"/>
            <w:hideMark/>
          </w:tcPr>
          <w:p w:rsidR="004B269B" w:rsidRPr="004B269B" w:rsidRDefault="004B269B" w:rsidP="004B269B">
            <w:pPr>
              <w:spacing w:after="0" w:line="240" w:lineRule="auto"/>
              <w:jc w:val="center"/>
              <w:rPr>
                <w:rFonts w:ascii="Arial" w:eastAsia="Times New Roman" w:hAnsi="Arial" w:cs="Arial"/>
                <w:b/>
                <w:bCs/>
                <w:sz w:val="20"/>
                <w:szCs w:val="20"/>
              </w:rPr>
            </w:pPr>
            <w:r w:rsidRPr="004B269B">
              <w:rPr>
                <w:rFonts w:ascii="Arial" w:eastAsia="Times New Roman" w:hAnsi="Arial" w:cs="Arial"/>
                <w:b/>
                <w:bCs/>
                <w:sz w:val="20"/>
                <w:szCs w:val="20"/>
              </w:rPr>
              <w:t>Ponderea punctelor cu concentraţie mai mare decât SCM (%)</w:t>
            </w:r>
          </w:p>
        </w:tc>
        <w:tc>
          <w:tcPr>
            <w:tcW w:w="676" w:type="dxa"/>
            <w:shd w:val="clear" w:color="auto" w:fill="auto"/>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0</w:t>
            </w:r>
          </w:p>
        </w:tc>
        <w:tc>
          <w:tcPr>
            <w:tcW w:w="850" w:type="dxa"/>
            <w:shd w:val="clear" w:color="auto" w:fill="auto"/>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0</w:t>
            </w:r>
          </w:p>
        </w:tc>
        <w:tc>
          <w:tcPr>
            <w:tcW w:w="851" w:type="dxa"/>
            <w:shd w:val="clear" w:color="auto" w:fill="auto"/>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0</w:t>
            </w:r>
          </w:p>
        </w:tc>
        <w:tc>
          <w:tcPr>
            <w:tcW w:w="992" w:type="dxa"/>
            <w:shd w:val="clear" w:color="auto" w:fill="auto"/>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0</w:t>
            </w:r>
          </w:p>
        </w:tc>
        <w:tc>
          <w:tcPr>
            <w:tcW w:w="709" w:type="dxa"/>
            <w:shd w:val="clear" w:color="auto" w:fill="auto"/>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w:t>
            </w:r>
          </w:p>
        </w:tc>
      </w:tr>
      <w:tr w:rsidR="004B269B" w:rsidRPr="004B269B" w:rsidTr="00080B9C">
        <w:trPr>
          <w:trHeight w:val="151"/>
        </w:trPr>
        <w:tc>
          <w:tcPr>
            <w:tcW w:w="10088" w:type="dxa"/>
            <w:gridSpan w:val="6"/>
            <w:shd w:val="clear" w:color="000000" w:fill="C0C0C0"/>
            <w:hideMark/>
          </w:tcPr>
          <w:p w:rsidR="004B269B" w:rsidRPr="004B269B" w:rsidRDefault="004B269B" w:rsidP="004B269B">
            <w:pPr>
              <w:spacing w:after="0" w:line="240" w:lineRule="auto"/>
              <w:jc w:val="center"/>
              <w:rPr>
                <w:rFonts w:ascii="Arial" w:eastAsia="Times New Roman" w:hAnsi="Arial" w:cs="Arial"/>
                <w:b/>
                <w:bCs/>
                <w:sz w:val="20"/>
                <w:szCs w:val="20"/>
              </w:rPr>
            </w:pPr>
            <w:r w:rsidRPr="004B269B">
              <w:rPr>
                <w:rFonts w:ascii="Arial" w:eastAsia="Times New Roman" w:hAnsi="Arial" w:cs="Arial"/>
                <w:b/>
                <w:bCs/>
                <w:sz w:val="20"/>
                <w:szCs w:val="20"/>
              </w:rPr>
              <w:t>Biotă</w:t>
            </w:r>
          </w:p>
        </w:tc>
      </w:tr>
      <w:tr w:rsidR="004B269B" w:rsidRPr="004B269B" w:rsidTr="00080B9C">
        <w:trPr>
          <w:trHeight w:val="80"/>
        </w:trPr>
        <w:tc>
          <w:tcPr>
            <w:tcW w:w="6010" w:type="dxa"/>
            <w:shd w:val="clear" w:color="auto" w:fill="auto"/>
            <w:hideMark/>
          </w:tcPr>
          <w:p w:rsidR="004B269B" w:rsidRPr="004B269B" w:rsidRDefault="004B269B" w:rsidP="004B269B">
            <w:pPr>
              <w:spacing w:after="0" w:line="240" w:lineRule="auto"/>
              <w:jc w:val="center"/>
              <w:rPr>
                <w:rFonts w:ascii="Arial" w:eastAsia="Times New Roman" w:hAnsi="Arial" w:cs="Arial"/>
                <w:b/>
                <w:bCs/>
                <w:sz w:val="20"/>
                <w:szCs w:val="20"/>
              </w:rPr>
            </w:pPr>
            <w:r w:rsidRPr="004B269B">
              <w:rPr>
                <w:rFonts w:ascii="Arial" w:eastAsia="Times New Roman" w:hAnsi="Arial" w:cs="Arial"/>
                <w:b/>
                <w:bCs/>
                <w:sz w:val="20"/>
                <w:szCs w:val="20"/>
              </w:rPr>
              <w:t>Nr. substanţe periculoase monitorizate</w:t>
            </w:r>
          </w:p>
        </w:tc>
        <w:tc>
          <w:tcPr>
            <w:tcW w:w="676" w:type="dxa"/>
            <w:shd w:val="clear" w:color="auto" w:fill="auto"/>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0</w:t>
            </w:r>
          </w:p>
        </w:tc>
        <w:tc>
          <w:tcPr>
            <w:tcW w:w="850" w:type="dxa"/>
            <w:shd w:val="clear" w:color="auto" w:fill="auto"/>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0</w:t>
            </w:r>
          </w:p>
        </w:tc>
        <w:tc>
          <w:tcPr>
            <w:tcW w:w="851" w:type="dxa"/>
            <w:shd w:val="clear" w:color="auto" w:fill="auto"/>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0</w:t>
            </w:r>
          </w:p>
        </w:tc>
        <w:tc>
          <w:tcPr>
            <w:tcW w:w="992" w:type="dxa"/>
            <w:shd w:val="clear" w:color="auto" w:fill="auto"/>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0</w:t>
            </w:r>
          </w:p>
        </w:tc>
        <w:tc>
          <w:tcPr>
            <w:tcW w:w="709" w:type="dxa"/>
            <w:shd w:val="clear" w:color="auto" w:fill="auto"/>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w:t>
            </w:r>
          </w:p>
        </w:tc>
      </w:tr>
      <w:tr w:rsidR="004B269B" w:rsidRPr="004B269B" w:rsidTr="00080B9C">
        <w:trPr>
          <w:trHeight w:val="75"/>
        </w:trPr>
        <w:tc>
          <w:tcPr>
            <w:tcW w:w="6010" w:type="dxa"/>
            <w:shd w:val="clear" w:color="auto" w:fill="auto"/>
            <w:hideMark/>
          </w:tcPr>
          <w:p w:rsidR="004B269B" w:rsidRPr="004B269B" w:rsidRDefault="004B269B" w:rsidP="004B269B">
            <w:pPr>
              <w:spacing w:after="0" w:line="240" w:lineRule="auto"/>
              <w:jc w:val="center"/>
              <w:rPr>
                <w:rFonts w:ascii="Arial" w:eastAsia="Times New Roman" w:hAnsi="Arial" w:cs="Arial"/>
                <w:b/>
                <w:bCs/>
                <w:sz w:val="20"/>
                <w:szCs w:val="20"/>
              </w:rPr>
            </w:pPr>
            <w:r w:rsidRPr="004B269B">
              <w:rPr>
                <w:rFonts w:ascii="Arial" w:eastAsia="Times New Roman" w:hAnsi="Arial" w:cs="Arial"/>
                <w:b/>
                <w:bCs/>
                <w:sz w:val="20"/>
                <w:szCs w:val="20"/>
              </w:rPr>
              <w:t>Număr puncte de monitorizare</w:t>
            </w:r>
          </w:p>
        </w:tc>
        <w:tc>
          <w:tcPr>
            <w:tcW w:w="676" w:type="dxa"/>
            <w:shd w:val="clear" w:color="auto" w:fill="auto"/>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0</w:t>
            </w:r>
          </w:p>
        </w:tc>
        <w:tc>
          <w:tcPr>
            <w:tcW w:w="850" w:type="dxa"/>
            <w:shd w:val="clear" w:color="auto" w:fill="auto"/>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0</w:t>
            </w:r>
          </w:p>
        </w:tc>
        <w:tc>
          <w:tcPr>
            <w:tcW w:w="851" w:type="dxa"/>
            <w:shd w:val="clear" w:color="auto" w:fill="auto"/>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0</w:t>
            </w:r>
          </w:p>
        </w:tc>
        <w:tc>
          <w:tcPr>
            <w:tcW w:w="992" w:type="dxa"/>
            <w:shd w:val="clear" w:color="auto" w:fill="auto"/>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0</w:t>
            </w:r>
          </w:p>
        </w:tc>
        <w:tc>
          <w:tcPr>
            <w:tcW w:w="709" w:type="dxa"/>
            <w:shd w:val="clear" w:color="auto" w:fill="auto"/>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w:t>
            </w:r>
          </w:p>
        </w:tc>
      </w:tr>
      <w:tr w:rsidR="004B269B" w:rsidRPr="004B269B" w:rsidTr="00080B9C">
        <w:trPr>
          <w:trHeight w:val="75"/>
        </w:trPr>
        <w:tc>
          <w:tcPr>
            <w:tcW w:w="6010" w:type="dxa"/>
            <w:shd w:val="clear" w:color="auto" w:fill="auto"/>
            <w:hideMark/>
          </w:tcPr>
          <w:p w:rsidR="004B269B" w:rsidRPr="004B269B" w:rsidRDefault="004B269B" w:rsidP="004B269B">
            <w:pPr>
              <w:spacing w:after="0" w:line="240" w:lineRule="auto"/>
              <w:jc w:val="center"/>
              <w:rPr>
                <w:rFonts w:ascii="Arial" w:eastAsia="Times New Roman" w:hAnsi="Arial" w:cs="Arial"/>
                <w:b/>
                <w:bCs/>
                <w:sz w:val="20"/>
                <w:szCs w:val="20"/>
              </w:rPr>
            </w:pPr>
            <w:r w:rsidRPr="004B269B">
              <w:rPr>
                <w:rFonts w:ascii="Arial" w:eastAsia="Times New Roman" w:hAnsi="Arial" w:cs="Arial"/>
                <w:b/>
                <w:bCs/>
                <w:sz w:val="20"/>
                <w:szCs w:val="20"/>
              </w:rPr>
              <w:t>Ponderea punctelor cu concentraţie mai mare decât SCM (%)</w:t>
            </w:r>
          </w:p>
        </w:tc>
        <w:tc>
          <w:tcPr>
            <w:tcW w:w="676" w:type="dxa"/>
            <w:shd w:val="clear" w:color="auto" w:fill="auto"/>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0</w:t>
            </w:r>
          </w:p>
        </w:tc>
        <w:tc>
          <w:tcPr>
            <w:tcW w:w="850" w:type="dxa"/>
            <w:shd w:val="clear" w:color="auto" w:fill="auto"/>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0</w:t>
            </w:r>
          </w:p>
        </w:tc>
        <w:tc>
          <w:tcPr>
            <w:tcW w:w="851" w:type="dxa"/>
            <w:shd w:val="clear" w:color="auto" w:fill="auto"/>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0</w:t>
            </w:r>
          </w:p>
        </w:tc>
        <w:tc>
          <w:tcPr>
            <w:tcW w:w="992" w:type="dxa"/>
            <w:shd w:val="clear" w:color="auto" w:fill="auto"/>
            <w:hideMark/>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0</w:t>
            </w:r>
          </w:p>
        </w:tc>
        <w:tc>
          <w:tcPr>
            <w:tcW w:w="709" w:type="dxa"/>
            <w:shd w:val="clear" w:color="auto" w:fill="auto"/>
          </w:tcPr>
          <w:p w:rsidR="004B269B" w:rsidRPr="004B269B" w:rsidRDefault="004B269B" w:rsidP="004B269B">
            <w:pPr>
              <w:spacing w:after="0" w:line="240" w:lineRule="auto"/>
              <w:jc w:val="center"/>
              <w:rPr>
                <w:rFonts w:ascii="Arial" w:eastAsia="Times New Roman" w:hAnsi="Arial" w:cs="Arial"/>
                <w:bCs/>
                <w:sz w:val="20"/>
                <w:szCs w:val="20"/>
              </w:rPr>
            </w:pPr>
            <w:r w:rsidRPr="004B269B">
              <w:rPr>
                <w:rFonts w:ascii="Arial" w:eastAsia="Times New Roman" w:hAnsi="Arial" w:cs="Arial"/>
                <w:bCs/>
                <w:sz w:val="20"/>
                <w:szCs w:val="20"/>
              </w:rPr>
              <w:t>-*</w:t>
            </w:r>
          </w:p>
        </w:tc>
      </w:tr>
    </w:tbl>
    <w:p w:rsidR="004B269B" w:rsidRPr="004B269B" w:rsidRDefault="004B269B" w:rsidP="004B269B">
      <w:pPr>
        <w:spacing w:after="0" w:line="240" w:lineRule="auto"/>
        <w:jc w:val="center"/>
        <w:rPr>
          <w:rFonts w:ascii="Arial" w:eastAsia="SimSun" w:hAnsi="Arial" w:cs="Arial"/>
          <w:sz w:val="20"/>
          <w:szCs w:val="20"/>
          <w:lang w:val="ro-RO"/>
        </w:rPr>
      </w:pPr>
      <w:r w:rsidRPr="004B269B">
        <w:rPr>
          <w:rFonts w:ascii="Arial" w:eastAsia="SimSun" w:hAnsi="Arial" w:cs="Arial"/>
          <w:sz w:val="20"/>
          <w:szCs w:val="20"/>
          <w:lang w:val="ro-RO"/>
        </w:rPr>
        <w:t xml:space="preserve">(Sursa: Administraţia </w:t>
      </w:r>
      <w:r w:rsidRPr="004B269B">
        <w:rPr>
          <w:rFonts w:ascii="Arial" w:eastAsia="SimSun" w:hAnsi="Arial" w:cs="Arial"/>
          <w:sz w:val="20"/>
          <w:szCs w:val="20"/>
          <w:lang w:val="en-GB"/>
        </w:rPr>
        <w:t>“</w:t>
      </w:r>
      <w:r w:rsidRPr="004B269B">
        <w:rPr>
          <w:rFonts w:ascii="Arial" w:eastAsia="SimSun" w:hAnsi="Arial" w:cs="Arial"/>
          <w:sz w:val="20"/>
          <w:szCs w:val="20"/>
          <w:lang w:val="ro-RO"/>
        </w:rPr>
        <w:t>Apele Române”- Administraţia Bazinală de Apă Prut – Bârlad)</w:t>
      </w:r>
    </w:p>
    <w:p w:rsidR="004B269B" w:rsidRPr="004B269B" w:rsidRDefault="004B269B" w:rsidP="004B269B">
      <w:pPr>
        <w:spacing w:after="0" w:line="240" w:lineRule="auto"/>
        <w:jc w:val="both"/>
        <w:rPr>
          <w:rFonts w:ascii="Times New Roman" w:eastAsia="SimSun" w:hAnsi="Times New Roman" w:cs="Times New Roman"/>
          <w:sz w:val="16"/>
          <w:szCs w:val="16"/>
          <w:lang w:val="en-GB"/>
        </w:rPr>
      </w:pPr>
      <w:r w:rsidRPr="004B269B">
        <w:rPr>
          <w:rFonts w:ascii="Arial" w:eastAsia="Times New Roman" w:hAnsi="Arial" w:cs="Arial"/>
          <w:sz w:val="24"/>
          <w:szCs w:val="24"/>
          <w:lang w:val="ro-RO"/>
        </w:rPr>
        <w:t>*</w:t>
      </w:r>
      <w:r w:rsidR="005D1AAE">
        <w:rPr>
          <w:rFonts w:ascii="Arial" w:eastAsia="Times New Roman" w:hAnsi="Arial" w:cs="Arial"/>
          <w:sz w:val="24"/>
          <w:szCs w:val="24"/>
          <w:lang w:val="ro-RO"/>
        </w:rPr>
        <w:t>nu există</w:t>
      </w:r>
      <w:r w:rsidRPr="004B269B">
        <w:rPr>
          <w:rFonts w:ascii="Arial" w:eastAsia="Times New Roman" w:hAnsi="Arial" w:cs="Arial"/>
          <w:sz w:val="24"/>
          <w:szCs w:val="24"/>
          <w:lang w:val="ro-RO"/>
        </w:rPr>
        <w:t xml:space="preserve"> date şi informaţii despre tendinţele de poluare cu substanţe periculoase în lacurile din judeţul Vaslui, la nivelul anului 2015.</w:t>
      </w:r>
    </w:p>
    <w:p w:rsidR="004B269B" w:rsidRPr="004B269B" w:rsidRDefault="004B269B" w:rsidP="004B269B">
      <w:pPr>
        <w:spacing w:after="0" w:line="240" w:lineRule="auto"/>
        <w:jc w:val="both"/>
        <w:rPr>
          <w:rFonts w:ascii="Arial" w:eastAsia="SimSun" w:hAnsi="Arial" w:cs="Arial"/>
          <w:b/>
          <w:bCs/>
          <w:iCs/>
          <w:sz w:val="24"/>
          <w:szCs w:val="24"/>
          <w:lang w:val="en-GB"/>
        </w:rPr>
      </w:pPr>
    </w:p>
    <w:p w:rsidR="004B269B" w:rsidRPr="004B269B" w:rsidRDefault="004B269B" w:rsidP="004B269B">
      <w:pPr>
        <w:spacing w:after="0" w:line="240" w:lineRule="auto"/>
        <w:jc w:val="both"/>
        <w:rPr>
          <w:rFonts w:ascii="Arial" w:eastAsia="SimSun" w:hAnsi="Arial" w:cs="Arial"/>
          <w:bCs/>
          <w:iCs/>
          <w:sz w:val="24"/>
          <w:szCs w:val="24"/>
          <w:lang w:val="en-GB"/>
        </w:rPr>
      </w:pPr>
      <w:r w:rsidRPr="004B269B">
        <w:rPr>
          <w:rFonts w:ascii="Arial" w:eastAsia="SimSun" w:hAnsi="Arial" w:cs="Arial"/>
          <w:bCs/>
          <w:iCs/>
          <w:sz w:val="24"/>
          <w:szCs w:val="24"/>
          <w:lang w:val="en-GB"/>
        </w:rPr>
        <w:t>II.2.1.3. Calitatea apelor subterane</w:t>
      </w:r>
    </w:p>
    <w:p w:rsidR="004B269B" w:rsidRPr="004B269B" w:rsidRDefault="004B269B" w:rsidP="004B269B">
      <w:pPr>
        <w:spacing w:after="0" w:line="240" w:lineRule="auto"/>
        <w:jc w:val="both"/>
        <w:rPr>
          <w:rFonts w:ascii="Arial" w:eastAsia="SimSun" w:hAnsi="Arial" w:cs="Arial"/>
          <w:sz w:val="24"/>
          <w:szCs w:val="24"/>
          <w:lang w:val="it-IT"/>
        </w:rPr>
      </w:pPr>
    </w:p>
    <w:p w:rsidR="004B269B" w:rsidRPr="004B269B" w:rsidRDefault="004B269B" w:rsidP="004B269B">
      <w:pPr>
        <w:autoSpaceDE w:val="0"/>
        <w:autoSpaceDN w:val="0"/>
        <w:adjustRightInd w:val="0"/>
        <w:spacing w:after="0" w:line="240" w:lineRule="auto"/>
        <w:ind w:firstLine="708"/>
        <w:jc w:val="both"/>
        <w:rPr>
          <w:rFonts w:ascii="Arial" w:eastAsia="Times New Roman" w:hAnsi="Arial" w:cs="Arial"/>
          <w:sz w:val="24"/>
          <w:szCs w:val="24"/>
        </w:rPr>
      </w:pPr>
      <w:r w:rsidRPr="004B269B">
        <w:rPr>
          <w:rFonts w:ascii="Arial" w:eastAsia="Times New Roman" w:hAnsi="Arial" w:cs="Arial"/>
          <w:sz w:val="24"/>
          <w:szCs w:val="24"/>
        </w:rPr>
        <w:t>Apa subterană reprezintă apa acumulată în spațiile dintre granule, aflate în conexiune, sau pe sisteme de fisuri, din diferite formațiuni geologice. Aceasta formează acvifere, constituite din unul sau mai multe straturi geologice cu o porozitate și o permeabilitate suficientă care să permită fie o curgere semnificativă a apelor subterane, fie captarea unor cantități semnificative de apă.</w:t>
      </w:r>
    </w:p>
    <w:p w:rsidR="004B269B" w:rsidRPr="004B269B" w:rsidRDefault="004B269B" w:rsidP="004B269B">
      <w:pPr>
        <w:autoSpaceDE w:val="0"/>
        <w:autoSpaceDN w:val="0"/>
        <w:adjustRightInd w:val="0"/>
        <w:spacing w:after="0" w:line="240" w:lineRule="auto"/>
        <w:jc w:val="both"/>
        <w:rPr>
          <w:rFonts w:ascii="Arial" w:eastAsia="Times New Roman" w:hAnsi="Arial" w:cs="Arial"/>
          <w:sz w:val="24"/>
          <w:szCs w:val="24"/>
        </w:rPr>
      </w:pPr>
      <w:r w:rsidRPr="004B269B">
        <w:rPr>
          <w:rFonts w:ascii="Arial" w:eastAsia="Times New Roman" w:hAnsi="Arial" w:cs="Arial"/>
          <w:sz w:val="24"/>
          <w:szCs w:val="24"/>
        </w:rPr>
        <w:t>În acviferele din România, pentru care au existat suficiente date de cunoaștere, au fost delimitate corpuri de apă subterană, care reprezintă un volum distinct de apă subterană dintr-un acvifer sau mai multe acvifere.</w:t>
      </w:r>
    </w:p>
    <w:p w:rsidR="004B269B" w:rsidRPr="004B269B" w:rsidRDefault="004B269B" w:rsidP="004B269B">
      <w:pPr>
        <w:autoSpaceDE w:val="0"/>
        <w:autoSpaceDN w:val="0"/>
        <w:adjustRightInd w:val="0"/>
        <w:spacing w:after="0" w:line="240" w:lineRule="auto"/>
        <w:ind w:firstLine="720"/>
        <w:jc w:val="both"/>
        <w:rPr>
          <w:rFonts w:ascii="Arial" w:eastAsia="Times New Roman" w:hAnsi="Arial" w:cs="Arial"/>
          <w:sz w:val="24"/>
          <w:szCs w:val="24"/>
        </w:rPr>
      </w:pPr>
      <w:r w:rsidRPr="004B269B">
        <w:rPr>
          <w:rFonts w:ascii="Arial" w:eastAsia="Times New Roman" w:hAnsi="Arial" w:cs="Arial"/>
          <w:sz w:val="24"/>
          <w:szCs w:val="24"/>
        </w:rPr>
        <w:t>Apele subterane din bazinul hidrografic al râului Prut – Bârlad sunt cantonate în depozite poros-permeabile de vârstă cuaternară şi terţiară dispuse peste formaţiuni mai vechi cretacice, siluriene şi chiar presiluriene, situate la diverse adâncimi, care datorită condiţiilor climatice şi de strat au în general debite reduse şi conţinut ridicat de săruri.</w:t>
      </w:r>
    </w:p>
    <w:p w:rsidR="004B269B" w:rsidRPr="004B269B" w:rsidRDefault="004B269B" w:rsidP="005D1AAE">
      <w:pPr>
        <w:autoSpaceDE w:val="0"/>
        <w:autoSpaceDN w:val="0"/>
        <w:adjustRightInd w:val="0"/>
        <w:spacing w:after="0" w:line="240" w:lineRule="auto"/>
        <w:ind w:firstLine="720"/>
        <w:jc w:val="both"/>
        <w:rPr>
          <w:rFonts w:ascii="Arial" w:eastAsia="Times New Roman" w:hAnsi="Arial" w:cs="Arial"/>
          <w:sz w:val="24"/>
          <w:szCs w:val="24"/>
        </w:rPr>
      </w:pPr>
      <w:r w:rsidRPr="004B269B">
        <w:rPr>
          <w:rFonts w:ascii="Arial" w:eastAsia="Times New Roman" w:hAnsi="Arial" w:cs="Arial"/>
          <w:b/>
          <w:bCs/>
          <w:i/>
          <w:iCs/>
          <w:sz w:val="24"/>
          <w:szCs w:val="24"/>
        </w:rPr>
        <w:t xml:space="preserve">Directiva Cadru Apa (2000/60/EC) și Directiva Apelor Subterane (2006/118/EC) </w:t>
      </w:r>
      <w:r w:rsidRPr="004B269B">
        <w:rPr>
          <w:rFonts w:ascii="Arial" w:eastAsia="Times New Roman" w:hAnsi="Arial" w:cs="Arial"/>
          <w:sz w:val="24"/>
          <w:szCs w:val="24"/>
        </w:rPr>
        <w:t>sunt acte legislative integrate care stabilesc, între altele, obiectivul de „stare bună” pentru toate apele din Europa. Directivele prevăd un management integrat și durabil al bazinelor hidrografice, inclusiv obligații, termene limită clare și un program integrat de măsuri bazat pe analize științifice, tehnice și economice, precum și pe informarea și consultarea publicului.</w:t>
      </w:r>
    </w:p>
    <w:p w:rsidR="004B269B" w:rsidRPr="004B269B" w:rsidRDefault="004B269B" w:rsidP="005D1AAE">
      <w:pPr>
        <w:autoSpaceDE w:val="0"/>
        <w:autoSpaceDN w:val="0"/>
        <w:adjustRightInd w:val="0"/>
        <w:spacing w:after="0" w:line="240" w:lineRule="auto"/>
        <w:ind w:firstLine="720"/>
        <w:jc w:val="both"/>
        <w:rPr>
          <w:rFonts w:ascii="Arial" w:eastAsia="Times New Roman" w:hAnsi="Arial" w:cs="Arial"/>
          <w:sz w:val="24"/>
          <w:szCs w:val="24"/>
        </w:rPr>
      </w:pPr>
      <w:r w:rsidRPr="004B269B">
        <w:rPr>
          <w:rFonts w:ascii="Arial" w:eastAsia="Times New Roman" w:hAnsi="Arial" w:cs="Arial"/>
          <w:sz w:val="24"/>
          <w:szCs w:val="24"/>
        </w:rPr>
        <w:t>Articolul 8 al Directivei Cadru Apă stabilește cerințele de monitorizare pentru starea apelor</w:t>
      </w:r>
    </w:p>
    <w:p w:rsidR="004B269B" w:rsidRPr="004B269B" w:rsidRDefault="004B269B" w:rsidP="004B269B">
      <w:pPr>
        <w:autoSpaceDE w:val="0"/>
        <w:autoSpaceDN w:val="0"/>
        <w:adjustRightInd w:val="0"/>
        <w:spacing w:after="0" w:line="240" w:lineRule="auto"/>
        <w:jc w:val="both"/>
        <w:rPr>
          <w:rFonts w:ascii="Arial" w:eastAsia="Times New Roman" w:hAnsi="Arial" w:cs="Arial"/>
          <w:sz w:val="24"/>
          <w:szCs w:val="24"/>
        </w:rPr>
      </w:pPr>
      <w:r w:rsidRPr="004B269B">
        <w:rPr>
          <w:rFonts w:ascii="Arial" w:eastAsia="Times New Roman" w:hAnsi="Arial" w:cs="Arial"/>
          <w:sz w:val="24"/>
          <w:szCs w:val="24"/>
        </w:rPr>
        <w:t>subterane, iar anexa V indică faptul că informațiile furnizate de sistemul de monitoring al</w:t>
      </w:r>
    </w:p>
    <w:p w:rsidR="004B269B" w:rsidRPr="004B269B" w:rsidRDefault="004B269B" w:rsidP="004B269B">
      <w:pPr>
        <w:autoSpaceDE w:val="0"/>
        <w:autoSpaceDN w:val="0"/>
        <w:adjustRightInd w:val="0"/>
        <w:spacing w:after="0" w:line="240" w:lineRule="auto"/>
        <w:jc w:val="both"/>
        <w:rPr>
          <w:rFonts w:ascii="Arial" w:eastAsia="Times New Roman" w:hAnsi="Arial" w:cs="Arial"/>
          <w:sz w:val="24"/>
          <w:szCs w:val="24"/>
        </w:rPr>
      </w:pPr>
      <w:r w:rsidRPr="004B269B">
        <w:rPr>
          <w:rFonts w:ascii="Arial" w:eastAsia="Times New Roman" w:hAnsi="Arial" w:cs="Arial"/>
          <w:sz w:val="24"/>
          <w:szCs w:val="24"/>
        </w:rPr>
        <w:t>apelor subterane sunt necesare pentru:</w:t>
      </w:r>
    </w:p>
    <w:p w:rsidR="004B269B" w:rsidRPr="004B269B" w:rsidRDefault="004B269B" w:rsidP="004B269B">
      <w:pPr>
        <w:autoSpaceDE w:val="0"/>
        <w:autoSpaceDN w:val="0"/>
        <w:adjustRightInd w:val="0"/>
        <w:spacing w:after="0" w:line="240" w:lineRule="auto"/>
        <w:jc w:val="both"/>
        <w:rPr>
          <w:rFonts w:ascii="Arial" w:eastAsia="Times New Roman" w:hAnsi="Arial" w:cs="Arial"/>
          <w:sz w:val="24"/>
          <w:szCs w:val="24"/>
        </w:rPr>
      </w:pPr>
      <w:r w:rsidRPr="004B269B">
        <w:rPr>
          <w:rFonts w:ascii="Arial" w:eastAsia="Times New Roman" w:hAnsi="Arial" w:cs="Arial"/>
          <w:sz w:val="24"/>
          <w:szCs w:val="24"/>
        </w:rPr>
        <w:t>- Evaluarea stării cantitative a tuturor corpurilor sau grupurilor de corpuri de apă subterană (inclusiv evaluarea resurselor de apă subterană disponibile);</w:t>
      </w:r>
    </w:p>
    <w:p w:rsidR="004B269B" w:rsidRPr="004B269B" w:rsidRDefault="004B269B" w:rsidP="004B269B">
      <w:pPr>
        <w:autoSpaceDE w:val="0"/>
        <w:autoSpaceDN w:val="0"/>
        <w:adjustRightInd w:val="0"/>
        <w:spacing w:after="0" w:line="240" w:lineRule="auto"/>
        <w:jc w:val="both"/>
        <w:rPr>
          <w:rFonts w:ascii="Arial" w:eastAsia="Times New Roman" w:hAnsi="Arial" w:cs="Arial"/>
          <w:sz w:val="24"/>
          <w:szCs w:val="24"/>
        </w:rPr>
      </w:pPr>
      <w:r w:rsidRPr="004B269B">
        <w:rPr>
          <w:rFonts w:ascii="Arial" w:eastAsia="Times New Roman" w:hAnsi="Arial" w:cs="Arial"/>
          <w:sz w:val="24"/>
          <w:szCs w:val="24"/>
        </w:rPr>
        <w:t>- Estimarea direcției și a debitului din corpurile de apă subterană care traversează granițele Statelor Membre;</w:t>
      </w:r>
    </w:p>
    <w:p w:rsidR="004B269B" w:rsidRPr="004B269B" w:rsidRDefault="004B269B" w:rsidP="004B269B">
      <w:pPr>
        <w:autoSpaceDE w:val="0"/>
        <w:autoSpaceDN w:val="0"/>
        <w:adjustRightInd w:val="0"/>
        <w:spacing w:after="0" w:line="240" w:lineRule="auto"/>
        <w:jc w:val="both"/>
        <w:rPr>
          <w:rFonts w:ascii="Arial" w:eastAsia="Times New Roman" w:hAnsi="Arial" w:cs="Arial"/>
          <w:sz w:val="24"/>
          <w:szCs w:val="24"/>
        </w:rPr>
      </w:pPr>
      <w:r w:rsidRPr="004B269B">
        <w:rPr>
          <w:rFonts w:ascii="Arial" w:eastAsia="Times New Roman" w:hAnsi="Arial" w:cs="Arial"/>
          <w:sz w:val="24"/>
          <w:szCs w:val="24"/>
        </w:rPr>
        <w:t>- Validarea procedurii de evaluare a riscului, realizată conform Articolului 5;</w:t>
      </w:r>
    </w:p>
    <w:p w:rsidR="004B269B" w:rsidRPr="004B269B" w:rsidRDefault="004B269B" w:rsidP="004B269B">
      <w:pPr>
        <w:autoSpaceDE w:val="0"/>
        <w:autoSpaceDN w:val="0"/>
        <w:adjustRightInd w:val="0"/>
        <w:spacing w:after="0" w:line="240" w:lineRule="auto"/>
        <w:jc w:val="both"/>
        <w:rPr>
          <w:rFonts w:ascii="Arial" w:eastAsia="Times New Roman" w:hAnsi="Arial" w:cs="Arial"/>
          <w:sz w:val="24"/>
          <w:szCs w:val="24"/>
        </w:rPr>
      </w:pPr>
      <w:r w:rsidRPr="004B269B">
        <w:rPr>
          <w:rFonts w:ascii="Arial" w:eastAsia="Times New Roman" w:hAnsi="Arial" w:cs="Arial"/>
          <w:sz w:val="24"/>
          <w:szCs w:val="24"/>
        </w:rPr>
        <w:lastRenderedPageBreak/>
        <w:t>- Evaluarea tendințelor pe termen lung a diverșilor parametrii cantitativi și calitativi, ca rezultat al schimbărilor condițiilor naturale și datorită activității antropice;</w:t>
      </w:r>
    </w:p>
    <w:p w:rsidR="004B269B" w:rsidRPr="004B269B" w:rsidRDefault="004B269B" w:rsidP="004B269B">
      <w:pPr>
        <w:autoSpaceDE w:val="0"/>
        <w:autoSpaceDN w:val="0"/>
        <w:adjustRightInd w:val="0"/>
        <w:spacing w:after="0" w:line="240" w:lineRule="auto"/>
        <w:jc w:val="both"/>
        <w:rPr>
          <w:rFonts w:ascii="Arial" w:eastAsia="Times New Roman" w:hAnsi="Arial" w:cs="Arial"/>
          <w:sz w:val="24"/>
          <w:szCs w:val="24"/>
        </w:rPr>
      </w:pPr>
      <w:r w:rsidRPr="004B269B">
        <w:rPr>
          <w:rFonts w:ascii="Arial" w:eastAsia="Times New Roman" w:hAnsi="Arial" w:cs="Arial"/>
          <w:sz w:val="24"/>
          <w:szCs w:val="24"/>
        </w:rPr>
        <w:t>- Stabilirea stării chimice pentru toate corpurile sau grupurile de corpuri de apă subterană identificate a fi la risc de a nu atinge starea bună;</w:t>
      </w:r>
    </w:p>
    <w:p w:rsidR="004B269B" w:rsidRPr="004B269B" w:rsidRDefault="004B269B" w:rsidP="004B269B">
      <w:pPr>
        <w:autoSpaceDE w:val="0"/>
        <w:autoSpaceDN w:val="0"/>
        <w:adjustRightInd w:val="0"/>
        <w:spacing w:after="0" w:line="240" w:lineRule="auto"/>
        <w:jc w:val="both"/>
        <w:rPr>
          <w:rFonts w:ascii="Arial" w:eastAsia="Times New Roman" w:hAnsi="Arial" w:cs="Arial"/>
          <w:sz w:val="24"/>
          <w:szCs w:val="24"/>
        </w:rPr>
      </w:pPr>
      <w:r w:rsidRPr="004B269B">
        <w:rPr>
          <w:rFonts w:ascii="Arial" w:eastAsia="Times New Roman" w:hAnsi="Arial" w:cs="Arial"/>
          <w:sz w:val="24"/>
          <w:szCs w:val="24"/>
        </w:rPr>
        <w:t>- Identificarea prezenței tendințelor importante și continue de creștere a concentrațiilor de poluanți;</w:t>
      </w:r>
    </w:p>
    <w:p w:rsidR="004B269B" w:rsidRPr="004B269B" w:rsidRDefault="004B269B" w:rsidP="004B269B">
      <w:pPr>
        <w:autoSpaceDE w:val="0"/>
        <w:autoSpaceDN w:val="0"/>
        <w:adjustRightInd w:val="0"/>
        <w:spacing w:after="0" w:line="240" w:lineRule="auto"/>
        <w:jc w:val="both"/>
        <w:rPr>
          <w:rFonts w:ascii="Arial" w:eastAsia="Times New Roman" w:hAnsi="Arial" w:cs="Arial"/>
          <w:sz w:val="24"/>
          <w:szCs w:val="24"/>
        </w:rPr>
      </w:pPr>
      <w:r w:rsidRPr="004B269B">
        <w:rPr>
          <w:rFonts w:ascii="Arial" w:eastAsia="Times New Roman" w:hAnsi="Arial" w:cs="Arial"/>
          <w:sz w:val="24"/>
          <w:szCs w:val="24"/>
        </w:rPr>
        <w:t>- Evaluarea schimbării (inversării) tendințelor în concentrația poluanților în apele subterane;</w:t>
      </w:r>
    </w:p>
    <w:p w:rsidR="004B269B" w:rsidRPr="004B269B" w:rsidRDefault="004B269B" w:rsidP="004B269B">
      <w:pPr>
        <w:autoSpaceDE w:val="0"/>
        <w:autoSpaceDN w:val="0"/>
        <w:adjustRightInd w:val="0"/>
        <w:spacing w:after="0" w:line="240" w:lineRule="auto"/>
        <w:jc w:val="both"/>
        <w:rPr>
          <w:rFonts w:ascii="Arial" w:eastAsia="Times New Roman" w:hAnsi="Arial" w:cs="Arial"/>
          <w:sz w:val="24"/>
          <w:szCs w:val="24"/>
        </w:rPr>
      </w:pPr>
      <w:r w:rsidRPr="004B269B">
        <w:rPr>
          <w:rFonts w:ascii="Arial" w:eastAsia="Times New Roman" w:hAnsi="Arial" w:cs="Arial"/>
          <w:sz w:val="24"/>
          <w:szCs w:val="24"/>
        </w:rPr>
        <w:t>- Stabilirea, proiectarea și evaluarea programului de măsuri.</w:t>
      </w:r>
    </w:p>
    <w:p w:rsidR="004B269B" w:rsidRPr="005D1AAE" w:rsidRDefault="004B269B" w:rsidP="005D1AAE">
      <w:pPr>
        <w:autoSpaceDE w:val="0"/>
        <w:autoSpaceDN w:val="0"/>
        <w:adjustRightInd w:val="0"/>
        <w:spacing w:after="0" w:line="240" w:lineRule="auto"/>
        <w:ind w:firstLine="720"/>
        <w:jc w:val="both"/>
        <w:rPr>
          <w:rFonts w:ascii="Arial" w:eastAsia="Times New Roman" w:hAnsi="Arial" w:cs="Arial"/>
          <w:sz w:val="24"/>
          <w:szCs w:val="24"/>
        </w:rPr>
      </w:pPr>
      <w:r w:rsidRPr="004B269B">
        <w:rPr>
          <w:rFonts w:ascii="Arial" w:eastAsia="Times New Roman" w:hAnsi="Arial" w:cs="Arial"/>
          <w:sz w:val="24"/>
          <w:szCs w:val="24"/>
        </w:rPr>
        <w:t>Monitorizarea cantitativă a corpurilor de apă subterană are ca scop principal validarea</w:t>
      </w:r>
      <w:r w:rsidR="005D1AAE">
        <w:rPr>
          <w:rFonts w:ascii="Arial" w:eastAsia="Times New Roman" w:hAnsi="Arial" w:cs="Arial"/>
          <w:sz w:val="24"/>
          <w:szCs w:val="24"/>
        </w:rPr>
        <w:t xml:space="preserve"> </w:t>
      </w:r>
      <w:r w:rsidRPr="004B269B">
        <w:rPr>
          <w:rFonts w:ascii="Arial" w:eastAsia="Times New Roman" w:hAnsi="Arial" w:cs="Arial"/>
          <w:sz w:val="24"/>
          <w:szCs w:val="24"/>
        </w:rPr>
        <w:t>caracterizării realizate în conformitate cu Articolul 5 și a procedurii de evaluare a riscului de</w:t>
      </w:r>
      <w:r w:rsidR="005D1AAE">
        <w:rPr>
          <w:rFonts w:ascii="Arial" w:eastAsia="Times New Roman" w:hAnsi="Arial" w:cs="Arial"/>
          <w:sz w:val="24"/>
          <w:szCs w:val="24"/>
        </w:rPr>
        <w:t xml:space="preserve"> </w:t>
      </w:r>
      <w:r w:rsidRPr="004B269B">
        <w:rPr>
          <w:rFonts w:ascii="Arial" w:eastAsia="Times New Roman" w:hAnsi="Arial" w:cs="Arial"/>
          <w:sz w:val="24"/>
          <w:szCs w:val="24"/>
        </w:rPr>
        <w:t>a nu atinge starea cantitativă bună la nivelul tuturor corpurilor de apă subterană sau a</w:t>
      </w:r>
      <w:r w:rsidR="005D1AAE">
        <w:rPr>
          <w:rFonts w:ascii="Arial" w:eastAsia="Times New Roman" w:hAnsi="Arial" w:cs="Arial"/>
          <w:sz w:val="24"/>
          <w:szCs w:val="24"/>
        </w:rPr>
        <w:t xml:space="preserve"> </w:t>
      </w:r>
      <w:r w:rsidRPr="004B269B">
        <w:rPr>
          <w:rFonts w:ascii="Arial" w:eastAsia="Times New Roman" w:hAnsi="Arial" w:cs="Arial"/>
          <w:sz w:val="24"/>
          <w:szCs w:val="24"/>
        </w:rPr>
        <w:t>grupurilor de corpuri. În cazul corpurilor de apă subterană, Directiva Cadru definește starea</w:t>
      </w:r>
      <w:r w:rsidR="005D1AAE">
        <w:rPr>
          <w:rFonts w:ascii="Arial" w:eastAsia="Times New Roman" w:hAnsi="Arial" w:cs="Arial"/>
          <w:sz w:val="24"/>
          <w:szCs w:val="24"/>
        </w:rPr>
        <w:t xml:space="preserve"> </w:t>
      </w:r>
      <w:r w:rsidRPr="004B269B">
        <w:rPr>
          <w:rFonts w:ascii="Arial" w:eastAsia="Times New Roman" w:hAnsi="Arial" w:cs="Arial"/>
          <w:sz w:val="24"/>
          <w:szCs w:val="24"/>
        </w:rPr>
        <w:t>cantitativă, precum și starea calitativă (chimică).</w:t>
      </w:r>
    </w:p>
    <w:p w:rsidR="004B269B" w:rsidRPr="004B269B" w:rsidRDefault="004B269B" w:rsidP="004B269B">
      <w:pPr>
        <w:spacing w:after="0" w:line="240" w:lineRule="auto"/>
        <w:jc w:val="both"/>
        <w:rPr>
          <w:rFonts w:ascii="Arial" w:eastAsia="Arial Unicode MS" w:hAnsi="Arial" w:cs="Arial"/>
          <w:sz w:val="20"/>
          <w:szCs w:val="20"/>
          <w:lang w:val="en-GB"/>
        </w:rPr>
      </w:pPr>
      <w:r w:rsidRPr="004B269B">
        <w:rPr>
          <w:rFonts w:ascii="Arial" w:eastAsia="Arial Unicode MS" w:hAnsi="Arial" w:cs="Arial"/>
          <w:sz w:val="20"/>
          <w:szCs w:val="20"/>
          <w:lang w:val="en-GB"/>
        </w:rPr>
        <w:t>(Sursa: ANAR –</w:t>
      </w:r>
      <w:r w:rsidRPr="004B269B">
        <w:rPr>
          <w:rFonts w:ascii="Arial" w:eastAsia="Arial Unicode MS" w:hAnsi="Arial" w:cs="Arial"/>
          <w:i/>
          <w:sz w:val="20"/>
          <w:szCs w:val="20"/>
          <w:lang w:val="en-GB"/>
        </w:rPr>
        <w:t xml:space="preserve"> </w:t>
      </w:r>
      <w:r w:rsidRPr="004B269B">
        <w:rPr>
          <w:rFonts w:ascii="Arial" w:eastAsia="Times New Roman" w:hAnsi="Arial" w:cs="Arial"/>
          <w:bCs/>
          <w:sz w:val="20"/>
          <w:szCs w:val="20"/>
        </w:rPr>
        <w:t xml:space="preserve">Monitorizarea </w:t>
      </w:r>
      <w:r w:rsidRPr="004B269B">
        <w:rPr>
          <w:rFonts w:ascii="Arial" w:eastAsia="Times New Roman" w:hAnsi="Arial" w:cs="Arial"/>
          <w:bCs/>
          <w:sz w:val="20"/>
          <w:szCs w:val="20"/>
          <w:lang w:val="ro-RO"/>
        </w:rPr>
        <w:t>şi caracterizarea stării apelor</w:t>
      </w:r>
      <w:r w:rsidRPr="004B269B">
        <w:rPr>
          <w:rFonts w:ascii="Arial" w:eastAsia="Times New Roman" w:hAnsi="Arial" w:cs="Arial"/>
          <w:bCs/>
          <w:sz w:val="20"/>
          <w:szCs w:val="20"/>
        </w:rPr>
        <w:t>)</w:t>
      </w:r>
    </w:p>
    <w:p w:rsidR="004B269B" w:rsidRPr="004B269B" w:rsidRDefault="004B269B" w:rsidP="004B269B">
      <w:pPr>
        <w:spacing w:after="0" w:line="240" w:lineRule="auto"/>
        <w:rPr>
          <w:rFonts w:ascii="Arial" w:eastAsia="SimSun" w:hAnsi="Arial" w:cs="Arial"/>
          <w:sz w:val="24"/>
          <w:szCs w:val="24"/>
          <w:lang w:val="it-IT"/>
        </w:rPr>
      </w:pPr>
    </w:p>
    <w:p w:rsidR="004B269B" w:rsidRPr="004B269B" w:rsidRDefault="004B269B" w:rsidP="004B269B">
      <w:pPr>
        <w:spacing w:after="0" w:line="240" w:lineRule="auto"/>
        <w:jc w:val="both"/>
        <w:rPr>
          <w:rFonts w:ascii="Arial" w:eastAsia="SimSun" w:hAnsi="Arial" w:cs="Arial"/>
          <w:sz w:val="24"/>
          <w:szCs w:val="24"/>
          <w:lang w:val="en-GB"/>
        </w:rPr>
      </w:pPr>
      <w:r w:rsidRPr="004B269B">
        <w:rPr>
          <w:rFonts w:ascii="Arial" w:eastAsia="SimSun" w:hAnsi="Arial" w:cs="Arial"/>
          <w:bCs/>
          <w:sz w:val="24"/>
          <w:szCs w:val="24"/>
          <w:lang w:val="en-GB"/>
        </w:rPr>
        <w:t xml:space="preserve">Figura II.10. </w:t>
      </w:r>
      <w:r w:rsidRPr="004B269B">
        <w:rPr>
          <w:rFonts w:ascii="Arial" w:eastAsia="SimSun" w:hAnsi="Arial" w:cs="Arial"/>
          <w:sz w:val="24"/>
          <w:szCs w:val="24"/>
          <w:lang w:val="en-GB"/>
        </w:rPr>
        <w:t>Evoluția indicatorului azotaţi în apele subterane, din judeţul Vaslui, în perioada anilor 2011-2015</w:t>
      </w:r>
    </w:p>
    <w:p w:rsidR="004B269B" w:rsidRPr="004B269B" w:rsidRDefault="004B269B" w:rsidP="004B269B">
      <w:pPr>
        <w:spacing w:after="0" w:line="240" w:lineRule="auto"/>
        <w:jc w:val="both"/>
        <w:rPr>
          <w:rFonts w:ascii="Arial" w:eastAsia="Times New Roman" w:hAnsi="Arial" w:cs="Arial"/>
          <w:sz w:val="24"/>
          <w:szCs w:val="24"/>
          <w:lang w:val="ro-RO"/>
        </w:rPr>
      </w:pPr>
      <w:r>
        <w:rPr>
          <w:rFonts w:ascii="Arial" w:eastAsia="SimSun" w:hAnsi="Arial" w:cs="Arial"/>
          <w:noProof/>
          <w:sz w:val="24"/>
          <w:szCs w:val="24"/>
        </w:rPr>
        <w:drawing>
          <wp:inline distT="0" distB="0" distL="0" distR="0">
            <wp:extent cx="6162675" cy="2295525"/>
            <wp:effectExtent l="0" t="0" r="0" b="0"/>
            <wp:docPr id="195" name="Chart 19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Pr="004B269B">
        <w:rPr>
          <w:rFonts w:ascii="Arial" w:eastAsia="SimSun" w:hAnsi="Arial" w:cs="Arial"/>
          <w:sz w:val="24"/>
          <w:szCs w:val="24"/>
          <w:lang w:val="ro-RO" w:eastAsia="ro-RO"/>
        </w:rPr>
        <w:tab/>
        <w:t xml:space="preserve">* Nu deţinem </w:t>
      </w:r>
      <w:r w:rsidRPr="004B269B">
        <w:rPr>
          <w:rFonts w:ascii="Arial" w:eastAsia="Times New Roman" w:hAnsi="Arial" w:cs="Arial"/>
          <w:sz w:val="24"/>
          <w:szCs w:val="24"/>
          <w:lang w:val="ro-RO"/>
        </w:rPr>
        <w:t>date şi informaţii despre tendinţa indicatorului azotaţi determinat în apele subterane din judeţul Vaslui la nivelul anului 2015.</w:t>
      </w:r>
    </w:p>
    <w:p w:rsidR="004B269B" w:rsidRPr="004B269B" w:rsidRDefault="004B269B" w:rsidP="004B269B">
      <w:pPr>
        <w:spacing w:after="0" w:line="240" w:lineRule="auto"/>
        <w:jc w:val="both"/>
        <w:rPr>
          <w:rFonts w:ascii="Arial" w:eastAsia="SimSun" w:hAnsi="Arial" w:cs="Arial"/>
          <w:sz w:val="24"/>
          <w:szCs w:val="24"/>
          <w:lang w:val="ro-RO" w:eastAsia="ro-RO"/>
        </w:rPr>
      </w:pPr>
    </w:p>
    <w:p w:rsidR="004B269B" w:rsidRPr="004B269B" w:rsidRDefault="004B269B" w:rsidP="004B269B">
      <w:pPr>
        <w:spacing w:after="0" w:line="240" w:lineRule="auto"/>
        <w:ind w:firstLine="720"/>
        <w:jc w:val="both"/>
        <w:rPr>
          <w:rFonts w:ascii="Arial" w:eastAsia="SimSun" w:hAnsi="Arial" w:cs="Arial"/>
          <w:i/>
          <w:sz w:val="24"/>
          <w:szCs w:val="24"/>
          <w:u w:val="single"/>
          <w:lang w:val="ro-RO"/>
        </w:rPr>
      </w:pPr>
      <w:r w:rsidRPr="004B269B">
        <w:rPr>
          <w:rFonts w:ascii="Arial" w:eastAsia="SimSun" w:hAnsi="Arial" w:cs="Arial"/>
          <w:sz w:val="24"/>
          <w:szCs w:val="24"/>
          <w:lang w:val="en-GB"/>
        </w:rPr>
        <w:t>Valoarea de prag pentru azotaţii (NO3-) din apele subterane este de 50 mg/L, conform H.G. nr. 53/2009 pentru aprobarea Planului Naţional de Protecţie a Apelor Subterane împotriva poluării şi deteriorării.</w:t>
      </w:r>
    </w:p>
    <w:p w:rsidR="004B269B" w:rsidRPr="004B269B" w:rsidRDefault="004B269B" w:rsidP="004B269B">
      <w:pPr>
        <w:spacing w:after="0" w:line="240" w:lineRule="auto"/>
        <w:ind w:firstLine="720"/>
        <w:jc w:val="both"/>
        <w:rPr>
          <w:rFonts w:ascii="Arial" w:eastAsia="Times New Roman" w:hAnsi="Arial" w:cs="Arial"/>
          <w:sz w:val="24"/>
          <w:szCs w:val="24"/>
          <w:lang w:val="ro-RO"/>
        </w:rPr>
      </w:pPr>
      <w:r w:rsidRPr="004B269B">
        <w:rPr>
          <w:rFonts w:ascii="Arial" w:eastAsia="Times New Roman" w:hAnsi="Arial" w:cs="Arial"/>
          <w:sz w:val="24"/>
          <w:szCs w:val="24"/>
          <w:lang w:val="ro-RO"/>
        </w:rPr>
        <w:t>În spaţiul hidrografic Prut-Bârlad au fost identificate, delimitate şi descrise un număr de 7 corpuri de ape subterane, dintre care un corp de apă subterană este transfrontalier. În judeţul Vaslui se întâlnesc trei corpuri delimitate astfel:</w:t>
      </w:r>
    </w:p>
    <w:p w:rsidR="004B269B" w:rsidRPr="004B269B" w:rsidRDefault="004B269B" w:rsidP="004B269B">
      <w:pPr>
        <w:spacing w:after="0" w:line="240" w:lineRule="auto"/>
        <w:ind w:firstLine="720"/>
        <w:jc w:val="both"/>
        <w:rPr>
          <w:rFonts w:ascii="Arial" w:eastAsia="Times New Roman" w:hAnsi="Arial" w:cs="Arial"/>
          <w:sz w:val="24"/>
          <w:szCs w:val="24"/>
          <w:lang w:val="ro-RO"/>
        </w:rPr>
      </w:pPr>
    </w:p>
    <w:p w:rsidR="004B269B" w:rsidRPr="004B269B" w:rsidRDefault="004B269B" w:rsidP="004B269B">
      <w:pPr>
        <w:spacing w:after="0" w:line="240" w:lineRule="auto"/>
        <w:rPr>
          <w:rFonts w:ascii="Arial" w:eastAsia="SimSun" w:hAnsi="Arial" w:cs="Arial"/>
          <w:sz w:val="24"/>
          <w:szCs w:val="24"/>
          <w:u w:val="single"/>
          <w:lang w:val="ro-RO"/>
        </w:rPr>
      </w:pPr>
      <w:r w:rsidRPr="004B269B">
        <w:rPr>
          <w:rFonts w:ascii="Arial" w:eastAsia="SimSun" w:hAnsi="Arial" w:cs="Arial"/>
          <w:i/>
          <w:sz w:val="24"/>
          <w:szCs w:val="24"/>
          <w:u w:val="single"/>
          <w:lang w:val="ro-RO"/>
        </w:rPr>
        <w:t>A.Lunca şi terasele Prutului mediu şi inferior şi aflueţii săi</w:t>
      </w:r>
      <w:r w:rsidRPr="004B269B">
        <w:rPr>
          <w:rFonts w:ascii="Arial" w:eastAsia="SimSun" w:hAnsi="Arial" w:cs="Arial"/>
          <w:sz w:val="24"/>
          <w:szCs w:val="24"/>
          <w:u w:val="single"/>
          <w:lang w:val="ro-RO"/>
        </w:rPr>
        <w:t xml:space="preserve"> </w:t>
      </w:r>
    </w:p>
    <w:p w:rsidR="004B269B" w:rsidRPr="004B269B" w:rsidRDefault="004B269B" w:rsidP="004B269B">
      <w:pPr>
        <w:spacing w:after="0" w:line="240" w:lineRule="auto"/>
        <w:rPr>
          <w:rFonts w:ascii="Arial" w:eastAsia="SimSun" w:hAnsi="Arial" w:cs="Arial"/>
          <w:sz w:val="24"/>
          <w:szCs w:val="24"/>
          <w:lang w:val="ro-RO"/>
        </w:rPr>
      </w:pPr>
      <w:r w:rsidRPr="004B269B">
        <w:rPr>
          <w:rFonts w:ascii="Arial" w:eastAsia="SimSun" w:hAnsi="Arial" w:cs="Arial"/>
          <w:sz w:val="24"/>
          <w:szCs w:val="24"/>
          <w:lang w:val="ro-RO"/>
        </w:rPr>
        <w:t xml:space="preserve">a. Localizare, suprafaţă şi tip: </w:t>
      </w:r>
    </w:p>
    <w:p w:rsidR="004B269B" w:rsidRPr="004B269B" w:rsidRDefault="004B269B" w:rsidP="004B269B">
      <w:pPr>
        <w:spacing w:after="0" w:line="240" w:lineRule="auto"/>
        <w:jc w:val="both"/>
        <w:rPr>
          <w:rFonts w:ascii="Arial" w:eastAsia="SimSun" w:hAnsi="Arial" w:cs="Arial"/>
          <w:sz w:val="24"/>
          <w:szCs w:val="24"/>
          <w:lang w:val="ro-RO"/>
        </w:rPr>
      </w:pPr>
      <w:r w:rsidRPr="004B269B">
        <w:rPr>
          <w:rFonts w:ascii="Arial" w:eastAsia="SimSun" w:hAnsi="Arial" w:cs="Arial"/>
          <w:b/>
          <w:sz w:val="24"/>
          <w:szCs w:val="24"/>
          <w:lang w:val="ro-RO"/>
        </w:rPr>
        <w:tab/>
      </w:r>
      <w:r w:rsidRPr="004B269B">
        <w:rPr>
          <w:rFonts w:ascii="Arial" w:eastAsia="SimSun" w:hAnsi="Arial" w:cs="Arial"/>
          <w:sz w:val="24"/>
          <w:szCs w:val="24"/>
          <w:lang w:val="ro-RO"/>
        </w:rPr>
        <w:t xml:space="preserve">Corpul de apă subterană este localizat în lunca şi terasele râului Prut şi a afluenţilor săi, este de tip poros permebil . </w:t>
      </w:r>
    </w:p>
    <w:p w:rsidR="004B269B" w:rsidRPr="004B269B" w:rsidRDefault="004B269B" w:rsidP="004B269B">
      <w:pPr>
        <w:spacing w:after="0" w:line="240" w:lineRule="auto"/>
        <w:jc w:val="both"/>
        <w:rPr>
          <w:rFonts w:ascii="Arial" w:eastAsia="SimSun" w:hAnsi="Arial" w:cs="Arial"/>
          <w:sz w:val="24"/>
          <w:szCs w:val="24"/>
          <w:lang w:val="ro-RO"/>
        </w:rPr>
      </w:pPr>
    </w:p>
    <w:p w:rsidR="004B269B" w:rsidRPr="004B269B" w:rsidRDefault="004B269B" w:rsidP="004B269B">
      <w:pPr>
        <w:tabs>
          <w:tab w:val="left" w:pos="0"/>
        </w:tabs>
        <w:spacing w:after="0" w:line="240" w:lineRule="auto"/>
        <w:jc w:val="both"/>
        <w:rPr>
          <w:rFonts w:ascii="Arial" w:eastAsia="SimSun" w:hAnsi="Arial" w:cs="Arial"/>
          <w:sz w:val="24"/>
          <w:szCs w:val="24"/>
          <w:u w:val="single"/>
          <w:lang w:val="ro-RO"/>
        </w:rPr>
      </w:pPr>
      <w:r w:rsidRPr="004B269B">
        <w:rPr>
          <w:rFonts w:ascii="Arial" w:eastAsia="SimSun" w:hAnsi="Arial" w:cs="Arial"/>
          <w:i/>
          <w:sz w:val="24"/>
          <w:szCs w:val="24"/>
          <w:u w:val="single"/>
          <w:lang w:val="ro-RO"/>
        </w:rPr>
        <w:t>B. Lunca râului Bârlad</w:t>
      </w:r>
    </w:p>
    <w:p w:rsidR="004B269B" w:rsidRPr="004B269B" w:rsidRDefault="004B269B" w:rsidP="004B269B">
      <w:pPr>
        <w:spacing w:after="0" w:line="240" w:lineRule="auto"/>
        <w:rPr>
          <w:rFonts w:ascii="Arial" w:eastAsia="SimSun" w:hAnsi="Arial" w:cs="Arial"/>
          <w:sz w:val="24"/>
          <w:szCs w:val="24"/>
          <w:lang w:val="ro-RO"/>
        </w:rPr>
      </w:pPr>
      <w:r w:rsidRPr="004B269B">
        <w:rPr>
          <w:rFonts w:ascii="Arial" w:eastAsia="SimSun" w:hAnsi="Arial" w:cs="Arial"/>
          <w:sz w:val="24"/>
          <w:szCs w:val="24"/>
          <w:lang w:val="ro-RO"/>
        </w:rPr>
        <w:t xml:space="preserve">a. Localizare, suprafaţă şi tip: </w:t>
      </w:r>
    </w:p>
    <w:p w:rsidR="004B269B" w:rsidRPr="004B269B" w:rsidRDefault="004B269B" w:rsidP="004B269B">
      <w:pPr>
        <w:spacing w:after="0" w:line="240" w:lineRule="auto"/>
        <w:ind w:firstLine="720"/>
        <w:jc w:val="both"/>
        <w:rPr>
          <w:rFonts w:ascii="Arial" w:eastAsia="SimSun" w:hAnsi="Arial" w:cs="Arial"/>
          <w:sz w:val="24"/>
          <w:szCs w:val="24"/>
          <w:lang w:val="ro-RO"/>
        </w:rPr>
      </w:pPr>
      <w:r w:rsidRPr="004B269B">
        <w:rPr>
          <w:rFonts w:ascii="Arial" w:eastAsia="SimSun" w:hAnsi="Arial" w:cs="Arial"/>
          <w:sz w:val="24"/>
          <w:szCs w:val="24"/>
          <w:lang w:val="ro-RO"/>
        </w:rPr>
        <w:lastRenderedPageBreak/>
        <w:t xml:space="preserve">Corpul de apă subterană de tip poros permeabil dezvoltat în lunca şi terasele râului Bârlad şi a afluenţilor acestuia. </w:t>
      </w:r>
    </w:p>
    <w:p w:rsidR="004B269B" w:rsidRPr="004B269B" w:rsidRDefault="004B269B" w:rsidP="004B269B">
      <w:pPr>
        <w:spacing w:after="0" w:line="240" w:lineRule="auto"/>
        <w:rPr>
          <w:rFonts w:ascii="Arial" w:eastAsia="SimSun" w:hAnsi="Arial" w:cs="Arial"/>
          <w:sz w:val="24"/>
          <w:szCs w:val="24"/>
          <w:lang w:val="ro-RO"/>
        </w:rPr>
      </w:pPr>
      <w:r w:rsidRPr="004B269B">
        <w:rPr>
          <w:rFonts w:ascii="Arial" w:eastAsia="SimSun" w:hAnsi="Arial" w:cs="Arial"/>
          <w:sz w:val="24"/>
          <w:szCs w:val="24"/>
          <w:lang w:val="ro-RO"/>
        </w:rPr>
        <w:t>b. Gradul de acoperire al terenului din zona corpului de apă subterană:</w:t>
      </w:r>
    </w:p>
    <w:p w:rsidR="004B269B" w:rsidRPr="004B269B" w:rsidRDefault="004B269B" w:rsidP="004B269B">
      <w:pPr>
        <w:spacing w:after="0" w:line="240" w:lineRule="auto"/>
        <w:ind w:firstLine="720"/>
        <w:jc w:val="both"/>
        <w:rPr>
          <w:rFonts w:ascii="Arial" w:eastAsia="SimSun" w:hAnsi="Arial" w:cs="Arial"/>
          <w:sz w:val="24"/>
          <w:szCs w:val="24"/>
          <w:lang w:val="ro-RO"/>
        </w:rPr>
      </w:pPr>
      <w:r w:rsidRPr="004B269B">
        <w:rPr>
          <w:rFonts w:ascii="Arial" w:eastAsia="SimSun" w:hAnsi="Arial" w:cs="Arial"/>
          <w:sz w:val="24"/>
          <w:szCs w:val="24"/>
          <w:lang w:val="ro-RO"/>
        </w:rPr>
        <w:t xml:space="preserve">Datorita extinderi pe întreaga lungime a râului Bârlad şi a afluenţilor principali, gradul de acoperire variază în funcţie de condiţiile morfologice a terenului. </w:t>
      </w:r>
    </w:p>
    <w:p w:rsidR="004B269B" w:rsidRPr="004B269B" w:rsidRDefault="004B269B" w:rsidP="004B269B">
      <w:pPr>
        <w:spacing w:after="0" w:line="240" w:lineRule="auto"/>
        <w:ind w:firstLine="720"/>
        <w:jc w:val="both"/>
        <w:rPr>
          <w:rFonts w:ascii="Arial" w:eastAsia="SimSun" w:hAnsi="Arial" w:cs="Arial"/>
          <w:sz w:val="24"/>
          <w:szCs w:val="24"/>
          <w:lang w:val="ro-RO"/>
        </w:rPr>
      </w:pPr>
      <w:r w:rsidRPr="004B269B">
        <w:rPr>
          <w:rFonts w:ascii="Arial" w:eastAsia="SimSun" w:hAnsi="Arial" w:cs="Arial"/>
          <w:sz w:val="24"/>
          <w:szCs w:val="24"/>
          <w:lang w:val="ro-RO"/>
        </w:rPr>
        <w:t>Stratul acoperitor este constituit din depozite groase, impermeabile (argile, silturi, silturi argiloase) grosimea este cuprinsă între 2-10 m.</w:t>
      </w:r>
    </w:p>
    <w:p w:rsidR="004B269B" w:rsidRPr="004B269B" w:rsidRDefault="004B269B" w:rsidP="004B269B">
      <w:pPr>
        <w:spacing w:after="0" w:line="240" w:lineRule="auto"/>
        <w:ind w:firstLine="720"/>
        <w:jc w:val="both"/>
        <w:rPr>
          <w:rFonts w:ascii="Arial" w:eastAsia="SimSun" w:hAnsi="Arial" w:cs="Arial"/>
          <w:sz w:val="24"/>
          <w:szCs w:val="24"/>
          <w:lang w:val="ro-RO"/>
        </w:rPr>
      </w:pPr>
      <w:r w:rsidRPr="004B269B">
        <w:rPr>
          <w:rFonts w:ascii="Arial" w:eastAsia="SimSun" w:hAnsi="Arial" w:cs="Arial"/>
          <w:sz w:val="24"/>
          <w:szCs w:val="24"/>
          <w:lang w:val="ro-RO"/>
        </w:rPr>
        <w:t>Din cauza depozitelor impermebile din acoperişul stratelor acvifere, de cele mai multe ori nivelul are caracter ascensional uneori ridicându-se foarte aproape de suprafaţa terenului.</w:t>
      </w:r>
    </w:p>
    <w:p w:rsidR="004B269B" w:rsidRPr="004B269B" w:rsidRDefault="004B269B" w:rsidP="004B269B">
      <w:pPr>
        <w:spacing w:after="0" w:line="240" w:lineRule="auto"/>
        <w:ind w:firstLine="720"/>
        <w:jc w:val="both"/>
        <w:rPr>
          <w:rFonts w:ascii="Arial" w:eastAsia="SimSun" w:hAnsi="Arial" w:cs="Arial"/>
          <w:sz w:val="24"/>
          <w:szCs w:val="24"/>
          <w:lang w:val="ro-RO"/>
        </w:rPr>
      </w:pPr>
    </w:p>
    <w:p w:rsidR="004B269B" w:rsidRPr="004B269B" w:rsidRDefault="004B269B" w:rsidP="004B269B">
      <w:pPr>
        <w:spacing w:after="0" w:line="240" w:lineRule="auto"/>
        <w:jc w:val="both"/>
        <w:rPr>
          <w:rFonts w:ascii="Arial" w:eastAsia="SimSun" w:hAnsi="Arial" w:cs="Arial"/>
          <w:i/>
          <w:sz w:val="24"/>
          <w:szCs w:val="24"/>
          <w:u w:val="single"/>
          <w:lang w:val="it-IT"/>
        </w:rPr>
      </w:pPr>
      <w:r w:rsidRPr="004B269B">
        <w:rPr>
          <w:rFonts w:ascii="Arial" w:eastAsia="SimSun" w:hAnsi="Arial" w:cs="Arial"/>
          <w:i/>
          <w:sz w:val="24"/>
          <w:szCs w:val="24"/>
          <w:u w:val="single"/>
          <w:lang w:val="it-IT"/>
        </w:rPr>
        <w:t xml:space="preserve">C. Podisul Central Moldovenesc </w:t>
      </w:r>
    </w:p>
    <w:p w:rsidR="004B269B" w:rsidRPr="004B269B" w:rsidRDefault="004B269B" w:rsidP="004B269B">
      <w:pPr>
        <w:spacing w:after="0" w:line="240" w:lineRule="auto"/>
        <w:rPr>
          <w:rFonts w:ascii="Arial" w:eastAsia="SimSun" w:hAnsi="Arial" w:cs="Arial"/>
          <w:i/>
          <w:sz w:val="24"/>
          <w:szCs w:val="24"/>
          <w:lang w:val="it-IT"/>
        </w:rPr>
      </w:pPr>
      <w:r w:rsidRPr="004B269B">
        <w:rPr>
          <w:rFonts w:ascii="Arial" w:eastAsia="SimSun" w:hAnsi="Arial" w:cs="Arial"/>
          <w:i/>
          <w:sz w:val="24"/>
          <w:szCs w:val="24"/>
          <w:lang w:val="it-IT"/>
        </w:rPr>
        <w:t>a. Localizare, suprafaţă şi tip:</w:t>
      </w:r>
    </w:p>
    <w:p w:rsidR="004B269B" w:rsidRPr="004B269B" w:rsidRDefault="004B269B" w:rsidP="004B269B">
      <w:pPr>
        <w:spacing w:after="0" w:line="240" w:lineRule="auto"/>
        <w:ind w:firstLine="540"/>
        <w:jc w:val="both"/>
        <w:rPr>
          <w:rFonts w:ascii="Arial" w:eastAsia="SimSun" w:hAnsi="Arial" w:cs="Arial"/>
          <w:sz w:val="24"/>
          <w:szCs w:val="24"/>
          <w:lang w:val="it-IT"/>
        </w:rPr>
      </w:pPr>
      <w:r w:rsidRPr="004B269B">
        <w:rPr>
          <w:rFonts w:ascii="Arial" w:eastAsia="SimSun" w:hAnsi="Arial" w:cs="Arial"/>
          <w:sz w:val="24"/>
          <w:szCs w:val="24"/>
          <w:lang w:val="it-IT"/>
        </w:rPr>
        <w:t xml:space="preserve">Corpul de apă subterană de adâncime  este de tip poros permabil, ce se dezvoltă pe teritoriul judeţelor Neamţ, Bacău şi Vaslui. </w:t>
      </w:r>
    </w:p>
    <w:p w:rsidR="004B269B" w:rsidRPr="004B269B" w:rsidRDefault="004B269B" w:rsidP="004B269B">
      <w:pPr>
        <w:tabs>
          <w:tab w:val="left" w:pos="0"/>
        </w:tabs>
        <w:spacing w:after="0" w:line="240" w:lineRule="auto"/>
        <w:jc w:val="both"/>
        <w:rPr>
          <w:rFonts w:ascii="Arial" w:eastAsia="SimSun" w:hAnsi="Arial" w:cs="Arial"/>
          <w:sz w:val="24"/>
          <w:szCs w:val="24"/>
          <w:lang w:val="it-IT"/>
        </w:rPr>
      </w:pPr>
      <w:r w:rsidRPr="004B269B">
        <w:rPr>
          <w:rFonts w:ascii="Arial" w:eastAsia="SimSun" w:hAnsi="Arial" w:cs="Arial"/>
          <w:sz w:val="24"/>
          <w:szCs w:val="24"/>
          <w:lang w:val="it-IT"/>
        </w:rPr>
        <w:tab/>
        <w:t xml:space="preserve">Suprafaţa corpului de apă de adâncime este de 21.626 kmp din care 12.531 Kmp pe teritoriul A.B.A. Prut – Bârlad. </w:t>
      </w:r>
    </w:p>
    <w:p w:rsidR="004B269B" w:rsidRPr="004B269B" w:rsidRDefault="004B269B" w:rsidP="004B269B">
      <w:pPr>
        <w:spacing w:after="0" w:line="240" w:lineRule="auto"/>
        <w:rPr>
          <w:rFonts w:ascii="Arial" w:eastAsia="SimSun" w:hAnsi="Arial" w:cs="Arial"/>
          <w:sz w:val="24"/>
          <w:szCs w:val="24"/>
          <w:lang w:val="it-IT"/>
        </w:rPr>
      </w:pPr>
      <w:r w:rsidRPr="004B269B">
        <w:rPr>
          <w:rFonts w:ascii="Arial" w:eastAsia="SimSun" w:hAnsi="Arial" w:cs="Arial"/>
          <w:sz w:val="24"/>
          <w:szCs w:val="24"/>
          <w:lang w:val="it-IT"/>
        </w:rPr>
        <w:t>b. Gradul de acoperire al terenului din zona corpului de apă subterană:</w:t>
      </w:r>
    </w:p>
    <w:p w:rsidR="004B269B" w:rsidRPr="004B269B" w:rsidRDefault="004B269B" w:rsidP="004B269B">
      <w:pPr>
        <w:spacing w:after="0" w:line="240" w:lineRule="auto"/>
        <w:ind w:firstLine="720"/>
        <w:jc w:val="both"/>
        <w:rPr>
          <w:rFonts w:ascii="Arial" w:eastAsia="SimSun" w:hAnsi="Arial" w:cs="Arial"/>
          <w:sz w:val="24"/>
          <w:szCs w:val="24"/>
          <w:lang w:val="it-IT"/>
        </w:rPr>
      </w:pPr>
      <w:r w:rsidRPr="004B269B">
        <w:rPr>
          <w:rFonts w:ascii="Arial" w:eastAsia="SimSun" w:hAnsi="Arial" w:cs="Arial"/>
          <w:sz w:val="24"/>
          <w:szCs w:val="24"/>
          <w:lang w:val="it-IT"/>
        </w:rPr>
        <w:t xml:space="preserve">Acest corp de apă subterană are un grad de protecţie foarte bun asigurat de stiva groasă a depozitelor din acoperiş şi lipsesc presiunile şi impacturile antropice directe asupra corpului. </w:t>
      </w:r>
    </w:p>
    <w:p w:rsidR="004B269B" w:rsidRPr="004B269B" w:rsidRDefault="004B269B" w:rsidP="004B269B">
      <w:pPr>
        <w:spacing w:after="0" w:line="240" w:lineRule="auto"/>
        <w:rPr>
          <w:rFonts w:ascii="Times New Roman" w:eastAsia="SimSun" w:hAnsi="Times New Roman" w:cs="Times New Roman"/>
          <w:sz w:val="16"/>
          <w:szCs w:val="16"/>
          <w:lang w:val="en-GB"/>
        </w:rPr>
      </w:pPr>
    </w:p>
    <w:p w:rsidR="004B269B" w:rsidRPr="004B269B" w:rsidRDefault="004B269B" w:rsidP="004B269B">
      <w:pPr>
        <w:spacing w:after="0" w:line="240" w:lineRule="auto"/>
        <w:rPr>
          <w:rFonts w:ascii="Arial" w:eastAsia="SimSun" w:hAnsi="Arial" w:cs="Arial"/>
          <w:sz w:val="24"/>
          <w:szCs w:val="24"/>
          <w:lang w:val="es-ES"/>
        </w:rPr>
      </w:pPr>
      <w:r w:rsidRPr="004B269B">
        <w:rPr>
          <w:rFonts w:ascii="Arial" w:eastAsia="SimSun" w:hAnsi="Arial" w:cs="Arial"/>
          <w:sz w:val="24"/>
          <w:szCs w:val="24"/>
          <w:lang w:val="es-ES"/>
        </w:rPr>
        <w:t xml:space="preserve">Pentru anul 2015, nu deţinem informaţii referitoare la monitorizarea pesticidelor în apele subterane din judeţul Vaslui. </w:t>
      </w:r>
    </w:p>
    <w:p w:rsidR="004B269B" w:rsidRPr="004B269B" w:rsidRDefault="004B269B" w:rsidP="004B269B">
      <w:pPr>
        <w:spacing w:after="0" w:line="240" w:lineRule="auto"/>
        <w:jc w:val="both"/>
        <w:rPr>
          <w:rFonts w:ascii="Arial" w:eastAsia="SimSun" w:hAnsi="Arial" w:cs="Arial"/>
          <w:sz w:val="24"/>
          <w:szCs w:val="24"/>
          <w:lang w:val="ro-RO"/>
        </w:rPr>
      </w:pPr>
    </w:p>
    <w:p w:rsidR="004B269B" w:rsidRPr="004B269B" w:rsidRDefault="004B269B" w:rsidP="004B269B">
      <w:pPr>
        <w:spacing w:after="0" w:line="240" w:lineRule="auto"/>
        <w:jc w:val="both"/>
        <w:rPr>
          <w:rFonts w:ascii="Arial" w:eastAsia="SimSun" w:hAnsi="Arial" w:cs="Arial"/>
          <w:sz w:val="24"/>
          <w:szCs w:val="24"/>
          <w:lang w:val="es-ES"/>
        </w:rPr>
      </w:pPr>
      <w:r w:rsidRPr="004B269B">
        <w:rPr>
          <w:rFonts w:ascii="Arial" w:eastAsia="SimSun" w:hAnsi="Arial" w:cs="Arial"/>
          <w:sz w:val="24"/>
          <w:szCs w:val="24"/>
          <w:lang w:val="ro-RO"/>
        </w:rPr>
        <w:t xml:space="preserve">Tabelul II.9. </w:t>
      </w:r>
      <w:r w:rsidRPr="004B269B">
        <w:rPr>
          <w:rFonts w:ascii="Arial" w:eastAsia="SimSun" w:hAnsi="Arial" w:cs="Arial"/>
          <w:sz w:val="24"/>
          <w:szCs w:val="24"/>
          <w:lang w:val="es-ES"/>
        </w:rPr>
        <w:t xml:space="preserve">Tendinţele de poluare cu pesticide a apelor subterane, din judeţul Vaslui, în perioada 2011- 2015 </w:t>
      </w:r>
    </w:p>
    <w:tbl>
      <w:tblPr>
        <w:tblW w:w="980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746"/>
        <w:gridCol w:w="843"/>
        <w:gridCol w:w="842"/>
        <w:gridCol w:w="886"/>
        <w:gridCol w:w="709"/>
      </w:tblGrid>
      <w:tr w:rsidR="004B269B" w:rsidRPr="004B269B" w:rsidTr="00080B9C">
        <w:trPr>
          <w:trHeight w:val="70"/>
        </w:trPr>
        <w:tc>
          <w:tcPr>
            <w:tcW w:w="5778" w:type="dxa"/>
            <w:shd w:val="clear" w:color="auto" w:fill="auto"/>
            <w:vAlign w:val="center"/>
            <w:hideMark/>
          </w:tcPr>
          <w:p w:rsidR="004B269B" w:rsidRPr="004B269B" w:rsidRDefault="004B269B" w:rsidP="004B269B">
            <w:pPr>
              <w:spacing w:after="0" w:line="240" w:lineRule="auto"/>
              <w:rPr>
                <w:rFonts w:ascii="Arial" w:eastAsia="Times New Roman" w:hAnsi="Arial" w:cs="Arial"/>
                <w:b/>
                <w:bCs/>
                <w:sz w:val="20"/>
                <w:szCs w:val="20"/>
              </w:rPr>
            </w:pPr>
            <w:r w:rsidRPr="004B269B">
              <w:rPr>
                <w:rFonts w:ascii="Arial" w:eastAsia="Times New Roman" w:hAnsi="Arial" w:cs="Arial"/>
                <w:b/>
                <w:bCs/>
                <w:sz w:val="20"/>
                <w:szCs w:val="20"/>
              </w:rPr>
              <w:t>Anul</w:t>
            </w:r>
          </w:p>
        </w:tc>
        <w:tc>
          <w:tcPr>
            <w:tcW w:w="74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20"/>
                <w:szCs w:val="20"/>
              </w:rPr>
            </w:pPr>
            <w:r w:rsidRPr="004B269B">
              <w:rPr>
                <w:rFonts w:ascii="Arial" w:eastAsia="Times New Roman" w:hAnsi="Arial" w:cs="Arial"/>
                <w:b/>
                <w:bCs/>
                <w:sz w:val="20"/>
                <w:szCs w:val="20"/>
              </w:rPr>
              <w:t>2011</w:t>
            </w:r>
          </w:p>
        </w:tc>
        <w:tc>
          <w:tcPr>
            <w:tcW w:w="843"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20"/>
                <w:szCs w:val="20"/>
              </w:rPr>
            </w:pPr>
            <w:r w:rsidRPr="004B269B">
              <w:rPr>
                <w:rFonts w:ascii="Arial" w:eastAsia="Times New Roman" w:hAnsi="Arial" w:cs="Arial"/>
                <w:b/>
                <w:bCs/>
                <w:sz w:val="20"/>
                <w:szCs w:val="20"/>
              </w:rPr>
              <w:t>2012</w:t>
            </w:r>
          </w:p>
        </w:tc>
        <w:tc>
          <w:tcPr>
            <w:tcW w:w="84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20"/>
                <w:szCs w:val="20"/>
              </w:rPr>
            </w:pPr>
            <w:r w:rsidRPr="004B269B">
              <w:rPr>
                <w:rFonts w:ascii="Arial" w:eastAsia="Times New Roman" w:hAnsi="Arial" w:cs="Arial"/>
                <w:b/>
                <w:bCs/>
                <w:sz w:val="20"/>
                <w:szCs w:val="20"/>
              </w:rPr>
              <w:t>2013</w:t>
            </w:r>
          </w:p>
        </w:tc>
        <w:tc>
          <w:tcPr>
            <w:tcW w:w="88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20"/>
                <w:szCs w:val="20"/>
              </w:rPr>
            </w:pPr>
            <w:r w:rsidRPr="004B269B">
              <w:rPr>
                <w:rFonts w:ascii="Arial" w:eastAsia="Times New Roman" w:hAnsi="Arial" w:cs="Arial"/>
                <w:b/>
                <w:bCs/>
                <w:sz w:val="20"/>
                <w:szCs w:val="20"/>
              </w:rPr>
              <w:t>2014</w:t>
            </w:r>
          </w:p>
        </w:tc>
        <w:tc>
          <w:tcPr>
            <w:tcW w:w="709" w:type="dxa"/>
            <w:shd w:val="clear" w:color="auto" w:fill="auto"/>
            <w:vAlign w:val="center"/>
          </w:tcPr>
          <w:p w:rsidR="004B269B" w:rsidRPr="004B269B" w:rsidRDefault="004B269B" w:rsidP="004B269B">
            <w:pPr>
              <w:spacing w:after="0" w:line="240" w:lineRule="auto"/>
              <w:jc w:val="center"/>
              <w:rPr>
                <w:rFonts w:ascii="Arial" w:eastAsia="Times New Roman" w:hAnsi="Arial" w:cs="Arial"/>
                <w:b/>
                <w:bCs/>
                <w:sz w:val="20"/>
                <w:szCs w:val="20"/>
              </w:rPr>
            </w:pPr>
            <w:r w:rsidRPr="004B269B">
              <w:rPr>
                <w:rFonts w:ascii="Arial" w:eastAsia="Times New Roman" w:hAnsi="Arial" w:cs="Arial"/>
                <w:b/>
                <w:bCs/>
                <w:sz w:val="20"/>
                <w:szCs w:val="20"/>
              </w:rPr>
              <w:t>2015</w:t>
            </w:r>
          </w:p>
        </w:tc>
      </w:tr>
      <w:tr w:rsidR="004B269B" w:rsidRPr="004B269B" w:rsidTr="00080B9C">
        <w:trPr>
          <w:trHeight w:val="70"/>
        </w:trPr>
        <w:tc>
          <w:tcPr>
            <w:tcW w:w="5778" w:type="dxa"/>
            <w:shd w:val="clear" w:color="auto" w:fill="auto"/>
            <w:vAlign w:val="center"/>
            <w:hideMark/>
          </w:tcPr>
          <w:p w:rsidR="004B269B" w:rsidRPr="004B269B" w:rsidRDefault="004B269B" w:rsidP="004B269B">
            <w:pPr>
              <w:spacing w:after="0" w:line="240" w:lineRule="auto"/>
              <w:rPr>
                <w:rFonts w:ascii="Arial" w:eastAsia="Times New Roman" w:hAnsi="Arial" w:cs="Arial"/>
                <w:bCs/>
                <w:sz w:val="20"/>
                <w:szCs w:val="20"/>
              </w:rPr>
            </w:pPr>
            <w:r w:rsidRPr="004B269B">
              <w:rPr>
                <w:rFonts w:ascii="Arial" w:eastAsia="Times New Roman" w:hAnsi="Arial" w:cs="Arial"/>
                <w:bCs/>
                <w:sz w:val="20"/>
                <w:szCs w:val="20"/>
              </w:rPr>
              <w:t>Număr pesticide monitorizate</w:t>
            </w:r>
          </w:p>
        </w:tc>
        <w:tc>
          <w:tcPr>
            <w:tcW w:w="746" w:type="dxa"/>
            <w:shd w:val="clear" w:color="auto" w:fill="auto"/>
            <w:vAlign w:val="bottom"/>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11</w:t>
            </w:r>
          </w:p>
        </w:tc>
        <w:tc>
          <w:tcPr>
            <w:tcW w:w="843" w:type="dxa"/>
            <w:shd w:val="clear" w:color="auto" w:fill="auto"/>
            <w:vAlign w:val="bottom"/>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11</w:t>
            </w:r>
          </w:p>
        </w:tc>
        <w:tc>
          <w:tcPr>
            <w:tcW w:w="842" w:type="dxa"/>
            <w:shd w:val="clear" w:color="auto" w:fill="auto"/>
            <w:vAlign w:val="bottom"/>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11</w:t>
            </w:r>
          </w:p>
        </w:tc>
        <w:tc>
          <w:tcPr>
            <w:tcW w:w="886" w:type="dxa"/>
            <w:shd w:val="clear" w:color="auto" w:fill="auto"/>
            <w:vAlign w:val="bottom"/>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11</w:t>
            </w:r>
          </w:p>
        </w:tc>
        <w:tc>
          <w:tcPr>
            <w:tcW w:w="709" w:type="dxa"/>
            <w:shd w:val="clear" w:color="auto" w:fill="auto"/>
            <w:vAlign w:val="bottom"/>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w:t>
            </w:r>
          </w:p>
        </w:tc>
      </w:tr>
      <w:tr w:rsidR="004B269B" w:rsidRPr="004B269B" w:rsidTr="00080B9C">
        <w:trPr>
          <w:trHeight w:val="84"/>
        </w:trPr>
        <w:tc>
          <w:tcPr>
            <w:tcW w:w="5778" w:type="dxa"/>
            <w:shd w:val="clear" w:color="auto" w:fill="auto"/>
            <w:vAlign w:val="center"/>
            <w:hideMark/>
          </w:tcPr>
          <w:p w:rsidR="004B269B" w:rsidRPr="004B269B" w:rsidRDefault="004B269B" w:rsidP="004B269B">
            <w:pPr>
              <w:spacing w:after="0" w:line="240" w:lineRule="auto"/>
              <w:rPr>
                <w:rFonts w:ascii="Arial" w:eastAsia="Times New Roman" w:hAnsi="Arial" w:cs="Arial"/>
                <w:bCs/>
                <w:sz w:val="20"/>
                <w:szCs w:val="20"/>
              </w:rPr>
            </w:pPr>
            <w:r w:rsidRPr="004B269B">
              <w:rPr>
                <w:rFonts w:ascii="Arial" w:eastAsia="Times New Roman" w:hAnsi="Arial" w:cs="Arial"/>
                <w:bCs/>
                <w:sz w:val="20"/>
                <w:szCs w:val="20"/>
              </w:rPr>
              <w:t>Număr puncte monitorizare</w:t>
            </w:r>
          </w:p>
        </w:tc>
        <w:tc>
          <w:tcPr>
            <w:tcW w:w="746" w:type="dxa"/>
            <w:shd w:val="clear" w:color="auto" w:fill="auto"/>
            <w:vAlign w:val="bottom"/>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2</w:t>
            </w:r>
          </w:p>
        </w:tc>
        <w:tc>
          <w:tcPr>
            <w:tcW w:w="843" w:type="dxa"/>
            <w:shd w:val="clear" w:color="auto" w:fill="auto"/>
            <w:vAlign w:val="bottom"/>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4</w:t>
            </w:r>
          </w:p>
        </w:tc>
        <w:tc>
          <w:tcPr>
            <w:tcW w:w="842" w:type="dxa"/>
            <w:shd w:val="clear" w:color="auto" w:fill="auto"/>
            <w:vAlign w:val="bottom"/>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4</w:t>
            </w:r>
          </w:p>
        </w:tc>
        <w:tc>
          <w:tcPr>
            <w:tcW w:w="886" w:type="dxa"/>
            <w:shd w:val="clear" w:color="auto" w:fill="auto"/>
            <w:vAlign w:val="bottom"/>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4</w:t>
            </w:r>
          </w:p>
        </w:tc>
        <w:tc>
          <w:tcPr>
            <w:tcW w:w="709" w:type="dxa"/>
            <w:shd w:val="clear" w:color="auto" w:fill="auto"/>
            <w:vAlign w:val="bottom"/>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w:t>
            </w:r>
          </w:p>
        </w:tc>
      </w:tr>
      <w:tr w:rsidR="004B269B" w:rsidRPr="004B269B" w:rsidTr="00080B9C">
        <w:trPr>
          <w:trHeight w:val="215"/>
        </w:trPr>
        <w:tc>
          <w:tcPr>
            <w:tcW w:w="5778" w:type="dxa"/>
            <w:shd w:val="clear" w:color="auto" w:fill="auto"/>
            <w:vAlign w:val="center"/>
            <w:hideMark/>
          </w:tcPr>
          <w:p w:rsidR="004B269B" w:rsidRPr="004B269B" w:rsidRDefault="004B269B" w:rsidP="004B269B">
            <w:pPr>
              <w:spacing w:after="0" w:line="240" w:lineRule="auto"/>
              <w:rPr>
                <w:rFonts w:ascii="Arial" w:eastAsia="Times New Roman" w:hAnsi="Arial" w:cs="Arial"/>
                <w:bCs/>
                <w:sz w:val="20"/>
                <w:szCs w:val="20"/>
              </w:rPr>
            </w:pPr>
            <w:r w:rsidRPr="004B269B">
              <w:rPr>
                <w:rFonts w:ascii="Arial" w:eastAsia="Times New Roman" w:hAnsi="Arial" w:cs="Arial"/>
                <w:bCs/>
                <w:sz w:val="20"/>
                <w:szCs w:val="20"/>
              </w:rPr>
              <w:t>Ponderea punctelor cu concentraţie mai mare de 0,1 μg/L (%)</w:t>
            </w:r>
          </w:p>
        </w:tc>
        <w:tc>
          <w:tcPr>
            <w:tcW w:w="746" w:type="dxa"/>
            <w:shd w:val="clear" w:color="auto" w:fill="auto"/>
            <w:vAlign w:val="bottom"/>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0</w:t>
            </w:r>
          </w:p>
        </w:tc>
        <w:tc>
          <w:tcPr>
            <w:tcW w:w="843" w:type="dxa"/>
            <w:shd w:val="clear" w:color="auto" w:fill="auto"/>
            <w:vAlign w:val="bottom"/>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0</w:t>
            </w:r>
          </w:p>
        </w:tc>
        <w:tc>
          <w:tcPr>
            <w:tcW w:w="842" w:type="dxa"/>
            <w:shd w:val="clear" w:color="auto" w:fill="auto"/>
            <w:vAlign w:val="bottom"/>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0</w:t>
            </w:r>
          </w:p>
        </w:tc>
        <w:tc>
          <w:tcPr>
            <w:tcW w:w="886" w:type="dxa"/>
            <w:shd w:val="clear" w:color="auto" w:fill="auto"/>
            <w:vAlign w:val="bottom"/>
            <w:hideMark/>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0</w:t>
            </w:r>
          </w:p>
        </w:tc>
        <w:tc>
          <w:tcPr>
            <w:tcW w:w="709" w:type="dxa"/>
            <w:shd w:val="clear" w:color="auto" w:fill="auto"/>
            <w:vAlign w:val="bottom"/>
          </w:tcPr>
          <w:p w:rsidR="004B269B" w:rsidRPr="004B269B" w:rsidRDefault="004B269B" w:rsidP="004B269B">
            <w:pPr>
              <w:spacing w:after="0" w:line="240" w:lineRule="auto"/>
              <w:jc w:val="center"/>
              <w:rPr>
                <w:rFonts w:ascii="Arial" w:eastAsia="Times New Roman" w:hAnsi="Arial" w:cs="Arial"/>
                <w:sz w:val="20"/>
                <w:szCs w:val="20"/>
              </w:rPr>
            </w:pPr>
            <w:r w:rsidRPr="004B269B">
              <w:rPr>
                <w:rFonts w:ascii="Arial" w:eastAsia="Times New Roman" w:hAnsi="Arial" w:cs="Arial"/>
                <w:sz w:val="20"/>
                <w:szCs w:val="20"/>
              </w:rPr>
              <w:t>-*</w:t>
            </w:r>
          </w:p>
        </w:tc>
      </w:tr>
    </w:tbl>
    <w:p w:rsidR="004B269B" w:rsidRPr="004B269B" w:rsidRDefault="004B269B" w:rsidP="004B269B">
      <w:pPr>
        <w:spacing w:after="0" w:line="240" w:lineRule="auto"/>
        <w:rPr>
          <w:rFonts w:ascii="Arial" w:eastAsia="SimSun" w:hAnsi="Arial" w:cs="Arial"/>
          <w:sz w:val="20"/>
          <w:szCs w:val="20"/>
          <w:lang w:val="ro-RO"/>
        </w:rPr>
      </w:pPr>
      <w:r w:rsidRPr="004B269B">
        <w:rPr>
          <w:rFonts w:ascii="Arial" w:eastAsia="SimSun" w:hAnsi="Arial" w:cs="Arial"/>
          <w:sz w:val="20"/>
          <w:szCs w:val="20"/>
          <w:lang w:val="ro-RO"/>
        </w:rPr>
        <w:t xml:space="preserve">(Sursa: Administraţia </w:t>
      </w:r>
      <w:r w:rsidRPr="004B269B">
        <w:rPr>
          <w:rFonts w:ascii="Arial" w:eastAsia="SimSun" w:hAnsi="Arial" w:cs="Arial"/>
          <w:sz w:val="20"/>
          <w:szCs w:val="20"/>
          <w:lang w:val="en-GB"/>
        </w:rPr>
        <w:t>“</w:t>
      </w:r>
      <w:r w:rsidRPr="004B269B">
        <w:rPr>
          <w:rFonts w:ascii="Arial" w:eastAsia="SimSun" w:hAnsi="Arial" w:cs="Arial"/>
          <w:sz w:val="20"/>
          <w:szCs w:val="20"/>
          <w:lang w:val="ro-RO"/>
        </w:rPr>
        <w:t>Apele Române”- Administraţia Bazinală de Apă Prut – Bârlad)</w:t>
      </w:r>
    </w:p>
    <w:p w:rsidR="004B269B" w:rsidRPr="004B269B" w:rsidRDefault="004B269B" w:rsidP="004B269B">
      <w:pPr>
        <w:spacing w:after="0" w:line="240" w:lineRule="auto"/>
        <w:jc w:val="both"/>
        <w:rPr>
          <w:rFonts w:ascii="Arial" w:eastAsia="Times New Roman" w:hAnsi="Arial" w:cs="Arial"/>
          <w:sz w:val="24"/>
          <w:szCs w:val="24"/>
          <w:lang w:val="ro-RO"/>
        </w:rPr>
      </w:pPr>
      <w:r w:rsidRPr="004B269B">
        <w:rPr>
          <w:rFonts w:ascii="Arial" w:eastAsia="Times New Roman" w:hAnsi="Arial" w:cs="Arial"/>
          <w:sz w:val="24"/>
          <w:szCs w:val="24"/>
          <w:lang w:val="ro-RO"/>
        </w:rPr>
        <w:t xml:space="preserve">* Date şi informaţii despre tendinţele </w:t>
      </w:r>
      <w:r w:rsidRPr="004B269B">
        <w:rPr>
          <w:rFonts w:ascii="Arial" w:eastAsia="SimSun" w:hAnsi="Arial" w:cs="Arial"/>
          <w:sz w:val="24"/>
          <w:szCs w:val="24"/>
          <w:lang w:val="es-ES"/>
        </w:rPr>
        <w:t>de poluare cu pesticide a apelor subterane, din judeţul Vaslui</w:t>
      </w:r>
      <w:r w:rsidRPr="004B269B">
        <w:rPr>
          <w:rFonts w:ascii="Arial" w:eastAsia="Times New Roman" w:hAnsi="Arial" w:cs="Arial"/>
          <w:sz w:val="24"/>
          <w:szCs w:val="24"/>
          <w:lang w:val="ro-RO"/>
        </w:rPr>
        <w:t xml:space="preserve"> nu au fost puse la dispoziţia APM Vaslui, pentru anul 2015.</w:t>
      </w:r>
    </w:p>
    <w:p w:rsidR="004B269B" w:rsidRPr="004B269B" w:rsidRDefault="004B269B" w:rsidP="004B269B">
      <w:pPr>
        <w:spacing w:after="0" w:line="240" w:lineRule="auto"/>
        <w:jc w:val="center"/>
        <w:rPr>
          <w:rFonts w:ascii="Arial" w:eastAsia="SimSun" w:hAnsi="Arial" w:cs="Arial"/>
          <w:sz w:val="20"/>
          <w:szCs w:val="20"/>
          <w:lang w:val="ro-RO"/>
        </w:rPr>
      </w:pPr>
    </w:p>
    <w:p w:rsidR="004B269B" w:rsidRPr="004B269B" w:rsidRDefault="004B269B" w:rsidP="004B269B">
      <w:pPr>
        <w:spacing w:after="0" w:line="240" w:lineRule="auto"/>
        <w:rPr>
          <w:rFonts w:ascii="Arial" w:eastAsia="SimSun" w:hAnsi="Arial" w:cs="Arial"/>
          <w:bCs/>
          <w:iCs/>
          <w:sz w:val="24"/>
          <w:szCs w:val="24"/>
          <w:lang w:val="en-GB"/>
        </w:rPr>
      </w:pPr>
      <w:r w:rsidRPr="004B269B">
        <w:rPr>
          <w:rFonts w:ascii="Arial" w:eastAsia="SimSun" w:hAnsi="Arial" w:cs="Arial"/>
          <w:bCs/>
          <w:iCs/>
          <w:sz w:val="24"/>
          <w:szCs w:val="24"/>
          <w:lang w:val="en-GB"/>
        </w:rPr>
        <w:t>II.2.1.4. Calitatea apelor de îmbăiere</w:t>
      </w:r>
    </w:p>
    <w:p w:rsidR="004B269B" w:rsidRPr="004B269B" w:rsidRDefault="004B269B" w:rsidP="004B269B">
      <w:pPr>
        <w:spacing w:after="0" w:line="240" w:lineRule="auto"/>
        <w:rPr>
          <w:rFonts w:ascii="Arial" w:eastAsia="SimSun" w:hAnsi="Arial" w:cs="Arial"/>
          <w:sz w:val="24"/>
          <w:szCs w:val="24"/>
          <w:lang w:val="es-ES"/>
        </w:rPr>
      </w:pPr>
    </w:p>
    <w:p w:rsidR="004B269B" w:rsidRPr="004B269B" w:rsidRDefault="004B269B" w:rsidP="004B269B">
      <w:pPr>
        <w:spacing w:after="0" w:line="240" w:lineRule="auto"/>
        <w:ind w:firstLine="720"/>
        <w:jc w:val="both"/>
        <w:rPr>
          <w:rFonts w:ascii="Arial" w:eastAsia="SimSun" w:hAnsi="Arial" w:cs="Arial"/>
          <w:sz w:val="24"/>
          <w:szCs w:val="24"/>
          <w:lang w:val="es-ES"/>
        </w:rPr>
      </w:pPr>
      <w:r w:rsidRPr="004B269B">
        <w:rPr>
          <w:rFonts w:ascii="Arial" w:eastAsia="SimSun" w:hAnsi="Arial" w:cs="Arial"/>
          <w:sz w:val="24"/>
          <w:szCs w:val="24"/>
          <w:lang w:val="es-ES"/>
        </w:rPr>
        <w:t>Pe teritoriul judeţului Vaslui un există zone naturale de îmbăiere amenajate, existând o zona de îmbăiere neamenajată – Lac Prodana, care a fost monitorizată pe durata sezonului în conformitate cu normele sanitare în vigoare.</w:t>
      </w:r>
    </w:p>
    <w:p w:rsidR="004B269B" w:rsidRPr="004B269B" w:rsidRDefault="004B269B" w:rsidP="004B269B">
      <w:pPr>
        <w:spacing w:after="0" w:line="240" w:lineRule="auto"/>
        <w:ind w:firstLine="720"/>
        <w:jc w:val="both"/>
        <w:rPr>
          <w:rFonts w:ascii="Arial" w:eastAsia="SimSun" w:hAnsi="Arial" w:cs="Arial"/>
          <w:sz w:val="24"/>
          <w:szCs w:val="24"/>
          <w:lang w:val="es-ES"/>
        </w:rPr>
      </w:pPr>
    </w:p>
    <w:p w:rsidR="004B269B" w:rsidRPr="004B269B" w:rsidRDefault="004B269B" w:rsidP="004B269B">
      <w:pPr>
        <w:spacing w:after="0" w:line="240" w:lineRule="auto"/>
        <w:rPr>
          <w:rFonts w:ascii="Arial" w:eastAsia="SimSun" w:hAnsi="Arial" w:cs="Arial"/>
          <w:sz w:val="24"/>
          <w:szCs w:val="24"/>
          <w:lang w:val="es-ES"/>
        </w:rPr>
      </w:pPr>
      <w:r w:rsidRPr="004B269B">
        <w:rPr>
          <w:rFonts w:ascii="Arial" w:eastAsia="SimSun" w:hAnsi="Arial" w:cs="Arial"/>
          <w:sz w:val="24"/>
          <w:szCs w:val="24"/>
          <w:lang w:val="ro-RO"/>
        </w:rPr>
        <w:t>Tabelul II.10. Puncte de agrement/îmbăiere, la nivelul judeţului Vaslui, anul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111"/>
        <w:gridCol w:w="1417"/>
        <w:gridCol w:w="3417"/>
      </w:tblGrid>
      <w:tr w:rsidR="004B269B" w:rsidRPr="004B269B" w:rsidTr="00080B9C">
        <w:tc>
          <w:tcPr>
            <w:tcW w:w="959" w:type="dxa"/>
            <w:shd w:val="clear" w:color="auto" w:fill="auto"/>
          </w:tcPr>
          <w:p w:rsidR="004B269B" w:rsidRPr="004B269B" w:rsidRDefault="004B269B" w:rsidP="004B269B">
            <w:pPr>
              <w:spacing w:after="0" w:line="240" w:lineRule="auto"/>
              <w:rPr>
                <w:rFonts w:ascii="Arial" w:eastAsia="SimSun" w:hAnsi="Arial" w:cs="Arial"/>
                <w:sz w:val="20"/>
                <w:szCs w:val="20"/>
                <w:lang w:val="es-ES"/>
              </w:rPr>
            </w:pPr>
            <w:r w:rsidRPr="004B269B">
              <w:rPr>
                <w:rFonts w:ascii="Arial" w:eastAsia="SimSun" w:hAnsi="Arial" w:cs="Arial"/>
                <w:sz w:val="20"/>
                <w:szCs w:val="20"/>
                <w:lang w:val="es-ES"/>
              </w:rPr>
              <w:t>Judeţ</w:t>
            </w:r>
          </w:p>
        </w:tc>
        <w:tc>
          <w:tcPr>
            <w:tcW w:w="4111" w:type="dxa"/>
            <w:shd w:val="clear" w:color="auto" w:fill="auto"/>
          </w:tcPr>
          <w:p w:rsidR="004B269B" w:rsidRPr="004B269B" w:rsidRDefault="004B269B" w:rsidP="004B269B">
            <w:pPr>
              <w:spacing w:after="0" w:line="240" w:lineRule="auto"/>
              <w:rPr>
                <w:rFonts w:ascii="Arial" w:eastAsia="SimSun" w:hAnsi="Arial" w:cs="Arial"/>
                <w:sz w:val="20"/>
                <w:szCs w:val="20"/>
                <w:lang w:val="es-ES"/>
              </w:rPr>
            </w:pPr>
            <w:r w:rsidRPr="004B269B">
              <w:rPr>
                <w:rFonts w:ascii="Arial" w:eastAsia="SimSun" w:hAnsi="Arial" w:cs="Arial"/>
                <w:sz w:val="20"/>
                <w:szCs w:val="20"/>
                <w:lang w:val="es-ES"/>
              </w:rPr>
              <w:t>Nr. /denumire puncte de agrement/îmbăiere</w:t>
            </w:r>
          </w:p>
        </w:tc>
        <w:tc>
          <w:tcPr>
            <w:tcW w:w="1417" w:type="dxa"/>
            <w:shd w:val="clear" w:color="auto" w:fill="auto"/>
          </w:tcPr>
          <w:p w:rsidR="004B269B" w:rsidRPr="004B269B" w:rsidRDefault="004B269B" w:rsidP="004B269B">
            <w:pPr>
              <w:spacing w:after="0" w:line="240" w:lineRule="auto"/>
              <w:rPr>
                <w:rFonts w:ascii="Arial" w:eastAsia="SimSun" w:hAnsi="Arial" w:cs="Arial"/>
                <w:sz w:val="20"/>
                <w:szCs w:val="20"/>
                <w:lang w:val="es-ES"/>
              </w:rPr>
            </w:pPr>
            <w:r w:rsidRPr="004B269B">
              <w:rPr>
                <w:rFonts w:ascii="Arial" w:eastAsia="SimSun" w:hAnsi="Arial" w:cs="Arial"/>
                <w:sz w:val="20"/>
                <w:szCs w:val="20"/>
                <w:lang w:val="es-ES"/>
              </w:rPr>
              <w:t>Nr. controale</w:t>
            </w:r>
          </w:p>
        </w:tc>
        <w:tc>
          <w:tcPr>
            <w:tcW w:w="3417" w:type="dxa"/>
            <w:shd w:val="clear" w:color="auto" w:fill="auto"/>
          </w:tcPr>
          <w:p w:rsidR="004B269B" w:rsidRPr="004B269B" w:rsidRDefault="004B269B" w:rsidP="004B269B">
            <w:pPr>
              <w:spacing w:after="0" w:line="240" w:lineRule="auto"/>
              <w:rPr>
                <w:rFonts w:ascii="Arial" w:eastAsia="SimSun" w:hAnsi="Arial" w:cs="Arial"/>
                <w:sz w:val="20"/>
                <w:szCs w:val="20"/>
                <w:lang w:val="es-ES"/>
              </w:rPr>
            </w:pPr>
            <w:r w:rsidRPr="004B269B">
              <w:rPr>
                <w:rFonts w:ascii="Arial" w:eastAsia="SimSun" w:hAnsi="Arial" w:cs="Arial"/>
                <w:sz w:val="20"/>
                <w:szCs w:val="20"/>
                <w:lang w:val="es-ES"/>
              </w:rPr>
              <w:t>Nr. puncte îmbăiere conforme</w:t>
            </w:r>
          </w:p>
        </w:tc>
      </w:tr>
      <w:tr w:rsidR="004B269B" w:rsidRPr="004B269B" w:rsidTr="00080B9C">
        <w:tc>
          <w:tcPr>
            <w:tcW w:w="959" w:type="dxa"/>
            <w:shd w:val="clear" w:color="auto" w:fill="auto"/>
          </w:tcPr>
          <w:p w:rsidR="004B269B" w:rsidRPr="004B269B" w:rsidRDefault="004B269B" w:rsidP="004B269B">
            <w:pPr>
              <w:spacing w:after="0" w:line="240" w:lineRule="auto"/>
              <w:jc w:val="center"/>
              <w:rPr>
                <w:rFonts w:ascii="Arial" w:eastAsia="SimSun" w:hAnsi="Arial" w:cs="Arial"/>
                <w:sz w:val="20"/>
                <w:szCs w:val="20"/>
                <w:lang w:val="es-ES"/>
              </w:rPr>
            </w:pPr>
            <w:r w:rsidRPr="004B269B">
              <w:rPr>
                <w:rFonts w:ascii="Arial" w:eastAsia="SimSun" w:hAnsi="Arial" w:cs="Arial"/>
                <w:sz w:val="20"/>
                <w:szCs w:val="20"/>
                <w:lang w:val="es-ES"/>
              </w:rPr>
              <w:t>Vaslui</w:t>
            </w:r>
          </w:p>
        </w:tc>
        <w:tc>
          <w:tcPr>
            <w:tcW w:w="4111" w:type="dxa"/>
            <w:shd w:val="clear" w:color="auto" w:fill="auto"/>
          </w:tcPr>
          <w:p w:rsidR="004B269B" w:rsidRPr="004B269B" w:rsidRDefault="004B269B" w:rsidP="004B269B">
            <w:pPr>
              <w:spacing w:after="0" w:line="240" w:lineRule="auto"/>
              <w:jc w:val="center"/>
              <w:rPr>
                <w:rFonts w:ascii="Arial" w:eastAsia="SimSun" w:hAnsi="Arial" w:cs="Arial"/>
                <w:sz w:val="20"/>
                <w:szCs w:val="20"/>
                <w:lang w:val="es-ES"/>
              </w:rPr>
            </w:pPr>
            <w:r w:rsidRPr="004B269B">
              <w:rPr>
                <w:rFonts w:ascii="Arial" w:eastAsia="SimSun" w:hAnsi="Arial" w:cs="Arial"/>
                <w:sz w:val="20"/>
                <w:szCs w:val="20"/>
                <w:lang w:val="es-ES"/>
              </w:rPr>
              <w:t>1/Lac Prodana</w:t>
            </w:r>
          </w:p>
        </w:tc>
        <w:tc>
          <w:tcPr>
            <w:tcW w:w="1417" w:type="dxa"/>
            <w:shd w:val="clear" w:color="auto" w:fill="auto"/>
          </w:tcPr>
          <w:p w:rsidR="004B269B" w:rsidRPr="004B269B" w:rsidRDefault="004B269B" w:rsidP="004B269B">
            <w:pPr>
              <w:spacing w:after="0" w:line="240" w:lineRule="auto"/>
              <w:jc w:val="center"/>
              <w:rPr>
                <w:rFonts w:ascii="Arial" w:eastAsia="SimSun" w:hAnsi="Arial" w:cs="Arial"/>
                <w:sz w:val="20"/>
                <w:szCs w:val="20"/>
                <w:lang w:val="es-ES"/>
              </w:rPr>
            </w:pPr>
            <w:r w:rsidRPr="004B269B">
              <w:rPr>
                <w:rFonts w:ascii="Arial" w:eastAsia="SimSun" w:hAnsi="Arial" w:cs="Arial"/>
                <w:sz w:val="20"/>
                <w:szCs w:val="20"/>
                <w:lang w:val="es-ES"/>
              </w:rPr>
              <w:t>6</w:t>
            </w:r>
          </w:p>
        </w:tc>
        <w:tc>
          <w:tcPr>
            <w:tcW w:w="3417" w:type="dxa"/>
            <w:shd w:val="clear" w:color="auto" w:fill="auto"/>
          </w:tcPr>
          <w:p w:rsidR="004B269B" w:rsidRPr="004B269B" w:rsidRDefault="004B269B" w:rsidP="004B269B">
            <w:pPr>
              <w:spacing w:after="0" w:line="240" w:lineRule="auto"/>
              <w:jc w:val="center"/>
              <w:rPr>
                <w:rFonts w:ascii="Arial" w:eastAsia="SimSun" w:hAnsi="Arial" w:cs="Arial"/>
                <w:sz w:val="20"/>
                <w:szCs w:val="20"/>
                <w:lang w:val="es-ES"/>
              </w:rPr>
            </w:pPr>
            <w:r w:rsidRPr="004B269B">
              <w:rPr>
                <w:rFonts w:ascii="Arial" w:eastAsia="SimSun" w:hAnsi="Arial" w:cs="Arial"/>
                <w:sz w:val="20"/>
                <w:szCs w:val="20"/>
                <w:lang w:val="es-ES"/>
              </w:rPr>
              <w:t>0</w:t>
            </w:r>
          </w:p>
        </w:tc>
      </w:tr>
    </w:tbl>
    <w:p w:rsidR="004B269B" w:rsidRPr="004B269B" w:rsidRDefault="004B269B" w:rsidP="007B7576">
      <w:pPr>
        <w:spacing w:after="0" w:line="240" w:lineRule="auto"/>
        <w:ind w:firstLine="720"/>
        <w:jc w:val="both"/>
        <w:rPr>
          <w:rFonts w:ascii="Arial" w:eastAsia="SimSun" w:hAnsi="Arial" w:cs="Arial"/>
          <w:sz w:val="24"/>
          <w:szCs w:val="24"/>
          <w:lang w:val="es-ES"/>
        </w:rPr>
      </w:pPr>
      <w:r w:rsidRPr="004B269B">
        <w:rPr>
          <w:rFonts w:ascii="Arial" w:eastAsia="SimSun" w:hAnsi="Arial" w:cs="Arial"/>
          <w:sz w:val="24"/>
          <w:szCs w:val="24"/>
          <w:lang w:val="es-ES"/>
        </w:rPr>
        <w:t xml:space="preserve">La nivelul zonei de îmbăiere a fost fixat un punct de prelevare a apei potabile pentru supravegherea fizico-chimică şi  bacteriologică. </w:t>
      </w:r>
    </w:p>
    <w:p w:rsidR="004B269B" w:rsidRPr="004B269B" w:rsidRDefault="004B269B" w:rsidP="004B269B">
      <w:pPr>
        <w:spacing w:after="0" w:line="240" w:lineRule="auto"/>
        <w:ind w:firstLine="720"/>
        <w:jc w:val="both"/>
        <w:rPr>
          <w:rFonts w:ascii="Arial" w:eastAsia="SimSun" w:hAnsi="Arial" w:cs="Arial"/>
          <w:sz w:val="24"/>
          <w:szCs w:val="24"/>
          <w:lang w:val="es-ES"/>
        </w:rPr>
      </w:pPr>
      <w:r w:rsidRPr="004B269B">
        <w:rPr>
          <w:rFonts w:ascii="Arial" w:eastAsia="SimSun" w:hAnsi="Arial" w:cs="Arial"/>
          <w:sz w:val="24"/>
          <w:szCs w:val="24"/>
          <w:lang w:val="es-ES"/>
        </w:rPr>
        <w:lastRenderedPageBreak/>
        <w:t xml:space="preserve">În cursul anului 2015, la nivelul judeţului Vaslui nu s-au înregistrat cazuri de îmbolnăvire sau accidente datorate calităţii apei de îmbăiere sau condiţiilor din zona de îmbăiere. </w:t>
      </w:r>
      <w:r w:rsidRPr="004B269B">
        <w:rPr>
          <w:rFonts w:ascii="Arial" w:eastAsia="SimSun" w:hAnsi="Arial" w:cs="Arial"/>
          <w:sz w:val="20"/>
          <w:szCs w:val="20"/>
          <w:lang w:val="ro-RO"/>
        </w:rPr>
        <w:t>(Sursa: Ministerul Sănătăţii – Direcţia de Sănătate Publică Vaslui)</w:t>
      </w:r>
    </w:p>
    <w:p w:rsidR="004B269B" w:rsidRPr="004B269B" w:rsidRDefault="004B269B" w:rsidP="004B269B">
      <w:pPr>
        <w:spacing w:after="0" w:line="240" w:lineRule="auto"/>
        <w:rPr>
          <w:rFonts w:ascii="Times New Roman" w:eastAsia="SimSun" w:hAnsi="Times New Roman" w:cs="Times New Roman"/>
          <w:sz w:val="16"/>
          <w:szCs w:val="16"/>
          <w:lang w:val="en-GB"/>
        </w:rPr>
      </w:pPr>
    </w:p>
    <w:p w:rsidR="004B269B" w:rsidRPr="004B269B" w:rsidRDefault="004B269B" w:rsidP="004B269B">
      <w:pPr>
        <w:autoSpaceDE w:val="0"/>
        <w:autoSpaceDN w:val="0"/>
        <w:adjustRightInd w:val="0"/>
        <w:spacing w:after="0" w:line="240" w:lineRule="auto"/>
        <w:rPr>
          <w:rFonts w:ascii="Arial" w:eastAsia="Times New Roman" w:hAnsi="Arial" w:cs="Arial"/>
          <w:b/>
          <w:bCs/>
          <w:i/>
          <w:sz w:val="24"/>
          <w:szCs w:val="24"/>
        </w:rPr>
      </w:pPr>
      <w:r w:rsidRPr="004B269B">
        <w:rPr>
          <w:rFonts w:ascii="Arial" w:eastAsia="Times New Roman" w:hAnsi="Arial" w:cs="Arial"/>
          <w:b/>
          <w:bCs/>
          <w:i/>
          <w:sz w:val="24"/>
          <w:szCs w:val="24"/>
        </w:rPr>
        <w:t>II.2.2. Factorii determinanţi şi presiunile carea afectează starea de calitate a apelor</w:t>
      </w:r>
    </w:p>
    <w:p w:rsidR="004B269B" w:rsidRPr="004B269B" w:rsidRDefault="004B269B" w:rsidP="004B269B">
      <w:pPr>
        <w:autoSpaceDE w:val="0"/>
        <w:autoSpaceDN w:val="0"/>
        <w:adjustRightInd w:val="0"/>
        <w:spacing w:after="0" w:line="240" w:lineRule="auto"/>
        <w:rPr>
          <w:rFonts w:ascii="Arial" w:eastAsia="Times New Roman" w:hAnsi="Arial" w:cs="Arial"/>
          <w:b/>
          <w:bCs/>
          <w:sz w:val="24"/>
          <w:szCs w:val="24"/>
        </w:rPr>
      </w:pPr>
    </w:p>
    <w:p w:rsidR="004B269B" w:rsidRPr="004B269B" w:rsidRDefault="004B269B" w:rsidP="004B269B">
      <w:pPr>
        <w:spacing w:after="0" w:line="240" w:lineRule="auto"/>
        <w:jc w:val="both"/>
        <w:rPr>
          <w:rFonts w:ascii="Arial" w:eastAsia="SimSun" w:hAnsi="Arial" w:cs="Arial"/>
          <w:bCs/>
          <w:iCs/>
          <w:sz w:val="24"/>
          <w:szCs w:val="24"/>
          <w:lang w:val="en-GB"/>
        </w:rPr>
      </w:pPr>
      <w:r w:rsidRPr="004B269B">
        <w:rPr>
          <w:rFonts w:ascii="Arial" w:eastAsia="SimSun" w:hAnsi="Arial" w:cs="Arial"/>
          <w:bCs/>
          <w:iCs/>
          <w:sz w:val="24"/>
          <w:szCs w:val="24"/>
          <w:lang w:val="en-GB"/>
        </w:rPr>
        <w:t>II.2.2.1. Presiuni semnificative asupra resurselor de apă din judeţul Vaslui</w:t>
      </w:r>
    </w:p>
    <w:p w:rsidR="004B269B" w:rsidRPr="004B269B" w:rsidRDefault="004B269B" w:rsidP="004B269B">
      <w:pPr>
        <w:spacing w:after="0" w:line="240" w:lineRule="auto"/>
        <w:jc w:val="both"/>
        <w:rPr>
          <w:rFonts w:ascii="Arial" w:eastAsia="SimSun" w:hAnsi="Arial" w:cs="Arial"/>
          <w:b/>
          <w:bCs/>
          <w:i/>
          <w:iCs/>
          <w:sz w:val="24"/>
          <w:szCs w:val="24"/>
          <w:lang w:val="en-GB"/>
        </w:rPr>
      </w:pPr>
    </w:p>
    <w:p w:rsidR="004B269B" w:rsidRPr="004B269B" w:rsidRDefault="004B269B" w:rsidP="004B269B">
      <w:pPr>
        <w:spacing w:after="0" w:line="240" w:lineRule="auto"/>
        <w:ind w:firstLine="720"/>
        <w:jc w:val="both"/>
        <w:rPr>
          <w:rFonts w:ascii="Arial" w:eastAsia="SimSun" w:hAnsi="Arial" w:cs="Arial"/>
          <w:sz w:val="24"/>
          <w:szCs w:val="24"/>
          <w:lang w:val="en-GB"/>
        </w:rPr>
      </w:pPr>
      <w:r w:rsidRPr="004B269B">
        <w:rPr>
          <w:rFonts w:ascii="Arial" w:eastAsia="SimSun" w:hAnsi="Arial" w:cs="Arial"/>
          <w:sz w:val="24"/>
          <w:szCs w:val="24"/>
          <w:lang w:val="en-GB"/>
        </w:rPr>
        <w:t>Informaţiile despre tipurile şi intensitatea presiunilor hidromorfologice la care sunt supuse orpurile de apă de suprafaţă sunt necesare a fi cunoscute şi monitorizate în scopul identificării şi desemnării corpurilor de apă puternic modificate şi artificiale, precum şi pentru luarea măsurilor de renaturare sau atenuare a alterărilor hidromorfologice pentru atingerea obiectivelor de mediu.</w:t>
      </w:r>
    </w:p>
    <w:p w:rsidR="004B269B" w:rsidRPr="004B269B" w:rsidRDefault="004B269B" w:rsidP="004B269B">
      <w:pPr>
        <w:spacing w:after="0" w:line="240" w:lineRule="auto"/>
        <w:ind w:firstLine="720"/>
        <w:jc w:val="both"/>
        <w:rPr>
          <w:rFonts w:ascii="Arial" w:eastAsia="SimSun" w:hAnsi="Arial" w:cs="Arial"/>
          <w:sz w:val="24"/>
          <w:szCs w:val="24"/>
          <w:lang w:val="en-GB"/>
        </w:rPr>
      </w:pPr>
      <w:r w:rsidRPr="004B269B">
        <w:rPr>
          <w:rFonts w:ascii="Arial" w:eastAsia="SimSun" w:hAnsi="Arial" w:cs="Arial"/>
          <w:sz w:val="24"/>
          <w:szCs w:val="24"/>
          <w:lang w:val="en-GB"/>
        </w:rPr>
        <w:t>În conformitate cu cerințele Directivei Cadru Apă, se consideră presiuni semnificative presiunile care au ca rezultat neatingerea obiectivelor de mediu pentru corpul de apă studiat. După modul în care funcționează sistemul de recepție al corpului de apă se poate cunoaște dacă o presiune poate cauza un impact. Această abordare corelată cu lista tuturor presiunilor și cu caracteristicile particulare ale bazinului de recepție conduce la identificarea presiunilor semnificative.</w:t>
      </w:r>
    </w:p>
    <w:p w:rsidR="004B269B" w:rsidRPr="004B269B" w:rsidRDefault="004B269B" w:rsidP="004B269B">
      <w:pPr>
        <w:autoSpaceDE w:val="0"/>
        <w:autoSpaceDN w:val="0"/>
        <w:adjustRightInd w:val="0"/>
        <w:spacing w:after="0" w:line="240" w:lineRule="auto"/>
        <w:ind w:firstLine="720"/>
        <w:jc w:val="both"/>
        <w:rPr>
          <w:rFonts w:ascii="Arial" w:eastAsia="Times New Roman" w:hAnsi="Arial" w:cs="Arial"/>
          <w:sz w:val="24"/>
          <w:szCs w:val="24"/>
        </w:rPr>
      </w:pPr>
      <w:r w:rsidRPr="004B269B">
        <w:rPr>
          <w:rFonts w:ascii="Arial" w:eastAsia="Times New Roman" w:hAnsi="Arial" w:cs="Arial"/>
          <w:bCs/>
          <w:sz w:val="24"/>
          <w:szCs w:val="24"/>
        </w:rPr>
        <w:t xml:space="preserve">La nivelul bazinului Prut Bârlad au fost identificate presiuni potențial semnificative punctiforme, având în vedere evacuările de ape epurate sau neepurate în resursele de apă de suprafață, </w:t>
      </w:r>
      <w:r w:rsidRPr="004B269B">
        <w:rPr>
          <w:rFonts w:ascii="Arial" w:eastAsia="Times New Roman" w:hAnsi="Arial" w:cs="Arial"/>
          <w:sz w:val="24"/>
          <w:szCs w:val="24"/>
        </w:rPr>
        <w:t xml:space="preserve">respectiv: </w:t>
      </w:r>
    </w:p>
    <w:p w:rsidR="004B269B" w:rsidRPr="004B269B" w:rsidRDefault="004B269B" w:rsidP="004B269B">
      <w:pPr>
        <w:autoSpaceDE w:val="0"/>
        <w:autoSpaceDN w:val="0"/>
        <w:adjustRightInd w:val="0"/>
        <w:spacing w:after="36" w:line="240" w:lineRule="auto"/>
        <w:jc w:val="both"/>
        <w:rPr>
          <w:rFonts w:ascii="Arial" w:eastAsia="Times New Roman" w:hAnsi="Arial" w:cs="Arial"/>
          <w:sz w:val="24"/>
          <w:szCs w:val="24"/>
        </w:rPr>
      </w:pPr>
      <w:r w:rsidRPr="004B269B">
        <w:rPr>
          <w:rFonts w:ascii="Arial" w:eastAsia="Times New Roman" w:hAnsi="Arial" w:cs="Arial"/>
          <w:b/>
          <w:bCs/>
          <w:sz w:val="24"/>
          <w:szCs w:val="24"/>
        </w:rPr>
        <w:t xml:space="preserve">a. aglomerările umane </w:t>
      </w:r>
      <w:r w:rsidRPr="004B269B">
        <w:rPr>
          <w:rFonts w:ascii="Arial" w:eastAsia="Times New Roman" w:hAnsi="Arial" w:cs="Arial"/>
          <w:sz w:val="24"/>
          <w:szCs w:val="24"/>
        </w:rPr>
        <w:t xml:space="preserve">(identificate în conformitate cu cerințele Directivei privind epurarea apelor uzate urbane - Directiva 91/271/EEC), ce au peste 2000 locuitori echivalenți (l.e.) care au sisteme de colectare a apelor uzate cu sau fără stații de epurare și care evacuează în resursele de apă; de asemenea, aglomerările &lt;2000 l.e. sunt considerate surse semnificative punctiforme dacă au sistem de canalizare centralizat; de asemenea, sunt considerate surse semnificative de poluare, aglomerările umane cu sistem de canalizare unitar care nu au capacitatea de a colecta și epura amestecul de ape uzate și ape pluviale în perioadele cu ploi intense; </w:t>
      </w:r>
    </w:p>
    <w:p w:rsidR="004B269B" w:rsidRPr="004B269B" w:rsidRDefault="004B269B" w:rsidP="004B269B">
      <w:pPr>
        <w:autoSpaceDE w:val="0"/>
        <w:autoSpaceDN w:val="0"/>
        <w:adjustRightInd w:val="0"/>
        <w:spacing w:after="0" w:line="240" w:lineRule="auto"/>
        <w:jc w:val="both"/>
        <w:rPr>
          <w:rFonts w:ascii="Arial" w:eastAsia="Times New Roman" w:hAnsi="Arial" w:cs="Arial"/>
          <w:sz w:val="24"/>
          <w:szCs w:val="24"/>
        </w:rPr>
      </w:pPr>
      <w:r w:rsidRPr="004B269B">
        <w:rPr>
          <w:rFonts w:ascii="Arial" w:eastAsia="Times New Roman" w:hAnsi="Arial" w:cs="Arial"/>
          <w:b/>
          <w:bCs/>
          <w:sz w:val="24"/>
          <w:szCs w:val="24"/>
        </w:rPr>
        <w:t xml:space="preserve">b. industria: </w:t>
      </w:r>
    </w:p>
    <w:p w:rsidR="004B269B" w:rsidRPr="004B269B" w:rsidRDefault="004B269B" w:rsidP="004B269B">
      <w:pPr>
        <w:autoSpaceDE w:val="0"/>
        <w:autoSpaceDN w:val="0"/>
        <w:adjustRightInd w:val="0"/>
        <w:spacing w:after="0" w:line="240" w:lineRule="auto"/>
        <w:jc w:val="both"/>
        <w:rPr>
          <w:rFonts w:ascii="Arial" w:eastAsia="Times New Roman" w:hAnsi="Arial" w:cs="Arial"/>
          <w:sz w:val="24"/>
          <w:szCs w:val="24"/>
        </w:rPr>
      </w:pPr>
      <w:r w:rsidRPr="004B269B">
        <w:rPr>
          <w:rFonts w:ascii="Arial" w:eastAsia="Times New Roman" w:hAnsi="Arial" w:cs="Arial"/>
          <w:sz w:val="24"/>
          <w:szCs w:val="24"/>
        </w:rPr>
        <w:t xml:space="preserve">- instalațiile care intră sub incidența Directiva 2010/75/CEE privind emisiile industriale (Directiva IED) - inclusiv unitățile care sunt inventariate în Registrul Poluanților Emiși și Transferați (E-PRTR), care sunt relevante pentru factorul de mediu apă; </w:t>
      </w:r>
    </w:p>
    <w:p w:rsidR="004B269B" w:rsidRPr="004B269B" w:rsidRDefault="004B269B" w:rsidP="004B269B">
      <w:pPr>
        <w:autoSpaceDE w:val="0"/>
        <w:autoSpaceDN w:val="0"/>
        <w:adjustRightInd w:val="0"/>
        <w:spacing w:after="0" w:line="240" w:lineRule="auto"/>
        <w:jc w:val="both"/>
        <w:rPr>
          <w:rFonts w:ascii="Arial" w:eastAsia="Times New Roman" w:hAnsi="Arial" w:cs="Arial"/>
          <w:sz w:val="24"/>
          <w:szCs w:val="24"/>
        </w:rPr>
      </w:pPr>
      <w:r w:rsidRPr="004B269B">
        <w:rPr>
          <w:rFonts w:ascii="Arial" w:eastAsia="Times New Roman" w:hAnsi="Arial" w:cs="Arial"/>
          <w:sz w:val="24"/>
          <w:szCs w:val="24"/>
        </w:rPr>
        <w:t xml:space="preserve">- unitățile care evacuează substanțe periculoase (lista I și II) și/sau substanțe prioritare peste limitele legislației în vigoare (în conformitate cu cerințele Directivei 2006/11/EC care înlocuiește Directiva 76/464/EEC privind poluarea cauzată de substanțele periculoase evacuate în mediul acvatic al Comunității; </w:t>
      </w:r>
    </w:p>
    <w:p w:rsidR="004B269B" w:rsidRPr="004B269B" w:rsidRDefault="004B269B" w:rsidP="004B269B">
      <w:pPr>
        <w:autoSpaceDE w:val="0"/>
        <w:autoSpaceDN w:val="0"/>
        <w:adjustRightInd w:val="0"/>
        <w:spacing w:after="0" w:line="240" w:lineRule="auto"/>
        <w:jc w:val="both"/>
        <w:rPr>
          <w:rFonts w:ascii="Arial" w:eastAsia="Times New Roman" w:hAnsi="Arial" w:cs="Arial"/>
          <w:sz w:val="24"/>
          <w:szCs w:val="24"/>
        </w:rPr>
      </w:pPr>
      <w:r w:rsidRPr="004B269B">
        <w:rPr>
          <w:rFonts w:ascii="Arial" w:eastAsia="Times New Roman" w:hAnsi="Arial" w:cs="Arial"/>
          <w:sz w:val="24"/>
          <w:szCs w:val="24"/>
        </w:rPr>
        <w:t xml:space="preserve">- alte unități care evacuează în resursele de apă și care nu se conformează legislației în vigoare privind factorul de mediu apă. </w:t>
      </w:r>
    </w:p>
    <w:p w:rsidR="004B269B" w:rsidRPr="004B269B" w:rsidRDefault="004B269B" w:rsidP="004B269B">
      <w:pPr>
        <w:autoSpaceDE w:val="0"/>
        <w:autoSpaceDN w:val="0"/>
        <w:adjustRightInd w:val="0"/>
        <w:spacing w:after="0" w:line="240" w:lineRule="auto"/>
        <w:rPr>
          <w:rFonts w:ascii="Arial" w:eastAsia="Times New Roman" w:hAnsi="Arial" w:cs="Arial"/>
          <w:sz w:val="24"/>
          <w:szCs w:val="24"/>
        </w:rPr>
      </w:pPr>
      <w:r w:rsidRPr="004B269B">
        <w:rPr>
          <w:rFonts w:ascii="Arial" w:eastAsia="Times New Roman" w:hAnsi="Arial" w:cs="Arial"/>
          <w:b/>
          <w:bCs/>
          <w:sz w:val="24"/>
          <w:szCs w:val="24"/>
        </w:rPr>
        <w:t>c. agricultura</w:t>
      </w:r>
      <w:r w:rsidRPr="004B269B">
        <w:rPr>
          <w:rFonts w:ascii="Arial" w:eastAsia="Times New Roman" w:hAnsi="Arial" w:cs="Arial"/>
          <w:sz w:val="24"/>
          <w:szCs w:val="24"/>
        </w:rPr>
        <w:t xml:space="preserve">: </w:t>
      </w:r>
    </w:p>
    <w:p w:rsidR="004B269B" w:rsidRPr="004B269B" w:rsidRDefault="004B269B" w:rsidP="004B269B">
      <w:pPr>
        <w:autoSpaceDE w:val="0"/>
        <w:autoSpaceDN w:val="0"/>
        <w:adjustRightInd w:val="0"/>
        <w:spacing w:after="27" w:line="240" w:lineRule="auto"/>
        <w:jc w:val="both"/>
        <w:rPr>
          <w:rFonts w:ascii="Arial" w:eastAsia="Times New Roman" w:hAnsi="Arial" w:cs="Arial"/>
          <w:sz w:val="24"/>
          <w:szCs w:val="24"/>
        </w:rPr>
      </w:pPr>
      <w:r w:rsidRPr="004B269B">
        <w:rPr>
          <w:rFonts w:ascii="Arial" w:eastAsia="Times New Roman" w:hAnsi="Arial" w:cs="Arial"/>
          <w:sz w:val="24"/>
          <w:szCs w:val="24"/>
        </w:rPr>
        <w:t xml:space="preserve">- fermele zootehnice care intră sub incidența Directivei 2010/75/CEE privind emisiile industriale (Directiva IED) - inclusiv unitățile care sunt inventariate în Registrul Poluanților Emiși și Transferați (E-PRTR), care sunt relevante pentru factorul de mediu apă; </w:t>
      </w:r>
    </w:p>
    <w:p w:rsidR="004B269B" w:rsidRPr="004B269B" w:rsidRDefault="004B269B" w:rsidP="004B269B">
      <w:pPr>
        <w:autoSpaceDE w:val="0"/>
        <w:autoSpaceDN w:val="0"/>
        <w:adjustRightInd w:val="0"/>
        <w:spacing w:after="27" w:line="240" w:lineRule="auto"/>
        <w:jc w:val="both"/>
        <w:rPr>
          <w:rFonts w:ascii="Arial" w:eastAsia="Times New Roman" w:hAnsi="Arial" w:cs="Arial"/>
          <w:sz w:val="24"/>
          <w:szCs w:val="24"/>
        </w:rPr>
      </w:pPr>
      <w:r w:rsidRPr="004B269B">
        <w:rPr>
          <w:rFonts w:ascii="Arial" w:eastAsia="Times New Roman" w:hAnsi="Arial" w:cs="Arial"/>
          <w:sz w:val="24"/>
          <w:szCs w:val="24"/>
        </w:rPr>
        <w:t xml:space="preserve">- fermele care evacuează substanțe periculoase (lista I și II) și/sau substanțe prioritare peste limitele legislației în vigoare (în conformitate cu cerințele Directivei 2006/11/EC care </w:t>
      </w:r>
      <w:r w:rsidRPr="004B269B">
        <w:rPr>
          <w:rFonts w:ascii="Arial" w:eastAsia="Times New Roman" w:hAnsi="Arial" w:cs="Arial"/>
          <w:sz w:val="24"/>
          <w:szCs w:val="24"/>
        </w:rPr>
        <w:lastRenderedPageBreak/>
        <w:t xml:space="preserve">înlocuiește Directiva 76/464/EEC privind poluarea cauzată de substanțele periculoase evacuate în mediul acvatic al Comunității); </w:t>
      </w:r>
    </w:p>
    <w:p w:rsidR="004B269B" w:rsidRPr="004B269B" w:rsidRDefault="004B269B" w:rsidP="004B269B">
      <w:pPr>
        <w:autoSpaceDE w:val="0"/>
        <w:autoSpaceDN w:val="0"/>
        <w:adjustRightInd w:val="0"/>
        <w:spacing w:after="0" w:line="240" w:lineRule="auto"/>
        <w:jc w:val="both"/>
        <w:rPr>
          <w:rFonts w:ascii="Arial" w:eastAsia="Times New Roman" w:hAnsi="Arial" w:cs="Arial"/>
          <w:sz w:val="24"/>
          <w:szCs w:val="24"/>
        </w:rPr>
      </w:pPr>
      <w:r w:rsidRPr="004B269B">
        <w:rPr>
          <w:rFonts w:ascii="Arial" w:eastAsia="Times New Roman" w:hAnsi="Arial" w:cs="Arial"/>
          <w:sz w:val="24"/>
          <w:szCs w:val="24"/>
        </w:rPr>
        <w:t xml:space="preserve">- alte unități agricole cu evacuare punctiformă și care nu se conformează legislației în vigoare privind factorul de mediu apă; </w:t>
      </w:r>
    </w:p>
    <w:p w:rsidR="004B269B" w:rsidRPr="004B269B" w:rsidRDefault="004B269B" w:rsidP="004B269B">
      <w:pPr>
        <w:autoSpaceDE w:val="0"/>
        <w:autoSpaceDN w:val="0"/>
        <w:adjustRightInd w:val="0"/>
        <w:spacing w:after="0" w:line="240" w:lineRule="auto"/>
        <w:ind w:firstLine="720"/>
        <w:jc w:val="both"/>
        <w:rPr>
          <w:rFonts w:ascii="Arial" w:eastAsia="Times New Roman" w:hAnsi="Arial" w:cs="Arial"/>
          <w:sz w:val="24"/>
          <w:szCs w:val="24"/>
        </w:rPr>
      </w:pPr>
      <w:r w:rsidRPr="004B269B">
        <w:rPr>
          <w:rFonts w:ascii="Arial" w:eastAsia="Times New Roman" w:hAnsi="Arial" w:cs="Arial"/>
          <w:sz w:val="24"/>
          <w:szCs w:val="24"/>
        </w:rPr>
        <w:t xml:space="preserve">La stabilirea </w:t>
      </w:r>
      <w:r w:rsidRPr="004B269B">
        <w:rPr>
          <w:rFonts w:ascii="Arial" w:eastAsia="Times New Roman" w:hAnsi="Arial" w:cs="Arial"/>
          <w:b/>
          <w:bCs/>
          <w:sz w:val="24"/>
          <w:szCs w:val="24"/>
        </w:rPr>
        <w:t xml:space="preserve">presiunilor potențial semnificative difuze </w:t>
      </w:r>
      <w:r w:rsidRPr="004B269B">
        <w:rPr>
          <w:rFonts w:ascii="Arial" w:eastAsia="Times New Roman" w:hAnsi="Arial" w:cs="Arial"/>
          <w:sz w:val="24"/>
          <w:szCs w:val="24"/>
        </w:rPr>
        <w:t xml:space="preserve">se au în vedere următoarele categorii principale de surse de poluare difuze: </w:t>
      </w:r>
    </w:p>
    <w:p w:rsidR="004B269B" w:rsidRPr="004B269B" w:rsidRDefault="004B269B" w:rsidP="004B269B">
      <w:pPr>
        <w:autoSpaceDE w:val="0"/>
        <w:autoSpaceDN w:val="0"/>
        <w:adjustRightInd w:val="0"/>
        <w:spacing w:after="22" w:line="240" w:lineRule="auto"/>
        <w:jc w:val="both"/>
        <w:rPr>
          <w:rFonts w:ascii="Arial" w:eastAsia="Times New Roman" w:hAnsi="Arial" w:cs="Arial"/>
          <w:sz w:val="24"/>
          <w:szCs w:val="24"/>
        </w:rPr>
      </w:pPr>
      <w:r w:rsidRPr="004B269B">
        <w:rPr>
          <w:rFonts w:ascii="Arial" w:eastAsia="Times New Roman" w:hAnsi="Arial" w:cs="Arial"/>
          <w:sz w:val="24"/>
          <w:szCs w:val="24"/>
        </w:rPr>
        <w:t xml:space="preserve">- aglomerările umane/localitățile care nu au sisteme de colectare a apelor uzate sau sisteme corespunzătoare de colectare și eliminare a nămolului din stațiile de epurare, precum și localitățile care au depozite de deșeuri menajere neconforme. </w:t>
      </w:r>
    </w:p>
    <w:p w:rsidR="004B269B" w:rsidRPr="004B269B" w:rsidRDefault="004B269B" w:rsidP="004B269B">
      <w:pPr>
        <w:autoSpaceDE w:val="0"/>
        <w:autoSpaceDN w:val="0"/>
        <w:adjustRightInd w:val="0"/>
        <w:spacing w:after="22" w:line="240" w:lineRule="auto"/>
        <w:jc w:val="both"/>
        <w:rPr>
          <w:rFonts w:ascii="Arial" w:eastAsia="Times New Roman" w:hAnsi="Arial" w:cs="Arial"/>
          <w:sz w:val="24"/>
          <w:szCs w:val="24"/>
        </w:rPr>
      </w:pPr>
      <w:r w:rsidRPr="004B269B">
        <w:rPr>
          <w:rFonts w:ascii="Arial" w:eastAsia="Times New Roman" w:hAnsi="Arial" w:cs="Arial"/>
          <w:sz w:val="24"/>
          <w:szCs w:val="24"/>
        </w:rPr>
        <w:t xml:space="preserve">- agricultura: ferme agro-zootehnice care nu au sisteme corespunzătoare de stocare/utilizare a dejecțiilor, localitățile identificate ca fiind zone vulnerabile la poluarea cu nitrați din surse agricole, unități care utilizează pesticide și nu se conformează legislației în vigoare, alte unități/activități agricole care pot conduce la emisii difuze semnificative. </w:t>
      </w:r>
    </w:p>
    <w:p w:rsidR="004B269B" w:rsidRPr="004B269B" w:rsidRDefault="004B269B" w:rsidP="004B269B">
      <w:pPr>
        <w:autoSpaceDE w:val="0"/>
        <w:autoSpaceDN w:val="0"/>
        <w:adjustRightInd w:val="0"/>
        <w:spacing w:after="0" w:line="240" w:lineRule="auto"/>
        <w:jc w:val="both"/>
        <w:rPr>
          <w:rFonts w:ascii="Arial" w:eastAsia="Times New Roman" w:hAnsi="Arial" w:cs="Arial"/>
          <w:sz w:val="24"/>
          <w:szCs w:val="24"/>
        </w:rPr>
      </w:pPr>
      <w:r w:rsidRPr="004B269B">
        <w:rPr>
          <w:rFonts w:ascii="Arial" w:eastAsia="Times New Roman" w:hAnsi="Arial" w:cs="Arial"/>
          <w:sz w:val="24"/>
          <w:szCs w:val="24"/>
        </w:rPr>
        <w:t xml:space="preserve">- industria: depozite de materii prime, produse finite, produse auxiliare, stocare de deșeuri neconforme, unități ce produc poluări accidentale difuze, situri industriale abandonate. </w:t>
      </w:r>
    </w:p>
    <w:p w:rsidR="004B269B" w:rsidRPr="004B269B" w:rsidRDefault="004B269B" w:rsidP="004B269B">
      <w:pPr>
        <w:spacing w:after="0" w:line="240" w:lineRule="auto"/>
        <w:ind w:firstLine="720"/>
        <w:jc w:val="both"/>
        <w:rPr>
          <w:rFonts w:ascii="Arial" w:eastAsia="SimSun" w:hAnsi="Arial" w:cs="Arial"/>
          <w:bCs/>
          <w:iCs/>
          <w:sz w:val="24"/>
          <w:szCs w:val="24"/>
          <w:lang w:val="en-GB"/>
        </w:rPr>
      </w:pPr>
    </w:p>
    <w:p w:rsidR="004B269B" w:rsidRPr="004B269B" w:rsidRDefault="004B269B" w:rsidP="004B269B">
      <w:pPr>
        <w:spacing w:after="0" w:line="240" w:lineRule="auto"/>
        <w:jc w:val="both"/>
        <w:rPr>
          <w:rFonts w:ascii="Arial" w:eastAsia="SimSun" w:hAnsi="Arial" w:cs="Arial"/>
          <w:bCs/>
          <w:iCs/>
          <w:sz w:val="24"/>
          <w:szCs w:val="24"/>
          <w:lang w:val="en-GB"/>
        </w:rPr>
      </w:pPr>
      <w:r w:rsidRPr="004B269B">
        <w:rPr>
          <w:rFonts w:ascii="Arial" w:eastAsia="SimSun" w:hAnsi="Arial" w:cs="Arial"/>
          <w:bCs/>
          <w:iCs/>
          <w:sz w:val="24"/>
          <w:szCs w:val="24"/>
          <w:lang w:val="en-GB"/>
        </w:rPr>
        <w:t>II.2.2.2. Apele uzate şi reţelele de canalizare</w:t>
      </w:r>
    </w:p>
    <w:p w:rsidR="004B269B" w:rsidRPr="004B269B" w:rsidRDefault="004B269B" w:rsidP="004B269B">
      <w:pPr>
        <w:autoSpaceDE w:val="0"/>
        <w:autoSpaceDN w:val="0"/>
        <w:adjustRightInd w:val="0"/>
        <w:spacing w:after="0" w:line="240" w:lineRule="auto"/>
        <w:ind w:firstLine="720"/>
        <w:jc w:val="both"/>
        <w:rPr>
          <w:rFonts w:ascii="Arial" w:eastAsia="Times New Roman" w:hAnsi="Arial" w:cs="Arial"/>
          <w:sz w:val="24"/>
          <w:szCs w:val="24"/>
        </w:rPr>
      </w:pPr>
    </w:p>
    <w:p w:rsidR="004B269B" w:rsidRPr="004B269B" w:rsidRDefault="004B269B" w:rsidP="004B269B">
      <w:pPr>
        <w:autoSpaceDE w:val="0"/>
        <w:autoSpaceDN w:val="0"/>
        <w:adjustRightInd w:val="0"/>
        <w:spacing w:after="0" w:line="240" w:lineRule="auto"/>
        <w:ind w:firstLine="720"/>
        <w:jc w:val="both"/>
        <w:rPr>
          <w:rFonts w:ascii="Arial" w:eastAsia="Times New Roman" w:hAnsi="Arial" w:cs="Arial"/>
          <w:sz w:val="24"/>
          <w:szCs w:val="24"/>
        </w:rPr>
      </w:pPr>
      <w:r w:rsidRPr="004B269B">
        <w:rPr>
          <w:rFonts w:ascii="Arial" w:eastAsia="Times New Roman" w:hAnsi="Arial" w:cs="Arial"/>
          <w:sz w:val="24"/>
          <w:szCs w:val="24"/>
        </w:rPr>
        <w:t>Apele uzate sunt ape evacuate după utilizare din zone urbane, rurale, industriale, zone agricole sau zootehnice, încărcate cu o mare cantitate de reziduuri suspendate sau dizolvate. După caracteristicile fizico chimice apele uzate sunt:</w:t>
      </w:r>
    </w:p>
    <w:p w:rsidR="004B269B" w:rsidRPr="004B269B" w:rsidRDefault="004B269B" w:rsidP="005910C7">
      <w:pPr>
        <w:numPr>
          <w:ilvl w:val="0"/>
          <w:numId w:val="9"/>
        </w:numPr>
        <w:autoSpaceDE w:val="0"/>
        <w:autoSpaceDN w:val="0"/>
        <w:adjustRightInd w:val="0"/>
        <w:spacing w:after="0" w:line="240" w:lineRule="auto"/>
        <w:jc w:val="both"/>
        <w:rPr>
          <w:rFonts w:ascii="Arial" w:eastAsia="Times New Roman" w:hAnsi="Arial" w:cs="Arial"/>
          <w:sz w:val="24"/>
          <w:szCs w:val="24"/>
        </w:rPr>
      </w:pPr>
      <w:r w:rsidRPr="004B269B">
        <w:rPr>
          <w:rFonts w:ascii="Arial" w:eastAsia="Times New Roman" w:hAnsi="Arial" w:cs="Arial"/>
          <w:sz w:val="24"/>
          <w:szCs w:val="24"/>
        </w:rPr>
        <w:t>ape cu conţinut predominant de materii organice – cuprind apele menajere şi unele ape industriale (industria alimentară);</w:t>
      </w:r>
    </w:p>
    <w:p w:rsidR="004B269B" w:rsidRPr="004B269B" w:rsidRDefault="004B269B" w:rsidP="005910C7">
      <w:pPr>
        <w:numPr>
          <w:ilvl w:val="0"/>
          <w:numId w:val="9"/>
        </w:numPr>
        <w:autoSpaceDE w:val="0"/>
        <w:autoSpaceDN w:val="0"/>
        <w:adjustRightInd w:val="0"/>
        <w:spacing w:after="0" w:line="240" w:lineRule="auto"/>
        <w:jc w:val="both"/>
        <w:rPr>
          <w:rFonts w:ascii="Arial" w:eastAsia="Times New Roman" w:hAnsi="Arial" w:cs="Arial"/>
          <w:sz w:val="24"/>
          <w:szCs w:val="24"/>
        </w:rPr>
      </w:pPr>
      <w:r w:rsidRPr="004B269B">
        <w:rPr>
          <w:rFonts w:ascii="Arial" w:eastAsia="Times New Roman" w:hAnsi="Arial" w:cs="Arial"/>
          <w:sz w:val="24"/>
          <w:szCs w:val="24"/>
        </w:rPr>
        <w:t>ape cu conţinut predominant de materii anorganice, în care se situează majoritatea apelor industrial;</w:t>
      </w:r>
    </w:p>
    <w:p w:rsidR="004B269B" w:rsidRPr="004B269B" w:rsidRDefault="004B269B" w:rsidP="005910C7">
      <w:pPr>
        <w:numPr>
          <w:ilvl w:val="0"/>
          <w:numId w:val="9"/>
        </w:numPr>
        <w:autoSpaceDE w:val="0"/>
        <w:autoSpaceDN w:val="0"/>
        <w:adjustRightInd w:val="0"/>
        <w:spacing w:after="0" w:line="240" w:lineRule="auto"/>
        <w:jc w:val="both"/>
        <w:rPr>
          <w:rFonts w:ascii="Arial" w:eastAsia="Times New Roman" w:hAnsi="Arial" w:cs="Arial"/>
          <w:sz w:val="24"/>
          <w:szCs w:val="24"/>
        </w:rPr>
      </w:pPr>
      <w:r w:rsidRPr="004B269B">
        <w:rPr>
          <w:rFonts w:ascii="Arial" w:eastAsia="Times New Roman" w:hAnsi="Arial" w:cs="Arial"/>
          <w:sz w:val="24"/>
          <w:szCs w:val="24"/>
        </w:rPr>
        <w:t>ape orăşeneşti, în care predomină fie substanţele organice, fie cele anorganice.</w:t>
      </w:r>
    </w:p>
    <w:p w:rsidR="004B269B" w:rsidRPr="004B269B" w:rsidRDefault="004B269B" w:rsidP="004B269B">
      <w:pPr>
        <w:autoSpaceDE w:val="0"/>
        <w:autoSpaceDN w:val="0"/>
        <w:adjustRightInd w:val="0"/>
        <w:spacing w:after="0" w:line="240" w:lineRule="auto"/>
        <w:ind w:firstLine="720"/>
        <w:jc w:val="both"/>
        <w:rPr>
          <w:rFonts w:ascii="Arial" w:eastAsia="SimSun" w:hAnsi="Arial" w:cs="Arial"/>
          <w:sz w:val="24"/>
          <w:szCs w:val="24"/>
          <w:lang w:val="en-GB"/>
        </w:rPr>
      </w:pPr>
      <w:r w:rsidRPr="004B269B">
        <w:rPr>
          <w:rFonts w:ascii="Arial" w:eastAsia="SimSun" w:hAnsi="Arial" w:cs="Arial"/>
          <w:bCs/>
          <w:sz w:val="24"/>
          <w:szCs w:val="24"/>
          <w:lang w:val="en-GB"/>
        </w:rPr>
        <w:t>Re</w:t>
      </w:r>
      <w:r w:rsidRPr="004B269B">
        <w:rPr>
          <w:rFonts w:ascii="Arial" w:eastAsia="SimSun" w:hAnsi="Arial" w:cs="Arial"/>
          <w:bCs/>
          <w:sz w:val="24"/>
          <w:szCs w:val="24"/>
          <w:lang w:val="ro-RO"/>
        </w:rPr>
        <w:t>ţ</w:t>
      </w:r>
      <w:r w:rsidRPr="004B269B">
        <w:rPr>
          <w:rFonts w:ascii="Arial" w:eastAsia="SimSun" w:hAnsi="Arial" w:cs="Arial"/>
          <w:bCs/>
          <w:sz w:val="24"/>
          <w:szCs w:val="24"/>
          <w:lang w:val="en-GB"/>
        </w:rPr>
        <w:t>ea publică de canalizare</w:t>
      </w:r>
      <w:r w:rsidRPr="004B269B">
        <w:rPr>
          <w:rFonts w:ascii="Arial" w:eastAsia="SimSun" w:hAnsi="Arial" w:cs="Arial"/>
          <w:sz w:val="24"/>
          <w:szCs w:val="24"/>
          <w:lang w:val="en-GB"/>
        </w:rPr>
        <w:t xml:space="preserve"> - parte din sistemul de canalizare, alcatuită din reţeaua de conducte, armături şi construcţii anexe care asigură preluarea, evacuarea şi transportul apelor de canalizare la/de la doi sau mai mulţi utilizatori independenţi, respectiv de la două sau mai multe persoane fizice care locuiesc în case individuale ori de la două sau mai multe persoane juridice care administrează câte un singur condomeniu, astfel cum este definit el de lege. Epurarea apelor uzate este o operaţie complexă, datorită atât diversităţii produselor utilizate în procesele de producţie cât şi modificărilor intervenite în fluxul tehnologic în funcţie de sorturile care se prelucrează; aceşti factori determină fluctuaţii mari în ceea ce priveşte caracteristicile fizico – chimice ale apelor uzate.</w:t>
      </w:r>
    </w:p>
    <w:p w:rsidR="004B269B" w:rsidRPr="004B269B" w:rsidRDefault="004B269B" w:rsidP="004B269B">
      <w:pPr>
        <w:spacing w:after="0" w:line="240" w:lineRule="auto"/>
        <w:jc w:val="both"/>
        <w:rPr>
          <w:rFonts w:ascii="Arial" w:eastAsia="SimSun" w:hAnsi="Arial" w:cs="Arial"/>
          <w:bCs/>
          <w:iCs/>
          <w:sz w:val="24"/>
          <w:szCs w:val="24"/>
          <w:lang w:val="en-GB"/>
        </w:rPr>
      </w:pPr>
    </w:p>
    <w:p w:rsidR="004B269B" w:rsidRPr="004B269B" w:rsidRDefault="004B269B" w:rsidP="004B269B">
      <w:pPr>
        <w:spacing w:after="0" w:line="240" w:lineRule="auto"/>
        <w:jc w:val="both"/>
        <w:rPr>
          <w:rFonts w:ascii="Arial" w:eastAsia="SimSun" w:hAnsi="Arial" w:cs="Arial"/>
          <w:bCs/>
          <w:iCs/>
          <w:sz w:val="24"/>
          <w:szCs w:val="24"/>
          <w:lang w:val="en-GB"/>
        </w:rPr>
      </w:pPr>
      <w:r w:rsidRPr="004B269B">
        <w:rPr>
          <w:rFonts w:ascii="Arial" w:eastAsia="SimSun" w:hAnsi="Arial" w:cs="Arial"/>
          <w:bCs/>
          <w:iCs/>
          <w:sz w:val="24"/>
          <w:szCs w:val="24"/>
          <w:lang w:val="en-GB"/>
        </w:rPr>
        <w:t>Tabelul II.11. Situaţia reţelei de apă menajeră, în judeţul Vaslui, anul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1885"/>
        <w:gridCol w:w="2410"/>
        <w:gridCol w:w="1984"/>
      </w:tblGrid>
      <w:tr w:rsidR="004B269B" w:rsidRPr="004B269B" w:rsidTr="00080B9C">
        <w:tc>
          <w:tcPr>
            <w:tcW w:w="2476" w:type="dxa"/>
            <w:vMerge w:val="restart"/>
            <w:shd w:val="clear" w:color="auto" w:fill="auto"/>
          </w:tcPr>
          <w:p w:rsidR="004B269B" w:rsidRPr="004B269B" w:rsidRDefault="004B269B" w:rsidP="004B269B">
            <w:pPr>
              <w:tabs>
                <w:tab w:val="left" w:pos="1515"/>
              </w:tabs>
              <w:spacing w:after="0" w:line="240" w:lineRule="auto"/>
              <w:jc w:val="both"/>
              <w:rPr>
                <w:rFonts w:ascii="Arial" w:eastAsia="SimSun" w:hAnsi="Arial" w:cs="Arial"/>
                <w:bCs/>
                <w:iCs/>
                <w:sz w:val="20"/>
                <w:szCs w:val="20"/>
                <w:lang w:val="en-GB"/>
              </w:rPr>
            </w:pPr>
            <w:r w:rsidRPr="004B269B">
              <w:rPr>
                <w:rFonts w:ascii="Arial" w:eastAsia="SimSun" w:hAnsi="Arial" w:cs="Arial"/>
                <w:bCs/>
                <w:iCs/>
                <w:sz w:val="20"/>
                <w:szCs w:val="20"/>
                <w:lang w:val="en-GB"/>
              </w:rPr>
              <w:t>Municipiul/Oraşul</w:t>
            </w:r>
          </w:p>
        </w:tc>
        <w:tc>
          <w:tcPr>
            <w:tcW w:w="6279" w:type="dxa"/>
            <w:gridSpan w:val="3"/>
            <w:shd w:val="clear" w:color="auto" w:fill="auto"/>
          </w:tcPr>
          <w:p w:rsidR="004B269B" w:rsidRPr="004B269B" w:rsidRDefault="004B269B" w:rsidP="004B269B">
            <w:pPr>
              <w:tabs>
                <w:tab w:val="left" w:pos="1515"/>
              </w:tabs>
              <w:spacing w:after="0" w:line="240" w:lineRule="auto"/>
              <w:jc w:val="center"/>
              <w:rPr>
                <w:rFonts w:ascii="Arial" w:eastAsia="SimSun" w:hAnsi="Arial" w:cs="Arial"/>
                <w:bCs/>
                <w:iCs/>
                <w:sz w:val="20"/>
                <w:szCs w:val="20"/>
                <w:lang w:val="en-GB"/>
              </w:rPr>
            </w:pPr>
            <w:r w:rsidRPr="004B269B">
              <w:rPr>
                <w:rFonts w:ascii="Arial" w:eastAsia="SimSun" w:hAnsi="Arial" w:cs="Arial"/>
                <w:bCs/>
                <w:iCs/>
                <w:sz w:val="20"/>
                <w:szCs w:val="20"/>
                <w:lang w:val="en-GB"/>
              </w:rPr>
              <w:t>Reţea apă menajeră</w:t>
            </w:r>
          </w:p>
        </w:tc>
      </w:tr>
      <w:tr w:rsidR="004B269B" w:rsidRPr="004B269B" w:rsidTr="00080B9C">
        <w:tc>
          <w:tcPr>
            <w:tcW w:w="2476" w:type="dxa"/>
            <w:vMerge/>
            <w:shd w:val="clear" w:color="auto" w:fill="auto"/>
          </w:tcPr>
          <w:p w:rsidR="004B269B" w:rsidRPr="004B269B" w:rsidRDefault="004B269B" w:rsidP="004B269B">
            <w:pPr>
              <w:tabs>
                <w:tab w:val="left" w:pos="1515"/>
              </w:tabs>
              <w:spacing w:after="0" w:line="240" w:lineRule="auto"/>
              <w:jc w:val="both"/>
              <w:rPr>
                <w:rFonts w:ascii="Arial" w:eastAsia="SimSun" w:hAnsi="Arial" w:cs="Arial"/>
                <w:bCs/>
                <w:iCs/>
                <w:sz w:val="20"/>
                <w:szCs w:val="20"/>
                <w:lang w:val="en-GB"/>
              </w:rPr>
            </w:pPr>
          </w:p>
        </w:tc>
        <w:tc>
          <w:tcPr>
            <w:tcW w:w="1885" w:type="dxa"/>
            <w:shd w:val="clear" w:color="auto" w:fill="auto"/>
          </w:tcPr>
          <w:p w:rsidR="004B269B" w:rsidRPr="004B269B" w:rsidRDefault="004B269B" w:rsidP="004B269B">
            <w:pPr>
              <w:tabs>
                <w:tab w:val="left" w:pos="1515"/>
              </w:tabs>
              <w:spacing w:after="0" w:line="240" w:lineRule="auto"/>
              <w:jc w:val="both"/>
              <w:rPr>
                <w:rFonts w:ascii="Arial" w:eastAsia="SimSun" w:hAnsi="Arial" w:cs="Arial"/>
                <w:bCs/>
                <w:iCs/>
                <w:sz w:val="20"/>
                <w:szCs w:val="20"/>
                <w:lang w:val="en-GB"/>
              </w:rPr>
            </w:pPr>
            <w:r w:rsidRPr="004B269B">
              <w:rPr>
                <w:rFonts w:ascii="Arial" w:eastAsia="SimSun" w:hAnsi="Arial" w:cs="Arial"/>
                <w:bCs/>
                <w:iCs/>
                <w:sz w:val="20"/>
                <w:szCs w:val="20"/>
                <w:lang w:val="en-GB"/>
              </w:rPr>
              <w:t>Lungime (km)</w:t>
            </w:r>
          </w:p>
        </w:tc>
        <w:tc>
          <w:tcPr>
            <w:tcW w:w="2410" w:type="dxa"/>
            <w:shd w:val="clear" w:color="auto" w:fill="auto"/>
          </w:tcPr>
          <w:p w:rsidR="004B269B" w:rsidRPr="004B269B" w:rsidRDefault="004B269B" w:rsidP="004B269B">
            <w:pPr>
              <w:tabs>
                <w:tab w:val="left" w:pos="1515"/>
              </w:tabs>
              <w:spacing w:after="0" w:line="240" w:lineRule="auto"/>
              <w:jc w:val="both"/>
              <w:rPr>
                <w:rFonts w:ascii="Arial" w:eastAsia="SimSun" w:hAnsi="Arial" w:cs="Arial"/>
                <w:bCs/>
                <w:iCs/>
                <w:sz w:val="20"/>
                <w:szCs w:val="20"/>
                <w:lang w:val="en-GB"/>
              </w:rPr>
            </w:pPr>
            <w:r w:rsidRPr="004B269B">
              <w:rPr>
                <w:rFonts w:ascii="Arial" w:eastAsia="SimSun" w:hAnsi="Arial" w:cs="Arial"/>
                <w:bCs/>
                <w:iCs/>
                <w:sz w:val="20"/>
                <w:szCs w:val="20"/>
                <w:lang w:val="en-GB"/>
              </w:rPr>
              <w:t>Volum colectat (mii mc)</w:t>
            </w:r>
          </w:p>
        </w:tc>
        <w:tc>
          <w:tcPr>
            <w:tcW w:w="1984" w:type="dxa"/>
            <w:shd w:val="clear" w:color="auto" w:fill="auto"/>
          </w:tcPr>
          <w:p w:rsidR="004B269B" w:rsidRPr="004B269B" w:rsidRDefault="004B269B" w:rsidP="004B269B">
            <w:pPr>
              <w:tabs>
                <w:tab w:val="left" w:pos="1515"/>
              </w:tabs>
              <w:spacing w:after="0" w:line="240" w:lineRule="auto"/>
              <w:jc w:val="both"/>
              <w:rPr>
                <w:rFonts w:ascii="Arial" w:eastAsia="SimSun" w:hAnsi="Arial" w:cs="Arial"/>
                <w:bCs/>
                <w:iCs/>
                <w:sz w:val="20"/>
                <w:szCs w:val="20"/>
                <w:lang w:val="en-GB"/>
              </w:rPr>
            </w:pPr>
            <w:r w:rsidRPr="004B269B">
              <w:rPr>
                <w:rFonts w:ascii="Arial" w:eastAsia="SimSun" w:hAnsi="Arial" w:cs="Arial"/>
                <w:bCs/>
                <w:iCs/>
                <w:sz w:val="20"/>
                <w:szCs w:val="20"/>
                <w:lang w:val="en-GB"/>
              </w:rPr>
              <w:t>Număr localităţi</w:t>
            </w:r>
          </w:p>
        </w:tc>
      </w:tr>
      <w:tr w:rsidR="004B269B" w:rsidRPr="004B269B" w:rsidTr="00080B9C">
        <w:tc>
          <w:tcPr>
            <w:tcW w:w="2476" w:type="dxa"/>
            <w:shd w:val="clear" w:color="auto" w:fill="auto"/>
          </w:tcPr>
          <w:p w:rsidR="004B269B" w:rsidRPr="004B269B" w:rsidRDefault="004B269B" w:rsidP="004B269B">
            <w:pPr>
              <w:tabs>
                <w:tab w:val="left" w:pos="1515"/>
              </w:tabs>
              <w:spacing w:after="0" w:line="240" w:lineRule="auto"/>
              <w:jc w:val="both"/>
              <w:rPr>
                <w:rFonts w:ascii="Arial" w:eastAsia="SimSun" w:hAnsi="Arial" w:cs="Arial"/>
                <w:bCs/>
                <w:iCs/>
                <w:sz w:val="20"/>
                <w:szCs w:val="20"/>
                <w:lang w:val="en-GB"/>
              </w:rPr>
            </w:pPr>
            <w:r w:rsidRPr="004B269B">
              <w:rPr>
                <w:rFonts w:ascii="Arial" w:eastAsia="SimSun" w:hAnsi="Arial" w:cs="Arial"/>
                <w:bCs/>
                <w:iCs/>
                <w:sz w:val="20"/>
                <w:szCs w:val="20"/>
                <w:lang w:val="en-GB"/>
              </w:rPr>
              <w:t>Vaslui</w:t>
            </w:r>
          </w:p>
        </w:tc>
        <w:tc>
          <w:tcPr>
            <w:tcW w:w="1885" w:type="dxa"/>
            <w:shd w:val="clear" w:color="auto" w:fill="auto"/>
          </w:tcPr>
          <w:p w:rsidR="004B269B" w:rsidRPr="004B269B" w:rsidRDefault="004B269B" w:rsidP="004B269B">
            <w:pPr>
              <w:tabs>
                <w:tab w:val="left" w:pos="1515"/>
              </w:tabs>
              <w:spacing w:after="0" w:line="240" w:lineRule="auto"/>
              <w:jc w:val="both"/>
              <w:rPr>
                <w:rFonts w:ascii="Arial" w:eastAsia="SimSun" w:hAnsi="Arial" w:cs="Arial"/>
                <w:bCs/>
                <w:iCs/>
                <w:sz w:val="20"/>
                <w:szCs w:val="20"/>
                <w:lang w:val="en-GB"/>
              </w:rPr>
            </w:pPr>
            <w:r w:rsidRPr="004B269B">
              <w:rPr>
                <w:rFonts w:ascii="Arial" w:eastAsia="SimSun" w:hAnsi="Arial" w:cs="Arial"/>
                <w:bCs/>
                <w:iCs/>
                <w:sz w:val="20"/>
                <w:szCs w:val="20"/>
                <w:lang w:val="en-GB"/>
              </w:rPr>
              <w:t>142,3</w:t>
            </w:r>
          </w:p>
        </w:tc>
        <w:tc>
          <w:tcPr>
            <w:tcW w:w="2410" w:type="dxa"/>
            <w:shd w:val="clear" w:color="auto" w:fill="auto"/>
          </w:tcPr>
          <w:p w:rsidR="004B269B" w:rsidRPr="004B269B" w:rsidRDefault="004B269B" w:rsidP="004B269B">
            <w:pPr>
              <w:tabs>
                <w:tab w:val="left" w:pos="1515"/>
              </w:tabs>
              <w:spacing w:after="0" w:line="240" w:lineRule="auto"/>
              <w:jc w:val="both"/>
              <w:rPr>
                <w:rFonts w:ascii="Arial" w:eastAsia="SimSun" w:hAnsi="Arial" w:cs="Arial"/>
                <w:bCs/>
                <w:iCs/>
                <w:sz w:val="20"/>
                <w:szCs w:val="20"/>
                <w:lang w:val="en-GB"/>
              </w:rPr>
            </w:pPr>
            <w:r w:rsidRPr="004B269B">
              <w:rPr>
                <w:rFonts w:ascii="Arial" w:eastAsia="SimSun" w:hAnsi="Arial" w:cs="Arial"/>
                <w:bCs/>
                <w:iCs/>
                <w:sz w:val="20"/>
                <w:szCs w:val="20"/>
                <w:lang w:val="en-GB"/>
              </w:rPr>
              <w:t>2345,1</w:t>
            </w:r>
          </w:p>
        </w:tc>
        <w:tc>
          <w:tcPr>
            <w:tcW w:w="1984" w:type="dxa"/>
            <w:shd w:val="clear" w:color="auto" w:fill="auto"/>
          </w:tcPr>
          <w:p w:rsidR="004B269B" w:rsidRPr="004B269B" w:rsidRDefault="004B269B" w:rsidP="004B269B">
            <w:pPr>
              <w:tabs>
                <w:tab w:val="left" w:pos="1515"/>
              </w:tabs>
              <w:spacing w:after="0" w:line="240" w:lineRule="auto"/>
              <w:jc w:val="both"/>
              <w:rPr>
                <w:rFonts w:ascii="Arial" w:eastAsia="SimSun" w:hAnsi="Arial" w:cs="Arial"/>
                <w:bCs/>
                <w:iCs/>
                <w:sz w:val="20"/>
                <w:szCs w:val="20"/>
                <w:lang w:val="en-GB"/>
              </w:rPr>
            </w:pPr>
            <w:r w:rsidRPr="004B269B">
              <w:rPr>
                <w:rFonts w:ascii="Arial" w:eastAsia="SimSun" w:hAnsi="Arial" w:cs="Arial"/>
                <w:bCs/>
                <w:iCs/>
                <w:sz w:val="20"/>
                <w:szCs w:val="20"/>
                <w:lang w:val="en-GB"/>
              </w:rPr>
              <w:t>4</w:t>
            </w:r>
          </w:p>
        </w:tc>
      </w:tr>
      <w:tr w:rsidR="004B269B" w:rsidRPr="004B269B" w:rsidTr="00080B9C">
        <w:tc>
          <w:tcPr>
            <w:tcW w:w="2476" w:type="dxa"/>
            <w:shd w:val="clear" w:color="auto" w:fill="auto"/>
          </w:tcPr>
          <w:p w:rsidR="004B269B" w:rsidRPr="004B269B" w:rsidRDefault="004B269B" w:rsidP="004B269B">
            <w:pPr>
              <w:tabs>
                <w:tab w:val="left" w:pos="1515"/>
              </w:tabs>
              <w:spacing w:after="0" w:line="240" w:lineRule="auto"/>
              <w:jc w:val="both"/>
              <w:rPr>
                <w:rFonts w:ascii="Arial" w:eastAsia="SimSun" w:hAnsi="Arial" w:cs="Arial"/>
                <w:bCs/>
                <w:iCs/>
                <w:sz w:val="20"/>
                <w:szCs w:val="20"/>
                <w:lang w:val="en-GB"/>
              </w:rPr>
            </w:pPr>
            <w:r w:rsidRPr="004B269B">
              <w:rPr>
                <w:rFonts w:ascii="Arial" w:eastAsia="SimSun" w:hAnsi="Arial" w:cs="Arial"/>
                <w:bCs/>
                <w:iCs/>
                <w:sz w:val="20"/>
                <w:szCs w:val="20"/>
                <w:lang w:val="en-GB"/>
              </w:rPr>
              <w:t>Bârlad</w:t>
            </w:r>
          </w:p>
        </w:tc>
        <w:tc>
          <w:tcPr>
            <w:tcW w:w="1885" w:type="dxa"/>
            <w:shd w:val="clear" w:color="auto" w:fill="auto"/>
          </w:tcPr>
          <w:p w:rsidR="004B269B" w:rsidRPr="004B269B" w:rsidRDefault="004B269B" w:rsidP="004B269B">
            <w:pPr>
              <w:tabs>
                <w:tab w:val="left" w:pos="1515"/>
              </w:tabs>
              <w:spacing w:after="0" w:line="240" w:lineRule="auto"/>
              <w:jc w:val="both"/>
              <w:rPr>
                <w:rFonts w:ascii="Arial" w:eastAsia="SimSun" w:hAnsi="Arial" w:cs="Arial"/>
                <w:bCs/>
                <w:iCs/>
                <w:sz w:val="20"/>
                <w:szCs w:val="20"/>
                <w:lang w:val="en-GB"/>
              </w:rPr>
            </w:pPr>
            <w:r w:rsidRPr="004B269B">
              <w:rPr>
                <w:rFonts w:ascii="Arial" w:eastAsia="SimSun" w:hAnsi="Arial" w:cs="Arial"/>
                <w:bCs/>
                <w:iCs/>
                <w:sz w:val="20"/>
                <w:szCs w:val="20"/>
                <w:lang w:val="en-GB"/>
              </w:rPr>
              <w:t>152</w:t>
            </w:r>
          </w:p>
        </w:tc>
        <w:tc>
          <w:tcPr>
            <w:tcW w:w="2410" w:type="dxa"/>
            <w:shd w:val="clear" w:color="auto" w:fill="auto"/>
          </w:tcPr>
          <w:p w:rsidR="004B269B" w:rsidRPr="004B269B" w:rsidRDefault="004B269B" w:rsidP="004B269B">
            <w:pPr>
              <w:tabs>
                <w:tab w:val="left" w:pos="1515"/>
              </w:tabs>
              <w:spacing w:after="0" w:line="240" w:lineRule="auto"/>
              <w:jc w:val="both"/>
              <w:rPr>
                <w:rFonts w:ascii="Arial" w:eastAsia="SimSun" w:hAnsi="Arial" w:cs="Arial"/>
                <w:bCs/>
                <w:iCs/>
                <w:sz w:val="20"/>
                <w:szCs w:val="20"/>
                <w:lang w:val="en-GB"/>
              </w:rPr>
            </w:pPr>
            <w:r w:rsidRPr="004B269B">
              <w:rPr>
                <w:rFonts w:ascii="Arial" w:eastAsia="SimSun" w:hAnsi="Arial" w:cs="Arial"/>
                <w:bCs/>
                <w:iCs/>
                <w:sz w:val="20"/>
                <w:szCs w:val="20"/>
                <w:lang w:val="en-GB"/>
              </w:rPr>
              <w:t>3017,6</w:t>
            </w:r>
          </w:p>
        </w:tc>
        <w:tc>
          <w:tcPr>
            <w:tcW w:w="1984" w:type="dxa"/>
            <w:shd w:val="clear" w:color="auto" w:fill="auto"/>
          </w:tcPr>
          <w:p w:rsidR="004B269B" w:rsidRPr="004B269B" w:rsidRDefault="004B269B" w:rsidP="004B269B">
            <w:pPr>
              <w:tabs>
                <w:tab w:val="left" w:pos="1515"/>
              </w:tabs>
              <w:spacing w:after="0" w:line="240" w:lineRule="auto"/>
              <w:jc w:val="both"/>
              <w:rPr>
                <w:rFonts w:ascii="Arial" w:eastAsia="SimSun" w:hAnsi="Arial" w:cs="Arial"/>
                <w:bCs/>
                <w:iCs/>
                <w:sz w:val="20"/>
                <w:szCs w:val="20"/>
                <w:lang w:val="en-GB"/>
              </w:rPr>
            </w:pPr>
            <w:r w:rsidRPr="004B269B">
              <w:rPr>
                <w:rFonts w:ascii="Arial" w:eastAsia="SimSun" w:hAnsi="Arial" w:cs="Arial"/>
                <w:bCs/>
                <w:iCs/>
                <w:sz w:val="20"/>
                <w:szCs w:val="20"/>
                <w:lang w:val="en-GB"/>
              </w:rPr>
              <w:t>1</w:t>
            </w:r>
          </w:p>
        </w:tc>
      </w:tr>
      <w:tr w:rsidR="004B269B" w:rsidRPr="004B269B" w:rsidTr="00080B9C">
        <w:tc>
          <w:tcPr>
            <w:tcW w:w="2476" w:type="dxa"/>
            <w:shd w:val="clear" w:color="auto" w:fill="auto"/>
          </w:tcPr>
          <w:p w:rsidR="004B269B" w:rsidRPr="004B269B" w:rsidRDefault="004B269B" w:rsidP="004B269B">
            <w:pPr>
              <w:tabs>
                <w:tab w:val="left" w:pos="1515"/>
              </w:tabs>
              <w:spacing w:after="0" w:line="240" w:lineRule="auto"/>
              <w:jc w:val="both"/>
              <w:rPr>
                <w:rFonts w:ascii="Arial" w:eastAsia="SimSun" w:hAnsi="Arial" w:cs="Arial"/>
                <w:bCs/>
                <w:iCs/>
                <w:sz w:val="20"/>
                <w:szCs w:val="20"/>
                <w:lang w:val="en-GB"/>
              </w:rPr>
            </w:pPr>
            <w:r w:rsidRPr="004B269B">
              <w:rPr>
                <w:rFonts w:ascii="Arial" w:eastAsia="SimSun" w:hAnsi="Arial" w:cs="Arial"/>
                <w:bCs/>
                <w:iCs/>
                <w:sz w:val="20"/>
                <w:szCs w:val="20"/>
                <w:lang w:val="en-GB"/>
              </w:rPr>
              <w:t>Huşi</w:t>
            </w:r>
          </w:p>
        </w:tc>
        <w:tc>
          <w:tcPr>
            <w:tcW w:w="1885" w:type="dxa"/>
            <w:shd w:val="clear" w:color="auto" w:fill="auto"/>
          </w:tcPr>
          <w:p w:rsidR="004B269B" w:rsidRPr="004B269B" w:rsidRDefault="004B269B" w:rsidP="004B269B">
            <w:pPr>
              <w:tabs>
                <w:tab w:val="left" w:pos="1515"/>
              </w:tabs>
              <w:spacing w:after="0" w:line="240" w:lineRule="auto"/>
              <w:jc w:val="both"/>
              <w:rPr>
                <w:rFonts w:ascii="Arial" w:eastAsia="SimSun" w:hAnsi="Arial" w:cs="Arial"/>
                <w:bCs/>
                <w:iCs/>
                <w:sz w:val="20"/>
                <w:szCs w:val="20"/>
                <w:lang w:val="en-GB"/>
              </w:rPr>
            </w:pPr>
            <w:r w:rsidRPr="004B269B">
              <w:rPr>
                <w:rFonts w:ascii="Arial" w:eastAsia="SimSun" w:hAnsi="Arial" w:cs="Arial"/>
                <w:bCs/>
                <w:iCs/>
                <w:sz w:val="20"/>
                <w:szCs w:val="20"/>
                <w:lang w:val="en-GB"/>
              </w:rPr>
              <w:t>60,1</w:t>
            </w:r>
          </w:p>
        </w:tc>
        <w:tc>
          <w:tcPr>
            <w:tcW w:w="2410" w:type="dxa"/>
            <w:shd w:val="clear" w:color="auto" w:fill="auto"/>
          </w:tcPr>
          <w:p w:rsidR="004B269B" w:rsidRPr="004B269B" w:rsidRDefault="004B269B" w:rsidP="004B269B">
            <w:pPr>
              <w:tabs>
                <w:tab w:val="left" w:pos="1515"/>
              </w:tabs>
              <w:spacing w:after="0" w:line="240" w:lineRule="auto"/>
              <w:jc w:val="both"/>
              <w:rPr>
                <w:rFonts w:ascii="Arial" w:eastAsia="SimSun" w:hAnsi="Arial" w:cs="Arial"/>
                <w:bCs/>
                <w:iCs/>
                <w:sz w:val="20"/>
                <w:szCs w:val="20"/>
                <w:lang w:val="en-GB"/>
              </w:rPr>
            </w:pPr>
            <w:r w:rsidRPr="004B269B">
              <w:rPr>
                <w:rFonts w:ascii="Arial" w:eastAsia="SimSun" w:hAnsi="Arial" w:cs="Arial"/>
                <w:bCs/>
                <w:iCs/>
                <w:sz w:val="20"/>
                <w:szCs w:val="20"/>
                <w:lang w:val="en-GB"/>
              </w:rPr>
              <w:t>936,5</w:t>
            </w:r>
          </w:p>
        </w:tc>
        <w:tc>
          <w:tcPr>
            <w:tcW w:w="1984" w:type="dxa"/>
            <w:shd w:val="clear" w:color="auto" w:fill="auto"/>
          </w:tcPr>
          <w:p w:rsidR="004B269B" w:rsidRPr="004B269B" w:rsidRDefault="004B269B" w:rsidP="004B269B">
            <w:pPr>
              <w:tabs>
                <w:tab w:val="left" w:pos="1515"/>
              </w:tabs>
              <w:spacing w:after="0" w:line="240" w:lineRule="auto"/>
              <w:jc w:val="both"/>
              <w:rPr>
                <w:rFonts w:ascii="Arial" w:eastAsia="SimSun" w:hAnsi="Arial" w:cs="Arial"/>
                <w:bCs/>
                <w:iCs/>
                <w:sz w:val="20"/>
                <w:szCs w:val="20"/>
                <w:lang w:val="en-GB"/>
              </w:rPr>
            </w:pPr>
            <w:r w:rsidRPr="004B269B">
              <w:rPr>
                <w:rFonts w:ascii="Arial" w:eastAsia="SimSun" w:hAnsi="Arial" w:cs="Arial"/>
                <w:bCs/>
                <w:iCs/>
                <w:sz w:val="20"/>
                <w:szCs w:val="20"/>
                <w:lang w:val="en-GB"/>
              </w:rPr>
              <w:t>1</w:t>
            </w:r>
          </w:p>
        </w:tc>
      </w:tr>
      <w:tr w:rsidR="004B269B" w:rsidRPr="004B269B" w:rsidTr="00080B9C">
        <w:tc>
          <w:tcPr>
            <w:tcW w:w="2476" w:type="dxa"/>
            <w:shd w:val="clear" w:color="auto" w:fill="auto"/>
          </w:tcPr>
          <w:p w:rsidR="004B269B" w:rsidRPr="004B269B" w:rsidRDefault="004B269B" w:rsidP="004B269B">
            <w:pPr>
              <w:tabs>
                <w:tab w:val="left" w:pos="1515"/>
              </w:tabs>
              <w:spacing w:after="0" w:line="240" w:lineRule="auto"/>
              <w:jc w:val="both"/>
              <w:rPr>
                <w:rFonts w:ascii="Arial" w:eastAsia="SimSun" w:hAnsi="Arial" w:cs="Arial"/>
                <w:bCs/>
                <w:iCs/>
                <w:sz w:val="20"/>
                <w:szCs w:val="20"/>
                <w:lang w:val="en-GB"/>
              </w:rPr>
            </w:pPr>
            <w:r w:rsidRPr="004B269B">
              <w:rPr>
                <w:rFonts w:ascii="Arial" w:eastAsia="SimSun" w:hAnsi="Arial" w:cs="Arial"/>
                <w:bCs/>
                <w:iCs/>
                <w:sz w:val="20"/>
                <w:szCs w:val="20"/>
                <w:lang w:val="en-GB"/>
              </w:rPr>
              <w:t>Negreşti</w:t>
            </w:r>
          </w:p>
        </w:tc>
        <w:tc>
          <w:tcPr>
            <w:tcW w:w="1885" w:type="dxa"/>
            <w:shd w:val="clear" w:color="auto" w:fill="auto"/>
          </w:tcPr>
          <w:p w:rsidR="004B269B" w:rsidRPr="004B269B" w:rsidRDefault="004B269B" w:rsidP="004B269B">
            <w:pPr>
              <w:tabs>
                <w:tab w:val="left" w:pos="1515"/>
              </w:tabs>
              <w:spacing w:after="0" w:line="240" w:lineRule="auto"/>
              <w:jc w:val="both"/>
              <w:rPr>
                <w:rFonts w:ascii="Arial" w:eastAsia="SimSun" w:hAnsi="Arial" w:cs="Arial"/>
                <w:bCs/>
                <w:iCs/>
                <w:sz w:val="20"/>
                <w:szCs w:val="20"/>
                <w:lang w:val="en-GB"/>
              </w:rPr>
            </w:pPr>
            <w:r w:rsidRPr="004B269B">
              <w:rPr>
                <w:rFonts w:ascii="Arial" w:eastAsia="SimSun" w:hAnsi="Arial" w:cs="Arial"/>
                <w:bCs/>
                <w:iCs/>
                <w:sz w:val="20"/>
                <w:szCs w:val="20"/>
                <w:lang w:val="en-GB"/>
              </w:rPr>
              <w:t>10,5</w:t>
            </w:r>
          </w:p>
        </w:tc>
        <w:tc>
          <w:tcPr>
            <w:tcW w:w="2410" w:type="dxa"/>
            <w:shd w:val="clear" w:color="auto" w:fill="auto"/>
          </w:tcPr>
          <w:p w:rsidR="004B269B" w:rsidRPr="004B269B" w:rsidRDefault="004B269B" w:rsidP="004B269B">
            <w:pPr>
              <w:tabs>
                <w:tab w:val="left" w:pos="1515"/>
              </w:tabs>
              <w:spacing w:after="0" w:line="240" w:lineRule="auto"/>
              <w:jc w:val="both"/>
              <w:rPr>
                <w:rFonts w:ascii="Arial" w:eastAsia="SimSun" w:hAnsi="Arial" w:cs="Arial"/>
                <w:bCs/>
                <w:iCs/>
                <w:sz w:val="20"/>
                <w:szCs w:val="20"/>
                <w:lang w:val="en-GB"/>
              </w:rPr>
            </w:pPr>
            <w:r w:rsidRPr="004B269B">
              <w:rPr>
                <w:rFonts w:ascii="Arial" w:eastAsia="SimSun" w:hAnsi="Arial" w:cs="Arial"/>
                <w:bCs/>
                <w:iCs/>
                <w:sz w:val="20"/>
                <w:szCs w:val="20"/>
                <w:lang w:val="en-GB"/>
              </w:rPr>
              <w:t>201,8</w:t>
            </w:r>
          </w:p>
        </w:tc>
        <w:tc>
          <w:tcPr>
            <w:tcW w:w="1984" w:type="dxa"/>
            <w:shd w:val="clear" w:color="auto" w:fill="auto"/>
          </w:tcPr>
          <w:p w:rsidR="004B269B" w:rsidRPr="004B269B" w:rsidRDefault="004B269B" w:rsidP="004B269B">
            <w:pPr>
              <w:tabs>
                <w:tab w:val="left" w:pos="1515"/>
              </w:tabs>
              <w:spacing w:after="0" w:line="240" w:lineRule="auto"/>
              <w:jc w:val="both"/>
              <w:rPr>
                <w:rFonts w:ascii="Arial" w:eastAsia="SimSun" w:hAnsi="Arial" w:cs="Arial"/>
                <w:bCs/>
                <w:iCs/>
                <w:sz w:val="20"/>
                <w:szCs w:val="20"/>
                <w:lang w:val="en-GB"/>
              </w:rPr>
            </w:pPr>
            <w:r w:rsidRPr="004B269B">
              <w:rPr>
                <w:rFonts w:ascii="Arial" w:eastAsia="SimSun" w:hAnsi="Arial" w:cs="Arial"/>
                <w:bCs/>
                <w:iCs/>
                <w:sz w:val="20"/>
                <w:szCs w:val="20"/>
                <w:lang w:val="en-GB"/>
              </w:rPr>
              <w:t>1</w:t>
            </w:r>
          </w:p>
        </w:tc>
      </w:tr>
      <w:tr w:rsidR="004B269B" w:rsidRPr="004B269B" w:rsidTr="00080B9C">
        <w:tc>
          <w:tcPr>
            <w:tcW w:w="2476" w:type="dxa"/>
            <w:shd w:val="clear" w:color="auto" w:fill="auto"/>
          </w:tcPr>
          <w:p w:rsidR="004B269B" w:rsidRPr="004B269B" w:rsidRDefault="004B269B" w:rsidP="004B269B">
            <w:pPr>
              <w:tabs>
                <w:tab w:val="left" w:pos="1515"/>
              </w:tabs>
              <w:spacing w:after="0" w:line="240" w:lineRule="auto"/>
              <w:jc w:val="both"/>
              <w:rPr>
                <w:rFonts w:ascii="Arial" w:eastAsia="SimSun" w:hAnsi="Arial" w:cs="Arial"/>
                <w:bCs/>
                <w:iCs/>
                <w:sz w:val="20"/>
                <w:szCs w:val="20"/>
                <w:lang w:val="en-GB"/>
              </w:rPr>
            </w:pPr>
            <w:r w:rsidRPr="004B269B">
              <w:rPr>
                <w:rFonts w:ascii="Arial" w:eastAsia="SimSun" w:hAnsi="Arial" w:cs="Arial"/>
                <w:bCs/>
                <w:iCs/>
                <w:sz w:val="20"/>
                <w:szCs w:val="20"/>
                <w:lang w:val="en-GB"/>
              </w:rPr>
              <w:t>Murgeni</w:t>
            </w:r>
          </w:p>
        </w:tc>
        <w:tc>
          <w:tcPr>
            <w:tcW w:w="1885" w:type="dxa"/>
            <w:shd w:val="clear" w:color="auto" w:fill="auto"/>
          </w:tcPr>
          <w:p w:rsidR="004B269B" w:rsidRPr="004B269B" w:rsidRDefault="004B269B" w:rsidP="004B269B">
            <w:pPr>
              <w:tabs>
                <w:tab w:val="left" w:pos="1515"/>
              </w:tabs>
              <w:spacing w:after="0" w:line="240" w:lineRule="auto"/>
              <w:jc w:val="both"/>
              <w:rPr>
                <w:rFonts w:ascii="Arial" w:eastAsia="SimSun" w:hAnsi="Arial" w:cs="Arial"/>
                <w:bCs/>
                <w:iCs/>
                <w:sz w:val="20"/>
                <w:szCs w:val="20"/>
                <w:lang w:val="en-GB"/>
              </w:rPr>
            </w:pPr>
            <w:r w:rsidRPr="004B269B">
              <w:rPr>
                <w:rFonts w:ascii="Arial" w:eastAsia="SimSun" w:hAnsi="Arial" w:cs="Arial"/>
                <w:bCs/>
                <w:iCs/>
                <w:sz w:val="20"/>
                <w:szCs w:val="20"/>
                <w:lang w:val="en-GB"/>
              </w:rPr>
              <w:t>8,0</w:t>
            </w:r>
          </w:p>
        </w:tc>
        <w:tc>
          <w:tcPr>
            <w:tcW w:w="2410" w:type="dxa"/>
            <w:shd w:val="clear" w:color="auto" w:fill="auto"/>
          </w:tcPr>
          <w:p w:rsidR="004B269B" w:rsidRPr="004B269B" w:rsidRDefault="004B269B" w:rsidP="004B269B">
            <w:pPr>
              <w:tabs>
                <w:tab w:val="left" w:pos="1515"/>
              </w:tabs>
              <w:spacing w:after="0" w:line="240" w:lineRule="auto"/>
              <w:jc w:val="both"/>
              <w:rPr>
                <w:rFonts w:ascii="Arial" w:eastAsia="SimSun" w:hAnsi="Arial" w:cs="Arial"/>
                <w:bCs/>
                <w:iCs/>
                <w:sz w:val="20"/>
                <w:szCs w:val="20"/>
                <w:lang w:val="en-GB"/>
              </w:rPr>
            </w:pPr>
            <w:r w:rsidRPr="004B269B">
              <w:rPr>
                <w:rFonts w:ascii="Arial" w:eastAsia="SimSun" w:hAnsi="Arial" w:cs="Arial"/>
                <w:bCs/>
                <w:iCs/>
                <w:sz w:val="20"/>
                <w:szCs w:val="20"/>
                <w:lang w:val="en-GB"/>
              </w:rPr>
              <w:t>22,5</w:t>
            </w:r>
          </w:p>
        </w:tc>
        <w:tc>
          <w:tcPr>
            <w:tcW w:w="1984" w:type="dxa"/>
            <w:shd w:val="clear" w:color="auto" w:fill="auto"/>
          </w:tcPr>
          <w:p w:rsidR="004B269B" w:rsidRPr="004B269B" w:rsidRDefault="004B269B" w:rsidP="004B269B">
            <w:pPr>
              <w:tabs>
                <w:tab w:val="left" w:pos="1515"/>
              </w:tabs>
              <w:spacing w:after="0" w:line="240" w:lineRule="auto"/>
              <w:jc w:val="both"/>
              <w:rPr>
                <w:rFonts w:ascii="Arial" w:eastAsia="SimSun" w:hAnsi="Arial" w:cs="Arial"/>
                <w:bCs/>
                <w:iCs/>
                <w:sz w:val="20"/>
                <w:szCs w:val="20"/>
                <w:lang w:val="en-GB"/>
              </w:rPr>
            </w:pPr>
            <w:r w:rsidRPr="004B269B">
              <w:rPr>
                <w:rFonts w:ascii="Arial" w:eastAsia="SimSun" w:hAnsi="Arial" w:cs="Arial"/>
                <w:bCs/>
                <w:iCs/>
                <w:sz w:val="20"/>
                <w:szCs w:val="20"/>
                <w:lang w:val="en-GB"/>
              </w:rPr>
              <w:t>1</w:t>
            </w:r>
          </w:p>
        </w:tc>
      </w:tr>
    </w:tbl>
    <w:p w:rsidR="004B269B" w:rsidRPr="004B269B" w:rsidRDefault="004B269B" w:rsidP="004B269B">
      <w:pPr>
        <w:tabs>
          <w:tab w:val="left" w:pos="1515"/>
        </w:tabs>
        <w:spacing w:after="0" w:line="240" w:lineRule="auto"/>
        <w:jc w:val="both"/>
        <w:rPr>
          <w:rFonts w:ascii="Arial" w:eastAsia="SimSun" w:hAnsi="Arial" w:cs="Arial"/>
          <w:b/>
          <w:bCs/>
          <w:iCs/>
          <w:sz w:val="24"/>
          <w:szCs w:val="24"/>
          <w:lang w:val="en-GB"/>
        </w:rPr>
      </w:pPr>
      <w:r w:rsidRPr="004B269B">
        <w:rPr>
          <w:rFonts w:ascii="Arial" w:eastAsia="SimSun" w:hAnsi="Arial" w:cs="Arial"/>
          <w:sz w:val="20"/>
          <w:szCs w:val="20"/>
          <w:lang w:val="ro-RO"/>
        </w:rPr>
        <w:t>(Sursa: SC AQUAVAS SA VASLUI)</w:t>
      </w:r>
    </w:p>
    <w:p w:rsidR="00836C9F" w:rsidRDefault="00836C9F" w:rsidP="004B269B">
      <w:pPr>
        <w:spacing w:after="0" w:line="240" w:lineRule="auto"/>
        <w:jc w:val="both"/>
        <w:rPr>
          <w:rFonts w:ascii="Arial" w:eastAsia="SimSun" w:hAnsi="Arial" w:cs="Arial"/>
          <w:bCs/>
          <w:iCs/>
          <w:sz w:val="24"/>
          <w:szCs w:val="24"/>
          <w:lang w:val="en-GB"/>
        </w:rPr>
      </w:pPr>
    </w:p>
    <w:p w:rsidR="00836C9F" w:rsidRDefault="00836C9F" w:rsidP="004B269B">
      <w:pPr>
        <w:spacing w:after="0" w:line="240" w:lineRule="auto"/>
        <w:jc w:val="both"/>
        <w:rPr>
          <w:rFonts w:ascii="Arial" w:eastAsia="SimSun" w:hAnsi="Arial" w:cs="Arial"/>
          <w:bCs/>
          <w:iCs/>
          <w:sz w:val="24"/>
          <w:szCs w:val="24"/>
          <w:lang w:val="en-GB"/>
        </w:rPr>
      </w:pPr>
    </w:p>
    <w:p w:rsidR="004B269B" w:rsidRPr="004B269B" w:rsidRDefault="004B269B" w:rsidP="004B269B">
      <w:pPr>
        <w:spacing w:after="0" w:line="240" w:lineRule="auto"/>
        <w:jc w:val="both"/>
        <w:rPr>
          <w:rFonts w:ascii="Arial" w:eastAsia="SimSun" w:hAnsi="Arial" w:cs="Arial"/>
          <w:bCs/>
          <w:iCs/>
          <w:sz w:val="24"/>
          <w:szCs w:val="24"/>
          <w:lang w:val="en-GB"/>
        </w:rPr>
      </w:pPr>
      <w:r w:rsidRPr="004B269B">
        <w:rPr>
          <w:rFonts w:ascii="Arial" w:eastAsia="SimSun" w:hAnsi="Arial" w:cs="Arial"/>
          <w:bCs/>
          <w:iCs/>
          <w:sz w:val="24"/>
          <w:szCs w:val="24"/>
          <w:lang w:val="en-GB"/>
        </w:rPr>
        <w:lastRenderedPageBreak/>
        <w:t>Tabelul II.12. Situaţia reţelei de canalizare, în judeţul Vaslui, anul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1885"/>
        <w:gridCol w:w="2410"/>
        <w:gridCol w:w="1984"/>
      </w:tblGrid>
      <w:tr w:rsidR="004B269B" w:rsidRPr="004B269B" w:rsidTr="00080B9C">
        <w:tc>
          <w:tcPr>
            <w:tcW w:w="2476" w:type="dxa"/>
            <w:vMerge w:val="restart"/>
            <w:shd w:val="clear" w:color="auto" w:fill="auto"/>
          </w:tcPr>
          <w:p w:rsidR="004B269B" w:rsidRPr="004B269B" w:rsidRDefault="004B269B" w:rsidP="004B269B">
            <w:pPr>
              <w:tabs>
                <w:tab w:val="left" w:pos="1515"/>
              </w:tabs>
              <w:spacing w:after="0" w:line="240" w:lineRule="auto"/>
              <w:jc w:val="both"/>
              <w:rPr>
                <w:rFonts w:ascii="Arial" w:eastAsia="SimSun" w:hAnsi="Arial" w:cs="Arial"/>
                <w:bCs/>
                <w:iCs/>
                <w:sz w:val="20"/>
                <w:szCs w:val="20"/>
                <w:lang w:val="en-GB"/>
              </w:rPr>
            </w:pPr>
            <w:r w:rsidRPr="004B269B">
              <w:rPr>
                <w:rFonts w:ascii="Arial" w:eastAsia="SimSun" w:hAnsi="Arial" w:cs="Arial"/>
                <w:bCs/>
                <w:iCs/>
                <w:sz w:val="20"/>
                <w:szCs w:val="20"/>
                <w:lang w:val="en-GB"/>
              </w:rPr>
              <w:t>Municipiul/Oraşul</w:t>
            </w:r>
          </w:p>
        </w:tc>
        <w:tc>
          <w:tcPr>
            <w:tcW w:w="6279" w:type="dxa"/>
            <w:gridSpan w:val="3"/>
            <w:shd w:val="clear" w:color="auto" w:fill="auto"/>
          </w:tcPr>
          <w:p w:rsidR="004B269B" w:rsidRPr="004B269B" w:rsidRDefault="004B269B" w:rsidP="004B269B">
            <w:pPr>
              <w:tabs>
                <w:tab w:val="left" w:pos="1515"/>
              </w:tabs>
              <w:spacing w:after="0" w:line="240" w:lineRule="auto"/>
              <w:jc w:val="center"/>
              <w:rPr>
                <w:rFonts w:ascii="Arial" w:eastAsia="SimSun" w:hAnsi="Arial" w:cs="Arial"/>
                <w:bCs/>
                <w:iCs/>
                <w:sz w:val="20"/>
                <w:szCs w:val="20"/>
                <w:lang w:val="en-GB"/>
              </w:rPr>
            </w:pPr>
            <w:r w:rsidRPr="004B269B">
              <w:rPr>
                <w:rFonts w:ascii="Arial" w:eastAsia="SimSun" w:hAnsi="Arial" w:cs="Arial"/>
                <w:bCs/>
                <w:iCs/>
                <w:sz w:val="20"/>
                <w:szCs w:val="20"/>
                <w:lang w:val="en-GB"/>
              </w:rPr>
              <w:t>Reţea canalizare</w:t>
            </w:r>
          </w:p>
        </w:tc>
      </w:tr>
      <w:tr w:rsidR="004B269B" w:rsidRPr="004B269B" w:rsidTr="00080B9C">
        <w:tc>
          <w:tcPr>
            <w:tcW w:w="2476" w:type="dxa"/>
            <w:vMerge/>
            <w:shd w:val="clear" w:color="auto" w:fill="auto"/>
          </w:tcPr>
          <w:p w:rsidR="004B269B" w:rsidRPr="004B269B" w:rsidRDefault="004B269B" w:rsidP="004B269B">
            <w:pPr>
              <w:tabs>
                <w:tab w:val="left" w:pos="1515"/>
              </w:tabs>
              <w:spacing w:after="0" w:line="240" w:lineRule="auto"/>
              <w:jc w:val="both"/>
              <w:rPr>
                <w:rFonts w:ascii="Arial" w:eastAsia="SimSun" w:hAnsi="Arial" w:cs="Arial"/>
                <w:bCs/>
                <w:iCs/>
                <w:sz w:val="20"/>
                <w:szCs w:val="20"/>
                <w:lang w:val="en-GB"/>
              </w:rPr>
            </w:pPr>
          </w:p>
        </w:tc>
        <w:tc>
          <w:tcPr>
            <w:tcW w:w="1885" w:type="dxa"/>
            <w:shd w:val="clear" w:color="auto" w:fill="auto"/>
          </w:tcPr>
          <w:p w:rsidR="004B269B" w:rsidRPr="004B269B" w:rsidRDefault="004B269B" w:rsidP="004B269B">
            <w:pPr>
              <w:tabs>
                <w:tab w:val="left" w:pos="1515"/>
              </w:tabs>
              <w:spacing w:after="0" w:line="240" w:lineRule="auto"/>
              <w:jc w:val="both"/>
              <w:rPr>
                <w:rFonts w:ascii="Arial" w:eastAsia="SimSun" w:hAnsi="Arial" w:cs="Arial"/>
                <w:bCs/>
                <w:iCs/>
                <w:sz w:val="20"/>
                <w:szCs w:val="20"/>
                <w:lang w:val="en-GB"/>
              </w:rPr>
            </w:pPr>
            <w:r w:rsidRPr="004B269B">
              <w:rPr>
                <w:rFonts w:ascii="Arial" w:eastAsia="SimSun" w:hAnsi="Arial" w:cs="Arial"/>
                <w:bCs/>
                <w:iCs/>
                <w:sz w:val="20"/>
                <w:szCs w:val="20"/>
                <w:lang w:val="en-GB"/>
              </w:rPr>
              <w:t>Lungime (km)</w:t>
            </w:r>
          </w:p>
        </w:tc>
        <w:tc>
          <w:tcPr>
            <w:tcW w:w="2410" w:type="dxa"/>
            <w:shd w:val="clear" w:color="auto" w:fill="auto"/>
          </w:tcPr>
          <w:p w:rsidR="004B269B" w:rsidRPr="004B269B" w:rsidRDefault="004B269B" w:rsidP="004B269B">
            <w:pPr>
              <w:tabs>
                <w:tab w:val="left" w:pos="1515"/>
              </w:tabs>
              <w:spacing w:after="0" w:line="240" w:lineRule="auto"/>
              <w:jc w:val="both"/>
              <w:rPr>
                <w:rFonts w:ascii="Arial" w:eastAsia="SimSun" w:hAnsi="Arial" w:cs="Arial"/>
                <w:bCs/>
                <w:iCs/>
                <w:sz w:val="20"/>
                <w:szCs w:val="20"/>
                <w:lang w:val="en-GB"/>
              </w:rPr>
            </w:pPr>
            <w:r w:rsidRPr="004B269B">
              <w:rPr>
                <w:rFonts w:ascii="Arial" w:eastAsia="SimSun" w:hAnsi="Arial" w:cs="Arial"/>
                <w:bCs/>
                <w:iCs/>
                <w:sz w:val="20"/>
                <w:szCs w:val="20"/>
                <w:lang w:val="en-GB"/>
              </w:rPr>
              <w:t>Număr localităţi</w:t>
            </w:r>
          </w:p>
        </w:tc>
        <w:tc>
          <w:tcPr>
            <w:tcW w:w="1984" w:type="dxa"/>
            <w:shd w:val="clear" w:color="auto" w:fill="auto"/>
          </w:tcPr>
          <w:p w:rsidR="004B269B" w:rsidRPr="004B269B" w:rsidRDefault="004B269B" w:rsidP="004B269B">
            <w:pPr>
              <w:tabs>
                <w:tab w:val="left" w:pos="1515"/>
              </w:tabs>
              <w:spacing w:after="0" w:line="240" w:lineRule="auto"/>
              <w:jc w:val="both"/>
              <w:rPr>
                <w:rFonts w:ascii="Arial" w:eastAsia="SimSun" w:hAnsi="Arial" w:cs="Arial"/>
                <w:bCs/>
                <w:iCs/>
                <w:sz w:val="20"/>
                <w:szCs w:val="20"/>
                <w:lang w:val="en-GB"/>
              </w:rPr>
            </w:pPr>
            <w:r w:rsidRPr="004B269B">
              <w:rPr>
                <w:rFonts w:ascii="Arial" w:eastAsia="SimSun" w:hAnsi="Arial" w:cs="Arial"/>
                <w:bCs/>
                <w:iCs/>
                <w:sz w:val="20"/>
                <w:szCs w:val="20"/>
                <w:lang w:val="en-GB"/>
              </w:rPr>
              <w:t>Populaţia racordată</w:t>
            </w:r>
          </w:p>
        </w:tc>
      </w:tr>
      <w:tr w:rsidR="004B269B" w:rsidRPr="004B269B" w:rsidTr="00080B9C">
        <w:tc>
          <w:tcPr>
            <w:tcW w:w="2476" w:type="dxa"/>
            <w:shd w:val="clear" w:color="auto" w:fill="auto"/>
          </w:tcPr>
          <w:p w:rsidR="004B269B" w:rsidRPr="004B269B" w:rsidRDefault="004B269B" w:rsidP="004B269B">
            <w:pPr>
              <w:tabs>
                <w:tab w:val="left" w:pos="1515"/>
              </w:tabs>
              <w:spacing w:after="0" w:line="240" w:lineRule="auto"/>
              <w:jc w:val="both"/>
              <w:rPr>
                <w:rFonts w:ascii="Arial" w:eastAsia="SimSun" w:hAnsi="Arial" w:cs="Arial"/>
                <w:bCs/>
                <w:iCs/>
                <w:sz w:val="20"/>
                <w:szCs w:val="20"/>
                <w:lang w:val="en-GB"/>
              </w:rPr>
            </w:pPr>
            <w:r w:rsidRPr="004B269B">
              <w:rPr>
                <w:rFonts w:ascii="Arial" w:eastAsia="SimSun" w:hAnsi="Arial" w:cs="Arial"/>
                <w:bCs/>
                <w:iCs/>
                <w:sz w:val="20"/>
                <w:szCs w:val="20"/>
                <w:lang w:val="en-GB"/>
              </w:rPr>
              <w:t>Vaslui</w:t>
            </w:r>
          </w:p>
        </w:tc>
        <w:tc>
          <w:tcPr>
            <w:tcW w:w="1885" w:type="dxa"/>
            <w:shd w:val="clear" w:color="auto" w:fill="auto"/>
          </w:tcPr>
          <w:p w:rsidR="004B269B" w:rsidRPr="004B269B" w:rsidRDefault="004B269B" w:rsidP="004B269B">
            <w:pPr>
              <w:tabs>
                <w:tab w:val="left" w:pos="1515"/>
              </w:tabs>
              <w:spacing w:after="0" w:line="240" w:lineRule="auto"/>
              <w:jc w:val="both"/>
              <w:rPr>
                <w:rFonts w:ascii="Arial" w:eastAsia="SimSun" w:hAnsi="Arial" w:cs="Arial"/>
                <w:bCs/>
                <w:iCs/>
                <w:sz w:val="20"/>
                <w:szCs w:val="20"/>
                <w:lang w:val="en-GB"/>
              </w:rPr>
            </w:pPr>
            <w:r w:rsidRPr="004B269B">
              <w:rPr>
                <w:rFonts w:ascii="Arial" w:eastAsia="SimSun" w:hAnsi="Arial" w:cs="Arial"/>
                <w:bCs/>
                <w:iCs/>
                <w:sz w:val="20"/>
                <w:szCs w:val="20"/>
                <w:lang w:val="en-GB"/>
              </w:rPr>
              <w:t>142,3</w:t>
            </w:r>
          </w:p>
        </w:tc>
        <w:tc>
          <w:tcPr>
            <w:tcW w:w="2410" w:type="dxa"/>
            <w:shd w:val="clear" w:color="auto" w:fill="auto"/>
          </w:tcPr>
          <w:p w:rsidR="004B269B" w:rsidRPr="004B269B" w:rsidRDefault="004B269B" w:rsidP="004B269B">
            <w:pPr>
              <w:tabs>
                <w:tab w:val="left" w:pos="1515"/>
              </w:tabs>
              <w:spacing w:after="0" w:line="240" w:lineRule="auto"/>
              <w:jc w:val="both"/>
              <w:rPr>
                <w:rFonts w:ascii="Arial" w:eastAsia="SimSun" w:hAnsi="Arial" w:cs="Arial"/>
                <w:bCs/>
                <w:iCs/>
                <w:sz w:val="20"/>
                <w:szCs w:val="20"/>
                <w:lang w:val="en-GB"/>
              </w:rPr>
            </w:pPr>
            <w:r w:rsidRPr="004B269B">
              <w:rPr>
                <w:rFonts w:ascii="Arial" w:eastAsia="SimSun" w:hAnsi="Arial" w:cs="Arial"/>
                <w:bCs/>
                <w:iCs/>
                <w:sz w:val="20"/>
                <w:szCs w:val="20"/>
                <w:lang w:val="en-GB"/>
              </w:rPr>
              <w:t>4</w:t>
            </w:r>
          </w:p>
        </w:tc>
        <w:tc>
          <w:tcPr>
            <w:tcW w:w="1984" w:type="dxa"/>
            <w:shd w:val="clear" w:color="auto" w:fill="auto"/>
          </w:tcPr>
          <w:p w:rsidR="004B269B" w:rsidRPr="004B269B" w:rsidRDefault="004B269B" w:rsidP="004B269B">
            <w:pPr>
              <w:tabs>
                <w:tab w:val="left" w:pos="1515"/>
              </w:tabs>
              <w:spacing w:after="0" w:line="240" w:lineRule="auto"/>
              <w:jc w:val="both"/>
              <w:rPr>
                <w:rFonts w:ascii="Arial" w:eastAsia="SimSun" w:hAnsi="Arial" w:cs="Arial"/>
                <w:bCs/>
                <w:iCs/>
                <w:sz w:val="20"/>
                <w:szCs w:val="20"/>
                <w:lang w:val="en-GB"/>
              </w:rPr>
            </w:pPr>
            <w:r w:rsidRPr="004B269B">
              <w:rPr>
                <w:rFonts w:ascii="Arial" w:eastAsia="SimSun" w:hAnsi="Arial" w:cs="Arial"/>
                <w:bCs/>
                <w:iCs/>
                <w:sz w:val="20"/>
                <w:szCs w:val="20"/>
                <w:lang w:val="en-GB"/>
              </w:rPr>
              <w:t>49570</w:t>
            </w:r>
          </w:p>
        </w:tc>
      </w:tr>
      <w:tr w:rsidR="004B269B" w:rsidRPr="004B269B" w:rsidTr="00080B9C">
        <w:tc>
          <w:tcPr>
            <w:tcW w:w="2476" w:type="dxa"/>
            <w:shd w:val="clear" w:color="auto" w:fill="auto"/>
          </w:tcPr>
          <w:p w:rsidR="004B269B" w:rsidRPr="004B269B" w:rsidRDefault="004B269B" w:rsidP="004B269B">
            <w:pPr>
              <w:tabs>
                <w:tab w:val="left" w:pos="1515"/>
              </w:tabs>
              <w:spacing w:after="0" w:line="240" w:lineRule="auto"/>
              <w:jc w:val="both"/>
              <w:rPr>
                <w:rFonts w:ascii="Arial" w:eastAsia="SimSun" w:hAnsi="Arial" w:cs="Arial"/>
                <w:bCs/>
                <w:iCs/>
                <w:sz w:val="20"/>
                <w:szCs w:val="20"/>
                <w:lang w:val="en-GB"/>
              </w:rPr>
            </w:pPr>
            <w:r w:rsidRPr="004B269B">
              <w:rPr>
                <w:rFonts w:ascii="Arial" w:eastAsia="SimSun" w:hAnsi="Arial" w:cs="Arial"/>
                <w:bCs/>
                <w:iCs/>
                <w:sz w:val="20"/>
                <w:szCs w:val="20"/>
                <w:lang w:val="en-GB"/>
              </w:rPr>
              <w:t>Bârlad</w:t>
            </w:r>
          </w:p>
        </w:tc>
        <w:tc>
          <w:tcPr>
            <w:tcW w:w="1885" w:type="dxa"/>
            <w:shd w:val="clear" w:color="auto" w:fill="auto"/>
          </w:tcPr>
          <w:p w:rsidR="004B269B" w:rsidRPr="004B269B" w:rsidRDefault="004B269B" w:rsidP="004B269B">
            <w:pPr>
              <w:tabs>
                <w:tab w:val="left" w:pos="1515"/>
              </w:tabs>
              <w:spacing w:after="0" w:line="240" w:lineRule="auto"/>
              <w:jc w:val="both"/>
              <w:rPr>
                <w:rFonts w:ascii="Arial" w:eastAsia="SimSun" w:hAnsi="Arial" w:cs="Arial"/>
                <w:bCs/>
                <w:iCs/>
                <w:sz w:val="20"/>
                <w:szCs w:val="20"/>
                <w:lang w:val="en-GB"/>
              </w:rPr>
            </w:pPr>
            <w:r w:rsidRPr="004B269B">
              <w:rPr>
                <w:rFonts w:ascii="Arial" w:eastAsia="SimSun" w:hAnsi="Arial" w:cs="Arial"/>
                <w:bCs/>
                <w:iCs/>
                <w:sz w:val="20"/>
                <w:szCs w:val="20"/>
                <w:lang w:val="en-GB"/>
              </w:rPr>
              <w:t>152</w:t>
            </w:r>
          </w:p>
        </w:tc>
        <w:tc>
          <w:tcPr>
            <w:tcW w:w="2410" w:type="dxa"/>
            <w:shd w:val="clear" w:color="auto" w:fill="auto"/>
          </w:tcPr>
          <w:p w:rsidR="004B269B" w:rsidRPr="004B269B" w:rsidRDefault="004B269B" w:rsidP="004B269B">
            <w:pPr>
              <w:tabs>
                <w:tab w:val="left" w:pos="1515"/>
              </w:tabs>
              <w:spacing w:after="0" w:line="240" w:lineRule="auto"/>
              <w:jc w:val="both"/>
              <w:rPr>
                <w:rFonts w:ascii="Arial" w:eastAsia="SimSun" w:hAnsi="Arial" w:cs="Arial"/>
                <w:bCs/>
                <w:iCs/>
                <w:sz w:val="20"/>
                <w:szCs w:val="20"/>
                <w:lang w:val="en-GB"/>
              </w:rPr>
            </w:pPr>
            <w:r w:rsidRPr="004B269B">
              <w:rPr>
                <w:rFonts w:ascii="Arial" w:eastAsia="SimSun" w:hAnsi="Arial" w:cs="Arial"/>
                <w:bCs/>
                <w:iCs/>
                <w:sz w:val="20"/>
                <w:szCs w:val="20"/>
                <w:lang w:val="en-GB"/>
              </w:rPr>
              <w:t>1</w:t>
            </w:r>
          </w:p>
        </w:tc>
        <w:tc>
          <w:tcPr>
            <w:tcW w:w="1984" w:type="dxa"/>
            <w:shd w:val="clear" w:color="auto" w:fill="auto"/>
          </w:tcPr>
          <w:p w:rsidR="004B269B" w:rsidRPr="004B269B" w:rsidRDefault="004B269B" w:rsidP="004B269B">
            <w:pPr>
              <w:tabs>
                <w:tab w:val="left" w:pos="1515"/>
              </w:tabs>
              <w:spacing w:after="0" w:line="240" w:lineRule="auto"/>
              <w:jc w:val="both"/>
              <w:rPr>
                <w:rFonts w:ascii="Arial" w:eastAsia="SimSun" w:hAnsi="Arial" w:cs="Arial"/>
                <w:bCs/>
                <w:iCs/>
                <w:sz w:val="20"/>
                <w:szCs w:val="20"/>
                <w:lang w:val="en-GB"/>
              </w:rPr>
            </w:pPr>
            <w:r w:rsidRPr="004B269B">
              <w:rPr>
                <w:rFonts w:ascii="Arial" w:eastAsia="SimSun" w:hAnsi="Arial" w:cs="Arial"/>
                <w:bCs/>
                <w:iCs/>
                <w:sz w:val="20"/>
                <w:szCs w:val="20"/>
                <w:lang w:val="en-GB"/>
              </w:rPr>
              <w:t>37199</w:t>
            </w:r>
          </w:p>
        </w:tc>
      </w:tr>
      <w:tr w:rsidR="004B269B" w:rsidRPr="004B269B" w:rsidTr="00080B9C">
        <w:tc>
          <w:tcPr>
            <w:tcW w:w="2476" w:type="dxa"/>
            <w:shd w:val="clear" w:color="auto" w:fill="auto"/>
          </w:tcPr>
          <w:p w:rsidR="004B269B" w:rsidRPr="004B269B" w:rsidRDefault="004B269B" w:rsidP="004B269B">
            <w:pPr>
              <w:tabs>
                <w:tab w:val="left" w:pos="1515"/>
              </w:tabs>
              <w:spacing w:after="0" w:line="240" w:lineRule="auto"/>
              <w:jc w:val="both"/>
              <w:rPr>
                <w:rFonts w:ascii="Arial" w:eastAsia="SimSun" w:hAnsi="Arial" w:cs="Arial"/>
                <w:bCs/>
                <w:iCs/>
                <w:sz w:val="20"/>
                <w:szCs w:val="20"/>
                <w:lang w:val="en-GB"/>
              </w:rPr>
            </w:pPr>
            <w:r w:rsidRPr="004B269B">
              <w:rPr>
                <w:rFonts w:ascii="Arial" w:eastAsia="SimSun" w:hAnsi="Arial" w:cs="Arial"/>
                <w:bCs/>
                <w:iCs/>
                <w:sz w:val="20"/>
                <w:szCs w:val="20"/>
                <w:lang w:val="en-GB"/>
              </w:rPr>
              <w:t>Huşi</w:t>
            </w:r>
          </w:p>
        </w:tc>
        <w:tc>
          <w:tcPr>
            <w:tcW w:w="1885" w:type="dxa"/>
            <w:shd w:val="clear" w:color="auto" w:fill="auto"/>
          </w:tcPr>
          <w:p w:rsidR="004B269B" w:rsidRPr="004B269B" w:rsidRDefault="004B269B" w:rsidP="004B269B">
            <w:pPr>
              <w:tabs>
                <w:tab w:val="left" w:pos="1515"/>
              </w:tabs>
              <w:spacing w:after="0" w:line="240" w:lineRule="auto"/>
              <w:jc w:val="both"/>
              <w:rPr>
                <w:rFonts w:ascii="Arial" w:eastAsia="SimSun" w:hAnsi="Arial" w:cs="Arial"/>
                <w:bCs/>
                <w:iCs/>
                <w:sz w:val="20"/>
                <w:szCs w:val="20"/>
                <w:lang w:val="en-GB"/>
              </w:rPr>
            </w:pPr>
            <w:r w:rsidRPr="004B269B">
              <w:rPr>
                <w:rFonts w:ascii="Arial" w:eastAsia="SimSun" w:hAnsi="Arial" w:cs="Arial"/>
                <w:bCs/>
                <w:iCs/>
                <w:sz w:val="20"/>
                <w:szCs w:val="20"/>
                <w:lang w:val="en-GB"/>
              </w:rPr>
              <w:t>60,1</w:t>
            </w:r>
          </w:p>
        </w:tc>
        <w:tc>
          <w:tcPr>
            <w:tcW w:w="2410" w:type="dxa"/>
            <w:shd w:val="clear" w:color="auto" w:fill="auto"/>
          </w:tcPr>
          <w:p w:rsidR="004B269B" w:rsidRPr="004B269B" w:rsidRDefault="004B269B" w:rsidP="004B269B">
            <w:pPr>
              <w:tabs>
                <w:tab w:val="left" w:pos="1515"/>
              </w:tabs>
              <w:spacing w:after="0" w:line="240" w:lineRule="auto"/>
              <w:jc w:val="both"/>
              <w:rPr>
                <w:rFonts w:ascii="Arial" w:eastAsia="SimSun" w:hAnsi="Arial" w:cs="Arial"/>
                <w:bCs/>
                <w:iCs/>
                <w:sz w:val="20"/>
                <w:szCs w:val="20"/>
                <w:lang w:val="en-GB"/>
              </w:rPr>
            </w:pPr>
            <w:r w:rsidRPr="004B269B">
              <w:rPr>
                <w:rFonts w:ascii="Arial" w:eastAsia="SimSun" w:hAnsi="Arial" w:cs="Arial"/>
                <w:bCs/>
                <w:iCs/>
                <w:sz w:val="20"/>
                <w:szCs w:val="20"/>
                <w:lang w:val="en-GB"/>
              </w:rPr>
              <w:t>1</w:t>
            </w:r>
          </w:p>
        </w:tc>
        <w:tc>
          <w:tcPr>
            <w:tcW w:w="1984" w:type="dxa"/>
            <w:shd w:val="clear" w:color="auto" w:fill="auto"/>
          </w:tcPr>
          <w:p w:rsidR="004B269B" w:rsidRPr="004B269B" w:rsidRDefault="004B269B" w:rsidP="004B269B">
            <w:pPr>
              <w:tabs>
                <w:tab w:val="left" w:pos="1515"/>
              </w:tabs>
              <w:spacing w:after="0" w:line="240" w:lineRule="auto"/>
              <w:jc w:val="both"/>
              <w:rPr>
                <w:rFonts w:ascii="Arial" w:eastAsia="SimSun" w:hAnsi="Arial" w:cs="Arial"/>
                <w:bCs/>
                <w:iCs/>
                <w:sz w:val="20"/>
                <w:szCs w:val="20"/>
                <w:lang w:val="en-GB"/>
              </w:rPr>
            </w:pPr>
            <w:r w:rsidRPr="004B269B">
              <w:rPr>
                <w:rFonts w:ascii="Arial" w:eastAsia="SimSun" w:hAnsi="Arial" w:cs="Arial"/>
                <w:bCs/>
                <w:iCs/>
                <w:sz w:val="20"/>
                <w:szCs w:val="20"/>
                <w:lang w:val="en-GB"/>
              </w:rPr>
              <w:t>18600</w:t>
            </w:r>
          </w:p>
        </w:tc>
      </w:tr>
      <w:tr w:rsidR="004B269B" w:rsidRPr="004B269B" w:rsidTr="00080B9C">
        <w:tc>
          <w:tcPr>
            <w:tcW w:w="2476" w:type="dxa"/>
            <w:shd w:val="clear" w:color="auto" w:fill="auto"/>
          </w:tcPr>
          <w:p w:rsidR="004B269B" w:rsidRPr="004B269B" w:rsidRDefault="004B269B" w:rsidP="004B269B">
            <w:pPr>
              <w:tabs>
                <w:tab w:val="left" w:pos="1515"/>
              </w:tabs>
              <w:spacing w:after="0" w:line="240" w:lineRule="auto"/>
              <w:jc w:val="both"/>
              <w:rPr>
                <w:rFonts w:ascii="Arial" w:eastAsia="SimSun" w:hAnsi="Arial" w:cs="Arial"/>
                <w:bCs/>
                <w:iCs/>
                <w:sz w:val="20"/>
                <w:szCs w:val="20"/>
                <w:lang w:val="en-GB"/>
              </w:rPr>
            </w:pPr>
            <w:r w:rsidRPr="004B269B">
              <w:rPr>
                <w:rFonts w:ascii="Arial" w:eastAsia="SimSun" w:hAnsi="Arial" w:cs="Arial"/>
                <w:bCs/>
                <w:iCs/>
                <w:sz w:val="20"/>
                <w:szCs w:val="20"/>
                <w:lang w:val="en-GB"/>
              </w:rPr>
              <w:t>Negreşti</w:t>
            </w:r>
          </w:p>
        </w:tc>
        <w:tc>
          <w:tcPr>
            <w:tcW w:w="1885" w:type="dxa"/>
            <w:shd w:val="clear" w:color="auto" w:fill="auto"/>
          </w:tcPr>
          <w:p w:rsidR="004B269B" w:rsidRPr="004B269B" w:rsidRDefault="004B269B" w:rsidP="004B269B">
            <w:pPr>
              <w:tabs>
                <w:tab w:val="left" w:pos="1515"/>
              </w:tabs>
              <w:spacing w:after="0" w:line="240" w:lineRule="auto"/>
              <w:jc w:val="both"/>
              <w:rPr>
                <w:rFonts w:ascii="Arial" w:eastAsia="SimSun" w:hAnsi="Arial" w:cs="Arial"/>
                <w:bCs/>
                <w:iCs/>
                <w:sz w:val="20"/>
                <w:szCs w:val="20"/>
                <w:lang w:val="en-GB"/>
              </w:rPr>
            </w:pPr>
            <w:r w:rsidRPr="004B269B">
              <w:rPr>
                <w:rFonts w:ascii="Arial" w:eastAsia="SimSun" w:hAnsi="Arial" w:cs="Arial"/>
                <w:bCs/>
                <w:iCs/>
                <w:sz w:val="20"/>
                <w:szCs w:val="20"/>
                <w:lang w:val="en-GB"/>
              </w:rPr>
              <w:t>10,5</w:t>
            </w:r>
          </w:p>
        </w:tc>
        <w:tc>
          <w:tcPr>
            <w:tcW w:w="2410" w:type="dxa"/>
            <w:shd w:val="clear" w:color="auto" w:fill="auto"/>
          </w:tcPr>
          <w:p w:rsidR="004B269B" w:rsidRPr="004B269B" w:rsidRDefault="004B269B" w:rsidP="004B269B">
            <w:pPr>
              <w:tabs>
                <w:tab w:val="left" w:pos="1515"/>
              </w:tabs>
              <w:spacing w:after="0" w:line="240" w:lineRule="auto"/>
              <w:jc w:val="both"/>
              <w:rPr>
                <w:rFonts w:ascii="Arial" w:eastAsia="SimSun" w:hAnsi="Arial" w:cs="Arial"/>
                <w:bCs/>
                <w:iCs/>
                <w:sz w:val="20"/>
                <w:szCs w:val="20"/>
                <w:lang w:val="en-GB"/>
              </w:rPr>
            </w:pPr>
            <w:r w:rsidRPr="004B269B">
              <w:rPr>
                <w:rFonts w:ascii="Arial" w:eastAsia="SimSun" w:hAnsi="Arial" w:cs="Arial"/>
                <w:bCs/>
                <w:iCs/>
                <w:sz w:val="20"/>
                <w:szCs w:val="20"/>
                <w:lang w:val="en-GB"/>
              </w:rPr>
              <w:t>1</w:t>
            </w:r>
          </w:p>
        </w:tc>
        <w:tc>
          <w:tcPr>
            <w:tcW w:w="1984" w:type="dxa"/>
            <w:shd w:val="clear" w:color="auto" w:fill="auto"/>
          </w:tcPr>
          <w:p w:rsidR="004B269B" w:rsidRPr="004B269B" w:rsidRDefault="004B269B" w:rsidP="004B269B">
            <w:pPr>
              <w:tabs>
                <w:tab w:val="left" w:pos="1515"/>
              </w:tabs>
              <w:spacing w:after="0" w:line="240" w:lineRule="auto"/>
              <w:jc w:val="both"/>
              <w:rPr>
                <w:rFonts w:ascii="Arial" w:eastAsia="SimSun" w:hAnsi="Arial" w:cs="Arial"/>
                <w:bCs/>
                <w:iCs/>
                <w:sz w:val="20"/>
                <w:szCs w:val="20"/>
                <w:lang w:val="en-GB"/>
              </w:rPr>
            </w:pPr>
            <w:r w:rsidRPr="004B269B">
              <w:rPr>
                <w:rFonts w:ascii="Arial" w:eastAsia="SimSun" w:hAnsi="Arial" w:cs="Arial"/>
                <w:bCs/>
                <w:iCs/>
                <w:sz w:val="20"/>
                <w:szCs w:val="20"/>
                <w:lang w:val="en-GB"/>
              </w:rPr>
              <w:t>3476</w:t>
            </w:r>
          </w:p>
        </w:tc>
      </w:tr>
      <w:tr w:rsidR="004B269B" w:rsidRPr="004B269B" w:rsidTr="00080B9C">
        <w:tc>
          <w:tcPr>
            <w:tcW w:w="2476" w:type="dxa"/>
            <w:shd w:val="clear" w:color="auto" w:fill="auto"/>
          </w:tcPr>
          <w:p w:rsidR="004B269B" w:rsidRPr="004B269B" w:rsidRDefault="004B269B" w:rsidP="004B269B">
            <w:pPr>
              <w:tabs>
                <w:tab w:val="left" w:pos="1515"/>
              </w:tabs>
              <w:spacing w:after="0" w:line="240" w:lineRule="auto"/>
              <w:jc w:val="both"/>
              <w:rPr>
                <w:rFonts w:ascii="Arial" w:eastAsia="SimSun" w:hAnsi="Arial" w:cs="Arial"/>
                <w:bCs/>
                <w:iCs/>
                <w:sz w:val="20"/>
                <w:szCs w:val="20"/>
                <w:lang w:val="en-GB"/>
              </w:rPr>
            </w:pPr>
            <w:r w:rsidRPr="004B269B">
              <w:rPr>
                <w:rFonts w:ascii="Arial" w:eastAsia="SimSun" w:hAnsi="Arial" w:cs="Arial"/>
                <w:bCs/>
                <w:iCs/>
                <w:sz w:val="20"/>
                <w:szCs w:val="20"/>
                <w:lang w:val="en-GB"/>
              </w:rPr>
              <w:t>Murgeni</w:t>
            </w:r>
          </w:p>
        </w:tc>
        <w:tc>
          <w:tcPr>
            <w:tcW w:w="1885" w:type="dxa"/>
            <w:shd w:val="clear" w:color="auto" w:fill="auto"/>
          </w:tcPr>
          <w:p w:rsidR="004B269B" w:rsidRPr="004B269B" w:rsidRDefault="004B269B" w:rsidP="004B269B">
            <w:pPr>
              <w:tabs>
                <w:tab w:val="left" w:pos="1515"/>
              </w:tabs>
              <w:spacing w:after="0" w:line="240" w:lineRule="auto"/>
              <w:jc w:val="both"/>
              <w:rPr>
                <w:rFonts w:ascii="Arial" w:eastAsia="SimSun" w:hAnsi="Arial" w:cs="Arial"/>
                <w:bCs/>
                <w:iCs/>
                <w:sz w:val="20"/>
                <w:szCs w:val="20"/>
                <w:lang w:val="en-GB"/>
              </w:rPr>
            </w:pPr>
            <w:r w:rsidRPr="004B269B">
              <w:rPr>
                <w:rFonts w:ascii="Arial" w:eastAsia="SimSun" w:hAnsi="Arial" w:cs="Arial"/>
                <w:bCs/>
                <w:iCs/>
                <w:sz w:val="20"/>
                <w:szCs w:val="20"/>
                <w:lang w:val="en-GB"/>
              </w:rPr>
              <w:t>8,0</w:t>
            </w:r>
          </w:p>
        </w:tc>
        <w:tc>
          <w:tcPr>
            <w:tcW w:w="2410" w:type="dxa"/>
            <w:shd w:val="clear" w:color="auto" w:fill="auto"/>
          </w:tcPr>
          <w:p w:rsidR="004B269B" w:rsidRPr="004B269B" w:rsidRDefault="004B269B" w:rsidP="004B269B">
            <w:pPr>
              <w:tabs>
                <w:tab w:val="left" w:pos="1515"/>
              </w:tabs>
              <w:spacing w:after="0" w:line="240" w:lineRule="auto"/>
              <w:jc w:val="both"/>
              <w:rPr>
                <w:rFonts w:ascii="Arial" w:eastAsia="SimSun" w:hAnsi="Arial" w:cs="Arial"/>
                <w:bCs/>
                <w:iCs/>
                <w:sz w:val="20"/>
                <w:szCs w:val="20"/>
                <w:lang w:val="en-GB"/>
              </w:rPr>
            </w:pPr>
            <w:r w:rsidRPr="004B269B">
              <w:rPr>
                <w:rFonts w:ascii="Arial" w:eastAsia="SimSun" w:hAnsi="Arial" w:cs="Arial"/>
                <w:bCs/>
                <w:iCs/>
                <w:sz w:val="20"/>
                <w:szCs w:val="20"/>
                <w:lang w:val="en-GB"/>
              </w:rPr>
              <w:t>1</w:t>
            </w:r>
          </w:p>
        </w:tc>
        <w:tc>
          <w:tcPr>
            <w:tcW w:w="1984" w:type="dxa"/>
            <w:shd w:val="clear" w:color="auto" w:fill="auto"/>
          </w:tcPr>
          <w:p w:rsidR="004B269B" w:rsidRPr="004B269B" w:rsidRDefault="004B269B" w:rsidP="004B269B">
            <w:pPr>
              <w:tabs>
                <w:tab w:val="left" w:pos="1515"/>
              </w:tabs>
              <w:spacing w:after="0" w:line="240" w:lineRule="auto"/>
              <w:jc w:val="both"/>
              <w:rPr>
                <w:rFonts w:ascii="Arial" w:eastAsia="SimSun" w:hAnsi="Arial" w:cs="Arial"/>
                <w:bCs/>
                <w:iCs/>
                <w:sz w:val="20"/>
                <w:szCs w:val="20"/>
                <w:lang w:val="en-GB"/>
              </w:rPr>
            </w:pPr>
            <w:r w:rsidRPr="004B269B">
              <w:rPr>
                <w:rFonts w:ascii="Arial" w:eastAsia="SimSun" w:hAnsi="Arial" w:cs="Arial"/>
                <w:bCs/>
                <w:iCs/>
                <w:sz w:val="20"/>
                <w:szCs w:val="20"/>
                <w:lang w:val="en-GB"/>
              </w:rPr>
              <w:t>691</w:t>
            </w:r>
          </w:p>
        </w:tc>
      </w:tr>
    </w:tbl>
    <w:p w:rsidR="004B269B" w:rsidRPr="004B269B" w:rsidRDefault="004B269B" w:rsidP="004B269B">
      <w:pPr>
        <w:tabs>
          <w:tab w:val="left" w:pos="1515"/>
        </w:tabs>
        <w:spacing w:after="0" w:line="240" w:lineRule="auto"/>
        <w:jc w:val="both"/>
        <w:rPr>
          <w:rFonts w:ascii="Arial" w:eastAsia="SimSun" w:hAnsi="Arial" w:cs="Arial"/>
          <w:b/>
          <w:bCs/>
          <w:iCs/>
          <w:sz w:val="24"/>
          <w:szCs w:val="24"/>
          <w:lang w:val="en-GB"/>
        </w:rPr>
      </w:pPr>
      <w:r w:rsidRPr="004B269B">
        <w:rPr>
          <w:rFonts w:ascii="Arial" w:eastAsia="SimSun" w:hAnsi="Arial" w:cs="Arial"/>
          <w:sz w:val="20"/>
          <w:szCs w:val="20"/>
          <w:lang w:val="ro-RO"/>
        </w:rPr>
        <w:t>(Sursa: SC AQUAVAS SA VASLUI)</w:t>
      </w:r>
    </w:p>
    <w:p w:rsidR="004B269B" w:rsidRPr="004B269B" w:rsidRDefault="004B269B" w:rsidP="00836C9F">
      <w:pPr>
        <w:autoSpaceDE w:val="0"/>
        <w:autoSpaceDN w:val="0"/>
        <w:adjustRightInd w:val="0"/>
        <w:spacing w:after="0" w:line="240" w:lineRule="auto"/>
        <w:ind w:firstLine="720"/>
        <w:jc w:val="both"/>
        <w:rPr>
          <w:rFonts w:ascii="Arial" w:eastAsia="Times New Roman" w:hAnsi="Arial" w:cs="Arial"/>
          <w:sz w:val="24"/>
          <w:szCs w:val="24"/>
        </w:rPr>
      </w:pPr>
      <w:r w:rsidRPr="004B269B">
        <w:rPr>
          <w:rFonts w:ascii="Arial" w:eastAsia="Times New Roman" w:hAnsi="Arial" w:cs="Arial"/>
          <w:sz w:val="24"/>
          <w:szCs w:val="24"/>
        </w:rPr>
        <w:t xml:space="preserve">Apele uzate menajere şi industriale exercită o presiune semnificativă asupra mediului acvatic, datorită încărcărilor cu materii organice, nutrienţi şi substanţe periculoase. Având în vedere procentul mare al populaţiei care locuieşte în aglomerări urbane, o parte semnificativă a apelor uzate este colectată prin intermediul sistemelor de canalizare şi transportate la staţiile de epurare. Nivelul de epurare, înainte de evacuare, şi gradul de sensibilitate al apelor receptoare determină intensitatea impactului </w:t>
      </w:r>
      <w:r w:rsidR="00836C9F">
        <w:rPr>
          <w:rFonts w:ascii="Arial" w:eastAsia="Times New Roman" w:hAnsi="Arial" w:cs="Arial"/>
          <w:sz w:val="24"/>
          <w:szCs w:val="24"/>
        </w:rPr>
        <w:t xml:space="preserve">asupra ecosistemelor acvatice. </w:t>
      </w:r>
      <w:r w:rsidRPr="004B269B">
        <w:rPr>
          <w:rFonts w:ascii="Arial" w:eastAsia="Times New Roman" w:hAnsi="Arial" w:cs="Arial"/>
          <w:sz w:val="24"/>
          <w:szCs w:val="24"/>
        </w:rPr>
        <w:t xml:space="preserve">Tipurile proceselor de epurare şi respectarea prevederilor Directivelor privind epurarea apelor uzate urbane (91/271/CEE şi 98/15/CE) sunt considerate indicatori reprezentativi pentru nivelul de purificare şi pentru îmbunătăţirea potenţială a mediului acvatic. </w:t>
      </w:r>
    </w:p>
    <w:p w:rsidR="004B269B" w:rsidRPr="004B269B" w:rsidRDefault="004B269B" w:rsidP="00836C9F">
      <w:pPr>
        <w:autoSpaceDE w:val="0"/>
        <w:autoSpaceDN w:val="0"/>
        <w:adjustRightInd w:val="0"/>
        <w:spacing w:after="0" w:line="240" w:lineRule="auto"/>
        <w:ind w:firstLine="720"/>
        <w:jc w:val="both"/>
        <w:rPr>
          <w:rFonts w:ascii="Arial" w:eastAsia="Times New Roman" w:hAnsi="Arial" w:cs="Arial"/>
          <w:sz w:val="24"/>
          <w:szCs w:val="24"/>
        </w:rPr>
      </w:pPr>
      <w:r w:rsidRPr="004B269B">
        <w:rPr>
          <w:rFonts w:ascii="Arial" w:eastAsia="Times New Roman" w:hAnsi="Arial" w:cs="Arial"/>
          <w:sz w:val="24"/>
          <w:szCs w:val="24"/>
        </w:rPr>
        <w:t xml:space="preserve">Epurarea primară (mecanică) înlătură o parte a materiilor solide în suspensie (cca. 40-70%), în timp ce epurarea secundară (biologică) utilizează micro-organisme aerobe şi/sau anaerobe pentru a descompune o mare parte a substanţelor organice (cca. 50-80%), a îndepărta amoniul (cca. 75%) şi pentru a reţine unii nutrienţi (cca. 20-30%). Epurarea terţiară (avansată) înlătură eficient materiile organice, compuşii cu fosfor şi, în unele cazuri, compuşii cu azot. </w:t>
      </w:r>
    </w:p>
    <w:p w:rsidR="004B269B" w:rsidRPr="00836C9F" w:rsidRDefault="004B269B" w:rsidP="00836C9F">
      <w:pPr>
        <w:spacing w:after="0" w:line="240" w:lineRule="auto"/>
        <w:ind w:firstLine="720"/>
        <w:jc w:val="both"/>
        <w:rPr>
          <w:rFonts w:ascii="Arial" w:eastAsia="Times New Roman" w:hAnsi="Arial" w:cs="Arial"/>
          <w:sz w:val="24"/>
          <w:szCs w:val="24"/>
          <w:lang w:val="ro-RO"/>
        </w:rPr>
      </w:pPr>
      <w:r w:rsidRPr="004B269B">
        <w:rPr>
          <w:rFonts w:ascii="Arial" w:eastAsia="Times New Roman" w:hAnsi="Arial" w:cs="Arial"/>
          <w:sz w:val="24"/>
          <w:szCs w:val="24"/>
        </w:rPr>
        <w:t>Indicatorul înregistrează progresul politicilor aplicate pentru reducerea poluării mediului acvatic cauzată de evacuarea apelor uzate. De asemenea, indicatorul descrie tendinţele şi procentul de populaţie conectată la staţiile de epurare (primare, secundare şi terţiare) a apelor uzate orăşeneşti.</w:t>
      </w:r>
      <w:r w:rsidR="00836C9F">
        <w:rPr>
          <w:rFonts w:ascii="Arial" w:eastAsia="Times New Roman" w:hAnsi="Arial" w:cs="Arial"/>
          <w:sz w:val="24"/>
          <w:szCs w:val="24"/>
          <w:lang w:val="ro-RO"/>
        </w:rPr>
        <w:t xml:space="preserve"> </w:t>
      </w:r>
      <w:r w:rsidRPr="004B269B">
        <w:rPr>
          <w:rFonts w:ascii="Arial" w:eastAsia="Times New Roman" w:hAnsi="Arial" w:cs="Arial"/>
          <w:sz w:val="24"/>
          <w:szCs w:val="24"/>
        </w:rPr>
        <w:t>Indicatorul cuantifică nivelul de conectare al populaţiei la sistemele de colectare şi epurare a apelor uzate. De asemenea, indicatorul ilustrează eficienţa programelor naţionale privind epurarea apelor uzate, eficienţa politicilor existente de reducere a evacuărilor de nutrienţi şi substanţe organice, precum şi stadiul implementării cerinţelor Directivelor privind epurarea apelor uzate (91/271/CEE şi 98/15/CE) la nivel naţional.</w:t>
      </w:r>
    </w:p>
    <w:p w:rsidR="004B269B" w:rsidRPr="004B269B" w:rsidRDefault="004B269B" w:rsidP="004B269B">
      <w:pPr>
        <w:autoSpaceDE w:val="0"/>
        <w:autoSpaceDN w:val="0"/>
        <w:adjustRightInd w:val="0"/>
        <w:spacing w:after="0" w:line="240" w:lineRule="auto"/>
        <w:jc w:val="both"/>
        <w:rPr>
          <w:rFonts w:ascii="Arial" w:eastAsia="Times New Roman" w:hAnsi="Arial" w:cs="Arial"/>
          <w:sz w:val="24"/>
          <w:szCs w:val="24"/>
        </w:rPr>
      </w:pPr>
    </w:p>
    <w:p w:rsidR="004B269B" w:rsidRPr="004B269B" w:rsidRDefault="004B269B" w:rsidP="004B269B">
      <w:pPr>
        <w:autoSpaceDE w:val="0"/>
        <w:autoSpaceDN w:val="0"/>
        <w:adjustRightInd w:val="0"/>
        <w:spacing w:after="0" w:line="240" w:lineRule="auto"/>
        <w:jc w:val="both"/>
        <w:rPr>
          <w:rFonts w:ascii="Arial" w:eastAsia="Times New Roman" w:hAnsi="Arial" w:cs="Arial"/>
          <w:sz w:val="24"/>
          <w:szCs w:val="24"/>
        </w:rPr>
      </w:pPr>
      <w:r w:rsidRPr="004B269B">
        <w:rPr>
          <w:rFonts w:ascii="Arial" w:eastAsia="Times New Roman" w:hAnsi="Arial" w:cs="Arial"/>
          <w:sz w:val="24"/>
          <w:szCs w:val="24"/>
        </w:rPr>
        <w:t>Tabelul II.13. Situaţia staţiilor de epurare orăşeneşti şi comunale, la nivelul judeţului Vaslui, anul 2015</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417"/>
        <w:gridCol w:w="1560"/>
        <w:gridCol w:w="2551"/>
        <w:gridCol w:w="2835"/>
      </w:tblGrid>
      <w:tr w:rsidR="007C45A1" w:rsidRPr="00836C9F" w:rsidTr="00836C9F">
        <w:trPr>
          <w:trHeight w:val="603"/>
        </w:trPr>
        <w:tc>
          <w:tcPr>
            <w:tcW w:w="1526" w:type="dxa"/>
            <w:shd w:val="clear" w:color="auto" w:fill="auto"/>
          </w:tcPr>
          <w:p w:rsidR="004B269B" w:rsidRPr="00836C9F" w:rsidRDefault="004B269B" w:rsidP="004B269B">
            <w:pPr>
              <w:autoSpaceDE w:val="0"/>
              <w:autoSpaceDN w:val="0"/>
              <w:adjustRightInd w:val="0"/>
              <w:spacing w:after="0" w:line="240" w:lineRule="auto"/>
              <w:jc w:val="both"/>
              <w:rPr>
                <w:rFonts w:ascii="Arial" w:eastAsia="Times New Roman" w:hAnsi="Arial" w:cs="Arial"/>
                <w:sz w:val="24"/>
                <w:szCs w:val="24"/>
              </w:rPr>
            </w:pPr>
            <w:r w:rsidRPr="00836C9F">
              <w:rPr>
                <w:rFonts w:ascii="Arial" w:eastAsia="Times New Roman" w:hAnsi="Arial" w:cs="Arial"/>
                <w:sz w:val="24"/>
                <w:szCs w:val="24"/>
              </w:rPr>
              <w:t>Staţie de epurare</w:t>
            </w:r>
          </w:p>
        </w:tc>
        <w:tc>
          <w:tcPr>
            <w:tcW w:w="1417" w:type="dxa"/>
            <w:shd w:val="clear" w:color="auto" w:fill="auto"/>
          </w:tcPr>
          <w:p w:rsidR="004B269B" w:rsidRPr="00836C9F" w:rsidRDefault="004B269B" w:rsidP="004B269B">
            <w:pPr>
              <w:autoSpaceDE w:val="0"/>
              <w:autoSpaceDN w:val="0"/>
              <w:adjustRightInd w:val="0"/>
              <w:spacing w:after="0" w:line="240" w:lineRule="auto"/>
              <w:jc w:val="both"/>
              <w:rPr>
                <w:rFonts w:ascii="Arial" w:eastAsia="Times New Roman" w:hAnsi="Arial" w:cs="Arial"/>
                <w:sz w:val="24"/>
                <w:szCs w:val="24"/>
              </w:rPr>
            </w:pPr>
            <w:r w:rsidRPr="00836C9F">
              <w:rPr>
                <w:rFonts w:ascii="Arial" w:eastAsia="Times New Roman" w:hAnsi="Arial" w:cs="Arial"/>
                <w:sz w:val="24"/>
                <w:szCs w:val="24"/>
              </w:rPr>
              <w:t xml:space="preserve">Populaţia </w:t>
            </w:r>
          </w:p>
          <w:p w:rsidR="004B269B" w:rsidRPr="00836C9F" w:rsidRDefault="00836C9F" w:rsidP="004B269B">
            <w:pPr>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sz w:val="24"/>
                <w:szCs w:val="24"/>
              </w:rPr>
              <w:t>(nr. loc.</w:t>
            </w:r>
            <w:r w:rsidR="004B269B" w:rsidRPr="00836C9F">
              <w:rPr>
                <w:rFonts w:ascii="Arial" w:eastAsia="Times New Roman" w:hAnsi="Arial" w:cs="Arial"/>
                <w:sz w:val="24"/>
                <w:szCs w:val="24"/>
              </w:rPr>
              <w:t>)</w:t>
            </w:r>
          </w:p>
        </w:tc>
        <w:tc>
          <w:tcPr>
            <w:tcW w:w="1560" w:type="dxa"/>
            <w:shd w:val="clear" w:color="auto" w:fill="auto"/>
          </w:tcPr>
          <w:p w:rsidR="004B269B" w:rsidRPr="00836C9F" w:rsidRDefault="004B269B" w:rsidP="004B269B">
            <w:pPr>
              <w:autoSpaceDE w:val="0"/>
              <w:autoSpaceDN w:val="0"/>
              <w:adjustRightInd w:val="0"/>
              <w:spacing w:after="0" w:line="240" w:lineRule="auto"/>
              <w:jc w:val="both"/>
              <w:rPr>
                <w:rFonts w:ascii="Arial" w:eastAsia="Times New Roman" w:hAnsi="Arial" w:cs="Arial"/>
                <w:sz w:val="24"/>
                <w:szCs w:val="24"/>
              </w:rPr>
            </w:pPr>
            <w:r w:rsidRPr="00836C9F">
              <w:rPr>
                <w:rFonts w:ascii="Arial" w:eastAsia="Times New Roman" w:hAnsi="Arial" w:cs="Arial"/>
                <w:sz w:val="24"/>
                <w:szCs w:val="24"/>
              </w:rPr>
              <w:t>Emisar</w:t>
            </w:r>
          </w:p>
        </w:tc>
        <w:tc>
          <w:tcPr>
            <w:tcW w:w="2551" w:type="dxa"/>
            <w:shd w:val="clear" w:color="auto" w:fill="auto"/>
          </w:tcPr>
          <w:p w:rsidR="004B269B" w:rsidRPr="00836C9F" w:rsidRDefault="004B269B" w:rsidP="004B269B">
            <w:pPr>
              <w:autoSpaceDE w:val="0"/>
              <w:autoSpaceDN w:val="0"/>
              <w:adjustRightInd w:val="0"/>
              <w:spacing w:after="0" w:line="240" w:lineRule="auto"/>
              <w:jc w:val="both"/>
              <w:rPr>
                <w:rFonts w:ascii="Arial" w:eastAsia="Times New Roman" w:hAnsi="Arial" w:cs="Arial"/>
                <w:sz w:val="24"/>
                <w:szCs w:val="24"/>
              </w:rPr>
            </w:pPr>
            <w:r w:rsidRPr="00836C9F">
              <w:rPr>
                <w:rFonts w:ascii="Arial" w:eastAsia="Times New Roman" w:hAnsi="Arial" w:cs="Arial"/>
                <w:sz w:val="24"/>
                <w:szCs w:val="24"/>
              </w:rPr>
              <w:t>Volum de ape uzate evacuate (mii mc)</w:t>
            </w:r>
          </w:p>
        </w:tc>
        <w:tc>
          <w:tcPr>
            <w:tcW w:w="2835" w:type="dxa"/>
            <w:shd w:val="clear" w:color="auto" w:fill="auto"/>
          </w:tcPr>
          <w:p w:rsidR="004B269B" w:rsidRPr="00836C9F" w:rsidRDefault="004B269B" w:rsidP="004B269B">
            <w:pPr>
              <w:autoSpaceDE w:val="0"/>
              <w:autoSpaceDN w:val="0"/>
              <w:adjustRightInd w:val="0"/>
              <w:spacing w:after="0" w:line="240" w:lineRule="auto"/>
              <w:jc w:val="both"/>
              <w:rPr>
                <w:rFonts w:ascii="Arial" w:eastAsia="Times New Roman" w:hAnsi="Arial" w:cs="Arial"/>
                <w:sz w:val="24"/>
                <w:szCs w:val="24"/>
              </w:rPr>
            </w:pPr>
            <w:r w:rsidRPr="00836C9F">
              <w:rPr>
                <w:rFonts w:ascii="Arial" w:eastAsia="Times New Roman" w:hAnsi="Arial" w:cs="Arial"/>
                <w:sz w:val="24"/>
                <w:szCs w:val="24"/>
              </w:rPr>
              <w:t>Grad de epurare</w:t>
            </w:r>
          </w:p>
        </w:tc>
      </w:tr>
      <w:tr w:rsidR="007C45A1" w:rsidRPr="00836C9F" w:rsidTr="00836C9F">
        <w:trPr>
          <w:trHeight w:val="194"/>
        </w:trPr>
        <w:tc>
          <w:tcPr>
            <w:tcW w:w="1526" w:type="dxa"/>
            <w:shd w:val="clear" w:color="auto" w:fill="auto"/>
          </w:tcPr>
          <w:p w:rsidR="004B269B" w:rsidRPr="00836C9F" w:rsidRDefault="004B269B" w:rsidP="004B269B">
            <w:pPr>
              <w:autoSpaceDE w:val="0"/>
              <w:autoSpaceDN w:val="0"/>
              <w:adjustRightInd w:val="0"/>
              <w:spacing w:after="0" w:line="240" w:lineRule="auto"/>
              <w:jc w:val="both"/>
              <w:rPr>
                <w:rFonts w:ascii="Arial" w:eastAsia="Times New Roman" w:hAnsi="Arial" w:cs="Arial"/>
                <w:sz w:val="24"/>
                <w:szCs w:val="24"/>
                <w:vertAlign w:val="subscript"/>
              </w:rPr>
            </w:pPr>
            <w:r w:rsidRPr="00836C9F">
              <w:rPr>
                <w:rFonts w:ascii="Arial" w:eastAsia="Times New Roman" w:hAnsi="Arial" w:cs="Arial"/>
                <w:sz w:val="24"/>
                <w:szCs w:val="24"/>
                <w:vertAlign w:val="subscript"/>
              </w:rPr>
              <w:t>Vaslui</w:t>
            </w:r>
          </w:p>
        </w:tc>
        <w:tc>
          <w:tcPr>
            <w:tcW w:w="1417" w:type="dxa"/>
            <w:shd w:val="clear" w:color="auto" w:fill="auto"/>
          </w:tcPr>
          <w:p w:rsidR="004B269B" w:rsidRPr="00836C9F" w:rsidRDefault="004B269B" w:rsidP="004B269B">
            <w:pPr>
              <w:autoSpaceDE w:val="0"/>
              <w:autoSpaceDN w:val="0"/>
              <w:adjustRightInd w:val="0"/>
              <w:spacing w:after="0" w:line="240" w:lineRule="auto"/>
              <w:jc w:val="both"/>
              <w:rPr>
                <w:rFonts w:ascii="Arial" w:eastAsia="Times New Roman" w:hAnsi="Arial" w:cs="Arial"/>
                <w:sz w:val="24"/>
                <w:szCs w:val="24"/>
                <w:vertAlign w:val="subscript"/>
              </w:rPr>
            </w:pPr>
            <w:r w:rsidRPr="00836C9F">
              <w:rPr>
                <w:rFonts w:ascii="Arial" w:eastAsia="Times New Roman" w:hAnsi="Arial" w:cs="Arial"/>
                <w:sz w:val="24"/>
                <w:szCs w:val="24"/>
                <w:vertAlign w:val="subscript"/>
              </w:rPr>
              <w:t>49350</w:t>
            </w:r>
          </w:p>
        </w:tc>
        <w:tc>
          <w:tcPr>
            <w:tcW w:w="1560" w:type="dxa"/>
            <w:shd w:val="clear" w:color="auto" w:fill="auto"/>
          </w:tcPr>
          <w:p w:rsidR="004B269B" w:rsidRPr="00836C9F" w:rsidRDefault="004B269B" w:rsidP="004B269B">
            <w:pPr>
              <w:autoSpaceDE w:val="0"/>
              <w:autoSpaceDN w:val="0"/>
              <w:adjustRightInd w:val="0"/>
              <w:spacing w:after="0" w:line="240" w:lineRule="auto"/>
              <w:jc w:val="both"/>
              <w:rPr>
                <w:rFonts w:ascii="Arial" w:eastAsia="Times New Roman" w:hAnsi="Arial" w:cs="Arial"/>
                <w:sz w:val="24"/>
                <w:szCs w:val="24"/>
                <w:vertAlign w:val="subscript"/>
              </w:rPr>
            </w:pPr>
            <w:r w:rsidRPr="00836C9F">
              <w:rPr>
                <w:rFonts w:ascii="Arial" w:eastAsia="Times New Roman" w:hAnsi="Arial" w:cs="Arial"/>
                <w:sz w:val="24"/>
                <w:szCs w:val="24"/>
                <w:vertAlign w:val="subscript"/>
              </w:rPr>
              <w:t xml:space="preserve">Vasluieţ </w:t>
            </w:r>
          </w:p>
        </w:tc>
        <w:tc>
          <w:tcPr>
            <w:tcW w:w="2551" w:type="dxa"/>
            <w:shd w:val="clear" w:color="auto" w:fill="auto"/>
          </w:tcPr>
          <w:p w:rsidR="004B269B" w:rsidRPr="00836C9F" w:rsidRDefault="004B269B" w:rsidP="004B269B">
            <w:pPr>
              <w:autoSpaceDE w:val="0"/>
              <w:autoSpaceDN w:val="0"/>
              <w:adjustRightInd w:val="0"/>
              <w:spacing w:after="0" w:line="240" w:lineRule="auto"/>
              <w:jc w:val="both"/>
              <w:rPr>
                <w:rFonts w:ascii="Arial" w:eastAsia="Times New Roman" w:hAnsi="Arial" w:cs="Arial"/>
                <w:sz w:val="24"/>
                <w:szCs w:val="24"/>
                <w:vertAlign w:val="subscript"/>
              </w:rPr>
            </w:pPr>
            <w:r w:rsidRPr="00836C9F">
              <w:rPr>
                <w:rFonts w:ascii="Arial" w:eastAsia="Times New Roman" w:hAnsi="Arial" w:cs="Arial"/>
                <w:sz w:val="24"/>
                <w:szCs w:val="24"/>
                <w:vertAlign w:val="subscript"/>
              </w:rPr>
              <w:t>2,843</w:t>
            </w:r>
          </w:p>
        </w:tc>
        <w:tc>
          <w:tcPr>
            <w:tcW w:w="2835" w:type="dxa"/>
            <w:shd w:val="clear" w:color="auto" w:fill="auto"/>
          </w:tcPr>
          <w:p w:rsidR="004B269B" w:rsidRPr="00836C9F" w:rsidRDefault="004B269B" w:rsidP="004B269B">
            <w:pPr>
              <w:autoSpaceDE w:val="0"/>
              <w:autoSpaceDN w:val="0"/>
              <w:adjustRightInd w:val="0"/>
              <w:spacing w:after="0" w:line="240" w:lineRule="auto"/>
              <w:jc w:val="both"/>
              <w:rPr>
                <w:rFonts w:ascii="Arial" w:eastAsia="Times New Roman" w:hAnsi="Arial" w:cs="Arial"/>
                <w:sz w:val="24"/>
                <w:szCs w:val="24"/>
                <w:vertAlign w:val="subscript"/>
              </w:rPr>
            </w:pPr>
            <w:r w:rsidRPr="00836C9F">
              <w:rPr>
                <w:rFonts w:ascii="Arial" w:eastAsia="Times New Roman" w:hAnsi="Arial" w:cs="Arial"/>
                <w:sz w:val="24"/>
                <w:szCs w:val="24"/>
                <w:vertAlign w:val="subscript"/>
              </w:rPr>
              <w:t>65</w:t>
            </w:r>
          </w:p>
        </w:tc>
      </w:tr>
      <w:tr w:rsidR="007C45A1" w:rsidRPr="00836C9F" w:rsidTr="00836C9F">
        <w:trPr>
          <w:trHeight w:val="170"/>
        </w:trPr>
        <w:tc>
          <w:tcPr>
            <w:tcW w:w="1526" w:type="dxa"/>
            <w:shd w:val="clear" w:color="auto" w:fill="auto"/>
          </w:tcPr>
          <w:p w:rsidR="004B269B" w:rsidRPr="00836C9F" w:rsidRDefault="004B269B" w:rsidP="004B269B">
            <w:pPr>
              <w:autoSpaceDE w:val="0"/>
              <w:autoSpaceDN w:val="0"/>
              <w:adjustRightInd w:val="0"/>
              <w:spacing w:after="0" w:line="240" w:lineRule="auto"/>
              <w:jc w:val="both"/>
              <w:rPr>
                <w:rFonts w:ascii="Arial" w:eastAsia="Times New Roman" w:hAnsi="Arial" w:cs="Arial"/>
                <w:sz w:val="24"/>
                <w:szCs w:val="24"/>
                <w:vertAlign w:val="subscript"/>
              </w:rPr>
            </w:pPr>
            <w:r w:rsidRPr="00836C9F">
              <w:rPr>
                <w:rFonts w:ascii="Arial" w:eastAsia="Times New Roman" w:hAnsi="Arial" w:cs="Arial"/>
                <w:sz w:val="24"/>
                <w:szCs w:val="24"/>
                <w:vertAlign w:val="subscript"/>
              </w:rPr>
              <w:t>Bârlad</w:t>
            </w:r>
          </w:p>
        </w:tc>
        <w:tc>
          <w:tcPr>
            <w:tcW w:w="1417" w:type="dxa"/>
            <w:shd w:val="clear" w:color="auto" w:fill="auto"/>
          </w:tcPr>
          <w:p w:rsidR="004B269B" w:rsidRPr="00836C9F" w:rsidRDefault="004B269B" w:rsidP="004B269B">
            <w:pPr>
              <w:autoSpaceDE w:val="0"/>
              <w:autoSpaceDN w:val="0"/>
              <w:adjustRightInd w:val="0"/>
              <w:spacing w:after="0" w:line="240" w:lineRule="auto"/>
              <w:jc w:val="both"/>
              <w:rPr>
                <w:rFonts w:ascii="Arial" w:eastAsia="Times New Roman" w:hAnsi="Arial" w:cs="Arial"/>
                <w:sz w:val="24"/>
                <w:szCs w:val="24"/>
                <w:vertAlign w:val="subscript"/>
              </w:rPr>
            </w:pPr>
            <w:r w:rsidRPr="00836C9F">
              <w:rPr>
                <w:rFonts w:ascii="Arial" w:eastAsia="Times New Roman" w:hAnsi="Arial" w:cs="Arial"/>
                <w:sz w:val="24"/>
                <w:szCs w:val="24"/>
                <w:vertAlign w:val="subscript"/>
              </w:rPr>
              <w:t>37199</w:t>
            </w:r>
          </w:p>
        </w:tc>
        <w:tc>
          <w:tcPr>
            <w:tcW w:w="1560" w:type="dxa"/>
            <w:shd w:val="clear" w:color="auto" w:fill="auto"/>
          </w:tcPr>
          <w:p w:rsidR="004B269B" w:rsidRPr="00836C9F" w:rsidRDefault="004B269B" w:rsidP="004B269B">
            <w:pPr>
              <w:autoSpaceDE w:val="0"/>
              <w:autoSpaceDN w:val="0"/>
              <w:adjustRightInd w:val="0"/>
              <w:spacing w:after="0" w:line="240" w:lineRule="auto"/>
              <w:jc w:val="both"/>
              <w:rPr>
                <w:rFonts w:ascii="Arial" w:eastAsia="Times New Roman" w:hAnsi="Arial" w:cs="Arial"/>
                <w:sz w:val="24"/>
                <w:szCs w:val="24"/>
                <w:vertAlign w:val="subscript"/>
              </w:rPr>
            </w:pPr>
            <w:r w:rsidRPr="00836C9F">
              <w:rPr>
                <w:rFonts w:ascii="Arial" w:eastAsia="Times New Roman" w:hAnsi="Arial" w:cs="Arial"/>
                <w:sz w:val="24"/>
                <w:szCs w:val="24"/>
                <w:vertAlign w:val="subscript"/>
              </w:rPr>
              <w:t>Bârlad</w:t>
            </w:r>
          </w:p>
        </w:tc>
        <w:tc>
          <w:tcPr>
            <w:tcW w:w="2551" w:type="dxa"/>
            <w:shd w:val="clear" w:color="auto" w:fill="auto"/>
          </w:tcPr>
          <w:p w:rsidR="004B269B" w:rsidRPr="00836C9F" w:rsidRDefault="004B269B" w:rsidP="004B269B">
            <w:pPr>
              <w:autoSpaceDE w:val="0"/>
              <w:autoSpaceDN w:val="0"/>
              <w:adjustRightInd w:val="0"/>
              <w:spacing w:after="0" w:line="240" w:lineRule="auto"/>
              <w:jc w:val="both"/>
              <w:rPr>
                <w:rFonts w:ascii="Arial" w:eastAsia="Times New Roman" w:hAnsi="Arial" w:cs="Arial"/>
                <w:sz w:val="24"/>
                <w:szCs w:val="24"/>
                <w:vertAlign w:val="subscript"/>
              </w:rPr>
            </w:pPr>
            <w:r w:rsidRPr="00836C9F">
              <w:rPr>
                <w:rFonts w:ascii="Arial" w:eastAsia="Times New Roman" w:hAnsi="Arial" w:cs="Arial"/>
                <w:sz w:val="24"/>
                <w:szCs w:val="24"/>
                <w:vertAlign w:val="subscript"/>
              </w:rPr>
              <w:t>3,784</w:t>
            </w:r>
          </w:p>
        </w:tc>
        <w:tc>
          <w:tcPr>
            <w:tcW w:w="2835" w:type="dxa"/>
            <w:shd w:val="clear" w:color="auto" w:fill="auto"/>
          </w:tcPr>
          <w:p w:rsidR="004B269B" w:rsidRPr="00836C9F" w:rsidRDefault="004B269B" w:rsidP="004B269B">
            <w:pPr>
              <w:autoSpaceDE w:val="0"/>
              <w:autoSpaceDN w:val="0"/>
              <w:adjustRightInd w:val="0"/>
              <w:spacing w:after="0" w:line="240" w:lineRule="auto"/>
              <w:jc w:val="both"/>
              <w:rPr>
                <w:rFonts w:ascii="Arial" w:eastAsia="Times New Roman" w:hAnsi="Arial" w:cs="Arial"/>
                <w:sz w:val="24"/>
                <w:szCs w:val="24"/>
                <w:vertAlign w:val="subscript"/>
              </w:rPr>
            </w:pPr>
            <w:r w:rsidRPr="00836C9F">
              <w:rPr>
                <w:rFonts w:ascii="Arial" w:eastAsia="Times New Roman" w:hAnsi="Arial" w:cs="Arial"/>
                <w:sz w:val="24"/>
                <w:szCs w:val="24"/>
                <w:vertAlign w:val="subscript"/>
              </w:rPr>
              <w:t>75</w:t>
            </w:r>
          </w:p>
        </w:tc>
      </w:tr>
      <w:tr w:rsidR="007C45A1" w:rsidRPr="00836C9F" w:rsidTr="00836C9F">
        <w:trPr>
          <w:trHeight w:val="194"/>
        </w:trPr>
        <w:tc>
          <w:tcPr>
            <w:tcW w:w="1526" w:type="dxa"/>
            <w:shd w:val="clear" w:color="auto" w:fill="auto"/>
          </w:tcPr>
          <w:p w:rsidR="004B269B" w:rsidRPr="00836C9F" w:rsidRDefault="004B269B" w:rsidP="004B269B">
            <w:pPr>
              <w:autoSpaceDE w:val="0"/>
              <w:autoSpaceDN w:val="0"/>
              <w:adjustRightInd w:val="0"/>
              <w:spacing w:after="0" w:line="240" w:lineRule="auto"/>
              <w:jc w:val="both"/>
              <w:rPr>
                <w:rFonts w:ascii="Arial" w:eastAsia="Times New Roman" w:hAnsi="Arial" w:cs="Arial"/>
                <w:sz w:val="24"/>
                <w:szCs w:val="24"/>
                <w:vertAlign w:val="subscript"/>
              </w:rPr>
            </w:pPr>
            <w:r w:rsidRPr="00836C9F">
              <w:rPr>
                <w:rFonts w:ascii="Arial" w:eastAsia="Times New Roman" w:hAnsi="Arial" w:cs="Arial"/>
                <w:sz w:val="24"/>
                <w:szCs w:val="24"/>
                <w:vertAlign w:val="subscript"/>
              </w:rPr>
              <w:t>Huşi</w:t>
            </w:r>
          </w:p>
        </w:tc>
        <w:tc>
          <w:tcPr>
            <w:tcW w:w="1417" w:type="dxa"/>
            <w:shd w:val="clear" w:color="auto" w:fill="auto"/>
          </w:tcPr>
          <w:p w:rsidR="004B269B" w:rsidRPr="00836C9F" w:rsidRDefault="004B269B" w:rsidP="004B269B">
            <w:pPr>
              <w:autoSpaceDE w:val="0"/>
              <w:autoSpaceDN w:val="0"/>
              <w:adjustRightInd w:val="0"/>
              <w:spacing w:after="0" w:line="240" w:lineRule="auto"/>
              <w:jc w:val="both"/>
              <w:rPr>
                <w:rFonts w:ascii="Arial" w:eastAsia="Times New Roman" w:hAnsi="Arial" w:cs="Arial"/>
                <w:sz w:val="24"/>
                <w:szCs w:val="24"/>
                <w:vertAlign w:val="subscript"/>
              </w:rPr>
            </w:pPr>
            <w:r w:rsidRPr="00836C9F">
              <w:rPr>
                <w:rFonts w:ascii="Arial" w:eastAsia="Times New Roman" w:hAnsi="Arial" w:cs="Arial"/>
                <w:sz w:val="24"/>
                <w:szCs w:val="24"/>
                <w:vertAlign w:val="subscript"/>
              </w:rPr>
              <w:t>18600</w:t>
            </w:r>
          </w:p>
        </w:tc>
        <w:tc>
          <w:tcPr>
            <w:tcW w:w="1560" w:type="dxa"/>
            <w:shd w:val="clear" w:color="auto" w:fill="auto"/>
          </w:tcPr>
          <w:p w:rsidR="004B269B" w:rsidRPr="00836C9F" w:rsidRDefault="004B269B" w:rsidP="004B269B">
            <w:pPr>
              <w:autoSpaceDE w:val="0"/>
              <w:autoSpaceDN w:val="0"/>
              <w:adjustRightInd w:val="0"/>
              <w:spacing w:after="0" w:line="240" w:lineRule="auto"/>
              <w:jc w:val="both"/>
              <w:rPr>
                <w:rFonts w:ascii="Arial" w:eastAsia="Times New Roman" w:hAnsi="Arial" w:cs="Arial"/>
                <w:sz w:val="24"/>
                <w:szCs w:val="24"/>
                <w:vertAlign w:val="subscript"/>
              </w:rPr>
            </w:pPr>
            <w:r w:rsidRPr="00836C9F">
              <w:rPr>
                <w:rFonts w:ascii="Arial" w:eastAsia="Times New Roman" w:hAnsi="Arial" w:cs="Arial"/>
                <w:sz w:val="24"/>
                <w:szCs w:val="24"/>
                <w:vertAlign w:val="subscript"/>
              </w:rPr>
              <w:t>Huşi</w:t>
            </w:r>
          </w:p>
        </w:tc>
        <w:tc>
          <w:tcPr>
            <w:tcW w:w="2551" w:type="dxa"/>
            <w:shd w:val="clear" w:color="auto" w:fill="auto"/>
          </w:tcPr>
          <w:p w:rsidR="004B269B" w:rsidRPr="00836C9F" w:rsidRDefault="004B269B" w:rsidP="004B269B">
            <w:pPr>
              <w:autoSpaceDE w:val="0"/>
              <w:autoSpaceDN w:val="0"/>
              <w:adjustRightInd w:val="0"/>
              <w:spacing w:after="0" w:line="240" w:lineRule="auto"/>
              <w:jc w:val="both"/>
              <w:rPr>
                <w:rFonts w:ascii="Arial" w:eastAsia="Times New Roman" w:hAnsi="Arial" w:cs="Arial"/>
                <w:sz w:val="24"/>
                <w:szCs w:val="24"/>
                <w:vertAlign w:val="subscript"/>
              </w:rPr>
            </w:pPr>
            <w:r w:rsidRPr="00836C9F">
              <w:rPr>
                <w:rFonts w:ascii="Arial" w:eastAsia="Times New Roman" w:hAnsi="Arial" w:cs="Arial"/>
                <w:sz w:val="24"/>
                <w:szCs w:val="24"/>
                <w:vertAlign w:val="subscript"/>
              </w:rPr>
              <w:t>1,104</w:t>
            </w:r>
          </w:p>
        </w:tc>
        <w:tc>
          <w:tcPr>
            <w:tcW w:w="2835" w:type="dxa"/>
            <w:shd w:val="clear" w:color="auto" w:fill="auto"/>
          </w:tcPr>
          <w:p w:rsidR="004B269B" w:rsidRPr="00836C9F" w:rsidRDefault="004B269B" w:rsidP="004B269B">
            <w:pPr>
              <w:autoSpaceDE w:val="0"/>
              <w:autoSpaceDN w:val="0"/>
              <w:adjustRightInd w:val="0"/>
              <w:spacing w:after="0" w:line="240" w:lineRule="auto"/>
              <w:jc w:val="both"/>
              <w:rPr>
                <w:rFonts w:ascii="Arial" w:eastAsia="Times New Roman" w:hAnsi="Arial" w:cs="Arial"/>
                <w:sz w:val="24"/>
                <w:szCs w:val="24"/>
                <w:vertAlign w:val="subscript"/>
              </w:rPr>
            </w:pPr>
            <w:r w:rsidRPr="00836C9F">
              <w:rPr>
                <w:rFonts w:ascii="Arial" w:eastAsia="Times New Roman" w:hAnsi="Arial" w:cs="Arial"/>
                <w:sz w:val="24"/>
                <w:szCs w:val="24"/>
                <w:vertAlign w:val="subscript"/>
              </w:rPr>
              <w:t>95</w:t>
            </w:r>
          </w:p>
        </w:tc>
      </w:tr>
      <w:tr w:rsidR="007C45A1" w:rsidRPr="00836C9F" w:rsidTr="00836C9F">
        <w:trPr>
          <w:trHeight w:val="608"/>
        </w:trPr>
        <w:tc>
          <w:tcPr>
            <w:tcW w:w="1526" w:type="dxa"/>
            <w:shd w:val="clear" w:color="auto" w:fill="auto"/>
          </w:tcPr>
          <w:p w:rsidR="004B269B" w:rsidRPr="00836C9F" w:rsidRDefault="004B269B" w:rsidP="004B269B">
            <w:pPr>
              <w:autoSpaceDE w:val="0"/>
              <w:autoSpaceDN w:val="0"/>
              <w:adjustRightInd w:val="0"/>
              <w:spacing w:after="0" w:line="240" w:lineRule="auto"/>
              <w:jc w:val="both"/>
              <w:rPr>
                <w:rFonts w:ascii="Arial" w:eastAsia="Times New Roman" w:hAnsi="Arial" w:cs="Arial"/>
                <w:sz w:val="24"/>
                <w:szCs w:val="24"/>
                <w:vertAlign w:val="subscript"/>
              </w:rPr>
            </w:pPr>
            <w:r w:rsidRPr="00836C9F">
              <w:rPr>
                <w:rFonts w:ascii="Arial" w:eastAsia="Times New Roman" w:hAnsi="Arial" w:cs="Arial"/>
                <w:sz w:val="24"/>
                <w:szCs w:val="24"/>
                <w:vertAlign w:val="subscript"/>
              </w:rPr>
              <w:t>Negreşti</w:t>
            </w:r>
          </w:p>
        </w:tc>
        <w:tc>
          <w:tcPr>
            <w:tcW w:w="1417" w:type="dxa"/>
            <w:shd w:val="clear" w:color="auto" w:fill="auto"/>
          </w:tcPr>
          <w:p w:rsidR="004B269B" w:rsidRPr="00836C9F" w:rsidRDefault="004B269B" w:rsidP="004B269B">
            <w:pPr>
              <w:autoSpaceDE w:val="0"/>
              <w:autoSpaceDN w:val="0"/>
              <w:adjustRightInd w:val="0"/>
              <w:spacing w:after="0" w:line="240" w:lineRule="auto"/>
              <w:jc w:val="both"/>
              <w:rPr>
                <w:rFonts w:ascii="Arial" w:eastAsia="Times New Roman" w:hAnsi="Arial" w:cs="Arial"/>
                <w:sz w:val="24"/>
                <w:szCs w:val="24"/>
                <w:vertAlign w:val="subscript"/>
              </w:rPr>
            </w:pPr>
            <w:r w:rsidRPr="00836C9F">
              <w:rPr>
                <w:rFonts w:ascii="Arial" w:eastAsia="Times New Roman" w:hAnsi="Arial" w:cs="Arial"/>
                <w:sz w:val="24"/>
                <w:szCs w:val="24"/>
                <w:vertAlign w:val="subscript"/>
              </w:rPr>
              <w:t>3476</w:t>
            </w:r>
          </w:p>
        </w:tc>
        <w:tc>
          <w:tcPr>
            <w:tcW w:w="1560" w:type="dxa"/>
            <w:shd w:val="clear" w:color="auto" w:fill="auto"/>
          </w:tcPr>
          <w:p w:rsidR="004B269B" w:rsidRPr="00836C9F" w:rsidRDefault="004B269B" w:rsidP="004B269B">
            <w:pPr>
              <w:autoSpaceDE w:val="0"/>
              <w:autoSpaceDN w:val="0"/>
              <w:adjustRightInd w:val="0"/>
              <w:spacing w:after="0" w:line="240" w:lineRule="auto"/>
              <w:jc w:val="both"/>
              <w:rPr>
                <w:rFonts w:ascii="Arial" w:eastAsia="Times New Roman" w:hAnsi="Arial" w:cs="Arial"/>
                <w:sz w:val="24"/>
                <w:szCs w:val="24"/>
                <w:vertAlign w:val="subscript"/>
              </w:rPr>
            </w:pPr>
            <w:r w:rsidRPr="00836C9F">
              <w:rPr>
                <w:rFonts w:ascii="Arial" w:eastAsia="Times New Roman" w:hAnsi="Arial" w:cs="Arial"/>
                <w:sz w:val="24"/>
                <w:szCs w:val="24"/>
                <w:vertAlign w:val="subscript"/>
              </w:rPr>
              <w:t>Bârlad</w:t>
            </w:r>
          </w:p>
        </w:tc>
        <w:tc>
          <w:tcPr>
            <w:tcW w:w="2551" w:type="dxa"/>
            <w:shd w:val="clear" w:color="auto" w:fill="auto"/>
          </w:tcPr>
          <w:p w:rsidR="004B269B" w:rsidRPr="00836C9F" w:rsidRDefault="004B269B" w:rsidP="004B269B">
            <w:pPr>
              <w:autoSpaceDE w:val="0"/>
              <w:autoSpaceDN w:val="0"/>
              <w:adjustRightInd w:val="0"/>
              <w:spacing w:after="0" w:line="240" w:lineRule="auto"/>
              <w:jc w:val="both"/>
              <w:rPr>
                <w:rFonts w:ascii="Arial" w:eastAsia="Times New Roman" w:hAnsi="Arial" w:cs="Arial"/>
                <w:sz w:val="24"/>
                <w:szCs w:val="24"/>
                <w:vertAlign w:val="subscript"/>
              </w:rPr>
            </w:pPr>
            <w:r w:rsidRPr="00836C9F">
              <w:rPr>
                <w:rFonts w:ascii="Arial" w:eastAsia="Times New Roman" w:hAnsi="Arial" w:cs="Arial"/>
                <w:sz w:val="24"/>
                <w:szCs w:val="24"/>
                <w:vertAlign w:val="subscript"/>
              </w:rPr>
              <w:t>0,108</w:t>
            </w:r>
          </w:p>
        </w:tc>
        <w:tc>
          <w:tcPr>
            <w:tcW w:w="2835" w:type="dxa"/>
            <w:shd w:val="clear" w:color="auto" w:fill="auto"/>
          </w:tcPr>
          <w:p w:rsidR="004B269B" w:rsidRPr="00836C9F" w:rsidRDefault="004B269B" w:rsidP="004B269B">
            <w:pPr>
              <w:autoSpaceDE w:val="0"/>
              <w:autoSpaceDN w:val="0"/>
              <w:adjustRightInd w:val="0"/>
              <w:spacing w:after="0" w:line="240" w:lineRule="auto"/>
              <w:jc w:val="both"/>
              <w:rPr>
                <w:rFonts w:ascii="Arial" w:eastAsia="Times New Roman" w:hAnsi="Arial" w:cs="Arial"/>
                <w:sz w:val="24"/>
                <w:szCs w:val="24"/>
                <w:vertAlign w:val="subscript"/>
              </w:rPr>
            </w:pPr>
            <w:r w:rsidRPr="00836C9F">
              <w:rPr>
                <w:rFonts w:ascii="Arial" w:eastAsia="Times New Roman" w:hAnsi="Arial" w:cs="Arial"/>
                <w:sz w:val="24"/>
                <w:szCs w:val="24"/>
                <w:vertAlign w:val="subscript"/>
              </w:rPr>
              <w:t>Staţia de epurare nu funcţionează, este în proces de reabilitare</w:t>
            </w:r>
          </w:p>
        </w:tc>
      </w:tr>
      <w:tr w:rsidR="007C45A1" w:rsidRPr="00836C9F" w:rsidTr="00836C9F">
        <w:trPr>
          <w:trHeight w:val="194"/>
        </w:trPr>
        <w:tc>
          <w:tcPr>
            <w:tcW w:w="1526" w:type="dxa"/>
            <w:shd w:val="clear" w:color="auto" w:fill="auto"/>
          </w:tcPr>
          <w:p w:rsidR="004B269B" w:rsidRPr="00836C9F" w:rsidRDefault="004B269B" w:rsidP="004B269B">
            <w:pPr>
              <w:autoSpaceDE w:val="0"/>
              <w:autoSpaceDN w:val="0"/>
              <w:adjustRightInd w:val="0"/>
              <w:spacing w:after="0" w:line="240" w:lineRule="auto"/>
              <w:jc w:val="both"/>
              <w:rPr>
                <w:rFonts w:ascii="Arial" w:eastAsia="Times New Roman" w:hAnsi="Arial" w:cs="Arial"/>
                <w:sz w:val="24"/>
                <w:szCs w:val="24"/>
                <w:vertAlign w:val="subscript"/>
              </w:rPr>
            </w:pPr>
            <w:r w:rsidRPr="00836C9F">
              <w:rPr>
                <w:rFonts w:ascii="Arial" w:eastAsia="Times New Roman" w:hAnsi="Arial" w:cs="Arial"/>
                <w:sz w:val="24"/>
                <w:szCs w:val="24"/>
                <w:vertAlign w:val="subscript"/>
              </w:rPr>
              <w:t>Murgeni</w:t>
            </w:r>
          </w:p>
        </w:tc>
        <w:tc>
          <w:tcPr>
            <w:tcW w:w="1417" w:type="dxa"/>
            <w:shd w:val="clear" w:color="auto" w:fill="auto"/>
          </w:tcPr>
          <w:p w:rsidR="004B269B" w:rsidRPr="00836C9F" w:rsidRDefault="004B269B" w:rsidP="004B269B">
            <w:pPr>
              <w:autoSpaceDE w:val="0"/>
              <w:autoSpaceDN w:val="0"/>
              <w:adjustRightInd w:val="0"/>
              <w:spacing w:after="0" w:line="240" w:lineRule="auto"/>
              <w:jc w:val="both"/>
              <w:rPr>
                <w:rFonts w:ascii="Arial" w:eastAsia="Times New Roman" w:hAnsi="Arial" w:cs="Arial"/>
                <w:sz w:val="24"/>
                <w:szCs w:val="24"/>
                <w:vertAlign w:val="subscript"/>
              </w:rPr>
            </w:pPr>
            <w:r w:rsidRPr="00836C9F">
              <w:rPr>
                <w:rFonts w:ascii="Arial" w:eastAsia="Times New Roman" w:hAnsi="Arial" w:cs="Arial"/>
                <w:sz w:val="24"/>
                <w:szCs w:val="24"/>
                <w:vertAlign w:val="subscript"/>
              </w:rPr>
              <w:t>691</w:t>
            </w:r>
          </w:p>
        </w:tc>
        <w:tc>
          <w:tcPr>
            <w:tcW w:w="1560" w:type="dxa"/>
            <w:shd w:val="clear" w:color="auto" w:fill="auto"/>
          </w:tcPr>
          <w:p w:rsidR="004B269B" w:rsidRPr="00836C9F" w:rsidRDefault="004B269B" w:rsidP="004B269B">
            <w:pPr>
              <w:autoSpaceDE w:val="0"/>
              <w:autoSpaceDN w:val="0"/>
              <w:adjustRightInd w:val="0"/>
              <w:spacing w:after="0" w:line="240" w:lineRule="auto"/>
              <w:jc w:val="both"/>
              <w:rPr>
                <w:rFonts w:ascii="Arial" w:eastAsia="Times New Roman" w:hAnsi="Arial" w:cs="Arial"/>
                <w:sz w:val="24"/>
                <w:szCs w:val="24"/>
                <w:vertAlign w:val="subscript"/>
              </w:rPr>
            </w:pPr>
            <w:r w:rsidRPr="00836C9F">
              <w:rPr>
                <w:rFonts w:ascii="Arial" w:eastAsia="Times New Roman" w:hAnsi="Arial" w:cs="Arial"/>
                <w:sz w:val="24"/>
                <w:szCs w:val="24"/>
                <w:vertAlign w:val="subscript"/>
              </w:rPr>
              <w:t>Elan</w:t>
            </w:r>
          </w:p>
        </w:tc>
        <w:tc>
          <w:tcPr>
            <w:tcW w:w="2551" w:type="dxa"/>
            <w:shd w:val="clear" w:color="auto" w:fill="auto"/>
          </w:tcPr>
          <w:p w:rsidR="004B269B" w:rsidRPr="00836C9F" w:rsidRDefault="004B269B" w:rsidP="004B269B">
            <w:pPr>
              <w:autoSpaceDE w:val="0"/>
              <w:autoSpaceDN w:val="0"/>
              <w:adjustRightInd w:val="0"/>
              <w:spacing w:after="0" w:line="240" w:lineRule="auto"/>
              <w:jc w:val="both"/>
              <w:rPr>
                <w:rFonts w:ascii="Arial" w:eastAsia="Times New Roman" w:hAnsi="Arial" w:cs="Arial"/>
                <w:sz w:val="24"/>
                <w:szCs w:val="24"/>
                <w:vertAlign w:val="subscript"/>
              </w:rPr>
            </w:pPr>
            <w:r w:rsidRPr="00836C9F">
              <w:rPr>
                <w:rFonts w:ascii="Arial" w:eastAsia="Times New Roman" w:hAnsi="Arial" w:cs="Arial"/>
                <w:sz w:val="24"/>
                <w:szCs w:val="24"/>
                <w:vertAlign w:val="subscript"/>
              </w:rPr>
              <w:t>0,023</w:t>
            </w:r>
          </w:p>
        </w:tc>
        <w:tc>
          <w:tcPr>
            <w:tcW w:w="2835" w:type="dxa"/>
            <w:shd w:val="clear" w:color="auto" w:fill="auto"/>
          </w:tcPr>
          <w:p w:rsidR="004B269B" w:rsidRPr="00836C9F" w:rsidRDefault="004B269B" w:rsidP="004B269B">
            <w:pPr>
              <w:autoSpaceDE w:val="0"/>
              <w:autoSpaceDN w:val="0"/>
              <w:adjustRightInd w:val="0"/>
              <w:spacing w:after="0" w:line="240" w:lineRule="auto"/>
              <w:jc w:val="both"/>
              <w:rPr>
                <w:rFonts w:ascii="Arial" w:eastAsia="Times New Roman" w:hAnsi="Arial" w:cs="Arial"/>
                <w:sz w:val="24"/>
                <w:szCs w:val="24"/>
                <w:vertAlign w:val="subscript"/>
              </w:rPr>
            </w:pPr>
            <w:r w:rsidRPr="00836C9F">
              <w:rPr>
                <w:rFonts w:ascii="Arial" w:eastAsia="Times New Roman" w:hAnsi="Arial" w:cs="Arial"/>
                <w:sz w:val="24"/>
                <w:szCs w:val="24"/>
                <w:vertAlign w:val="subscript"/>
              </w:rPr>
              <w:t>64</w:t>
            </w:r>
          </w:p>
        </w:tc>
      </w:tr>
      <w:tr w:rsidR="007C45A1" w:rsidRPr="00836C9F" w:rsidTr="00836C9F">
        <w:trPr>
          <w:trHeight w:val="194"/>
        </w:trPr>
        <w:tc>
          <w:tcPr>
            <w:tcW w:w="1526" w:type="dxa"/>
            <w:shd w:val="clear" w:color="auto" w:fill="auto"/>
          </w:tcPr>
          <w:p w:rsidR="004B269B" w:rsidRPr="00836C9F" w:rsidRDefault="004B269B" w:rsidP="004B269B">
            <w:pPr>
              <w:autoSpaceDE w:val="0"/>
              <w:autoSpaceDN w:val="0"/>
              <w:adjustRightInd w:val="0"/>
              <w:spacing w:after="0" w:line="240" w:lineRule="auto"/>
              <w:jc w:val="both"/>
              <w:rPr>
                <w:rFonts w:ascii="Arial" w:eastAsia="Times New Roman" w:hAnsi="Arial" w:cs="Arial"/>
                <w:sz w:val="24"/>
                <w:szCs w:val="24"/>
                <w:vertAlign w:val="subscript"/>
              </w:rPr>
            </w:pPr>
            <w:r w:rsidRPr="00836C9F">
              <w:rPr>
                <w:rFonts w:ascii="Arial" w:eastAsia="Times New Roman" w:hAnsi="Arial" w:cs="Arial"/>
                <w:sz w:val="24"/>
                <w:szCs w:val="24"/>
                <w:vertAlign w:val="subscript"/>
              </w:rPr>
              <w:t>Muntenii de Jos</w:t>
            </w:r>
          </w:p>
        </w:tc>
        <w:tc>
          <w:tcPr>
            <w:tcW w:w="1417" w:type="dxa"/>
            <w:shd w:val="clear" w:color="auto" w:fill="auto"/>
          </w:tcPr>
          <w:p w:rsidR="004B269B" w:rsidRPr="00836C9F" w:rsidRDefault="004B269B" w:rsidP="004B269B">
            <w:pPr>
              <w:autoSpaceDE w:val="0"/>
              <w:autoSpaceDN w:val="0"/>
              <w:adjustRightInd w:val="0"/>
              <w:spacing w:after="0" w:line="240" w:lineRule="auto"/>
              <w:jc w:val="both"/>
              <w:rPr>
                <w:rFonts w:ascii="Arial" w:eastAsia="Times New Roman" w:hAnsi="Arial" w:cs="Arial"/>
                <w:sz w:val="24"/>
                <w:szCs w:val="24"/>
                <w:vertAlign w:val="subscript"/>
              </w:rPr>
            </w:pPr>
            <w:r w:rsidRPr="00836C9F">
              <w:rPr>
                <w:rFonts w:ascii="Arial" w:eastAsia="Times New Roman" w:hAnsi="Arial" w:cs="Arial"/>
                <w:sz w:val="24"/>
                <w:szCs w:val="24"/>
                <w:vertAlign w:val="subscript"/>
              </w:rPr>
              <w:t>220</w:t>
            </w:r>
          </w:p>
        </w:tc>
        <w:tc>
          <w:tcPr>
            <w:tcW w:w="1560" w:type="dxa"/>
            <w:shd w:val="clear" w:color="auto" w:fill="auto"/>
          </w:tcPr>
          <w:p w:rsidR="004B269B" w:rsidRPr="00836C9F" w:rsidRDefault="004B269B" w:rsidP="004B269B">
            <w:pPr>
              <w:autoSpaceDE w:val="0"/>
              <w:autoSpaceDN w:val="0"/>
              <w:adjustRightInd w:val="0"/>
              <w:spacing w:after="0" w:line="240" w:lineRule="auto"/>
              <w:jc w:val="both"/>
              <w:rPr>
                <w:rFonts w:ascii="Arial" w:eastAsia="Times New Roman" w:hAnsi="Arial" w:cs="Arial"/>
                <w:sz w:val="24"/>
                <w:szCs w:val="24"/>
                <w:vertAlign w:val="subscript"/>
              </w:rPr>
            </w:pPr>
            <w:r w:rsidRPr="00836C9F">
              <w:rPr>
                <w:rFonts w:ascii="Arial" w:eastAsia="Times New Roman" w:hAnsi="Arial" w:cs="Arial"/>
                <w:sz w:val="24"/>
                <w:szCs w:val="24"/>
                <w:vertAlign w:val="subscript"/>
              </w:rPr>
              <w:t>Valea Muntenilor</w:t>
            </w:r>
          </w:p>
        </w:tc>
        <w:tc>
          <w:tcPr>
            <w:tcW w:w="2551" w:type="dxa"/>
            <w:shd w:val="clear" w:color="auto" w:fill="auto"/>
          </w:tcPr>
          <w:p w:rsidR="004B269B" w:rsidRPr="00836C9F" w:rsidRDefault="004B269B" w:rsidP="004B269B">
            <w:pPr>
              <w:autoSpaceDE w:val="0"/>
              <w:autoSpaceDN w:val="0"/>
              <w:adjustRightInd w:val="0"/>
              <w:spacing w:after="0" w:line="240" w:lineRule="auto"/>
              <w:jc w:val="both"/>
              <w:rPr>
                <w:rFonts w:ascii="Arial" w:eastAsia="Times New Roman" w:hAnsi="Arial" w:cs="Arial"/>
                <w:sz w:val="24"/>
                <w:szCs w:val="24"/>
                <w:vertAlign w:val="subscript"/>
              </w:rPr>
            </w:pPr>
            <w:r w:rsidRPr="00836C9F">
              <w:rPr>
                <w:rFonts w:ascii="Arial" w:eastAsia="Times New Roman" w:hAnsi="Arial" w:cs="Arial"/>
                <w:sz w:val="24"/>
                <w:szCs w:val="24"/>
                <w:vertAlign w:val="subscript"/>
              </w:rPr>
              <w:t>0,011</w:t>
            </w:r>
          </w:p>
        </w:tc>
        <w:tc>
          <w:tcPr>
            <w:tcW w:w="2835" w:type="dxa"/>
            <w:shd w:val="clear" w:color="auto" w:fill="auto"/>
          </w:tcPr>
          <w:p w:rsidR="004B269B" w:rsidRPr="00836C9F" w:rsidRDefault="004B269B" w:rsidP="004B269B">
            <w:pPr>
              <w:autoSpaceDE w:val="0"/>
              <w:autoSpaceDN w:val="0"/>
              <w:adjustRightInd w:val="0"/>
              <w:spacing w:after="0" w:line="240" w:lineRule="auto"/>
              <w:jc w:val="both"/>
              <w:rPr>
                <w:rFonts w:ascii="Arial" w:eastAsia="Times New Roman" w:hAnsi="Arial" w:cs="Arial"/>
                <w:sz w:val="24"/>
                <w:szCs w:val="24"/>
                <w:vertAlign w:val="subscript"/>
              </w:rPr>
            </w:pPr>
            <w:r w:rsidRPr="00836C9F">
              <w:rPr>
                <w:rFonts w:ascii="Arial" w:eastAsia="Times New Roman" w:hAnsi="Arial" w:cs="Arial"/>
                <w:sz w:val="24"/>
                <w:szCs w:val="24"/>
                <w:vertAlign w:val="subscript"/>
              </w:rPr>
              <w:t>83</w:t>
            </w:r>
          </w:p>
        </w:tc>
      </w:tr>
    </w:tbl>
    <w:p w:rsidR="004B269B" w:rsidRDefault="004B269B" w:rsidP="004B269B">
      <w:pPr>
        <w:tabs>
          <w:tab w:val="left" w:pos="1515"/>
        </w:tabs>
        <w:spacing w:after="0" w:line="240" w:lineRule="auto"/>
        <w:jc w:val="both"/>
        <w:rPr>
          <w:rFonts w:ascii="Arial" w:eastAsia="SimSun" w:hAnsi="Arial" w:cs="Arial"/>
          <w:sz w:val="20"/>
          <w:szCs w:val="20"/>
          <w:lang w:val="ro-RO"/>
        </w:rPr>
      </w:pPr>
      <w:r w:rsidRPr="004B269B">
        <w:rPr>
          <w:rFonts w:ascii="Arial" w:eastAsia="SimSun" w:hAnsi="Arial" w:cs="Arial"/>
          <w:sz w:val="20"/>
          <w:szCs w:val="20"/>
          <w:lang w:val="ro-RO"/>
        </w:rPr>
        <w:t>(Sursa: SC AQUAVAS SA VASLUI)</w:t>
      </w:r>
    </w:p>
    <w:p w:rsidR="004F131A" w:rsidRPr="004B269B" w:rsidRDefault="004F131A" w:rsidP="004B269B">
      <w:pPr>
        <w:tabs>
          <w:tab w:val="left" w:pos="1515"/>
        </w:tabs>
        <w:spacing w:after="0" w:line="240" w:lineRule="auto"/>
        <w:jc w:val="both"/>
        <w:rPr>
          <w:rFonts w:ascii="Arial" w:eastAsia="SimSun" w:hAnsi="Arial" w:cs="Arial"/>
          <w:b/>
          <w:bCs/>
          <w:iCs/>
          <w:sz w:val="24"/>
          <w:szCs w:val="24"/>
          <w:lang w:val="en-GB"/>
        </w:rPr>
      </w:pPr>
    </w:p>
    <w:p w:rsidR="004B269B" w:rsidRPr="004B269B" w:rsidRDefault="004B269B" w:rsidP="004B269B">
      <w:pPr>
        <w:spacing w:after="0" w:line="240" w:lineRule="auto"/>
        <w:jc w:val="both"/>
        <w:rPr>
          <w:rFonts w:ascii="Arial" w:eastAsia="SimSun" w:hAnsi="Arial" w:cs="Arial"/>
          <w:sz w:val="24"/>
          <w:szCs w:val="24"/>
          <w:lang w:val="en-GB"/>
        </w:rPr>
      </w:pPr>
      <w:r w:rsidRPr="004B269B">
        <w:rPr>
          <w:rFonts w:ascii="Arial" w:eastAsia="SimSun" w:hAnsi="Arial" w:cs="Arial"/>
          <w:sz w:val="24"/>
          <w:szCs w:val="24"/>
          <w:lang w:val="ro-RO"/>
        </w:rPr>
        <w:t xml:space="preserve">* Administraţia </w:t>
      </w:r>
      <w:r w:rsidRPr="004B269B">
        <w:rPr>
          <w:rFonts w:ascii="Arial" w:eastAsia="SimSun" w:hAnsi="Arial" w:cs="Arial"/>
          <w:sz w:val="24"/>
          <w:szCs w:val="24"/>
          <w:lang w:val="en-GB"/>
        </w:rPr>
        <w:t>“</w:t>
      </w:r>
      <w:r w:rsidRPr="004B269B">
        <w:rPr>
          <w:rFonts w:ascii="Arial" w:eastAsia="SimSun" w:hAnsi="Arial" w:cs="Arial"/>
          <w:sz w:val="24"/>
          <w:szCs w:val="24"/>
          <w:lang w:val="ro-RO"/>
        </w:rPr>
        <w:t>Apele Române”- Administraţia Bazinală de Apă Prut – Bârlad</w:t>
      </w:r>
      <w:r w:rsidRPr="004B269B">
        <w:rPr>
          <w:rFonts w:ascii="Arial" w:eastAsia="Times New Roman" w:hAnsi="Arial" w:cs="Arial"/>
          <w:sz w:val="24"/>
          <w:szCs w:val="24"/>
          <w:lang w:val="ro-RO"/>
        </w:rPr>
        <w:t xml:space="preserve"> nu a furnizat date şi informaţii privind evoluţia concentraţiilor de </w:t>
      </w:r>
      <w:r w:rsidRPr="004B269B">
        <w:rPr>
          <w:rFonts w:ascii="Arial" w:eastAsia="SimSun" w:hAnsi="Arial" w:cs="Arial"/>
          <w:sz w:val="24"/>
          <w:szCs w:val="24"/>
          <w:lang w:val="en-GB"/>
        </w:rPr>
        <w:t>nutrienți în corpurile de apă, la nivelul judeţului Vaslui, pentru anul 2015.</w:t>
      </w:r>
    </w:p>
    <w:p w:rsidR="004B269B" w:rsidRPr="004B269B" w:rsidRDefault="004B269B" w:rsidP="004B269B">
      <w:pPr>
        <w:spacing w:after="0" w:line="240" w:lineRule="auto"/>
        <w:jc w:val="both"/>
        <w:rPr>
          <w:rFonts w:ascii="Arial" w:eastAsia="Times New Roman" w:hAnsi="Arial" w:cs="Arial"/>
          <w:sz w:val="24"/>
          <w:szCs w:val="24"/>
        </w:rPr>
      </w:pPr>
    </w:p>
    <w:p w:rsidR="004B269B" w:rsidRPr="004B269B" w:rsidRDefault="004B269B" w:rsidP="004B269B">
      <w:pPr>
        <w:spacing w:after="0" w:line="240" w:lineRule="auto"/>
        <w:jc w:val="both"/>
        <w:rPr>
          <w:rFonts w:ascii="Arial" w:eastAsia="SimSun" w:hAnsi="Arial" w:cs="Arial"/>
          <w:sz w:val="24"/>
          <w:szCs w:val="24"/>
          <w:lang w:val="en-GB"/>
        </w:rPr>
      </w:pPr>
      <w:r w:rsidRPr="004B269B">
        <w:rPr>
          <w:rFonts w:ascii="Arial" w:eastAsia="SimSun" w:hAnsi="Arial" w:cs="Arial"/>
          <w:sz w:val="24"/>
          <w:szCs w:val="24"/>
          <w:lang w:val="es-ES"/>
        </w:rPr>
        <w:tab/>
      </w:r>
      <w:r w:rsidRPr="004B269B">
        <w:rPr>
          <w:rFonts w:ascii="Arial" w:eastAsia="SimSun" w:hAnsi="Arial" w:cs="Arial"/>
          <w:bCs/>
          <w:sz w:val="24"/>
          <w:szCs w:val="24"/>
          <w:lang w:val="en-GB"/>
        </w:rPr>
        <w:t xml:space="preserve">Figura </w:t>
      </w:r>
      <w:r w:rsidRPr="004B269B">
        <w:rPr>
          <w:rFonts w:ascii="Arial" w:eastAsia="SimSun" w:hAnsi="Arial" w:cs="Arial"/>
          <w:sz w:val="24"/>
          <w:szCs w:val="24"/>
          <w:lang w:val="ro-RO"/>
        </w:rPr>
        <w:t>II</w:t>
      </w:r>
      <w:r w:rsidRPr="004B269B">
        <w:rPr>
          <w:rFonts w:ascii="Arial" w:eastAsia="SimSun" w:hAnsi="Arial" w:cs="Arial"/>
          <w:bCs/>
          <w:sz w:val="24"/>
          <w:szCs w:val="24"/>
          <w:lang w:val="en-GB"/>
        </w:rPr>
        <w:t xml:space="preserve">.11. </w:t>
      </w:r>
      <w:r w:rsidRPr="004B269B">
        <w:rPr>
          <w:rFonts w:ascii="Arial" w:eastAsia="SimSun" w:hAnsi="Arial" w:cs="Arial"/>
          <w:sz w:val="24"/>
          <w:szCs w:val="24"/>
          <w:lang w:val="en-GB"/>
        </w:rPr>
        <w:t>Evoluția concentrațiilor de nutrienți în corpurile de apă, la nivel judeţului Vaslui, în perioada 2011-2015</w:t>
      </w:r>
    </w:p>
    <w:p w:rsidR="004B269B" w:rsidRPr="004B269B" w:rsidRDefault="004B269B" w:rsidP="004B269B">
      <w:pPr>
        <w:autoSpaceDE w:val="0"/>
        <w:autoSpaceDN w:val="0"/>
        <w:adjustRightInd w:val="0"/>
        <w:spacing w:after="0" w:line="240" w:lineRule="auto"/>
        <w:rPr>
          <w:rFonts w:ascii="Arial" w:eastAsia="SimSun" w:hAnsi="Arial" w:cs="Arial"/>
          <w:sz w:val="24"/>
          <w:szCs w:val="24"/>
          <w:lang w:val="en-GB"/>
        </w:rPr>
      </w:pPr>
    </w:p>
    <w:p w:rsidR="004B269B" w:rsidRPr="004B269B" w:rsidRDefault="004B269B" w:rsidP="004B269B">
      <w:pPr>
        <w:spacing w:after="0" w:line="240" w:lineRule="auto"/>
        <w:jc w:val="center"/>
        <w:rPr>
          <w:rFonts w:ascii="Arial" w:eastAsia="SimSun" w:hAnsi="Arial" w:cs="Arial"/>
          <w:sz w:val="20"/>
          <w:szCs w:val="20"/>
          <w:lang w:val="ro-RO"/>
        </w:rPr>
      </w:pPr>
      <w:r>
        <w:rPr>
          <w:rFonts w:ascii="Arial" w:eastAsia="SimSun" w:hAnsi="Arial" w:cs="Arial"/>
          <w:noProof/>
          <w:sz w:val="24"/>
          <w:szCs w:val="24"/>
        </w:rPr>
        <w:drawing>
          <wp:inline distT="0" distB="0" distL="0" distR="0">
            <wp:extent cx="6076950" cy="3086100"/>
            <wp:effectExtent l="0" t="0" r="0" b="0"/>
            <wp:docPr id="194" name="Chart 19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4B269B" w:rsidRPr="004B269B" w:rsidRDefault="004B269B" w:rsidP="004B269B">
      <w:pPr>
        <w:spacing w:after="0" w:line="240" w:lineRule="auto"/>
        <w:jc w:val="center"/>
        <w:rPr>
          <w:rFonts w:ascii="Arial" w:eastAsia="SimSun" w:hAnsi="Arial" w:cs="Arial"/>
          <w:sz w:val="20"/>
          <w:szCs w:val="20"/>
          <w:lang w:val="ro-RO"/>
        </w:rPr>
      </w:pPr>
      <w:r w:rsidRPr="004B269B">
        <w:rPr>
          <w:rFonts w:ascii="Arial" w:eastAsia="SimSun" w:hAnsi="Arial" w:cs="Arial"/>
          <w:sz w:val="20"/>
          <w:szCs w:val="20"/>
          <w:lang w:val="ro-RO"/>
        </w:rPr>
        <w:t xml:space="preserve"> (Sursa: Administraţia “Apele Române”- Administraţia Bazinală de Apă Prut – Bârlad)</w:t>
      </w:r>
    </w:p>
    <w:p w:rsidR="004B269B" w:rsidRPr="004B269B" w:rsidRDefault="004B269B" w:rsidP="004B269B">
      <w:pPr>
        <w:spacing w:after="0" w:line="240" w:lineRule="auto"/>
        <w:rPr>
          <w:rFonts w:ascii="Times New Roman" w:eastAsia="SimSun" w:hAnsi="Times New Roman" w:cs="Times New Roman"/>
          <w:sz w:val="23"/>
          <w:szCs w:val="23"/>
          <w:lang w:val="en-GB"/>
        </w:rPr>
      </w:pPr>
    </w:p>
    <w:p w:rsidR="004B269B" w:rsidRPr="004B269B" w:rsidRDefault="004B269B" w:rsidP="004B269B">
      <w:pPr>
        <w:autoSpaceDE w:val="0"/>
        <w:autoSpaceDN w:val="0"/>
        <w:adjustRightInd w:val="0"/>
        <w:spacing w:after="0" w:line="240" w:lineRule="auto"/>
        <w:jc w:val="both"/>
        <w:rPr>
          <w:rFonts w:ascii="Arial" w:eastAsia="SimSun" w:hAnsi="Arial" w:cs="Arial"/>
          <w:bCs/>
          <w:sz w:val="24"/>
          <w:szCs w:val="24"/>
          <w:lang w:val="en-GB"/>
        </w:rPr>
      </w:pPr>
    </w:p>
    <w:p w:rsidR="004B269B" w:rsidRPr="004B269B" w:rsidRDefault="004B269B" w:rsidP="004B269B">
      <w:pPr>
        <w:autoSpaceDE w:val="0"/>
        <w:autoSpaceDN w:val="0"/>
        <w:adjustRightInd w:val="0"/>
        <w:spacing w:after="0" w:line="240" w:lineRule="auto"/>
        <w:jc w:val="both"/>
        <w:rPr>
          <w:rFonts w:ascii="Arial" w:eastAsia="SimSun" w:hAnsi="Arial" w:cs="Arial"/>
          <w:bCs/>
          <w:sz w:val="24"/>
          <w:szCs w:val="24"/>
          <w:lang w:val="en-GB"/>
        </w:rPr>
      </w:pPr>
    </w:p>
    <w:p w:rsidR="004B269B" w:rsidRPr="004B269B" w:rsidRDefault="004B269B" w:rsidP="004B269B">
      <w:pPr>
        <w:autoSpaceDE w:val="0"/>
        <w:autoSpaceDN w:val="0"/>
        <w:adjustRightInd w:val="0"/>
        <w:spacing w:after="0" w:line="240" w:lineRule="auto"/>
        <w:jc w:val="both"/>
        <w:rPr>
          <w:rFonts w:ascii="Arial" w:eastAsia="SimSun" w:hAnsi="Arial" w:cs="Arial"/>
          <w:bCs/>
          <w:sz w:val="24"/>
          <w:szCs w:val="24"/>
          <w:lang w:val="en-GB"/>
        </w:rPr>
        <w:sectPr w:rsidR="004B269B" w:rsidRPr="004B269B" w:rsidSect="00444864">
          <w:footerReference w:type="even" r:id="rId67"/>
          <w:footerReference w:type="default" r:id="rId68"/>
          <w:pgSz w:w="12240" w:h="15840"/>
          <w:pgMar w:top="1134" w:right="1134" w:bottom="1134" w:left="1418" w:header="720" w:footer="720" w:gutter="0"/>
          <w:pgNumType w:start="50"/>
          <w:cols w:space="720"/>
          <w:docGrid w:linePitch="360"/>
        </w:sectPr>
      </w:pPr>
    </w:p>
    <w:p w:rsidR="004B269B" w:rsidRPr="004B269B" w:rsidRDefault="004B269B" w:rsidP="004B269B">
      <w:pPr>
        <w:autoSpaceDE w:val="0"/>
        <w:autoSpaceDN w:val="0"/>
        <w:adjustRightInd w:val="0"/>
        <w:spacing w:after="0" w:line="240" w:lineRule="auto"/>
        <w:jc w:val="both"/>
        <w:rPr>
          <w:rFonts w:ascii="Arial" w:eastAsia="SimSun" w:hAnsi="Arial" w:cs="Arial"/>
          <w:bCs/>
          <w:sz w:val="24"/>
          <w:szCs w:val="24"/>
          <w:lang w:val="en-GB"/>
        </w:rPr>
      </w:pPr>
    </w:p>
    <w:p w:rsidR="004B269B" w:rsidRPr="004B269B" w:rsidRDefault="004B269B" w:rsidP="004B269B">
      <w:pPr>
        <w:autoSpaceDE w:val="0"/>
        <w:autoSpaceDN w:val="0"/>
        <w:adjustRightInd w:val="0"/>
        <w:spacing w:after="0" w:line="240" w:lineRule="auto"/>
        <w:jc w:val="both"/>
        <w:rPr>
          <w:rFonts w:ascii="Arial" w:eastAsia="SimSun" w:hAnsi="Arial" w:cs="Arial"/>
          <w:bCs/>
          <w:sz w:val="24"/>
          <w:szCs w:val="24"/>
          <w:lang w:val="en-GB"/>
        </w:rPr>
      </w:pPr>
      <w:r w:rsidRPr="004B269B">
        <w:rPr>
          <w:rFonts w:ascii="Arial" w:eastAsia="SimSun" w:hAnsi="Arial" w:cs="Arial"/>
          <w:sz w:val="24"/>
          <w:szCs w:val="24"/>
          <w:lang w:val="ro-RO"/>
        </w:rPr>
        <w:t xml:space="preserve">Tabelul II.14. </w:t>
      </w:r>
      <w:r w:rsidRPr="004B269B">
        <w:rPr>
          <w:rFonts w:ascii="Arial" w:eastAsia="SimSun" w:hAnsi="Arial" w:cs="Arial"/>
          <w:bCs/>
          <w:sz w:val="24"/>
          <w:szCs w:val="24"/>
          <w:lang w:val="en-GB"/>
        </w:rPr>
        <w:t>Încărcarea cu poluanţi evacuaţi în receptorii naturali pe tipuri de unităţi, în judeţul Vaslui, în perioada 2011-2015</w:t>
      </w:r>
    </w:p>
    <w:p w:rsidR="004B269B" w:rsidRPr="004B269B" w:rsidRDefault="004B269B" w:rsidP="004B269B">
      <w:pPr>
        <w:autoSpaceDE w:val="0"/>
        <w:autoSpaceDN w:val="0"/>
        <w:adjustRightInd w:val="0"/>
        <w:spacing w:after="0" w:line="240" w:lineRule="auto"/>
        <w:jc w:val="both"/>
        <w:rPr>
          <w:rFonts w:ascii="Arial" w:eastAsia="SimSun" w:hAnsi="Arial" w:cs="Arial"/>
          <w:bCs/>
          <w:sz w:val="24"/>
          <w:szCs w:val="24"/>
          <w:lang w:val="en-GB"/>
        </w:rPr>
      </w:pPr>
    </w:p>
    <w:tbl>
      <w:tblPr>
        <w:tblW w:w="13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7"/>
        <w:gridCol w:w="2109"/>
        <w:gridCol w:w="1152"/>
        <w:gridCol w:w="1167"/>
        <w:gridCol w:w="799"/>
        <w:gridCol w:w="851"/>
        <w:gridCol w:w="992"/>
        <w:gridCol w:w="1134"/>
        <w:gridCol w:w="1134"/>
        <w:gridCol w:w="1276"/>
        <w:gridCol w:w="498"/>
        <w:gridCol w:w="210"/>
        <w:gridCol w:w="851"/>
      </w:tblGrid>
      <w:tr w:rsidR="004B269B" w:rsidRPr="004B269B" w:rsidTr="00080B9C">
        <w:trPr>
          <w:trHeight w:val="70"/>
        </w:trPr>
        <w:tc>
          <w:tcPr>
            <w:tcW w:w="1167" w:type="dxa"/>
            <w:vMerge w:val="restart"/>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Poluant</w:t>
            </w:r>
          </w:p>
        </w:tc>
        <w:tc>
          <w:tcPr>
            <w:tcW w:w="2109" w:type="dxa"/>
            <w:vMerge w:val="restart"/>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Activităţi economice</w:t>
            </w:r>
          </w:p>
        </w:tc>
        <w:tc>
          <w:tcPr>
            <w:tcW w:w="10064" w:type="dxa"/>
            <w:gridSpan w:val="11"/>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Cantitatea de poluanţi (tone/an)</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319" w:type="dxa"/>
            <w:gridSpan w:val="2"/>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2011</w:t>
            </w:r>
          </w:p>
        </w:tc>
        <w:tc>
          <w:tcPr>
            <w:tcW w:w="1650" w:type="dxa"/>
            <w:gridSpan w:val="2"/>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2012</w:t>
            </w:r>
          </w:p>
        </w:tc>
        <w:tc>
          <w:tcPr>
            <w:tcW w:w="2126" w:type="dxa"/>
            <w:gridSpan w:val="2"/>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2013</w:t>
            </w:r>
          </w:p>
        </w:tc>
        <w:tc>
          <w:tcPr>
            <w:tcW w:w="2410" w:type="dxa"/>
            <w:gridSpan w:val="2"/>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2014</w:t>
            </w:r>
          </w:p>
        </w:tc>
        <w:tc>
          <w:tcPr>
            <w:tcW w:w="1559" w:type="dxa"/>
            <w:gridSpan w:val="3"/>
            <w:shd w:val="clear" w:color="auto" w:fill="auto"/>
            <w:vAlign w:val="center"/>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2015</w:t>
            </w:r>
          </w:p>
        </w:tc>
      </w:tr>
      <w:tr w:rsidR="004B269B" w:rsidRPr="004B269B" w:rsidTr="004B269B">
        <w:trPr>
          <w:trHeight w:val="172"/>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B.H Prut</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B.H. Bârlad</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B.H Prut</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B.H. Bârlad</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B.H Prut</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B.H. Bârlad</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B.H Prut</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B.H. Bârlad</w:t>
            </w:r>
          </w:p>
        </w:tc>
        <w:tc>
          <w:tcPr>
            <w:tcW w:w="498" w:type="dxa"/>
            <w:shd w:val="clear" w:color="auto" w:fill="auto"/>
            <w:vAlign w:val="center"/>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B.H Prut</w:t>
            </w:r>
          </w:p>
        </w:tc>
        <w:tc>
          <w:tcPr>
            <w:tcW w:w="1061"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B.H. Bârlad</w:t>
            </w:r>
          </w:p>
        </w:tc>
      </w:tr>
      <w:tr w:rsidR="004B269B" w:rsidRPr="004B269B" w:rsidTr="004B269B">
        <w:trPr>
          <w:trHeight w:val="70"/>
        </w:trPr>
        <w:tc>
          <w:tcPr>
            <w:tcW w:w="1167" w:type="dxa"/>
            <w:vMerge w:val="restart"/>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CBO5</w:t>
            </w: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Administraţie publică</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0.347346</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0.11884</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0.126945</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0.16263</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0.210392</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0.23948</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0.2912730</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0.065785</w:t>
            </w:r>
          </w:p>
        </w:tc>
        <w:tc>
          <w:tcPr>
            <w:tcW w:w="498"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1061"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Alte activităţi</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0.857561</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0.161966</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0.105642</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0.670879</w:t>
            </w:r>
          </w:p>
        </w:tc>
        <w:tc>
          <w:tcPr>
            <w:tcW w:w="498"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1061"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Captare şi prelucrare apă pt. alimentare</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27.303261</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431.454906</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19.079504</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430.274923</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14.835851</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273.359782</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12.7373040</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337.392825</w:t>
            </w:r>
          </w:p>
        </w:tc>
        <w:tc>
          <w:tcPr>
            <w:tcW w:w="498"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1061"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Comerţ şi servicii pentru populaţie</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0.419098</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0.752089</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0.206166</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0.20735</w:t>
            </w:r>
          </w:p>
        </w:tc>
        <w:tc>
          <w:tcPr>
            <w:tcW w:w="498"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1061"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Construcţii</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851" w:type="dxa"/>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34" w:type="dxa"/>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0.014144</w:t>
            </w:r>
          </w:p>
        </w:tc>
        <w:tc>
          <w:tcPr>
            <w:tcW w:w="498"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1061"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Industrie alimentară</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0.481</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1.282687</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0.77313</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0.632272</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0.733161</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0.914381</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1.1458530</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2.139272</w:t>
            </w:r>
          </w:p>
        </w:tc>
        <w:tc>
          <w:tcPr>
            <w:tcW w:w="498"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1061"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Industrie extractivă</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0.005346</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0.002846</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0.005438</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498"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1061"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Industrie metalurgică + c-ţii de maşini</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0.075</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1.345728</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0.025</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2.97367</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1.794349</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5.728837</w:t>
            </w:r>
          </w:p>
        </w:tc>
        <w:tc>
          <w:tcPr>
            <w:tcW w:w="498"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1061"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Invăţământ şi sănătate</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0.4436</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1.971491</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0.397053</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1.315807</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0.709419</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1.277981</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0.9872000</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1.088039</w:t>
            </w:r>
          </w:p>
        </w:tc>
        <w:tc>
          <w:tcPr>
            <w:tcW w:w="498"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1061"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Zootehnie</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0.048147</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0.055237</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0.031086</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0.03773</w:t>
            </w:r>
          </w:p>
        </w:tc>
        <w:tc>
          <w:tcPr>
            <w:tcW w:w="498"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1061"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TOTAL</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28.650207</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437.503804</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20.401632</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436.33144</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16.488823</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277.934305</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15.1616300</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347.344861</w:t>
            </w:r>
          </w:p>
        </w:tc>
        <w:tc>
          <w:tcPr>
            <w:tcW w:w="498" w:type="dxa"/>
            <w:shd w:val="clear" w:color="auto" w:fill="auto"/>
            <w:vAlign w:val="center"/>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w:t>
            </w:r>
          </w:p>
        </w:tc>
        <w:tc>
          <w:tcPr>
            <w:tcW w:w="1061"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w:t>
            </w:r>
          </w:p>
        </w:tc>
      </w:tr>
      <w:tr w:rsidR="004B269B" w:rsidRPr="004B269B" w:rsidTr="004B269B">
        <w:trPr>
          <w:trHeight w:val="70"/>
        </w:trPr>
        <w:tc>
          <w:tcPr>
            <w:tcW w:w="1167" w:type="dxa"/>
            <w:vMerge w:val="restart"/>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CCO-Cr</w:t>
            </w: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Administraţie publică</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0.724896</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0.289813</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0.281505</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0.55371</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0.52072</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0.685783</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0.830312</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0.198535</w:t>
            </w:r>
          </w:p>
        </w:tc>
        <w:tc>
          <w:tcPr>
            <w:tcW w:w="498"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1061"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Alte activităţi</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1.774734</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0.420809</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0.305066</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1.640881</w:t>
            </w:r>
          </w:p>
        </w:tc>
        <w:tc>
          <w:tcPr>
            <w:tcW w:w="498"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1061"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Captare şi prelucrare apă pt. alimentare</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61.344397</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980.85867</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42.060234</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949.104091</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35.49889</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621.508356</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38.055585</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804.229044</w:t>
            </w:r>
          </w:p>
        </w:tc>
        <w:tc>
          <w:tcPr>
            <w:tcW w:w="498"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1061"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Comerţ şi servicii pentru populaţie</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1.283844</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1.596171</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1.21401</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1.091928</w:t>
            </w:r>
          </w:p>
        </w:tc>
        <w:tc>
          <w:tcPr>
            <w:tcW w:w="498"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1061"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Construcţii</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851" w:type="dxa"/>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34" w:type="dxa"/>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0.027664</w:t>
            </w:r>
          </w:p>
        </w:tc>
        <w:tc>
          <w:tcPr>
            <w:tcW w:w="498"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1061"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Industrie alimentară</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1.24085</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3.222011</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1.922874</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1.441932</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1.780358</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2.268439</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2.822524</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5.919007</w:t>
            </w:r>
          </w:p>
        </w:tc>
        <w:tc>
          <w:tcPr>
            <w:tcW w:w="498"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1061"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Industrie extractivă</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0.012197</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0.006328</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0.010256</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498"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1061"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185"/>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Industrie metalurgică + c-ţii de maşini</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0.375</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3.359771</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0.125</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7.220728</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4.916257</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17.595806</w:t>
            </w:r>
          </w:p>
        </w:tc>
        <w:tc>
          <w:tcPr>
            <w:tcW w:w="498"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1061"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Invăţământ şi sănătate</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0.9612</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4.096302</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0.930719</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2.939874</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1.545577</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2.82444</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2.436</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2.517072</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Zootehnie</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0.107345</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0.117047</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0.092074</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0.121179</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TOTAL</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64.646343</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995.004687</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45.320332</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963.40069</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39.345545</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633.824681</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44.144421</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833.341116</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w:t>
            </w:r>
          </w:p>
        </w:tc>
      </w:tr>
      <w:tr w:rsidR="004B269B" w:rsidRPr="004B269B" w:rsidTr="004B269B">
        <w:trPr>
          <w:trHeight w:val="70"/>
        </w:trPr>
        <w:tc>
          <w:tcPr>
            <w:tcW w:w="1167" w:type="dxa"/>
            <w:vMerge w:val="restart"/>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Azot total</w:t>
            </w: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Administraţie publică</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0.669983</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0.33915</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0.442875</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0.158475</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0.756978</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0.085639</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Alte activităţi</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0.250711</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0.052752</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0.100749</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0.637452</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315"/>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Captare şi prelucrare apă pt. alimentare</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11.922922</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147.427496</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7.308676</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145.146746</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14.393052</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141.885699</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10.472057</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153.933089</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Comerţ şi servicii pentru populaţie</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0.055335</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0.161871</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0.112549</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0.040968</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Construcţii</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851" w:type="dxa"/>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34" w:type="dxa"/>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0.00477</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Industrie alimentară</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0.052729</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0.004581</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0.082093</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0.015706</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0.041244</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0.606676</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Industrie extractivă</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0.000388</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0.000884</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0.001331</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315"/>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Industrie metalurgică + c-ţii de maşini</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Invăţământ şi sănătate</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0.426776</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0.591329</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0.653481</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0.462156</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Zootehnie</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89"/>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TOTAL</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12.592905</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148.213435</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7.647826</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145.958163</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14.91802</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142.92799</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11.270279</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155.77075</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w:t>
            </w:r>
          </w:p>
        </w:tc>
      </w:tr>
      <w:tr w:rsidR="004B269B" w:rsidRPr="004B269B" w:rsidTr="004B269B">
        <w:trPr>
          <w:trHeight w:val="70"/>
        </w:trPr>
        <w:tc>
          <w:tcPr>
            <w:tcW w:w="1167" w:type="dxa"/>
            <w:vMerge w:val="restart"/>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Fosfor total</w:t>
            </w: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Administraţie publică</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0.026009</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0.012264</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0.012566</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0.007597</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0.019291</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0.016533</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0.02766</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0.007505</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Alte activităţi</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0.033238</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0.003527</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0.066877</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0.132551</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283"/>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Captare şi prelucrare apă pt. alimentare</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1.724702</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21.202417</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1.747431</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17.245354</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1.01754</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14.867038</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0.995218</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15.704305</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Comerţ şi servicii pentru populaţie</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0.010255</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0.024961</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0.008921</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0.005405</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Construcţii</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851" w:type="dxa"/>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34" w:type="dxa"/>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0.000482</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Industrie alimentară</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0.01833</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0.48401</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0.025918</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0.494073</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0.024387</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0.474998</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0.02097</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0.421472</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Industrie extractivă</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0.000034</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0.000116</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0.000104</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Industrie metalurgică + c-ţii de maşini</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Invăţământ şi sănătate</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0.04928</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0.0878</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0.0943</w:t>
            </w:r>
            <w:r w:rsidRPr="004B269B">
              <w:rPr>
                <w:rFonts w:ascii="Arial" w:eastAsia="Times New Roman" w:hAnsi="Arial" w:cs="Arial"/>
                <w:sz w:val="18"/>
                <w:szCs w:val="18"/>
              </w:rPr>
              <w:lastRenderedPageBreak/>
              <w:t>98</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lastRenderedPageBreak/>
              <w:t>0.1075</w:t>
            </w:r>
            <w:r w:rsidRPr="004B269B">
              <w:rPr>
                <w:rFonts w:ascii="Arial" w:eastAsia="Times New Roman" w:hAnsi="Arial" w:cs="Arial"/>
                <w:sz w:val="18"/>
                <w:szCs w:val="18"/>
              </w:rPr>
              <w:lastRenderedPageBreak/>
              <w:t>31</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lastRenderedPageBreak/>
              <w:t>0.067554</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0.085241</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0.059688</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0.072895</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Zootehnie</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0.00298</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0.002926</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0.011733</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0.010417</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TOTAL</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1.818321</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21.832998</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1.880313</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17.886085</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1.128772</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15.531445</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1.103536</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16.355032</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w:t>
            </w:r>
          </w:p>
        </w:tc>
      </w:tr>
      <w:tr w:rsidR="004B269B" w:rsidRPr="004B269B" w:rsidTr="004B269B">
        <w:trPr>
          <w:trHeight w:val="70"/>
        </w:trPr>
        <w:tc>
          <w:tcPr>
            <w:tcW w:w="1167" w:type="dxa"/>
            <w:vMerge w:val="restart"/>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Materii in suspensii</w:t>
            </w: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Administraţie publică</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0.332454</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0.04064</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0.09072</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0.241755</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0.323478</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0.480855</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0.153011</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0.04897</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Alte activităţi</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2.385332</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0.152884</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0.100824</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0.525613</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Captare şi prelucrare apă pt. alimentare</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12.815205</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297.696058</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28.373716</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349.873414</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7.521971</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252.006639</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8.205222</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283.610834</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Comerţ şi servicii pentru populaţie</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0.559224</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0.588181</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0.70945</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0.517511</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Construcţii</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851" w:type="dxa"/>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34" w:type="dxa"/>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0.010176</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Industrie alimentară</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0.28915</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1.278825</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0.735529</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0.261916</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0.652238</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0.506581</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0.38916</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1.175714</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Industrie extractivă</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0.003183</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0.002862</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0.002433</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315"/>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Industrie metalurgică + c-ţii de maşini</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0.18</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1.082038</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0.06</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5.134416</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2.180676</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2.661415</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Invăţământ şi sănătate</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0.284</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1.200567</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0.567219</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0.738645</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0.91268</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1.990472</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1.528</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0.600743</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Zootehnie</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0.01868</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0.032735</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0.016379</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0.046702</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137"/>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TOTAL</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13.900809</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304.264547</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29.827184</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357.026808</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9.410367</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257.994309</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10.275393</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289.197678</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w:t>
            </w:r>
          </w:p>
        </w:tc>
      </w:tr>
      <w:tr w:rsidR="004B269B" w:rsidRPr="004B269B" w:rsidTr="004B269B">
        <w:trPr>
          <w:trHeight w:val="70"/>
        </w:trPr>
        <w:tc>
          <w:tcPr>
            <w:tcW w:w="1167" w:type="dxa"/>
            <w:vMerge w:val="restart"/>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Detergenţi sintetici</w:t>
            </w: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Administraţie publică</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0.001013</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0.00065</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0.00036</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0.001793</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0.000566</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0.004423</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0.001657</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0.000507</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Alte activităţi</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0.002691</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0.000817</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0.000684</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0.008076</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Captare şi prelucrare apă pt. alimentare</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0.129698</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15.422781</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0.345469</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16.581535</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0.151155</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10.463333</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0.141025</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13.350927</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Comerţ şi servicii pentru populaţie</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0.009326</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0.03653</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0.004378</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0.018577</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Construcţii</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851" w:type="dxa"/>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34" w:type="dxa"/>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0.000061</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Industrie alimentară</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0.00239</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0.007446</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0.00687</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0.003334</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0.003748</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0.004667</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0.003709</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0.010485</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Industrie extractivă</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0.00014</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0.000015</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0.000034</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166"/>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Industrie metalurgică + c-ţii de maşini</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0.0015</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0.0005</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0.021125</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Invăţământ şi sănătate</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0.008392</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0.060269</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0.000763</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0.05411</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0.001275</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0.014649</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0.021384</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0.00579</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Zootehnie</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0.000193</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0.0002</w:t>
            </w:r>
            <w:r w:rsidRPr="004B269B">
              <w:rPr>
                <w:rFonts w:ascii="Arial" w:eastAsia="Times New Roman" w:hAnsi="Arial" w:cs="Arial"/>
                <w:sz w:val="18"/>
                <w:szCs w:val="18"/>
              </w:rPr>
              <w:lastRenderedPageBreak/>
              <w:t>14</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lastRenderedPageBreak/>
              <w:t> </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0.000121</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0.000315</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TOTAL</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0.142993</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15.503496</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0.353962</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16.699473</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0.156744</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10.492289</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0.167775</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13.394738</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w:t>
            </w:r>
          </w:p>
        </w:tc>
      </w:tr>
      <w:tr w:rsidR="004B269B" w:rsidRPr="004B269B" w:rsidTr="004B269B">
        <w:trPr>
          <w:trHeight w:val="70"/>
        </w:trPr>
        <w:tc>
          <w:tcPr>
            <w:tcW w:w="1167" w:type="dxa"/>
            <w:vMerge w:val="restart"/>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Substanţe extractibile</w:t>
            </w: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Administraţie publică</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0.100051</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0.030172</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0.02415</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0.0876</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0.066759</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0.097508</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0.095235</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0.057732</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Alte activităţi</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0.201829</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0.109743</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0.100082</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0.198023</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Captare şi prelucrare apă pt. alimentare</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6.031934</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79.415471</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9.784809</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73.496238</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6.498299</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66.236697</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10.726724</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98.938501</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Comerţ şi servicii pentru populaţie</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0.157203</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0.136981</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0.172381</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0.109128</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Construcţii</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851" w:type="dxa"/>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34" w:type="dxa"/>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0.003805</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Industrie alimentară</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0.2025</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0.460876</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0.226653</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0.239953</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0.215253</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0.482079</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0.110742</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1.067376</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Industrie extractivă</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0.002076</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0.001431</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0.002385</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Industrie metalurgică + c-ţii de maşini</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0.06</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1.059305</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0.02</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1.568931</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2.196594</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7.430955</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Invăţământ şi sănătate</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0.0788</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0.390084</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0.07989</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0.255163</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0.294927</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0.285929</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0.216</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0.259025</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rPr>
                <w:rFonts w:ascii="Arial" w:eastAsia="Times New Roman" w:hAnsi="Arial" w:cs="Arial"/>
                <w:sz w:val="18"/>
                <w:szCs w:val="18"/>
              </w:rPr>
            </w:pPr>
            <w:r w:rsidRPr="004B269B">
              <w:rPr>
                <w:rFonts w:ascii="Arial" w:eastAsia="Times New Roman" w:hAnsi="Arial" w:cs="Arial"/>
                <w:sz w:val="18"/>
                <w:szCs w:val="18"/>
              </w:rPr>
              <w:t>Zootehnie</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0.01276</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0.015588</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0.017425</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 </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0.02458</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sz w:val="18"/>
                <w:szCs w:val="18"/>
              </w:rPr>
            </w:pPr>
            <w:r w:rsidRPr="004B269B">
              <w:rPr>
                <w:rFonts w:ascii="Arial" w:eastAsia="Times New Roman" w:hAnsi="Arial" w:cs="Arial"/>
                <w:sz w:val="18"/>
                <w:szCs w:val="18"/>
              </w:rPr>
              <w:t>-*</w:t>
            </w:r>
          </w:p>
        </w:tc>
      </w:tr>
      <w:tr w:rsidR="004B269B" w:rsidRPr="004B269B" w:rsidTr="004B269B">
        <w:trPr>
          <w:trHeight w:val="70"/>
        </w:trPr>
        <w:tc>
          <w:tcPr>
            <w:tcW w:w="1167" w:type="dxa"/>
            <w:vMerge/>
            <w:vAlign w:val="center"/>
            <w:hideMark/>
          </w:tcPr>
          <w:p w:rsidR="004B269B" w:rsidRPr="004B269B" w:rsidRDefault="004B269B" w:rsidP="004B269B">
            <w:pPr>
              <w:spacing w:after="0" w:line="240" w:lineRule="auto"/>
              <w:rPr>
                <w:rFonts w:ascii="Arial" w:eastAsia="Times New Roman" w:hAnsi="Arial" w:cs="Arial"/>
                <w:b/>
                <w:bCs/>
                <w:sz w:val="18"/>
                <w:szCs w:val="18"/>
              </w:rPr>
            </w:pPr>
          </w:p>
        </w:tc>
        <w:tc>
          <w:tcPr>
            <w:tcW w:w="2109" w:type="dxa"/>
            <w:shd w:val="clear" w:color="auto" w:fill="auto"/>
            <w:noWrap/>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TOTAL</w:t>
            </w:r>
          </w:p>
        </w:tc>
        <w:tc>
          <w:tcPr>
            <w:tcW w:w="115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6.473285</w:t>
            </w:r>
          </w:p>
        </w:tc>
        <w:tc>
          <w:tcPr>
            <w:tcW w:w="1167"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81.729776</w:t>
            </w:r>
          </w:p>
        </w:tc>
        <w:tc>
          <w:tcPr>
            <w:tcW w:w="799"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10.135502</w:t>
            </w:r>
          </w:p>
        </w:tc>
        <w:tc>
          <w:tcPr>
            <w:tcW w:w="851"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75.911628</w:t>
            </w:r>
          </w:p>
        </w:tc>
        <w:tc>
          <w:tcPr>
            <w:tcW w:w="992"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7.075238</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69.59108</w:t>
            </w:r>
          </w:p>
        </w:tc>
        <w:tc>
          <w:tcPr>
            <w:tcW w:w="1134"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11.148701</w:t>
            </w:r>
          </w:p>
        </w:tc>
        <w:tc>
          <w:tcPr>
            <w:tcW w:w="1276" w:type="dxa"/>
            <w:shd w:val="clear" w:color="auto" w:fill="auto"/>
            <w:vAlign w:val="center"/>
            <w:hideMark/>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108.089125</w:t>
            </w:r>
          </w:p>
        </w:tc>
        <w:tc>
          <w:tcPr>
            <w:tcW w:w="708" w:type="dxa"/>
            <w:gridSpan w:val="2"/>
            <w:shd w:val="clear" w:color="auto" w:fill="auto"/>
            <w:vAlign w:val="center"/>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w:t>
            </w:r>
          </w:p>
        </w:tc>
        <w:tc>
          <w:tcPr>
            <w:tcW w:w="851" w:type="dxa"/>
            <w:shd w:val="clear" w:color="auto" w:fill="auto"/>
            <w:vAlign w:val="center"/>
          </w:tcPr>
          <w:p w:rsidR="004B269B" w:rsidRPr="004B269B" w:rsidRDefault="004B269B" w:rsidP="004B269B">
            <w:pPr>
              <w:spacing w:after="0" w:line="240" w:lineRule="auto"/>
              <w:jc w:val="center"/>
              <w:rPr>
                <w:rFonts w:ascii="Arial" w:eastAsia="Times New Roman" w:hAnsi="Arial" w:cs="Arial"/>
                <w:b/>
                <w:bCs/>
                <w:sz w:val="18"/>
                <w:szCs w:val="18"/>
              </w:rPr>
            </w:pPr>
            <w:r w:rsidRPr="004B269B">
              <w:rPr>
                <w:rFonts w:ascii="Arial" w:eastAsia="Times New Roman" w:hAnsi="Arial" w:cs="Arial"/>
                <w:b/>
                <w:bCs/>
                <w:sz w:val="18"/>
                <w:szCs w:val="18"/>
              </w:rPr>
              <w:t>-*</w:t>
            </w:r>
          </w:p>
        </w:tc>
      </w:tr>
    </w:tbl>
    <w:p w:rsidR="004B269B" w:rsidRPr="004B269B" w:rsidRDefault="004B269B" w:rsidP="004B269B">
      <w:pPr>
        <w:spacing w:after="0" w:line="240" w:lineRule="auto"/>
        <w:jc w:val="center"/>
        <w:rPr>
          <w:rFonts w:ascii="Arial" w:eastAsia="SimSun" w:hAnsi="Arial" w:cs="Arial"/>
          <w:sz w:val="20"/>
          <w:szCs w:val="20"/>
          <w:lang w:val="ro-RO"/>
        </w:rPr>
      </w:pPr>
      <w:r w:rsidRPr="004B269B">
        <w:rPr>
          <w:rFonts w:ascii="Arial" w:eastAsia="SimSun" w:hAnsi="Arial" w:cs="Arial"/>
          <w:sz w:val="20"/>
          <w:szCs w:val="20"/>
          <w:lang w:val="ro-RO"/>
        </w:rPr>
        <w:t>(Sursa: Administraţia “Apele Române”- Administraţia Bazinală de Apă Prut – Bârlad)</w:t>
      </w:r>
    </w:p>
    <w:p w:rsidR="004B269B" w:rsidRPr="004B269B" w:rsidRDefault="004B269B" w:rsidP="004B269B">
      <w:pPr>
        <w:autoSpaceDE w:val="0"/>
        <w:autoSpaceDN w:val="0"/>
        <w:adjustRightInd w:val="0"/>
        <w:spacing w:after="0" w:line="240" w:lineRule="auto"/>
        <w:ind w:firstLine="708"/>
        <w:jc w:val="both"/>
        <w:rPr>
          <w:rFonts w:ascii="Times New Roman" w:eastAsia="SimSun" w:hAnsi="Times New Roman" w:cs="Times New Roman"/>
          <w:b/>
          <w:bCs/>
          <w:lang w:val="en-GB"/>
        </w:rPr>
      </w:pPr>
    </w:p>
    <w:p w:rsidR="004B269B" w:rsidRPr="004B269B" w:rsidRDefault="004B269B" w:rsidP="004B269B">
      <w:pPr>
        <w:autoSpaceDE w:val="0"/>
        <w:autoSpaceDN w:val="0"/>
        <w:adjustRightInd w:val="0"/>
        <w:spacing w:after="0" w:line="240" w:lineRule="auto"/>
        <w:ind w:firstLine="708"/>
        <w:rPr>
          <w:rFonts w:ascii="Arial" w:eastAsia="SimSun" w:hAnsi="Arial" w:cs="Arial"/>
          <w:bCs/>
          <w:sz w:val="24"/>
          <w:szCs w:val="24"/>
          <w:lang w:val="en-GB"/>
        </w:rPr>
        <w:sectPr w:rsidR="004B269B" w:rsidRPr="004B269B" w:rsidSect="00444864">
          <w:pgSz w:w="15840" w:h="12240" w:orient="landscape"/>
          <w:pgMar w:top="1134" w:right="1134" w:bottom="1418" w:left="1134" w:header="720" w:footer="720" w:gutter="0"/>
          <w:pgNumType w:start="63"/>
          <w:cols w:space="720"/>
          <w:docGrid w:linePitch="360"/>
        </w:sectPr>
      </w:pPr>
      <w:r w:rsidRPr="004B269B">
        <w:rPr>
          <w:rFonts w:ascii="Arial" w:eastAsia="SimSun" w:hAnsi="Arial" w:cs="Arial"/>
          <w:bCs/>
          <w:sz w:val="24"/>
          <w:szCs w:val="24"/>
          <w:lang w:val="en-GB"/>
        </w:rPr>
        <w:t>* Nu deţinem date şi informaţii referitoare la încărcarea cu poluanţi evacuaţi în receptorii naturali pe tipuri de unităţi, în judeţul Vaslui, în cursul anului 2015.</w:t>
      </w:r>
    </w:p>
    <w:p w:rsidR="004B269B" w:rsidRPr="004B269B" w:rsidRDefault="004B269B" w:rsidP="004B269B">
      <w:pPr>
        <w:autoSpaceDE w:val="0"/>
        <w:autoSpaceDN w:val="0"/>
        <w:adjustRightInd w:val="0"/>
        <w:spacing w:after="0" w:line="240" w:lineRule="auto"/>
        <w:ind w:firstLine="708"/>
        <w:jc w:val="both"/>
        <w:rPr>
          <w:rFonts w:ascii="Times New Roman" w:eastAsia="SimSun" w:hAnsi="Times New Roman" w:cs="Times New Roman"/>
          <w:b/>
          <w:bCs/>
          <w:lang w:val="en-GB"/>
        </w:rPr>
      </w:pPr>
    </w:p>
    <w:p w:rsidR="004B269B" w:rsidRPr="004B269B" w:rsidRDefault="004B269B" w:rsidP="004B269B">
      <w:pPr>
        <w:autoSpaceDE w:val="0"/>
        <w:autoSpaceDN w:val="0"/>
        <w:adjustRightInd w:val="0"/>
        <w:spacing w:after="0" w:line="240" w:lineRule="auto"/>
        <w:ind w:firstLine="708"/>
        <w:jc w:val="both"/>
        <w:rPr>
          <w:rFonts w:ascii="Arial" w:eastAsia="SimSun" w:hAnsi="Arial" w:cs="Arial"/>
          <w:b/>
          <w:bCs/>
          <w:i/>
          <w:sz w:val="24"/>
          <w:szCs w:val="24"/>
          <w:lang w:val="en-GB"/>
        </w:rPr>
      </w:pPr>
      <w:r w:rsidRPr="004B269B">
        <w:rPr>
          <w:rFonts w:ascii="Arial" w:eastAsia="SimSun" w:hAnsi="Arial" w:cs="Arial"/>
          <w:b/>
          <w:bCs/>
          <w:i/>
          <w:sz w:val="24"/>
          <w:szCs w:val="24"/>
          <w:lang w:val="en-GB"/>
        </w:rPr>
        <w:t>II.2.3. Tendinţe şi prognoze privind calitatea apei</w:t>
      </w:r>
    </w:p>
    <w:p w:rsidR="004B269B" w:rsidRPr="004B269B" w:rsidRDefault="004B269B" w:rsidP="004B269B">
      <w:pPr>
        <w:autoSpaceDE w:val="0"/>
        <w:autoSpaceDN w:val="0"/>
        <w:adjustRightInd w:val="0"/>
        <w:spacing w:after="0" w:line="240" w:lineRule="auto"/>
        <w:ind w:firstLine="708"/>
        <w:jc w:val="both"/>
        <w:rPr>
          <w:rFonts w:ascii="Arial" w:eastAsia="SimSun" w:hAnsi="Arial" w:cs="Arial"/>
          <w:b/>
          <w:bCs/>
          <w:sz w:val="24"/>
          <w:szCs w:val="24"/>
          <w:lang w:val="en-GB"/>
        </w:rPr>
      </w:pPr>
    </w:p>
    <w:p w:rsidR="004B269B" w:rsidRPr="004B269B" w:rsidRDefault="004B269B" w:rsidP="004B269B">
      <w:pPr>
        <w:autoSpaceDE w:val="0"/>
        <w:autoSpaceDN w:val="0"/>
        <w:adjustRightInd w:val="0"/>
        <w:spacing w:after="0" w:line="240" w:lineRule="auto"/>
        <w:ind w:firstLine="567"/>
        <w:jc w:val="both"/>
        <w:rPr>
          <w:rFonts w:ascii="Arial" w:eastAsia="SimSun" w:hAnsi="Arial" w:cs="Arial"/>
          <w:b/>
          <w:bCs/>
          <w:sz w:val="24"/>
          <w:szCs w:val="24"/>
          <w:lang w:val="en-GB"/>
        </w:rPr>
      </w:pPr>
      <w:r w:rsidRPr="004B269B">
        <w:rPr>
          <w:rFonts w:ascii="Arial" w:eastAsia="SimSun" w:hAnsi="Arial" w:cs="Arial"/>
          <w:sz w:val="24"/>
          <w:szCs w:val="24"/>
          <w:lang w:val="en-GB"/>
        </w:rPr>
        <w:t xml:space="preserve">Informaţiile referitoare la rezultatele aplicării modelelor de prognoză a calităţii apelor (WaQ şi QUAL2K) la nivelul spaţiului hidrografic Prut-Bârlad se obţine prin </w:t>
      </w:r>
      <w:r w:rsidRPr="004B269B">
        <w:rPr>
          <w:rFonts w:ascii="Arial" w:eastAsia="SimSun" w:hAnsi="Arial" w:cs="Arial"/>
          <w:i/>
          <w:iCs/>
          <w:sz w:val="24"/>
          <w:szCs w:val="24"/>
          <w:lang w:val="en-GB"/>
        </w:rPr>
        <w:t>„scenariul de bază”</w:t>
      </w:r>
      <w:r w:rsidRPr="004B269B">
        <w:rPr>
          <w:rFonts w:ascii="Arial" w:eastAsia="SimSun" w:hAnsi="Arial" w:cs="Arial"/>
          <w:sz w:val="24"/>
          <w:szCs w:val="24"/>
          <w:lang w:val="en-GB"/>
        </w:rPr>
        <w:t xml:space="preserve">, deoarece prin aplicarea măsurilor de bază luate pentru implementarea Directivelor europene din domeniul calităţii apelor, s-au atins obiectivele de stare bună sau potenţial ecologic bun şi nu a mai  fost necesară aplicarea </w:t>
      </w:r>
      <w:r w:rsidRPr="004B269B">
        <w:rPr>
          <w:rFonts w:ascii="Arial" w:eastAsia="SimSun" w:hAnsi="Arial" w:cs="Arial"/>
          <w:i/>
          <w:iCs/>
          <w:sz w:val="24"/>
          <w:szCs w:val="24"/>
          <w:lang w:val="en-GB"/>
        </w:rPr>
        <w:t xml:space="preserve">„scenariului optim”. </w:t>
      </w:r>
      <w:r w:rsidRPr="004B269B">
        <w:rPr>
          <w:rFonts w:ascii="Arial" w:eastAsia="SimSun" w:hAnsi="Arial" w:cs="Arial"/>
          <w:sz w:val="24"/>
          <w:szCs w:val="24"/>
          <w:lang w:val="en-GB"/>
        </w:rPr>
        <w:t>Modelul WaQ</w:t>
      </w:r>
      <w:r w:rsidRPr="004B269B">
        <w:rPr>
          <w:rFonts w:ascii="Arial" w:eastAsia="SimSun" w:hAnsi="Arial" w:cs="Arial"/>
          <w:b/>
          <w:bCs/>
          <w:sz w:val="24"/>
          <w:szCs w:val="24"/>
          <w:lang w:val="en-GB"/>
        </w:rPr>
        <w:t xml:space="preserve"> </w:t>
      </w:r>
      <w:r w:rsidRPr="004B269B">
        <w:rPr>
          <w:rFonts w:ascii="Arial" w:eastAsia="SimSun" w:hAnsi="Arial" w:cs="Arial"/>
          <w:sz w:val="24"/>
          <w:szCs w:val="24"/>
          <w:lang w:val="en-GB"/>
        </w:rPr>
        <w:t>prognozează calitatea apei din punct de vedere al azotului şi fosforului. Modelul aplică ecuaţia de bilanţ de încărcări (emisii şi imisii) luând în considerare atât sursele de poluare punctuale, difuze, cât şi fondul natural. Presiunile difuze datorate activităţilor agricole sunt greu de cuantificat. Presiunile agricole difuze afectează calitatea apelor de suprafaţă dar, mai ales, calitatea apelor subterane. Prin aplicarea modelelor matematice se pot estima cantităţile de poluanţi emise de sursele difuze de poluare.</w:t>
      </w:r>
    </w:p>
    <w:p w:rsidR="004B269B" w:rsidRPr="004B269B" w:rsidRDefault="004B269B" w:rsidP="004B269B">
      <w:pPr>
        <w:widowControl w:val="0"/>
        <w:spacing w:after="0" w:line="240" w:lineRule="auto"/>
        <w:ind w:firstLine="567"/>
        <w:jc w:val="both"/>
        <w:rPr>
          <w:rFonts w:ascii="Arial" w:eastAsia="SimSun" w:hAnsi="Arial" w:cs="Arial"/>
          <w:sz w:val="24"/>
          <w:szCs w:val="24"/>
          <w:lang w:val="en-GB"/>
        </w:rPr>
      </w:pPr>
      <w:r w:rsidRPr="004B269B">
        <w:rPr>
          <w:rFonts w:ascii="Arial" w:eastAsia="SimSun" w:hAnsi="Arial" w:cs="Arial"/>
          <w:sz w:val="24"/>
          <w:szCs w:val="24"/>
          <w:lang w:val="en-GB"/>
        </w:rPr>
        <w:t>În cazul surselor de poluare difuze estimarea încărcărilor cu poluanţi a apelor este mai dificilă decât în cazul surselor punctiforme, având în vedere modul diferit de producere a poluării. Pe lângă emisiile punctiforme, se mai consideră următoarele moduri (căi) de producere a poluării difuze:</w:t>
      </w:r>
      <w:r w:rsidRPr="004B269B">
        <w:rPr>
          <w:rFonts w:ascii="Arial" w:eastAsia="SimSun" w:hAnsi="Arial" w:cs="Arial"/>
          <w:sz w:val="24"/>
          <w:szCs w:val="24"/>
        </w:rPr>
        <w:t xml:space="preserve"> depuneri din atmosferă, scurgerea de suprafaţă, scurgerea din reţelele de drenaje, eroziunea solului, scurgerea subterană,</w:t>
      </w:r>
      <w:r w:rsidRPr="004B269B">
        <w:rPr>
          <w:rFonts w:ascii="Arial" w:eastAsia="SimSun" w:hAnsi="Arial" w:cs="Arial"/>
          <w:sz w:val="24"/>
          <w:szCs w:val="24"/>
          <w:lang w:val="it-IT"/>
        </w:rPr>
        <w:t xml:space="preserve"> scurgerea din zone impermeabile orăşeneşti.</w:t>
      </w:r>
    </w:p>
    <w:p w:rsidR="004B269B" w:rsidRPr="004B269B" w:rsidRDefault="004B269B" w:rsidP="004B269B">
      <w:pPr>
        <w:autoSpaceDE w:val="0"/>
        <w:autoSpaceDN w:val="0"/>
        <w:adjustRightInd w:val="0"/>
        <w:spacing w:after="0" w:line="240" w:lineRule="auto"/>
        <w:rPr>
          <w:rFonts w:ascii="Arial" w:eastAsia="SimSun" w:hAnsi="Arial" w:cs="Arial"/>
          <w:sz w:val="24"/>
          <w:szCs w:val="24"/>
          <w:lang w:val="en-GB"/>
        </w:rPr>
      </w:pPr>
      <w:r w:rsidRPr="004B269B">
        <w:rPr>
          <w:rFonts w:ascii="Arial" w:eastAsia="SimSun" w:hAnsi="Arial" w:cs="Arial"/>
          <w:sz w:val="24"/>
          <w:szCs w:val="24"/>
          <w:lang w:val="it-IT"/>
        </w:rPr>
        <w:t>În figurile următoare se prezintă contribuţia modurilor de producere a poluării difuze cu azot şi fosfor având în vedere căile prezentate mai sus.</w:t>
      </w:r>
    </w:p>
    <w:p w:rsidR="004B269B" w:rsidRPr="004B269B" w:rsidRDefault="004B269B" w:rsidP="004B269B">
      <w:pPr>
        <w:spacing w:after="0"/>
        <w:ind w:firstLine="720"/>
        <w:jc w:val="both"/>
        <w:rPr>
          <w:rFonts w:ascii="Arial" w:eastAsia="Times New Roman" w:hAnsi="Arial" w:cs="Arial"/>
          <w:sz w:val="24"/>
          <w:szCs w:val="24"/>
          <w:lang w:val="it-IT"/>
        </w:rPr>
      </w:pPr>
    </w:p>
    <w:p w:rsidR="004B269B" w:rsidRPr="004B269B" w:rsidRDefault="004B269B" w:rsidP="004B269B">
      <w:pPr>
        <w:spacing w:after="0"/>
        <w:jc w:val="center"/>
        <w:rPr>
          <w:rFonts w:ascii="Arial" w:eastAsia="Times New Roman" w:hAnsi="Arial" w:cs="Arial"/>
          <w:sz w:val="24"/>
          <w:szCs w:val="24"/>
        </w:rPr>
      </w:pPr>
      <w:r>
        <w:rPr>
          <w:rFonts w:ascii="Arial" w:eastAsia="Times New Roman" w:hAnsi="Arial" w:cs="Arial"/>
          <w:noProof/>
          <w:sz w:val="24"/>
          <w:szCs w:val="24"/>
        </w:rPr>
        <w:drawing>
          <wp:inline distT="0" distB="0" distL="0" distR="0">
            <wp:extent cx="3419475" cy="218122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19475" cy="2181225"/>
                    </a:xfrm>
                    <a:prstGeom prst="rect">
                      <a:avLst/>
                    </a:prstGeom>
                    <a:noFill/>
                    <a:ln>
                      <a:noFill/>
                    </a:ln>
                  </pic:spPr>
                </pic:pic>
              </a:graphicData>
            </a:graphic>
          </wp:inline>
        </w:drawing>
      </w:r>
    </w:p>
    <w:p w:rsidR="004B269B" w:rsidRPr="004B269B" w:rsidRDefault="004B269B" w:rsidP="004B269B">
      <w:pPr>
        <w:spacing w:after="0" w:line="240" w:lineRule="auto"/>
        <w:jc w:val="center"/>
        <w:rPr>
          <w:rFonts w:ascii="Arial" w:eastAsia="Times New Roman" w:hAnsi="Arial" w:cs="Arial"/>
          <w:b/>
          <w:bCs/>
          <w:i/>
          <w:iCs/>
          <w:sz w:val="24"/>
          <w:szCs w:val="24"/>
          <w:lang w:val="it-IT"/>
        </w:rPr>
      </w:pPr>
      <w:r w:rsidRPr="004B269B">
        <w:rPr>
          <w:rFonts w:ascii="Arial" w:eastAsia="Times New Roman" w:hAnsi="Arial" w:cs="Arial"/>
          <w:bCs/>
          <w:sz w:val="24"/>
          <w:szCs w:val="24"/>
          <w:lang w:val="ro-RO"/>
        </w:rPr>
        <w:t xml:space="preserve">Figura </w:t>
      </w:r>
      <w:r w:rsidRPr="004B269B">
        <w:rPr>
          <w:rFonts w:ascii="Arial" w:eastAsia="Times New Roman" w:hAnsi="Arial" w:cs="Arial"/>
          <w:sz w:val="24"/>
          <w:szCs w:val="24"/>
          <w:lang w:val="ro-RO"/>
        </w:rPr>
        <w:t>II</w:t>
      </w:r>
      <w:r w:rsidRPr="004B269B">
        <w:rPr>
          <w:rFonts w:ascii="Arial" w:eastAsia="Times New Roman" w:hAnsi="Arial" w:cs="Arial"/>
          <w:bCs/>
          <w:sz w:val="24"/>
          <w:szCs w:val="24"/>
          <w:lang w:val="ro-RO"/>
        </w:rPr>
        <w:t xml:space="preserve">.12. </w:t>
      </w:r>
      <w:r w:rsidRPr="004B269B">
        <w:rPr>
          <w:rFonts w:ascii="Arial" w:eastAsia="Times New Roman" w:hAnsi="Arial" w:cs="Arial"/>
          <w:b/>
          <w:bCs/>
          <w:i/>
          <w:iCs/>
          <w:sz w:val="24"/>
          <w:szCs w:val="24"/>
          <w:lang w:val="it-IT"/>
        </w:rPr>
        <w:t>Moduri (căi) de producere a poluării difuze cu azot (%)</w:t>
      </w:r>
    </w:p>
    <w:p w:rsidR="004B269B" w:rsidRPr="004B269B" w:rsidRDefault="004B269B" w:rsidP="004B269B">
      <w:pPr>
        <w:tabs>
          <w:tab w:val="left" w:pos="1170"/>
        </w:tabs>
        <w:spacing w:after="0" w:line="240" w:lineRule="auto"/>
        <w:jc w:val="center"/>
        <w:rPr>
          <w:rFonts w:ascii="Arial" w:eastAsia="Times New Roman" w:hAnsi="Arial" w:cs="Arial"/>
          <w:sz w:val="20"/>
          <w:szCs w:val="20"/>
          <w:lang w:val="it-IT"/>
        </w:rPr>
      </w:pPr>
      <w:r w:rsidRPr="004B269B">
        <w:rPr>
          <w:rFonts w:ascii="Arial" w:eastAsia="Times New Roman" w:hAnsi="Arial" w:cs="Arial"/>
          <w:sz w:val="20"/>
          <w:szCs w:val="20"/>
          <w:lang w:val="it-IT"/>
        </w:rPr>
        <w:t>1.depuneri din atmosferă;2.scurgerea de suprafaţă;3.scurgerea din reţelele de drenaje;4.eroziunea solului;5.scurgerea subterană;</w:t>
      </w:r>
    </w:p>
    <w:p w:rsidR="004B269B" w:rsidRPr="004B269B" w:rsidRDefault="004B269B" w:rsidP="004B269B">
      <w:pPr>
        <w:tabs>
          <w:tab w:val="left" w:pos="1170"/>
        </w:tabs>
        <w:spacing w:after="0" w:line="240" w:lineRule="auto"/>
        <w:jc w:val="center"/>
        <w:rPr>
          <w:rFonts w:ascii="Arial" w:eastAsia="Times New Roman" w:hAnsi="Arial" w:cs="Arial"/>
          <w:sz w:val="20"/>
          <w:szCs w:val="20"/>
          <w:lang w:val="it-IT"/>
        </w:rPr>
      </w:pPr>
      <w:r w:rsidRPr="004B269B">
        <w:rPr>
          <w:rFonts w:ascii="Arial" w:eastAsia="Times New Roman" w:hAnsi="Arial" w:cs="Arial"/>
          <w:sz w:val="20"/>
          <w:szCs w:val="20"/>
          <w:lang w:val="it-IT"/>
        </w:rPr>
        <w:t>6.scurgerea din zone impermeabile orăşeneşti.</w:t>
      </w:r>
    </w:p>
    <w:p w:rsidR="004B269B" w:rsidRPr="004B269B" w:rsidRDefault="004B269B" w:rsidP="004B269B">
      <w:pPr>
        <w:tabs>
          <w:tab w:val="left" w:pos="1170"/>
        </w:tabs>
        <w:spacing w:after="0" w:line="240" w:lineRule="auto"/>
        <w:jc w:val="both"/>
        <w:rPr>
          <w:rFonts w:ascii="Arial" w:eastAsia="Times New Roman" w:hAnsi="Arial" w:cs="Arial"/>
          <w:sz w:val="24"/>
          <w:szCs w:val="24"/>
          <w:lang w:val="it-IT"/>
        </w:rPr>
      </w:pPr>
    </w:p>
    <w:p w:rsidR="004B269B" w:rsidRPr="004B269B" w:rsidRDefault="004B269B" w:rsidP="004B269B">
      <w:pPr>
        <w:spacing w:after="0" w:line="240" w:lineRule="auto"/>
        <w:ind w:firstLine="720"/>
        <w:jc w:val="both"/>
        <w:rPr>
          <w:rFonts w:ascii="Arial" w:eastAsia="Times New Roman" w:hAnsi="Arial" w:cs="Arial"/>
          <w:sz w:val="24"/>
          <w:szCs w:val="24"/>
          <w:lang w:val="it-IT"/>
        </w:rPr>
      </w:pPr>
      <w:r w:rsidRPr="004B269B">
        <w:rPr>
          <w:rFonts w:ascii="Arial" w:eastAsia="Times New Roman" w:hAnsi="Arial" w:cs="Arial"/>
          <w:sz w:val="24"/>
          <w:szCs w:val="24"/>
          <w:lang w:val="it-IT"/>
        </w:rPr>
        <w:t>Scurgerea subterană reprezintă principala cale de emisie difuză pentru azot, iar scurgerea din zone impermeabile orăşeneşti are contribuţia cea mai mare la emisia difuză de fosfor.</w:t>
      </w:r>
    </w:p>
    <w:p w:rsidR="004B269B" w:rsidRPr="004B269B" w:rsidRDefault="004B269B" w:rsidP="004B269B">
      <w:pPr>
        <w:spacing w:after="0" w:line="240" w:lineRule="auto"/>
        <w:ind w:firstLine="720"/>
        <w:jc w:val="both"/>
        <w:rPr>
          <w:rFonts w:ascii="Arial" w:eastAsia="Times New Roman" w:hAnsi="Arial" w:cs="Arial"/>
          <w:sz w:val="24"/>
          <w:szCs w:val="24"/>
          <w:lang w:val="es-ES"/>
        </w:rPr>
      </w:pPr>
      <w:r w:rsidRPr="004B269B">
        <w:rPr>
          <w:rFonts w:ascii="Arial" w:eastAsia="Times New Roman" w:hAnsi="Arial" w:cs="Arial"/>
          <w:sz w:val="24"/>
          <w:szCs w:val="24"/>
          <w:lang w:val="es-ES"/>
        </w:rPr>
        <w:t xml:space="preserve">De asemenea, modelul MONERIS cuantifică contribuţia diverselor categorii de surse de poluare la emisia totală de nutrienţi. Astfel pentru sursele difuze de poluare, </w:t>
      </w:r>
      <w:r w:rsidRPr="004B269B">
        <w:rPr>
          <w:rFonts w:ascii="Arial" w:eastAsia="Times New Roman" w:hAnsi="Arial" w:cs="Arial"/>
          <w:sz w:val="24"/>
          <w:szCs w:val="24"/>
          <w:lang w:val="es-ES"/>
        </w:rPr>
        <w:lastRenderedPageBreak/>
        <w:t>aceste categorii de surse sunt reprezentate de: agricultură, localităţi (aşezări umane), alte surse (ex. depunerea oxizilor de azot din atmosferă), precum şi fondul natural. De subliniat este faptul că modelul MONERIS ia în considerare toate sursele de poluare şi nu numai pe cele identificate ca fiind semnificative.</w:t>
      </w:r>
    </w:p>
    <w:p w:rsidR="004B269B" w:rsidRPr="004B269B" w:rsidRDefault="004B269B" w:rsidP="004B269B">
      <w:pPr>
        <w:spacing w:after="0"/>
        <w:jc w:val="center"/>
        <w:rPr>
          <w:rFonts w:ascii="Arial" w:eastAsia="Times New Roman" w:hAnsi="Arial" w:cs="Arial"/>
          <w:sz w:val="24"/>
          <w:szCs w:val="24"/>
        </w:rPr>
      </w:pPr>
      <w:r>
        <w:rPr>
          <w:rFonts w:ascii="Arial" w:eastAsia="Times New Roman" w:hAnsi="Arial" w:cs="Arial"/>
          <w:noProof/>
          <w:sz w:val="24"/>
          <w:szCs w:val="24"/>
        </w:rPr>
        <w:drawing>
          <wp:inline distT="0" distB="0" distL="0" distR="0">
            <wp:extent cx="3419475" cy="18288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19475" cy="1828800"/>
                    </a:xfrm>
                    <a:prstGeom prst="rect">
                      <a:avLst/>
                    </a:prstGeom>
                    <a:noFill/>
                    <a:ln>
                      <a:noFill/>
                    </a:ln>
                  </pic:spPr>
                </pic:pic>
              </a:graphicData>
            </a:graphic>
          </wp:inline>
        </w:drawing>
      </w:r>
    </w:p>
    <w:p w:rsidR="004B269B" w:rsidRPr="004B269B" w:rsidRDefault="004B269B" w:rsidP="004B269B">
      <w:pPr>
        <w:spacing w:after="0"/>
        <w:ind w:left="1404" w:firstLine="12"/>
        <w:jc w:val="both"/>
        <w:rPr>
          <w:rFonts w:ascii="Arial" w:eastAsia="Times New Roman" w:hAnsi="Arial" w:cs="Arial"/>
          <w:i/>
          <w:iCs/>
          <w:sz w:val="24"/>
          <w:szCs w:val="24"/>
        </w:rPr>
      </w:pPr>
      <w:r w:rsidRPr="004B269B">
        <w:rPr>
          <w:rFonts w:ascii="Arial" w:eastAsia="Times New Roman" w:hAnsi="Arial" w:cs="Arial"/>
          <w:b/>
          <w:bCs/>
          <w:i/>
          <w:iCs/>
          <w:sz w:val="24"/>
          <w:szCs w:val="24"/>
        </w:rPr>
        <w:t xml:space="preserve">       </w:t>
      </w:r>
      <w:r w:rsidRPr="004B269B">
        <w:rPr>
          <w:rFonts w:ascii="Arial" w:eastAsia="Times New Roman" w:hAnsi="Arial" w:cs="Arial"/>
          <w:bCs/>
          <w:sz w:val="24"/>
          <w:szCs w:val="24"/>
          <w:lang w:val="ro-RO"/>
        </w:rPr>
        <w:t xml:space="preserve">Figura </w:t>
      </w:r>
      <w:r w:rsidRPr="004B269B">
        <w:rPr>
          <w:rFonts w:ascii="Arial" w:eastAsia="Times New Roman" w:hAnsi="Arial" w:cs="Arial"/>
          <w:sz w:val="24"/>
          <w:szCs w:val="24"/>
          <w:lang w:val="ro-RO"/>
        </w:rPr>
        <w:t>II</w:t>
      </w:r>
      <w:r w:rsidRPr="004B269B">
        <w:rPr>
          <w:rFonts w:ascii="Arial" w:eastAsia="Times New Roman" w:hAnsi="Arial" w:cs="Arial"/>
          <w:bCs/>
          <w:sz w:val="24"/>
          <w:szCs w:val="24"/>
          <w:lang w:val="ro-RO"/>
        </w:rPr>
        <w:t>.13.</w:t>
      </w:r>
      <w:r w:rsidRPr="004B269B">
        <w:rPr>
          <w:rFonts w:ascii="Arial" w:eastAsia="Times New Roman" w:hAnsi="Arial" w:cs="Arial"/>
          <w:b/>
          <w:bCs/>
          <w:i/>
          <w:iCs/>
          <w:sz w:val="24"/>
          <w:szCs w:val="24"/>
        </w:rPr>
        <w:t xml:space="preserve"> Moduri (căi) de producere a poluării difuze cu fosfor (%)</w:t>
      </w:r>
    </w:p>
    <w:p w:rsidR="004B269B" w:rsidRPr="004B269B" w:rsidRDefault="004B269B" w:rsidP="004B269B">
      <w:pPr>
        <w:tabs>
          <w:tab w:val="left" w:pos="1170"/>
        </w:tabs>
        <w:spacing w:after="0"/>
        <w:jc w:val="center"/>
        <w:rPr>
          <w:rFonts w:ascii="Arial" w:eastAsia="Times New Roman" w:hAnsi="Arial" w:cs="Arial"/>
          <w:sz w:val="20"/>
          <w:szCs w:val="20"/>
          <w:lang w:val="it-IT"/>
        </w:rPr>
      </w:pPr>
      <w:r w:rsidRPr="004B269B">
        <w:rPr>
          <w:rFonts w:ascii="Arial" w:eastAsia="Times New Roman" w:hAnsi="Arial" w:cs="Arial"/>
          <w:sz w:val="20"/>
          <w:szCs w:val="20"/>
          <w:lang w:val="it-IT"/>
        </w:rPr>
        <w:t>1. depuneri din atmosferă;2.scurgerea de suprafaţă;3.scurgerea din reţelele de drenaje;4.eroziunea solului;5.scurgerea subterană;6.scurgerea din zone impermeabile orăşeneşti.</w:t>
      </w:r>
    </w:p>
    <w:p w:rsidR="004B269B" w:rsidRPr="004B269B" w:rsidRDefault="004B269B" w:rsidP="004B269B">
      <w:pPr>
        <w:spacing w:after="0" w:line="240" w:lineRule="auto"/>
        <w:ind w:firstLine="720"/>
        <w:jc w:val="both"/>
        <w:rPr>
          <w:rFonts w:ascii="Arial" w:eastAsia="Times New Roman" w:hAnsi="Arial" w:cs="Arial"/>
          <w:sz w:val="24"/>
          <w:szCs w:val="24"/>
        </w:rPr>
      </w:pPr>
    </w:p>
    <w:p w:rsidR="004B269B" w:rsidRPr="004B269B" w:rsidRDefault="004B269B" w:rsidP="004B269B">
      <w:pPr>
        <w:spacing w:after="0" w:line="240" w:lineRule="auto"/>
        <w:ind w:firstLine="720"/>
        <w:jc w:val="both"/>
        <w:rPr>
          <w:rFonts w:ascii="Arial" w:eastAsia="Times New Roman" w:hAnsi="Arial" w:cs="Arial"/>
          <w:sz w:val="24"/>
          <w:szCs w:val="24"/>
        </w:rPr>
      </w:pPr>
      <w:r w:rsidRPr="004B269B">
        <w:rPr>
          <w:rFonts w:ascii="Arial" w:eastAsia="Times New Roman" w:hAnsi="Arial" w:cs="Arial"/>
          <w:sz w:val="24"/>
          <w:szCs w:val="24"/>
        </w:rPr>
        <w:t>În următorul tabel se prezintă emisiile de azot şi fosfor din surse difuze de poluare, având în vedere aportul fiecarei categorii de surse de poluare. Emisia difuză medie specifică pe suprafaţa totală pentru azot este de cca. 4,76 kg N/ha, iar pentru fosfor este de 0,92 kg P/ha.</w:t>
      </w:r>
    </w:p>
    <w:p w:rsidR="004B269B" w:rsidRPr="004B269B" w:rsidRDefault="004B269B" w:rsidP="004B269B">
      <w:pPr>
        <w:spacing w:after="0" w:line="240" w:lineRule="auto"/>
        <w:ind w:firstLine="720"/>
        <w:jc w:val="both"/>
        <w:rPr>
          <w:rFonts w:ascii="Arial" w:eastAsia="Times New Roman" w:hAnsi="Arial" w:cs="Arial"/>
          <w:sz w:val="24"/>
          <w:szCs w:val="24"/>
        </w:rPr>
      </w:pPr>
    </w:p>
    <w:p w:rsidR="004B269B" w:rsidRPr="004B269B" w:rsidRDefault="004B269B" w:rsidP="004B269B">
      <w:pPr>
        <w:spacing w:after="0"/>
        <w:jc w:val="both"/>
        <w:rPr>
          <w:rFonts w:ascii="Arial" w:eastAsia="Times New Roman" w:hAnsi="Arial" w:cs="Arial"/>
          <w:sz w:val="24"/>
          <w:szCs w:val="24"/>
        </w:rPr>
      </w:pPr>
      <w:r w:rsidRPr="004B269B">
        <w:rPr>
          <w:rFonts w:ascii="Arial" w:eastAsia="Times New Roman" w:hAnsi="Arial" w:cs="Arial"/>
          <w:sz w:val="24"/>
          <w:szCs w:val="24"/>
          <w:lang w:val="ro-RO"/>
        </w:rPr>
        <w:t>Tabelul II.15. Emisii de azot şi fosfor din surse difuze de poluare</w:t>
      </w:r>
    </w:p>
    <w:tbl>
      <w:tblPr>
        <w:tblW w:w="10080" w:type="dxa"/>
        <w:jc w:val="center"/>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9"/>
        <w:gridCol w:w="3881"/>
        <w:gridCol w:w="3930"/>
      </w:tblGrid>
      <w:tr w:rsidR="004B269B" w:rsidRPr="004B269B" w:rsidTr="00080B9C">
        <w:trPr>
          <w:trHeight w:val="150"/>
          <w:jc w:val="center"/>
        </w:trPr>
        <w:tc>
          <w:tcPr>
            <w:tcW w:w="2269" w:type="dxa"/>
          </w:tcPr>
          <w:p w:rsidR="004B269B" w:rsidRPr="004B269B" w:rsidRDefault="004B269B" w:rsidP="004B269B">
            <w:pPr>
              <w:spacing w:after="0" w:line="240" w:lineRule="auto"/>
              <w:jc w:val="both"/>
              <w:rPr>
                <w:rFonts w:ascii="Arial" w:eastAsia="Times New Roman" w:hAnsi="Arial" w:cs="Arial"/>
                <w:b/>
                <w:bCs/>
                <w:sz w:val="24"/>
                <w:szCs w:val="24"/>
              </w:rPr>
            </w:pPr>
          </w:p>
        </w:tc>
        <w:tc>
          <w:tcPr>
            <w:tcW w:w="3881" w:type="dxa"/>
          </w:tcPr>
          <w:p w:rsidR="004B269B" w:rsidRPr="004B269B" w:rsidRDefault="004B269B" w:rsidP="004B269B">
            <w:pPr>
              <w:spacing w:after="0" w:line="240" w:lineRule="auto"/>
              <w:jc w:val="center"/>
              <w:rPr>
                <w:rFonts w:ascii="Arial" w:eastAsia="Times New Roman" w:hAnsi="Arial" w:cs="Arial"/>
                <w:b/>
                <w:bCs/>
                <w:sz w:val="24"/>
                <w:szCs w:val="24"/>
              </w:rPr>
            </w:pPr>
            <w:r w:rsidRPr="004B269B">
              <w:rPr>
                <w:rFonts w:ascii="Arial" w:eastAsia="Times New Roman" w:hAnsi="Arial" w:cs="Arial"/>
                <w:b/>
                <w:bCs/>
                <w:sz w:val="24"/>
                <w:szCs w:val="24"/>
              </w:rPr>
              <w:t>Emisii de N din surse difuze (%)</w:t>
            </w:r>
          </w:p>
        </w:tc>
        <w:tc>
          <w:tcPr>
            <w:tcW w:w="3930" w:type="dxa"/>
          </w:tcPr>
          <w:p w:rsidR="004B269B" w:rsidRPr="004B269B" w:rsidRDefault="004B269B" w:rsidP="004B269B">
            <w:pPr>
              <w:spacing w:after="0" w:line="240" w:lineRule="auto"/>
              <w:jc w:val="center"/>
              <w:rPr>
                <w:rFonts w:ascii="Arial" w:eastAsia="Times New Roman" w:hAnsi="Arial" w:cs="Arial"/>
                <w:b/>
                <w:bCs/>
                <w:sz w:val="24"/>
                <w:szCs w:val="24"/>
              </w:rPr>
            </w:pPr>
            <w:r w:rsidRPr="004B269B">
              <w:rPr>
                <w:rFonts w:ascii="Arial" w:eastAsia="Times New Roman" w:hAnsi="Arial" w:cs="Arial"/>
                <w:b/>
                <w:bCs/>
                <w:sz w:val="24"/>
                <w:szCs w:val="24"/>
              </w:rPr>
              <w:t>Emisii de P din surse difuze (%)</w:t>
            </w:r>
          </w:p>
        </w:tc>
      </w:tr>
      <w:tr w:rsidR="004B269B" w:rsidRPr="004B269B" w:rsidTr="00080B9C">
        <w:trPr>
          <w:trHeight w:val="70"/>
          <w:jc w:val="center"/>
        </w:trPr>
        <w:tc>
          <w:tcPr>
            <w:tcW w:w="2269" w:type="dxa"/>
          </w:tcPr>
          <w:p w:rsidR="004B269B" w:rsidRPr="004B269B" w:rsidRDefault="004B269B" w:rsidP="004B269B">
            <w:pPr>
              <w:spacing w:after="0" w:line="240" w:lineRule="auto"/>
              <w:jc w:val="both"/>
              <w:rPr>
                <w:rFonts w:ascii="Arial" w:eastAsia="Times New Roman" w:hAnsi="Arial" w:cs="Arial"/>
                <w:sz w:val="24"/>
                <w:szCs w:val="24"/>
              </w:rPr>
            </w:pPr>
            <w:r w:rsidRPr="004B269B">
              <w:rPr>
                <w:rFonts w:ascii="Arial" w:eastAsia="Times New Roman" w:hAnsi="Arial" w:cs="Arial"/>
                <w:sz w:val="24"/>
                <w:szCs w:val="24"/>
              </w:rPr>
              <w:t>Agricultura</w:t>
            </w:r>
          </w:p>
        </w:tc>
        <w:tc>
          <w:tcPr>
            <w:tcW w:w="3881" w:type="dxa"/>
            <w:vAlign w:val="bottom"/>
          </w:tcPr>
          <w:p w:rsidR="004B269B" w:rsidRPr="004B269B" w:rsidRDefault="004B269B" w:rsidP="004B269B">
            <w:pPr>
              <w:spacing w:after="0" w:line="240" w:lineRule="auto"/>
              <w:jc w:val="center"/>
              <w:rPr>
                <w:rFonts w:ascii="Arial" w:eastAsia="Times New Roman" w:hAnsi="Arial" w:cs="Arial"/>
                <w:sz w:val="24"/>
                <w:szCs w:val="24"/>
              </w:rPr>
            </w:pPr>
            <w:r w:rsidRPr="004B269B">
              <w:rPr>
                <w:rFonts w:ascii="Arial" w:eastAsia="Times New Roman" w:hAnsi="Arial" w:cs="Arial"/>
                <w:sz w:val="24"/>
                <w:szCs w:val="24"/>
              </w:rPr>
              <w:t>49,46</w:t>
            </w:r>
          </w:p>
        </w:tc>
        <w:tc>
          <w:tcPr>
            <w:tcW w:w="3930" w:type="dxa"/>
            <w:vAlign w:val="bottom"/>
          </w:tcPr>
          <w:p w:rsidR="004B269B" w:rsidRPr="004B269B" w:rsidRDefault="004B269B" w:rsidP="004B269B">
            <w:pPr>
              <w:spacing w:after="0" w:line="240" w:lineRule="auto"/>
              <w:jc w:val="center"/>
              <w:rPr>
                <w:rFonts w:ascii="Arial" w:eastAsia="Times New Roman" w:hAnsi="Arial" w:cs="Arial"/>
                <w:sz w:val="24"/>
                <w:szCs w:val="24"/>
              </w:rPr>
            </w:pPr>
            <w:r w:rsidRPr="004B269B">
              <w:rPr>
                <w:rFonts w:ascii="Arial" w:eastAsia="Times New Roman" w:hAnsi="Arial" w:cs="Arial"/>
                <w:sz w:val="24"/>
                <w:szCs w:val="24"/>
              </w:rPr>
              <w:t>19,06</w:t>
            </w:r>
          </w:p>
        </w:tc>
      </w:tr>
      <w:tr w:rsidR="004B269B" w:rsidRPr="004B269B" w:rsidTr="00080B9C">
        <w:trPr>
          <w:trHeight w:val="70"/>
          <w:jc w:val="center"/>
        </w:trPr>
        <w:tc>
          <w:tcPr>
            <w:tcW w:w="2269" w:type="dxa"/>
          </w:tcPr>
          <w:p w:rsidR="004B269B" w:rsidRPr="004B269B" w:rsidRDefault="004B269B" w:rsidP="004B269B">
            <w:pPr>
              <w:spacing w:after="0" w:line="240" w:lineRule="auto"/>
              <w:jc w:val="both"/>
              <w:rPr>
                <w:rFonts w:ascii="Arial" w:eastAsia="Times New Roman" w:hAnsi="Arial" w:cs="Arial"/>
                <w:sz w:val="24"/>
                <w:szCs w:val="24"/>
              </w:rPr>
            </w:pPr>
            <w:r w:rsidRPr="004B269B">
              <w:rPr>
                <w:rFonts w:ascii="Arial" w:eastAsia="Times New Roman" w:hAnsi="Arial" w:cs="Arial"/>
                <w:sz w:val="24"/>
                <w:szCs w:val="24"/>
              </w:rPr>
              <w:t>Aşezări umane</w:t>
            </w:r>
          </w:p>
        </w:tc>
        <w:tc>
          <w:tcPr>
            <w:tcW w:w="3881" w:type="dxa"/>
            <w:vAlign w:val="bottom"/>
          </w:tcPr>
          <w:p w:rsidR="004B269B" w:rsidRPr="004B269B" w:rsidRDefault="004B269B" w:rsidP="004B269B">
            <w:pPr>
              <w:spacing w:after="0" w:line="240" w:lineRule="auto"/>
              <w:jc w:val="center"/>
              <w:rPr>
                <w:rFonts w:ascii="Arial" w:eastAsia="Times New Roman" w:hAnsi="Arial" w:cs="Arial"/>
                <w:sz w:val="24"/>
                <w:szCs w:val="24"/>
              </w:rPr>
            </w:pPr>
            <w:r w:rsidRPr="004B269B">
              <w:rPr>
                <w:rFonts w:ascii="Arial" w:eastAsia="Times New Roman" w:hAnsi="Arial" w:cs="Arial"/>
                <w:sz w:val="24"/>
                <w:szCs w:val="24"/>
              </w:rPr>
              <w:t>41,32</w:t>
            </w:r>
          </w:p>
        </w:tc>
        <w:tc>
          <w:tcPr>
            <w:tcW w:w="3930" w:type="dxa"/>
            <w:vAlign w:val="bottom"/>
          </w:tcPr>
          <w:p w:rsidR="004B269B" w:rsidRPr="004B269B" w:rsidRDefault="004B269B" w:rsidP="004B269B">
            <w:pPr>
              <w:spacing w:after="0" w:line="240" w:lineRule="auto"/>
              <w:jc w:val="center"/>
              <w:rPr>
                <w:rFonts w:ascii="Arial" w:eastAsia="Times New Roman" w:hAnsi="Arial" w:cs="Arial"/>
                <w:sz w:val="24"/>
                <w:szCs w:val="24"/>
              </w:rPr>
            </w:pPr>
            <w:r w:rsidRPr="004B269B">
              <w:rPr>
                <w:rFonts w:ascii="Arial" w:eastAsia="Times New Roman" w:hAnsi="Arial" w:cs="Arial"/>
                <w:sz w:val="24"/>
                <w:szCs w:val="24"/>
              </w:rPr>
              <w:t>60,94</w:t>
            </w:r>
          </w:p>
        </w:tc>
      </w:tr>
      <w:tr w:rsidR="004B269B" w:rsidRPr="004B269B" w:rsidTr="00080B9C">
        <w:trPr>
          <w:trHeight w:val="70"/>
          <w:jc w:val="center"/>
        </w:trPr>
        <w:tc>
          <w:tcPr>
            <w:tcW w:w="2269" w:type="dxa"/>
          </w:tcPr>
          <w:p w:rsidR="004B269B" w:rsidRPr="004B269B" w:rsidRDefault="004B269B" w:rsidP="004B269B">
            <w:pPr>
              <w:spacing w:after="0" w:line="240" w:lineRule="auto"/>
              <w:jc w:val="both"/>
              <w:rPr>
                <w:rFonts w:ascii="Arial" w:eastAsia="Times New Roman" w:hAnsi="Arial" w:cs="Arial"/>
                <w:sz w:val="24"/>
                <w:szCs w:val="24"/>
              </w:rPr>
            </w:pPr>
            <w:r w:rsidRPr="004B269B">
              <w:rPr>
                <w:rFonts w:ascii="Arial" w:eastAsia="Times New Roman" w:hAnsi="Arial" w:cs="Arial"/>
                <w:sz w:val="24"/>
                <w:szCs w:val="24"/>
              </w:rPr>
              <w:t>Alte surse</w:t>
            </w:r>
          </w:p>
        </w:tc>
        <w:tc>
          <w:tcPr>
            <w:tcW w:w="3881" w:type="dxa"/>
            <w:vAlign w:val="bottom"/>
          </w:tcPr>
          <w:p w:rsidR="004B269B" w:rsidRPr="004B269B" w:rsidRDefault="004B269B" w:rsidP="004B269B">
            <w:pPr>
              <w:spacing w:after="0" w:line="240" w:lineRule="auto"/>
              <w:jc w:val="center"/>
              <w:rPr>
                <w:rFonts w:ascii="Arial" w:eastAsia="Times New Roman" w:hAnsi="Arial" w:cs="Arial"/>
                <w:sz w:val="24"/>
                <w:szCs w:val="24"/>
              </w:rPr>
            </w:pPr>
            <w:r w:rsidRPr="004B269B">
              <w:rPr>
                <w:rFonts w:ascii="Arial" w:eastAsia="Times New Roman" w:hAnsi="Arial" w:cs="Arial"/>
                <w:sz w:val="24"/>
                <w:szCs w:val="24"/>
              </w:rPr>
              <w:t>4,44</w:t>
            </w:r>
          </w:p>
        </w:tc>
        <w:tc>
          <w:tcPr>
            <w:tcW w:w="3930" w:type="dxa"/>
            <w:vAlign w:val="bottom"/>
          </w:tcPr>
          <w:p w:rsidR="004B269B" w:rsidRPr="004B269B" w:rsidRDefault="004B269B" w:rsidP="004B269B">
            <w:pPr>
              <w:spacing w:after="0" w:line="240" w:lineRule="auto"/>
              <w:jc w:val="center"/>
              <w:rPr>
                <w:rFonts w:ascii="Arial" w:eastAsia="Times New Roman" w:hAnsi="Arial" w:cs="Arial"/>
                <w:sz w:val="24"/>
                <w:szCs w:val="24"/>
              </w:rPr>
            </w:pPr>
            <w:r w:rsidRPr="004B269B">
              <w:rPr>
                <w:rFonts w:ascii="Arial" w:eastAsia="Times New Roman" w:hAnsi="Arial" w:cs="Arial"/>
                <w:sz w:val="24"/>
                <w:szCs w:val="24"/>
              </w:rPr>
              <w:t>15,65</w:t>
            </w:r>
          </w:p>
        </w:tc>
      </w:tr>
      <w:tr w:rsidR="004B269B" w:rsidRPr="004B269B" w:rsidTr="00080B9C">
        <w:trPr>
          <w:trHeight w:val="70"/>
          <w:jc w:val="center"/>
        </w:trPr>
        <w:tc>
          <w:tcPr>
            <w:tcW w:w="2269" w:type="dxa"/>
          </w:tcPr>
          <w:p w:rsidR="004B269B" w:rsidRPr="004B269B" w:rsidRDefault="004B269B" w:rsidP="004B269B">
            <w:pPr>
              <w:spacing w:after="0" w:line="240" w:lineRule="auto"/>
              <w:jc w:val="both"/>
              <w:rPr>
                <w:rFonts w:ascii="Arial" w:eastAsia="Times New Roman" w:hAnsi="Arial" w:cs="Arial"/>
                <w:sz w:val="24"/>
                <w:szCs w:val="24"/>
              </w:rPr>
            </w:pPr>
            <w:r w:rsidRPr="004B269B">
              <w:rPr>
                <w:rFonts w:ascii="Arial" w:eastAsia="Times New Roman" w:hAnsi="Arial" w:cs="Arial"/>
                <w:sz w:val="24"/>
                <w:szCs w:val="24"/>
              </w:rPr>
              <w:t>Fond natural</w:t>
            </w:r>
          </w:p>
        </w:tc>
        <w:tc>
          <w:tcPr>
            <w:tcW w:w="3881" w:type="dxa"/>
            <w:vAlign w:val="bottom"/>
          </w:tcPr>
          <w:p w:rsidR="004B269B" w:rsidRPr="004B269B" w:rsidRDefault="004B269B" w:rsidP="004B269B">
            <w:pPr>
              <w:spacing w:after="0" w:line="240" w:lineRule="auto"/>
              <w:jc w:val="center"/>
              <w:rPr>
                <w:rFonts w:ascii="Arial" w:eastAsia="Times New Roman" w:hAnsi="Arial" w:cs="Arial"/>
                <w:sz w:val="24"/>
                <w:szCs w:val="24"/>
              </w:rPr>
            </w:pPr>
            <w:r w:rsidRPr="004B269B">
              <w:rPr>
                <w:rFonts w:ascii="Arial" w:eastAsia="Times New Roman" w:hAnsi="Arial" w:cs="Arial"/>
                <w:sz w:val="24"/>
                <w:szCs w:val="24"/>
              </w:rPr>
              <w:t>4,79</w:t>
            </w:r>
          </w:p>
        </w:tc>
        <w:tc>
          <w:tcPr>
            <w:tcW w:w="3930" w:type="dxa"/>
            <w:vAlign w:val="bottom"/>
          </w:tcPr>
          <w:p w:rsidR="004B269B" w:rsidRPr="004B269B" w:rsidRDefault="004B269B" w:rsidP="004B269B">
            <w:pPr>
              <w:spacing w:after="0" w:line="240" w:lineRule="auto"/>
              <w:jc w:val="center"/>
              <w:rPr>
                <w:rFonts w:ascii="Arial" w:eastAsia="Times New Roman" w:hAnsi="Arial" w:cs="Arial"/>
                <w:sz w:val="24"/>
                <w:szCs w:val="24"/>
              </w:rPr>
            </w:pPr>
            <w:r w:rsidRPr="004B269B">
              <w:rPr>
                <w:rFonts w:ascii="Arial" w:eastAsia="Times New Roman" w:hAnsi="Arial" w:cs="Arial"/>
                <w:sz w:val="24"/>
                <w:szCs w:val="24"/>
              </w:rPr>
              <w:t>4,35</w:t>
            </w:r>
          </w:p>
        </w:tc>
      </w:tr>
      <w:tr w:rsidR="004B269B" w:rsidRPr="004B269B" w:rsidTr="00080B9C">
        <w:trPr>
          <w:jc w:val="center"/>
        </w:trPr>
        <w:tc>
          <w:tcPr>
            <w:tcW w:w="2269" w:type="dxa"/>
          </w:tcPr>
          <w:p w:rsidR="004B269B" w:rsidRPr="004B269B" w:rsidRDefault="004B269B" w:rsidP="004B269B">
            <w:pPr>
              <w:spacing w:after="0" w:line="240" w:lineRule="auto"/>
              <w:jc w:val="both"/>
              <w:rPr>
                <w:rFonts w:ascii="Arial" w:eastAsia="Times New Roman" w:hAnsi="Arial" w:cs="Arial"/>
                <w:sz w:val="24"/>
                <w:szCs w:val="24"/>
              </w:rPr>
            </w:pPr>
            <w:r w:rsidRPr="004B269B">
              <w:rPr>
                <w:rFonts w:ascii="Arial" w:eastAsia="Times New Roman" w:hAnsi="Arial" w:cs="Arial"/>
                <w:sz w:val="24"/>
                <w:szCs w:val="24"/>
              </w:rPr>
              <w:t>Total surse difuze</w:t>
            </w:r>
          </w:p>
        </w:tc>
        <w:tc>
          <w:tcPr>
            <w:tcW w:w="3881" w:type="dxa"/>
            <w:vAlign w:val="bottom"/>
          </w:tcPr>
          <w:p w:rsidR="004B269B" w:rsidRPr="004B269B" w:rsidRDefault="004B269B" w:rsidP="004B269B">
            <w:pPr>
              <w:spacing w:after="0" w:line="240" w:lineRule="auto"/>
              <w:jc w:val="center"/>
              <w:rPr>
                <w:rFonts w:ascii="Arial" w:eastAsia="Times New Roman" w:hAnsi="Arial" w:cs="Arial"/>
                <w:sz w:val="24"/>
                <w:szCs w:val="24"/>
              </w:rPr>
            </w:pPr>
            <w:r w:rsidRPr="004B269B">
              <w:rPr>
                <w:rFonts w:ascii="Arial" w:eastAsia="Times New Roman" w:hAnsi="Arial" w:cs="Arial"/>
                <w:sz w:val="24"/>
                <w:szCs w:val="24"/>
              </w:rPr>
              <w:t>100</w:t>
            </w:r>
          </w:p>
        </w:tc>
        <w:tc>
          <w:tcPr>
            <w:tcW w:w="3930" w:type="dxa"/>
            <w:vAlign w:val="bottom"/>
          </w:tcPr>
          <w:p w:rsidR="004B269B" w:rsidRPr="004B269B" w:rsidRDefault="004B269B" w:rsidP="004B269B">
            <w:pPr>
              <w:spacing w:after="0" w:line="240" w:lineRule="auto"/>
              <w:jc w:val="center"/>
              <w:rPr>
                <w:rFonts w:ascii="Arial" w:eastAsia="Times New Roman" w:hAnsi="Arial" w:cs="Arial"/>
                <w:sz w:val="24"/>
                <w:szCs w:val="24"/>
              </w:rPr>
            </w:pPr>
            <w:r w:rsidRPr="004B269B">
              <w:rPr>
                <w:rFonts w:ascii="Arial" w:eastAsia="Times New Roman" w:hAnsi="Arial" w:cs="Arial"/>
                <w:sz w:val="24"/>
                <w:szCs w:val="24"/>
              </w:rPr>
              <w:t>100</w:t>
            </w:r>
          </w:p>
        </w:tc>
      </w:tr>
    </w:tbl>
    <w:p w:rsidR="004B269B" w:rsidRPr="004B269B" w:rsidRDefault="004B269B" w:rsidP="004B269B">
      <w:pPr>
        <w:spacing w:after="0" w:line="240" w:lineRule="auto"/>
        <w:ind w:firstLine="720"/>
        <w:jc w:val="both"/>
        <w:rPr>
          <w:rFonts w:ascii="Arial" w:eastAsia="SimSun" w:hAnsi="Arial" w:cs="Arial"/>
          <w:sz w:val="24"/>
          <w:szCs w:val="24"/>
          <w:lang w:val="en-GB"/>
        </w:rPr>
      </w:pPr>
    </w:p>
    <w:p w:rsidR="004B269B" w:rsidRPr="004B269B" w:rsidRDefault="004B269B" w:rsidP="004B269B">
      <w:pPr>
        <w:spacing w:after="0" w:line="240" w:lineRule="auto"/>
        <w:ind w:firstLine="720"/>
        <w:jc w:val="both"/>
        <w:rPr>
          <w:rFonts w:ascii="Arial" w:eastAsia="SimSun" w:hAnsi="Arial" w:cs="Arial"/>
          <w:sz w:val="24"/>
          <w:szCs w:val="24"/>
          <w:lang w:val="en-GB"/>
        </w:rPr>
      </w:pPr>
      <w:r w:rsidRPr="004B269B">
        <w:rPr>
          <w:rFonts w:ascii="Arial" w:eastAsia="SimSun" w:hAnsi="Arial" w:cs="Arial"/>
          <w:sz w:val="24"/>
          <w:szCs w:val="24"/>
          <w:lang w:val="en-GB"/>
        </w:rPr>
        <w:t>Se observă că cca. jumătate din cantitatea de azot emisă de sursele difuze se datorează activităţilor agricole, rezultând o emisie specifică de 3,45 kg N/ha suprafaţă agricolă. Se menţionează că aproximativ 61% din emisia totală difuză de fosfor se datorează localităţilor/aglomerărilor umane, agricultura contribuind cu cca. 19 %, ceea ce reprezintă o emisie medie specifică de 0,60 kg/ha suprafaţă agricolă.</w:t>
      </w:r>
    </w:p>
    <w:p w:rsidR="004B269B" w:rsidRPr="004B269B" w:rsidRDefault="004B269B" w:rsidP="004B269B">
      <w:pPr>
        <w:spacing w:after="0" w:line="240" w:lineRule="auto"/>
        <w:ind w:firstLine="720"/>
        <w:jc w:val="both"/>
        <w:rPr>
          <w:rFonts w:ascii="Arial" w:eastAsia="SimSun" w:hAnsi="Arial" w:cs="Arial"/>
          <w:sz w:val="24"/>
          <w:szCs w:val="24"/>
          <w:lang w:val="en-GB" w:eastAsia="ro-RO"/>
        </w:rPr>
      </w:pPr>
      <w:r w:rsidRPr="004B269B">
        <w:rPr>
          <w:rFonts w:ascii="Arial" w:eastAsia="SimSun" w:hAnsi="Arial" w:cs="Arial"/>
          <w:sz w:val="24"/>
          <w:szCs w:val="24"/>
          <w:lang w:val="en-GB"/>
        </w:rPr>
        <w:t>Pentru judeţul Vaslui există 14 de corpuri de apă la risc din punct de vedere al nutrienţilor, iar din punct de vedere al substanţelor organice, nu este afectat nici un corp de apă</w:t>
      </w:r>
      <w:r w:rsidRPr="004B269B">
        <w:rPr>
          <w:rFonts w:ascii="Arial" w:eastAsia="SimSun" w:hAnsi="Arial" w:cs="Arial"/>
          <w:sz w:val="24"/>
          <w:szCs w:val="24"/>
          <w:lang w:val="en-GB" w:eastAsia="ro-RO"/>
        </w:rPr>
        <w:t>. (</w:t>
      </w:r>
      <w:r w:rsidRPr="004B269B">
        <w:rPr>
          <w:rFonts w:ascii="Arial" w:eastAsia="SimSun" w:hAnsi="Arial" w:cs="Arial"/>
          <w:sz w:val="20"/>
          <w:szCs w:val="20"/>
          <w:lang w:val="ro-RO"/>
        </w:rPr>
        <w:t xml:space="preserve">Sursa: Administraţia </w:t>
      </w:r>
      <w:r w:rsidRPr="004B269B">
        <w:rPr>
          <w:rFonts w:ascii="Arial" w:eastAsia="SimSun" w:hAnsi="Arial" w:cs="Arial"/>
          <w:sz w:val="20"/>
          <w:szCs w:val="20"/>
          <w:lang w:val="en-GB"/>
        </w:rPr>
        <w:t>“</w:t>
      </w:r>
      <w:r w:rsidRPr="004B269B">
        <w:rPr>
          <w:rFonts w:ascii="Arial" w:eastAsia="SimSun" w:hAnsi="Arial" w:cs="Arial"/>
          <w:sz w:val="20"/>
          <w:szCs w:val="20"/>
          <w:lang w:val="ro-RO"/>
        </w:rPr>
        <w:t>Apele Române”- Administraţia Bazinală de Apă Prut – Bârlad).</w:t>
      </w:r>
    </w:p>
    <w:p w:rsidR="004B269B" w:rsidRPr="004B269B" w:rsidRDefault="004B269B" w:rsidP="004B269B">
      <w:pPr>
        <w:autoSpaceDE w:val="0"/>
        <w:autoSpaceDN w:val="0"/>
        <w:adjustRightInd w:val="0"/>
        <w:spacing w:after="0" w:line="240" w:lineRule="auto"/>
        <w:ind w:firstLine="708"/>
        <w:jc w:val="both"/>
        <w:rPr>
          <w:rFonts w:ascii="Times New Roman" w:eastAsia="SimSun" w:hAnsi="Times New Roman" w:cs="Times New Roman"/>
          <w:b/>
          <w:bCs/>
          <w:lang w:val="en-GB"/>
        </w:rPr>
      </w:pPr>
    </w:p>
    <w:p w:rsidR="004B269B" w:rsidRPr="004B269B" w:rsidRDefault="004B269B" w:rsidP="004B269B">
      <w:pPr>
        <w:spacing w:after="0" w:line="240" w:lineRule="auto"/>
        <w:rPr>
          <w:rFonts w:ascii="Arial" w:eastAsia="SimSun" w:hAnsi="Arial" w:cs="Arial"/>
          <w:i/>
          <w:sz w:val="24"/>
          <w:szCs w:val="24"/>
          <w:lang w:val="ro-RO"/>
        </w:rPr>
      </w:pPr>
      <w:r w:rsidRPr="004B269B">
        <w:rPr>
          <w:rFonts w:ascii="Arial" w:eastAsia="SimSun" w:hAnsi="Arial" w:cs="Arial"/>
          <w:i/>
          <w:sz w:val="24"/>
          <w:szCs w:val="24"/>
          <w:lang w:val="ro-RO"/>
        </w:rPr>
        <w:t>Poluări accidentale</w:t>
      </w:r>
    </w:p>
    <w:p w:rsidR="004B269B" w:rsidRPr="004B269B" w:rsidRDefault="004B269B" w:rsidP="004B269B">
      <w:pPr>
        <w:spacing w:after="0" w:line="240" w:lineRule="auto"/>
        <w:ind w:left="540"/>
        <w:rPr>
          <w:rFonts w:ascii="Arial" w:eastAsia="SimSun" w:hAnsi="Arial" w:cs="Arial"/>
          <w:b/>
          <w:sz w:val="24"/>
          <w:szCs w:val="24"/>
          <w:lang w:val="ro-RO"/>
        </w:rPr>
      </w:pPr>
    </w:p>
    <w:p w:rsidR="004B269B" w:rsidRPr="004B269B" w:rsidRDefault="004B269B" w:rsidP="004B269B">
      <w:pPr>
        <w:spacing w:after="0" w:line="240" w:lineRule="auto"/>
        <w:ind w:right="-5" w:firstLine="720"/>
        <w:jc w:val="both"/>
        <w:rPr>
          <w:rFonts w:ascii="Arial" w:eastAsia="Times New Roman" w:hAnsi="Arial" w:cs="Arial"/>
          <w:sz w:val="24"/>
          <w:szCs w:val="24"/>
          <w:lang w:val="ro-RO"/>
        </w:rPr>
      </w:pPr>
      <w:r w:rsidRPr="004B269B">
        <w:rPr>
          <w:rFonts w:ascii="Arial" w:eastAsia="Times New Roman" w:hAnsi="Arial" w:cs="Arial"/>
          <w:sz w:val="24"/>
          <w:szCs w:val="24"/>
          <w:lang w:val="ro-RO"/>
        </w:rPr>
        <w:t>În cursul anului 2015, nu s-au înregistrat poluări accidentale validate la nivelul judeţului Vaslui.</w:t>
      </w:r>
    </w:p>
    <w:p w:rsidR="004B269B" w:rsidRPr="004B269B" w:rsidRDefault="004B269B" w:rsidP="004B269B">
      <w:pPr>
        <w:spacing w:after="0" w:line="240" w:lineRule="auto"/>
        <w:ind w:right="-5"/>
        <w:jc w:val="both"/>
        <w:rPr>
          <w:rFonts w:ascii="Arial" w:eastAsia="Times New Roman" w:hAnsi="Arial" w:cs="Arial"/>
          <w:sz w:val="24"/>
          <w:szCs w:val="24"/>
          <w:lang w:val="ro-RO"/>
        </w:rPr>
      </w:pPr>
    </w:p>
    <w:p w:rsidR="004B269B" w:rsidRPr="004B269B" w:rsidRDefault="004B269B" w:rsidP="004B269B">
      <w:pPr>
        <w:tabs>
          <w:tab w:val="left" w:pos="1260"/>
          <w:tab w:val="left" w:leader="dot" w:pos="9639"/>
        </w:tabs>
        <w:spacing w:after="0" w:line="240" w:lineRule="auto"/>
        <w:ind w:right="51"/>
        <w:jc w:val="both"/>
        <w:rPr>
          <w:rFonts w:ascii="Arial" w:eastAsia="SimSun" w:hAnsi="Arial" w:cs="Arial"/>
          <w:b/>
          <w:bCs/>
          <w:i/>
          <w:sz w:val="24"/>
          <w:szCs w:val="24"/>
          <w:lang w:val="en-GB"/>
        </w:rPr>
      </w:pPr>
      <w:r w:rsidRPr="004B269B">
        <w:rPr>
          <w:rFonts w:ascii="Arial" w:eastAsia="SimSun" w:hAnsi="Arial" w:cs="Arial"/>
          <w:b/>
          <w:bCs/>
          <w:i/>
          <w:sz w:val="24"/>
          <w:szCs w:val="24"/>
          <w:lang w:val="en-GB"/>
        </w:rPr>
        <w:t>II.2.4. Politici, acţiuni şi măsuri privind îmbunătăţirea stării de calitate a apelor</w:t>
      </w:r>
    </w:p>
    <w:p w:rsidR="004B269B" w:rsidRPr="004B269B" w:rsidRDefault="004B269B" w:rsidP="004B269B">
      <w:pPr>
        <w:tabs>
          <w:tab w:val="left" w:pos="1260"/>
          <w:tab w:val="left" w:leader="dot" w:pos="9639"/>
        </w:tabs>
        <w:spacing w:after="0" w:line="240" w:lineRule="auto"/>
        <w:ind w:right="51"/>
        <w:jc w:val="both"/>
        <w:rPr>
          <w:rFonts w:ascii="Arial" w:eastAsia="SimSun" w:hAnsi="Arial" w:cs="Arial"/>
          <w:b/>
          <w:bCs/>
          <w:i/>
          <w:sz w:val="24"/>
          <w:szCs w:val="24"/>
          <w:lang w:val="en-GB"/>
        </w:rPr>
      </w:pPr>
    </w:p>
    <w:p w:rsidR="004B269B" w:rsidRPr="004B269B" w:rsidRDefault="004B269B" w:rsidP="004B269B">
      <w:pPr>
        <w:autoSpaceDE w:val="0"/>
        <w:autoSpaceDN w:val="0"/>
        <w:adjustRightInd w:val="0"/>
        <w:spacing w:after="0" w:line="240" w:lineRule="auto"/>
        <w:ind w:firstLine="720"/>
        <w:jc w:val="both"/>
        <w:rPr>
          <w:rFonts w:ascii="Arial" w:eastAsia="Times New Roman" w:hAnsi="Arial" w:cs="Arial"/>
          <w:sz w:val="24"/>
          <w:szCs w:val="24"/>
        </w:rPr>
      </w:pPr>
      <w:r w:rsidRPr="004B269B">
        <w:rPr>
          <w:rFonts w:ascii="Arial" w:eastAsia="Times New Roman" w:hAnsi="Arial" w:cs="Arial"/>
          <w:sz w:val="24"/>
          <w:szCs w:val="24"/>
        </w:rPr>
        <w:t xml:space="preserve">Directiva Cadru privind Apa reprezintă prevederea legală europeană fundamentală pentru domeniul apelor, care promovează conceptul gestionării ecosistemice, introducând obiective noi pentru protejarea ecosistemelor acvatice, element ce asigură utilizarea sustenabilă a resurselor de apă pe termen lung pentru oameni, economie și mediu; aceasta urmăreşte: </w:t>
      </w:r>
    </w:p>
    <w:p w:rsidR="004B269B" w:rsidRPr="004B269B" w:rsidRDefault="004B269B" w:rsidP="004B269B">
      <w:pPr>
        <w:autoSpaceDE w:val="0"/>
        <w:autoSpaceDN w:val="0"/>
        <w:adjustRightInd w:val="0"/>
        <w:spacing w:after="0" w:line="240" w:lineRule="auto"/>
        <w:jc w:val="both"/>
        <w:rPr>
          <w:rFonts w:ascii="Arial" w:eastAsia="Times New Roman" w:hAnsi="Arial" w:cs="Arial"/>
          <w:sz w:val="24"/>
          <w:szCs w:val="24"/>
        </w:rPr>
      </w:pPr>
      <w:r w:rsidRPr="004B269B">
        <w:rPr>
          <w:rFonts w:ascii="Arial" w:eastAsia="Times New Roman" w:hAnsi="Arial" w:cs="Arial"/>
          <w:sz w:val="24"/>
          <w:szCs w:val="24"/>
        </w:rPr>
        <w:t xml:space="preserve">- să prevină deteriorarea ulterioară, să protejeze şi să îmbunătăţească starea ecosistemelor acvatice şi, în ceea ce priveşte cerinţele de apă, a ecosistemelor terestre şi zonelor umede direct dependente de ecosistemele acvatice; </w:t>
      </w:r>
    </w:p>
    <w:p w:rsidR="004B269B" w:rsidRPr="004B269B" w:rsidRDefault="004B269B" w:rsidP="004B269B">
      <w:pPr>
        <w:autoSpaceDE w:val="0"/>
        <w:autoSpaceDN w:val="0"/>
        <w:adjustRightInd w:val="0"/>
        <w:spacing w:after="0" w:line="240" w:lineRule="auto"/>
        <w:jc w:val="both"/>
        <w:rPr>
          <w:rFonts w:ascii="Arial" w:eastAsia="Times New Roman" w:hAnsi="Arial" w:cs="Arial"/>
          <w:sz w:val="24"/>
          <w:szCs w:val="24"/>
        </w:rPr>
      </w:pPr>
      <w:r w:rsidRPr="004B269B">
        <w:rPr>
          <w:rFonts w:ascii="Arial" w:eastAsia="Times New Roman" w:hAnsi="Arial" w:cs="Arial"/>
          <w:sz w:val="24"/>
          <w:szCs w:val="24"/>
        </w:rPr>
        <w:t xml:space="preserve">- să promoveze utilizarea durabilă a apelor pe baza unei protecţii pe termen lung a resurselor disponibile de apă; </w:t>
      </w:r>
    </w:p>
    <w:p w:rsidR="004B269B" w:rsidRPr="004B269B" w:rsidRDefault="004B269B" w:rsidP="004B269B">
      <w:pPr>
        <w:autoSpaceDE w:val="0"/>
        <w:autoSpaceDN w:val="0"/>
        <w:adjustRightInd w:val="0"/>
        <w:spacing w:after="0" w:line="240" w:lineRule="auto"/>
        <w:jc w:val="both"/>
        <w:rPr>
          <w:rFonts w:ascii="Arial" w:eastAsia="Times New Roman" w:hAnsi="Arial" w:cs="Arial"/>
          <w:sz w:val="24"/>
          <w:szCs w:val="24"/>
        </w:rPr>
      </w:pPr>
      <w:r w:rsidRPr="004B269B">
        <w:rPr>
          <w:rFonts w:ascii="Arial" w:eastAsia="Times New Roman" w:hAnsi="Arial" w:cs="Arial"/>
          <w:sz w:val="24"/>
          <w:szCs w:val="24"/>
        </w:rPr>
        <w:t xml:space="preserve">- să asigure protecţia avansată şi printre altele îmbunătăţirea mediului acvatic prin măsuri specifice pentru reducerea progresivă a evacuărilor, emisiilor sau a pierderilor de substanţe prioritare şi încetarea sau oprirea treptată a evacuărilor, emisiilor sau pierderilor de substanţe prioritare periculoase; </w:t>
      </w:r>
    </w:p>
    <w:p w:rsidR="004B269B" w:rsidRPr="004B269B" w:rsidRDefault="004B269B" w:rsidP="004B269B">
      <w:pPr>
        <w:spacing w:after="0" w:line="240" w:lineRule="auto"/>
        <w:jc w:val="both"/>
        <w:rPr>
          <w:rFonts w:ascii="Arial" w:eastAsia="SimSun" w:hAnsi="Arial" w:cs="Arial"/>
          <w:b/>
          <w:i/>
          <w:iCs/>
          <w:sz w:val="24"/>
          <w:szCs w:val="24"/>
          <w:lang w:val="ro-RO"/>
        </w:rPr>
      </w:pPr>
      <w:r w:rsidRPr="004B269B">
        <w:rPr>
          <w:rFonts w:ascii="Arial" w:eastAsia="SimSun" w:hAnsi="Arial" w:cs="Arial"/>
          <w:sz w:val="24"/>
          <w:szCs w:val="24"/>
          <w:lang w:val="en-GB"/>
        </w:rPr>
        <w:t>- să reducă progresiv poluarea apelor subterane şi să prevină poluarea ulterioară.</w:t>
      </w:r>
    </w:p>
    <w:p w:rsidR="004B269B" w:rsidRPr="004B269B" w:rsidRDefault="004B269B" w:rsidP="004B269B">
      <w:pPr>
        <w:autoSpaceDE w:val="0"/>
        <w:autoSpaceDN w:val="0"/>
        <w:adjustRightInd w:val="0"/>
        <w:spacing w:after="0" w:line="240" w:lineRule="auto"/>
        <w:jc w:val="both"/>
        <w:rPr>
          <w:rFonts w:ascii="Arial" w:eastAsia="Times New Roman" w:hAnsi="Arial" w:cs="Arial"/>
          <w:sz w:val="24"/>
          <w:szCs w:val="24"/>
          <w:shd w:val="clear" w:color="auto" w:fill="FFFFFF"/>
        </w:rPr>
      </w:pPr>
    </w:p>
    <w:p w:rsidR="004B269B" w:rsidRPr="004B269B" w:rsidRDefault="004B269B" w:rsidP="004B269B">
      <w:pPr>
        <w:spacing w:after="0" w:line="240" w:lineRule="auto"/>
        <w:jc w:val="both"/>
        <w:rPr>
          <w:rFonts w:ascii="Arial" w:eastAsia="SimSun" w:hAnsi="Arial" w:cs="Arial"/>
          <w:b/>
          <w:i/>
          <w:iCs/>
          <w:sz w:val="24"/>
          <w:szCs w:val="24"/>
          <w:lang w:val="ro-RO"/>
        </w:rPr>
      </w:pPr>
    </w:p>
    <w:p w:rsidR="004B269B" w:rsidRPr="004B269B" w:rsidRDefault="004B269B" w:rsidP="004B269B">
      <w:pPr>
        <w:spacing w:after="0" w:line="240" w:lineRule="auto"/>
        <w:jc w:val="both"/>
        <w:rPr>
          <w:rFonts w:ascii="Arial" w:eastAsia="SimSun" w:hAnsi="Arial" w:cs="Arial"/>
          <w:b/>
          <w:i/>
          <w:iCs/>
          <w:sz w:val="24"/>
          <w:szCs w:val="24"/>
          <w:lang w:val="ro-RO"/>
        </w:rPr>
      </w:pPr>
    </w:p>
    <w:p w:rsidR="004B269B" w:rsidRPr="004B269B" w:rsidRDefault="004B269B" w:rsidP="004B269B">
      <w:pPr>
        <w:spacing w:after="0" w:line="240" w:lineRule="auto"/>
        <w:jc w:val="both"/>
        <w:rPr>
          <w:rFonts w:ascii="Arial" w:eastAsia="SimSun" w:hAnsi="Arial" w:cs="Arial"/>
          <w:b/>
          <w:i/>
          <w:iCs/>
          <w:sz w:val="24"/>
          <w:szCs w:val="24"/>
          <w:lang w:val="ro-RO"/>
        </w:rPr>
      </w:pPr>
    </w:p>
    <w:p w:rsidR="004B269B" w:rsidRPr="004B269B" w:rsidRDefault="004B269B" w:rsidP="004B269B">
      <w:pPr>
        <w:spacing w:after="0" w:line="240" w:lineRule="auto"/>
        <w:jc w:val="both"/>
        <w:rPr>
          <w:rFonts w:ascii="Arial" w:eastAsia="SimSun" w:hAnsi="Arial" w:cs="Arial"/>
          <w:b/>
          <w:i/>
          <w:iCs/>
          <w:sz w:val="24"/>
          <w:szCs w:val="24"/>
          <w:lang w:val="ro-RO"/>
        </w:rPr>
      </w:pPr>
    </w:p>
    <w:p w:rsidR="004B269B" w:rsidRPr="004B269B" w:rsidRDefault="004B269B" w:rsidP="004B269B">
      <w:pPr>
        <w:spacing w:after="0" w:line="240" w:lineRule="auto"/>
        <w:jc w:val="both"/>
        <w:rPr>
          <w:rFonts w:ascii="Arial" w:eastAsia="SimSun" w:hAnsi="Arial" w:cs="Arial"/>
          <w:b/>
          <w:i/>
          <w:iCs/>
          <w:sz w:val="24"/>
          <w:szCs w:val="24"/>
          <w:lang w:val="ro-RO"/>
        </w:rPr>
      </w:pPr>
    </w:p>
    <w:p w:rsidR="004B269B" w:rsidRPr="004B269B" w:rsidRDefault="004B269B" w:rsidP="004B269B">
      <w:pPr>
        <w:spacing w:after="0" w:line="240" w:lineRule="auto"/>
        <w:jc w:val="both"/>
        <w:rPr>
          <w:rFonts w:ascii="Arial" w:eastAsia="SimSun" w:hAnsi="Arial" w:cs="Arial"/>
          <w:b/>
          <w:i/>
          <w:iCs/>
          <w:sz w:val="24"/>
          <w:szCs w:val="24"/>
          <w:lang w:val="ro-RO"/>
        </w:rPr>
      </w:pPr>
    </w:p>
    <w:p w:rsidR="004B269B" w:rsidRDefault="004B269B" w:rsidP="004B269B">
      <w:pPr>
        <w:spacing w:after="0" w:line="240" w:lineRule="auto"/>
        <w:jc w:val="both"/>
        <w:rPr>
          <w:rFonts w:ascii="Arial" w:eastAsia="SimSun" w:hAnsi="Arial" w:cs="Arial"/>
          <w:b/>
          <w:i/>
          <w:iCs/>
          <w:sz w:val="24"/>
          <w:szCs w:val="24"/>
          <w:lang w:val="ro-RO"/>
        </w:rPr>
      </w:pPr>
    </w:p>
    <w:p w:rsidR="00830DBB" w:rsidRDefault="00830DBB" w:rsidP="004B269B">
      <w:pPr>
        <w:spacing w:after="0" w:line="240" w:lineRule="auto"/>
        <w:jc w:val="both"/>
        <w:rPr>
          <w:rFonts w:ascii="Arial" w:eastAsia="SimSun" w:hAnsi="Arial" w:cs="Arial"/>
          <w:b/>
          <w:i/>
          <w:iCs/>
          <w:sz w:val="24"/>
          <w:szCs w:val="24"/>
          <w:lang w:val="ro-RO"/>
        </w:rPr>
      </w:pPr>
    </w:p>
    <w:p w:rsidR="00830DBB" w:rsidRDefault="00830DBB" w:rsidP="004B269B">
      <w:pPr>
        <w:spacing w:after="0" w:line="240" w:lineRule="auto"/>
        <w:jc w:val="both"/>
        <w:rPr>
          <w:rFonts w:ascii="Arial" w:eastAsia="SimSun" w:hAnsi="Arial" w:cs="Arial"/>
          <w:b/>
          <w:i/>
          <w:iCs/>
          <w:sz w:val="24"/>
          <w:szCs w:val="24"/>
          <w:lang w:val="ro-RO"/>
        </w:rPr>
      </w:pPr>
    </w:p>
    <w:p w:rsidR="00830DBB" w:rsidRDefault="00830DBB" w:rsidP="004B269B">
      <w:pPr>
        <w:spacing w:after="0" w:line="240" w:lineRule="auto"/>
        <w:jc w:val="both"/>
        <w:rPr>
          <w:rFonts w:ascii="Arial" w:eastAsia="SimSun" w:hAnsi="Arial" w:cs="Arial"/>
          <w:b/>
          <w:i/>
          <w:iCs/>
          <w:sz w:val="24"/>
          <w:szCs w:val="24"/>
          <w:lang w:val="ro-RO"/>
        </w:rPr>
      </w:pPr>
    </w:p>
    <w:p w:rsidR="00830DBB" w:rsidRDefault="00830DBB" w:rsidP="004B269B">
      <w:pPr>
        <w:spacing w:after="0" w:line="240" w:lineRule="auto"/>
        <w:jc w:val="both"/>
        <w:rPr>
          <w:rFonts w:ascii="Arial" w:eastAsia="SimSun" w:hAnsi="Arial" w:cs="Arial"/>
          <w:b/>
          <w:i/>
          <w:iCs/>
          <w:sz w:val="24"/>
          <w:szCs w:val="24"/>
          <w:lang w:val="ro-RO"/>
        </w:rPr>
      </w:pPr>
    </w:p>
    <w:p w:rsidR="00830DBB" w:rsidRDefault="00830DBB" w:rsidP="004B269B">
      <w:pPr>
        <w:spacing w:after="0" w:line="240" w:lineRule="auto"/>
        <w:jc w:val="both"/>
        <w:rPr>
          <w:rFonts w:ascii="Arial" w:eastAsia="SimSun" w:hAnsi="Arial" w:cs="Arial"/>
          <w:b/>
          <w:i/>
          <w:iCs/>
          <w:sz w:val="24"/>
          <w:szCs w:val="24"/>
          <w:lang w:val="ro-RO"/>
        </w:rPr>
      </w:pPr>
    </w:p>
    <w:p w:rsidR="00830DBB" w:rsidRPr="004B269B" w:rsidRDefault="00830DBB" w:rsidP="004B269B">
      <w:pPr>
        <w:spacing w:after="0" w:line="240" w:lineRule="auto"/>
        <w:jc w:val="both"/>
        <w:rPr>
          <w:rFonts w:ascii="Arial" w:eastAsia="SimSun" w:hAnsi="Arial" w:cs="Arial"/>
          <w:b/>
          <w:i/>
          <w:iCs/>
          <w:sz w:val="24"/>
          <w:szCs w:val="24"/>
          <w:lang w:val="ro-RO"/>
        </w:rPr>
      </w:pPr>
    </w:p>
    <w:p w:rsidR="004B269B" w:rsidRPr="004B269B" w:rsidRDefault="004B269B" w:rsidP="004B269B">
      <w:pPr>
        <w:spacing w:after="0" w:line="240" w:lineRule="auto"/>
        <w:jc w:val="both"/>
        <w:rPr>
          <w:rFonts w:ascii="Arial" w:eastAsia="SimSun" w:hAnsi="Arial" w:cs="Arial"/>
          <w:b/>
          <w:i/>
          <w:iCs/>
          <w:sz w:val="24"/>
          <w:szCs w:val="24"/>
          <w:lang w:val="ro-RO"/>
        </w:rPr>
      </w:pPr>
    </w:p>
    <w:p w:rsidR="004B269B" w:rsidRPr="004B269B" w:rsidRDefault="004B269B" w:rsidP="004B269B">
      <w:pPr>
        <w:spacing w:after="0" w:line="240" w:lineRule="auto"/>
        <w:jc w:val="both"/>
        <w:rPr>
          <w:rFonts w:ascii="Arial" w:eastAsia="SimSun" w:hAnsi="Arial" w:cs="Arial"/>
          <w:b/>
          <w:i/>
          <w:iCs/>
          <w:sz w:val="24"/>
          <w:szCs w:val="24"/>
          <w:lang w:val="ro-RO"/>
        </w:rPr>
      </w:pPr>
    </w:p>
    <w:p w:rsidR="004B269B" w:rsidRPr="004B269B" w:rsidRDefault="004B269B" w:rsidP="004B269B">
      <w:pPr>
        <w:spacing w:after="0" w:line="240" w:lineRule="auto"/>
        <w:jc w:val="both"/>
        <w:rPr>
          <w:rFonts w:ascii="Arial" w:eastAsia="SimSun" w:hAnsi="Arial" w:cs="Arial"/>
          <w:b/>
          <w:i/>
          <w:iCs/>
          <w:sz w:val="24"/>
          <w:szCs w:val="24"/>
          <w:lang w:val="ro-RO"/>
        </w:rPr>
      </w:pPr>
    </w:p>
    <w:p w:rsidR="004B269B" w:rsidRPr="004B269B" w:rsidRDefault="004B269B" w:rsidP="004B269B">
      <w:pPr>
        <w:spacing w:after="0" w:line="240" w:lineRule="auto"/>
        <w:jc w:val="both"/>
        <w:rPr>
          <w:rFonts w:ascii="Arial" w:eastAsia="SimSun" w:hAnsi="Arial" w:cs="Arial"/>
          <w:b/>
          <w:i/>
          <w:iCs/>
          <w:sz w:val="24"/>
          <w:szCs w:val="24"/>
          <w:lang w:val="ro-RO"/>
        </w:rPr>
      </w:pPr>
    </w:p>
    <w:p w:rsidR="004B269B" w:rsidRPr="004B269B" w:rsidRDefault="004B269B" w:rsidP="004B269B">
      <w:pPr>
        <w:spacing w:after="0" w:line="240" w:lineRule="auto"/>
        <w:jc w:val="both"/>
        <w:rPr>
          <w:rFonts w:ascii="Arial" w:eastAsia="SimSun" w:hAnsi="Arial" w:cs="Arial"/>
          <w:b/>
          <w:i/>
          <w:iCs/>
          <w:sz w:val="24"/>
          <w:szCs w:val="24"/>
          <w:lang w:val="ro-RO"/>
        </w:rPr>
      </w:pPr>
    </w:p>
    <w:p w:rsidR="004B269B" w:rsidRPr="004B269B" w:rsidRDefault="004B269B" w:rsidP="004B269B">
      <w:pPr>
        <w:spacing w:after="0" w:line="240" w:lineRule="auto"/>
        <w:jc w:val="both"/>
        <w:rPr>
          <w:rFonts w:ascii="Arial" w:eastAsia="SimSun" w:hAnsi="Arial" w:cs="Arial"/>
          <w:b/>
          <w:i/>
          <w:iCs/>
          <w:sz w:val="24"/>
          <w:szCs w:val="24"/>
          <w:lang w:val="ro-RO"/>
        </w:rPr>
      </w:pPr>
    </w:p>
    <w:p w:rsidR="004B269B" w:rsidRPr="004B269B" w:rsidRDefault="004B269B" w:rsidP="004B269B">
      <w:pPr>
        <w:spacing w:after="0" w:line="240" w:lineRule="auto"/>
        <w:jc w:val="both"/>
        <w:rPr>
          <w:rFonts w:ascii="Arial" w:eastAsia="SimSun" w:hAnsi="Arial" w:cs="Arial"/>
          <w:b/>
          <w:i/>
          <w:iCs/>
          <w:sz w:val="24"/>
          <w:szCs w:val="24"/>
          <w:lang w:val="ro-RO"/>
        </w:rPr>
      </w:pPr>
    </w:p>
    <w:p w:rsidR="004B269B" w:rsidRPr="004B269B" w:rsidRDefault="004B269B" w:rsidP="004B269B">
      <w:pPr>
        <w:spacing w:after="0" w:line="240" w:lineRule="auto"/>
        <w:jc w:val="both"/>
        <w:rPr>
          <w:rFonts w:ascii="Arial" w:eastAsia="SimSun" w:hAnsi="Arial" w:cs="Arial"/>
          <w:b/>
          <w:i/>
          <w:iCs/>
          <w:sz w:val="24"/>
          <w:szCs w:val="24"/>
          <w:lang w:val="ro-RO"/>
        </w:rPr>
      </w:pPr>
    </w:p>
    <w:p w:rsidR="004B269B" w:rsidRPr="004B269B" w:rsidRDefault="004B269B" w:rsidP="004B269B">
      <w:pPr>
        <w:spacing w:after="0" w:line="240" w:lineRule="auto"/>
        <w:jc w:val="both"/>
        <w:rPr>
          <w:rFonts w:ascii="Arial" w:eastAsia="SimSun" w:hAnsi="Arial" w:cs="Arial"/>
          <w:b/>
          <w:i/>
          <w:iCs/>
          <w:sz w:val="24"/>
          <w:szCs w:val="24"/>
          <w:lang w:val="ro-RO"/>
        </w:rPr>
      </w:pPr>
    </w:p>
    <w:p w:rsidR="004B269B" w:rsidRPr="004B269B" w:rsidRDefault="004B269B" w:rsidP="004B269B">
      <w:pPr>
        <w:spacing w:after="0" w:line="240" w:lineRule="auto"/>
        <w:jc w:val="both"/>
        <w:rPr>
          <w:rFonts w:ascii="Arial" w:eastAsia="SimSun" w:hAnsi="Arial" w:cs="Arial"/>
          <w:b/>
          <w:i/>
          <w:iCs/>
          <w:sz w:val="24"/>
          <w:szCs w:val="24"/>
          <w:lang w:val="ro-RO"/>
        </w:rPr>
      </w:pPr>
    </w:p>
    <w:p w:rsidR="004B269B" w:rsidRPr="004B269B" w:rsidRDefault="004B269B" w:rsidP="004B269B">
      <w:pPr>
        <w:spacing w:after="0" w:line="240" w:lineRule="auto"/>
        <w:jc w:val="both"/>
        <w:rPr>
          <w:rFonts w:ascii="Arial" w:eastAsia="SimSun" w:hAnsi="Arial" w:cs="Arial"/>
          <w:b/>
          <w:i/>
          <w:iCs/>
          <w:sz w:val="24"/>
          <w:szCs w:val="24"/>
          <w:lang w:val="ro-RO"/>
        </w:rPr>
      </w:pPr>
    </w:p>
    <w:p w:rsidR="004B269B" w:rsidRPr="004B269B" w:rsidRDefault="004B269B" w:rsidP="004B269B">
      <w:pPr>
        <w:spacing w:after="0" w:line="240" w:lineRule="auto"/>
        <w:jc w:val="both"/>
        <w:rPr>
          <w:rFonts w:ascii="Arial" w:eastAsia="SimSun" w:hAnsi="Arial" w:cs="Arial"/>
          <w:b/>
          <w:i/>
          <w:iCs/>
          <w:sz w:val="24"/>
          <w:szCs w:val="24"/>
          <w:lang w:val="ro-RO"/>
        </w:rPr>
      </w:pPr>
    </w:p>
    <w:p w:rsidR="00F2181A" w:rsidRPr="00F2046E" w:rsidRDefault="00F2181A" w:rsidP="00F2046E">
      <w:pPr>
        <w:spacing w:after="0" w:line="240" w:lineRule="auto"/>
        <w:jc w:val="center"/>
        <w:rPr>
          <w:rFonts w:ascii="Arial" w:eastAsia="Times New Roman" w:hAnsi="Arial" w:cs="Arial"/>
          <w:b/>
          <w:sz w:val="24"/>
          <w:szCs w:val="26"/>
          <w:lang w:val="ro-RO"/>
        </w:rPr>
      </w:pPr>
    </w:p>
    <w:p w:rsidR="00F2046E" w:rsidRPr="00F2046E" w:rsidRDefault="00F2046E" w:rsidP="00F2046E">
      <w:pPr>
        <w:spacing w:after="0" w:line="240" w:lineRule="auto"/>
        <w:jc w:val="center"/>
        <w:rPr>
          <w:rFonts w:ascii="Arial" w:eastAsia="Times New Roman" w:hAnsi="Arial" w:cs="Arial"/>
          <w:b/>
          <w:sz w:val="24"/>
          <w:szCs w:val="26"/>
          <w:lang w:val="ro-RO"/>
        </w:rPr>
      </w:pPr>
    </w:p>
    <w:p w:rsidR="00830DBB" w:rsidRPr="00830DBB" w:rsidRDefault="00830DBB" w:rsidP="00830DBB">
      <w:pPr>
        <w:spacing w:after="0" w:line="360" w:lineRule="auto"/>
        <w:jc w:val="center"/>
        <w:rPr>
          <w:rFonts w:ascii="Arial" w:eastAsia="SimSun" w:hAnsi="Arial" w:cs="Arial"/>
          <w:b/>
          <w:sz w:val="24"/>
          <w:szCs w:val="24"/>
          <w:lang w:val="ro-RO"/>
        </w:rPr>
      </w:pPr>
      <w:r w:rsidRPr="00830DBB">
        <w:rPr>
          <w:rFonts w:ascii="Arial" w:eastAsia="SimSun" w:hAnsi="Arial" w:cs="Arial"/>
          <w:b/>
          <w:sz w:val="24"/>
          <w:szCs w:val="24"/>
          <w:lang w:val="ro-RO"/>
        </w:rPr>
        <w:lastRenderedPageBreak/>
        <w:t>CAPITOLUL III. SOLUL</w:t>
      </w:r>
    </w:p>
    <w:p w:rsidR="00830DBB" w:rsidRPr="00830DBB" w:rsidRDefault="00830DBB" w:rsidP="00830DBB">
      <w:pPr>
        <w:spacing w:after="0" w:line="240" w:lineRule="auto"/>
        <w:jc w:val="center"/>
        <w:rPr>
          <w:rFonts w:ascii="Arial" w:eastAsia="SimSun" w:hAnsi="Arial" w:cs="Arial"/>
          <w:b/>
          <w:sz w:val="24"/>
          <w:szCs w:val="24"/>
          <w:lang w:val="ro-RO"/>
        </w:rPr>
      </w:pPr>
    </w:p>
    <w:p w:rsidR="00830DBB" w:rsidRPr="00830DBB" w:rsidRDefault="00830DBB" w:rsidP="00830DBB">
      <w:pPr>
        <w:spacing w:after="0" w:line="240" w:lineRule="auto"/>
        <w:rPr>
          <w:rFonts w:ascii="Arial" w:eastAsia="SimSun" w:hAnsi="Arial" w:cs="Arial"/>
          <w:b/>
          <w:sz w:val="24"/>
          <w:szCs w:val="24"/>
          <w:lang w:val="ro-RO"/>
        </w:rPr>
      </w:pPr>
      <w:r w:rsidRPr="00830DBB">
        <w:rPr>
          <w:rFonts w:ascii="Arial" w:eastAsia="SimSun" w:hAnsi="Arial" w:cs="Arial"/>
          <w:b/>
          <w:sz w:val="24"/>
          <w:szCs w:val="24"/>
          <w:lang w:val="ro-RO"/>
        </w:rPr>
        <w:tab/>
      </w:r>
    </w:p>
    <w:p w:rsidR="00830DBB" w:rsidRPr="00830DBB" w:rsidRDefault="00830DBB" w:rsidP="00830DBB">
      <w:pPr>
        <w:spacing w:after="0" w:line="240" w:lineRule="auto"/>
        <w:jc w:val="both"/>
        <w:rPr>
          <w:rFonts w:ascii="Arial" w:eastAsia="SimSun" w:hAnsi="Arial" w:cs="Arial"/>
          <w:b/>
          <w:color w:val="000000" w:themeColor="text1"/>
          <w:sz w:val="24"/>
          <w:szCs w:val="24"/>
          <w:lang w:val="ro-RO"/>
        </w:rPr>
      </w:pPr>
      <w:r w:rsidRPr="00830DBB">
        <w:rPr>
          <w:rFonts w:ascii="Arial" w:eastAsia="SimSun" w:hAnsi="Arial" w:cs="Arial"/>
          <w:b/>
          <w:color w:val="000000" w:themeColor="text1"/>
          <w:sz w:val="24"/>
          <w:szCs w:val="24"/>
          <w:lang w:val="ro-RO"/>
        </w:rPr>
        <w:t xml:space="preserve">III.1. Calitatea solurilor: stare şi tendinţe  </w:t>
      </w:r>
      <w:r w:rsidRPr="00830DBB">
        <w:rPr>
          <w:rFonts w:ascii="Arial" w:eastAsia="SimSun" w:hAnsi="Arial" w:cs="Arial"/>
          <w:b/>
          <w:color w:val="000000" w:themeColor="text1"/>
          <w:sz w:val="24"/>
          <w:szCs w:val="24"/>
          <w:lang w:val="ro-RO"/>
        </w:rPr>
        <w:tab/>
      </w:r>
    </w:p>
    <w:p w:rsidR="00830DBB" w:rsidRPr="00830DBB" w:rsidRDefault="00830DBB" w:rsidP="00830DBB">
      <w:pPr>
        <w:spacing w:after="0" w:line="240" w:lineRule="auto"/>
        <w:jc w:val="both"/>
        <w:rPr>
          <w:rFonts w:ascii="Arial" w:eastAsia="SimSun" w:hAnsi="Arial" w:cs="Arial"/>
          <w:b/>
          <w:color w:val="000000" w:themeColor="text1"/>
          <w:sz w:val="24"/>
          <w:szCs w:val="24"/>
          <w:lang w:val="ro-RO"/>
        </w:rPr>
      </w:pPr>
    </w:p>
    <w:p w:rsidR="00830DBB" w:rsidRPr="00830DBB" w:rsidRDefault="00830DBB" w:rsidP="00E264EC">
      <w:pPr>
        <w:autoSpaceDE w:val="0"/>
        <w:autoSpaceDN w:val="0"/>
        <w:adjustRightInd w:val="0"/>
        <w:spacing w:after="0" w:line="240" w:lineRule="auto"/>
        <w:ind w:firstLine="720"/>
        <w:jc w:val="both"/>
        <w:rPr>
          <w:rFonts w:ascii="Arial" w:eastAsia="Times New Roman" w:hAnsi="Arial" w:cs="Arial"/>
          <w:color w:val="000000" w:themeColor="text1"/>
          <w:sz w:val="24"/>
          <w:szCs w:val="24"/>
        </w:rPr>
      </w:pPr>
      <w:r w:rsidRPr="00830DBB">
        <w:rPr>
          <w:rFonts w:ascii="Arial" w:eastAsia="Times New Roman" w:hAnsi="Arial" w:cs="Arial"/>
          <w:color w:val="000000" w:themeColor="text1"/>
          <w:sz w:val="24"/>
          <w:szCs w:val="24"/>
        </w:rPr>
        <w:t xml:space="preserve">Solul este </w:t>
      </w:r>
      <w:r w:rsidRPr="00830DBB">
        <w:rPr>
          <w:rFonts w:ascii="Arial" w:eastAsia="Times New Roman" w:hAnsi="Arial" w:cs="Arial"/>
          <w:bCs/>
          <w:color w:val="000000" w:themeColor="text1"/>
          <w:sz w:val="24"/>
          <w:szCs w:val="24"/>
        </w:rPr>
        <w:t xml:space="preserve">menţinătorul biodiversităţii genetice, </w:t>
      </w:r>
      <w:r w:rsidRPr="00830DBB">
        <w:rPr>
          <w:rFonts w:ascii="Arial" w:eastAsia="Times New Roman" w:hAnsi="Arial" w:cs="Arial"/>
          <w:color w:val="000000" w:themeColor="text1"/>
          <w:sz w:val="24"/>
          <w:szCs w:val="24"/>
        </w:rPr>
        <w:t xml:space="preserve">a bogatului spectru de fiinţe vii, </w:t>
      </w:r>
      <w:r w:rsidRPr="00830DBB">
        <w:rPr>
          <w:rFonts w:ascii="Arial" w:eastAsia="Times New Roman" w:hAnsi="Arial" w:cs="Arial"/>
          <w:i/>
          <w:iCs/>
          <w:color w:val="000000" w:themeColor="text1"/>
          <w:sz w:val="24"/>
          <w:szCs w:val="24"/>
        </w:rPr>
        <w:t>fiecare specie fiind depozitarul unor gene</w:t>
      </w:r>
      <w:r w:rsidRPr="00830DBB">
        <w:rPr>
          <w:rFonts w:ascii="Arial" w:eastAsia="Times New Roman" w:hAnsi="Arial" w:cs="Arial"/>
          <w:color w:val="000000" w:themeColor="text1"/>
          <w:sz w:val="24"/>
          <w:szCs w:val="24"/>
        </w:rPr>
        <w:t xml:space="preserve"> </w:t>
      </w:r>
      <w:r w:rsidRPr="00830DBB">
        <w:rPr>
          <w:rFonts w:ascii="Arial" w:eastAsia="Times New Roman" w:hAnsi="Arial" w:cs="Arial"/>
          <w:i/>
          <w:iCs/>
          <w:color w:val="000000" w:themeColor="text1"/>
          <w:sz w:val="24"/>
          <w:szCs w:val="24"/>
        </w:rPr>
        <w:t xml:space="preserve">valoroase </w:t>
      </w:r>
      <w:r w:rsidRPr="00830DBB">
        <w:rPr>
          <w:rFonts w:ascii="Arial" w:eastAsia="Times New Roman" w:hAnsi="Arial" w:cs="Arial"/>
          <w:color w:val="000000" w:themeColor="text1"/>
          <w:sz w:val="24"/>
          <w:szCs w:val="24"/>
        </w:rPr>
        <w:t>care au oferit şi continuă să ofere posibilităţi creatoare pentru îmbunătăţirea calităţii vieţii şi sănătăţii.</w:t>
      </w:r>
    </w:p>
    <w:p w:rsidR="00830DBB" w:rsidRPr="00830DBB" w:rsidRDefault="00830DBB" w:rsidP="00E264EC">
      <w:pPr>
        <w:spacing w:after="0" w:line="240" w:lineRule="auto"/>
        <w:ind w:firstLine="720"/>
        <w:jc w:val="both"/>
        <w:rPr>
          <w:rFonts w:ascii="Arial" w:eastAsia="Times New Roman" w:hAnsi="Arial" w:cs="Arial"/>
          <w:color w:val="000000" w:themeColor="text1"/>
          <w:sz w:val="24"/>
          <w:szCs w:val="24"/>
        </w:rPr>
      </w:pPr>
      <w:r w:rsidRPr="00830DBB">
        <w:rPr>
          <w:rFonts w:ascii="Arial" w:eastAsia="Times New Roman" w:hAnsi="Arial" w:cs="Arial"/>
          <w:color w:val="000000" w:themeColor="text1"/>
          <w:sz w:val="24"/>
          <w:szCs w:val="24"/>
        </w:rPr>
        <w:t>Dintre resursele indispensabile vieţii pe Terra, solul îşi dispută supremaţia cu resursele de apă, aer şi biodiversitate, cu care „cooperează“ benefic, asigurând suportul material existenţial şi evolutiv pentru om, plante şi animale.</w:t>
      </w:r>
    </w:p>
    <w:p w:rsidR="00830DBB" w:rsidRPr="00830DBB" w:rsidRDefault="00830DBB" w:rsidP="00E264EC">
      <w:pPr>
        <w:spacing w:after="0" w:line="240" w:lineRule="auto"/>
        <w:ind w:firstLine="720"/>
        <w:jc w:val="both"/>
        <w:rPr>
          <w:rFonts w:ascii="Arial" w:eastAsia="Times New Roman" w:hAnsi="Arial" w:cs="Arial"/>
          <w:color w:val="000000" w:themeColor="text1"/>
          <w:sz w:val="24"/>
          <w:szCs w:val="24"/>
        </w:rPr>
      </w:pPr>
      <w:r w:rsidRPr="00830DBB">
        <w:rPr>
          <w:rFonts w:ascii="Arial" w:eastAsia="Times New Roman" w:hAnsi="Arial" w:cs="Arial"/>
          <w:color w:val="000000" w:themeColor="text1"/>
          <w:sz w:val="24"/>
          <w:szCs w:val="24"/>
        </w:rPr>
        <w:t xml:space="preserve">Prin capacităţile sale de „memorare“, solul reflectă impactul climei, florei, faunei, activităţii antropice şi topografiei asupra materialului parental din care s-a format în perioade variabile de timp, constituind astfel un indicator al caracteristicilor şi evoluţiei mediului. </w:t>
      </w:r>
      <w:r w:rsidRPr="00830DBB">
        <w:rPr>
          <w:rFonts w:ascii="Arial" w:eastAsia="SimSun" w:hAnsi="Arial" w:cs="Arial"/>
          <w:color w:val="000000" w:themeColor="text1"/>
          <w:sz w:val="20"/>
          <w:szCs w:val="20"/>
          <w:lang w:val="ro-RO"/>
        </w:rPr>
        <w:t xml:space="preserve">(Sursa: </w:t>
      </w:r>
      <w:r w:rsidRPr="00830DBB">
        <w:rPr>
          <w:rFonts w:ascii="Arial" w:eastAsia="SimSun" w:hAnsi="Arial" w:cs="Arial"/>
          <w:color w:val="000000" w:themeColor="text1"/>
          <w:sz w:val="20"/>
          <w:szCs w:val="20"/>
          <w:lang w:val="en-GB"/>
        </w:rPr>
        <w:t>Cristian Hera - Revista Lumea Satului, nr.16, 2009</w:t>
      </w:r>
      <w:r w:rsidRPr="00830DBB">
        <w:rPr>
          <w:rFonts w:ascii="Arial" w:eastAsia="SimSun" w:hAnsi="Arial" w:cs="Arial"/>
          <w:color w:val="000000" w:themeColor="text1"/>
          <w:sz w:val="24"/>
          <w:szCs w:val="24"/>
          <w:lang w:val="en-GB"/>
        </w:rPr>
        <w:t xml:space="preserve">) </w:t>
      </w:r>
    </w:p>
    <w:p w:rsidR="00830DBB" w:rsidRPr="00830DBB" w:rsidRDefault="00830DBB" w:rsidP="00830DBB">
      <w:pPr>
        <w:tabs>
          <w:tab w:val="left" w:pos="1276"/>
        </w:tabs>
        <w:spacing w:after="0" w:line="240" w:lineRule="auto"/>
        <w:rPr>
          <w:rFonts w:ascii="Arial" w:eastAsia="SimSun" w:hAnsi="Arial" w:cs="Arial"/>
          <w:i/>
          <w:color w:val="000000" w:themeColor="text1"/>
          <w:sz w:val="24"/>
          <w:szCs w:val="24"/>
          <w:lang w:val="ro-RO"/>
        </w:rPr>
      </w:pPr>
    </w:p>
    <w:p w:rsidR="00830DBB" w:rsidRPr="00830DBB" w:rsidRDefault="00830DBB" w:rsidP="00830DBB">
      <w:pPr>
        <w:tabs>
          <w:tab w:val="left" w:pos="1276"/>
        </w:tabs>
        <w:spacing w:after="0" w:line="240" w:lineRule="auto"/>
        <w:rPr>
          <w:rFonts w:ascii="Arial" w:eastAsia="SimSun" w:hAnsi="Arial" w:cs="Arial"/>
          <w:i/>
          <w:color w:val="FF0000"/>
          <w:sz w:val="24"/>
          <w:szCs w:val="24"/>
          <w:lang w:val="ro-RO"/>
        </w:rPr>
      </w:pPr>
    </w:p>
    <w:p w:rsidR="00830DBB" w:rsidRPr="00830DBB" w:rsidRDefault="00830DBB" w:rsidP="00830DBB">
      <w:pPr>
        <w:tabs>
          <w:tab w:val="left" w:pos="1276"/>
        </w:tabs>
        <w:spacing w:after="0" w:line="240" w:lineRule="auto"/>
        <w:rPr>
          <w:rFonts w:ascii="Arial" w:eastAsia="SimSun" w:hAnsi="Arial" w:cs="Arial"/>
          <w:b/>
          <w:i/>
          <w:color w:val="000000" w:themeColor="text1"/>
          <w:sz w:val="24"/>
          <w:szCs w:val="24"/>
          <w:lang w:val="ro-RO"/>
        </w:rPr>
      </w:pPr>
      <w:r w:rsidRPr="00830DBB">
        <w:rPr>
          <w:rFonts w:ascii="Arial" w:eastAsia="SimSun" w:hAnsi="Arial" w:cs="Arial"/>
          <w:b/>
          <w:i/>
          <w:color w:val="000000" w:themeColor="text1"/>
          <w:sz w:val="24"/>
          <w:szCs w:val="24"/>
          <w:lang w:val="ro-RO"/>
        </w:rPr>
        <w:t xml:space="preserve">III.1.1. Repartiţia terenurilor pe clase de calitate </w:t>
      </w:r>
    </w:p>
    <w:p w:rsidR="00830DBB" w:rsidRPr="00830DBB" w:rsidRDefault="00830DBB" w:rsidP="00830DBB">
      <w:pPr>
        <w:tabs>
          <w:tab w:val="left" w:pos="1276"/>
        </w:tabs>
        <w:spacing w:after="0" w:line="240" w:lineRule="auto"/>
        <w:rPr>
          <w:rFonts w:ascii="Arial" w:eastAsia="SimSun" w:hAnsi="Arial" w:cs="Arial"/>
          <w:i/>
          <w:color w:val="000000" w:themeColor="text1"/>
          <w:sz w:val="24"/>
          <w:szCs w:val="24"/>
          <w:lang w:val="ro-RO"/>
        </w:rPr>
      </w:pPr>
    </w:p>
    <w:p w:rsidR="00830DBB" w:rsidRPr="00830DBB" w:rsidRDefault="00830DBB" w:rsidP="00830DBB">
      <w:pPr>
        <w:tabs>
          <w:tab w:val="left" w:pos="1276"/>
        </w:tabs>
        <w:spacing w:after="0" w:line="240" w:lineRule="auto"/>
        <w:jc w:val="both"/>
        <w:rPr>
          <w:rFonts w:ascii="Arial" w:eastAsia="TrebuchetMS" w:hAnsi="Arial" w:cs="Arial"/>
          <w:color w:val="000000" w:themeColor="text1"/>
          <w:sz w:val="24"/>
          <w:szCs w:val="24"/>
        </w:rPr>
      </w:pPr>
      <w:r w:rsidRPr="00830DBB">
        <w:rPr>
          <w:rFonts w:ascii="Arial" w:eastAsia="SimSun" w:hAnsi="Arial" w:cs="Arial"/>
          <w:i/>
          <w:color w:val="000000" w:themeColor="text1"/>
          <w:sz w:val="24"/>
          <w:szCs w:val="24"/>
          <w:lang w:val="ro-RO"/>
        </w:rPr>
        <w:t xml:space="preserve">            </w:t>
      </w:r>
      <w:r w:rsidRPr="00830DBB">
        <w:rPr>
          <w:rFonts w:ascii="Arial" w:eastAsia="TrebuchetMS" w:hAnsi="Arial" w:cs="Arial"/>
          <w:color w:val="000000" w:themeColor="text1"/>
          <w:sz w:val="24"/>
          <w:szCs w:val="24"/>
        </w:rPr>
        <w:t>Repartiţia solurilor este stâns legată de climă şi vegetaţie, dar şi de structura litologică. Profunzimea solurilor scade odată cu panta şi altitudinea, influenţând în acest fel bonitatea staţiunii, tipul şi complexitatea ecosistemelor.</w:t>
      </w:r>
    </w:p>
    <w:p w:rsidR="00830DBB" w:rsidRPr="00830DBB" w:rsidRDefault="00830DBB" w:rsidP="00E264EC">
      <w:pPr>
        <w:spacing w:after="0" w:line="240" w:lineRule="auto"/>
        <w:ind w:right="-235" w:firstLine="720"/>
        <w:jc w:val="both"/>
        <w:rPr>
          <w:rFonts w:ascii="Arial" w:eastAsia="SimSun" w:hAnsi="Arial" w:cs="Arial"/>
          <w:color w:val="000000" w:themeColor="text1"/>
          <w:sz w:val="24"/>
          <w:szCs w:val="24"/>
          <w:lang w:val="ro-RO"/>
        </w:rPr>
      </w:pPr>
      <w:r w:rsidRPr="00830DBB">
        <w:rPr>
          <w:rFonts w:ascii="Arial" w:eastAsia="SimSun" w:hAnsi="Arial" w:cs="Arial"/>
          <w:color w:val="000000" w:themeColor="text1"/>
          <w:sz w:val="24"/>
          <w:szCs w:val="24"/>
          <w:lang w:val="ro-RO"/>
        </w:rPr>
        <w:t xml:space="preserve">Analizând repartiţia terenurilor agricole, din judeţul Vaslui, din punct de vedere al categoriilor de folosinţe, rezultă că din suprafaţa totală de teren agricol de </w:t>
      </w:r>
      <w:r w:rsidRPr="00830DBB">
        <w:rPr>
          <w:rFonts w:ascii="Arial" w:eastAsia="SimSun" w:hAnsi="Arial" w:cs="Arial"/>
          <w:b/>
          <w:color w:val="000000" w:themeColor="text1"/>
          <w:sz w:val="24"/>
          <w:szCs w:val="24"/>
          <w:lang w:val="es-ES"/>
        </w:rPr>
        <w:t xml:space="preserve">401.250 </w:t>
      </w:r>
      <w:r w:rsidRPr="00830DBB">
        <w:rPr>
          <w:rFonts w:ascii="Arial" w:eastAsia="SimSun" w:hAnsi="Arial" w:cs="Arial"/>
          <w:color w:val="000000" w:themeColor="text1"/>
          <w:sz w:val="24"/>
          <w:szCs w:val="24"/>
          <w:lang w:val="ro-RO"/>
        </w:rPr>
        <w:t>ha este reprezentată: de terenul arabil 72,89%, de păşuni 21,5%, 1,97% fâneţe şi pajişti naturale, vii 2,96% şi 0,68% de livezi.</w:t>
      </w:r>
    </w:p>
    <w:p w:rsidR="00830DBB" w:rsidRPr="00830DBB" w:rsidRDefault="00830DBB" w:rsidP="00830DBB">
      <w:pPr>
        <w:spacing w:after="0" w:line="240" w:lineRule="auto"/>
        <w:ind w:right="-235"/>
        <w:jc w:val="both"/>
        <w:rPr>
          <w:rFonts w:ascii="Arial" w:eastAsia="SimSun" w:hAnsi="Arial" w:cs="Arial"/>
          <w:color w:val="000000" w:themeColor="text1"/>
          <w:sz w:val="24"/>
          <w:szCs w:val="24"/>
          <w:lang w:val="ro-RO"/>
        </w:rPr>
      </w:pPr>
    </w:p>
    <w:p w:rsidR="00830DBB" w:rsidRPr="00830DBB" w:rsidRDefault="00830DBB" w:rsidP="00830DBB">
      <w:pPr>
        <w:spacing w:after="0" w:line="240" w:lineRule="auto"/>
        <w:rPr>
          <w:rFonts w:ascii="Arial" w:eastAsia="SimSun" w:hAnsi="Arial" w:cs="Arial"/>
          <w:color w:val="000000" w:themeColor="text1"/>
          <w:sz w:val="24"/>
          <w:szCs w:val="24"/>
          <w:lang w:val="ro-RO"/>
        </w:rPr>
      </w:pPr>
      <w:r w:rsidRPr="00830DBB">
        <w:rPr>
          <w:rFonts w:ascii="Arial" w:eastAsia="SimSun" w:hAnsi="Arial" w:cs="Arial"/>
          <w:color w:val="000000" w:themeColor="text1"/>
          <w:sz w:val="24"/>
          <w:szCs w:val="24"/>
          <w:lang w:val="ro-RO"/>
        </w:rPr>
        <w:t xml:space="preserve">Figura </w:t>
      </w:r>
      <w:r w:rsidRPr="00830DBB">
        <w:rPr>
          <w:rFonts w:ascii="Arial" w:eastAsia="SimSun" w:hAnsi="Arial" w:cs="Arial"/>
          <w:color w:val="000000" w:themeColor="text1"/>
          <w:sz w:val="24"/>
          <w:szCs w:val="24"/>
          <w:lang w:val="en-GB"/>
        </w:rPr>
        <w:t xml:space="preserve">III.1. </w:t>
      </w:r>
      <w:r w:rsidRPr="00830DBB">
        <w:rPr>
          <w:rFonts w:ascii="Arial" w:eastAsia="SimSun" w:hAnsi="Arial" w:cs="Arial"/>
          <w:color w:val="000000" w:themeColor="text1"/>
          <w:sz w:val="24"/>
          <w:szCs w:val="24"/>
          <w:lang w:val="ro-RO"/>
        </w:rPr>
        <w:t>Ponderea terenurilor agricole pe tipuri de folosinţe în judeţul Vaslui, în anul 2015</w:t>
      </w:r>
    </w:p>
    <w:p w:rsidR="00830DBB" w:rsidRPr="00830DBB" w:rsidRDefault="00830DBB" w:rsidP="00830DBB">
      <w:pPr>
        <w:keepNext/>
        <w:spacing w:after="0" w:line="240" w:lineRule="auto"/>
        <w:jc w:val="both"/>
        <w:outlineLvl w:val="0"/>
        <w:rPr>
          <w:rFonts w:ascii="Arial" w:eastAsia="Times New Roman" w:hAnsi="Arial" w:cs="Arial"/>
          <w:color w:val="000000"/>
          <w:sz w:val="24"/>
          <w:szCs w:val="24"/>
          <w:lang w:eastAsia="ro-RO"/>
        </w:rPr>
      </w:pPr>
      <w:r w:rsidRPr="00830DBB">
        <w:rPr>
          <w:rFonts w:ascii="Arial" w:eastAsia="Times New Roman" w:hAnsi="Arial" w:cs="Arial"/>
          <w:b/>
          <w:noProof/>
          <w:color w:val="000000"/>
          <w:sz w:val="28"/>
          <w:szCs w:val="20"/>
        </w:rPr>
        <w:drawing>
          <wp:inline distT="0" distB="0" distL="0" distR="0" wp14:anchorId="24DD6A70" wp14:editId="5D491DB5">
            <wp:extent cx="6029325" cy="2143125"/>
            <wp:effectExtent l="0" t="0" r="0" b="0"/>
            <wp:docPr id="207" name="Chart 20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830DBB" w:rsidRPr="00830DBB" w:rsidRDefault="00830DBB" w:rsidP="00830DBB">
      <w:pPr>
        <w:keepNext/>
        <w:spacing w:after="0" w:line="240" w:lineRule="auto"/>
        <w:jc w:val="both"/>
        <w:outlineLvl w:val="0"/>
        <w:rPr>
          <w:rFonts w:ascii="Arial" w:eastAsia="Times New Roman" w:hAnsi="Arial" w:cs="Arial"/>
          <w:color w:val="000000"/>
          <w:sz w:val="24"/>
          <w:szCs w:val="24"/>
          <w:lang w:eastAsia="ro-RO"/>
        </w:rPr>
      </w:pPr>
    </w:p>
    <w:p w:rsidR="00830DBB" w:rsidRDefault="00830DBB" w:rsidP="00830DBB">
      <w:pPr>
        <w:spacing w:after="0" w:line="240" w:lineRule="auto"/>
        <w:rPr>
          <w:rFonts w:ascii="Times New Roman" w:eastAsia="SimSun" w:hAnsi="Times New Roman" w:cs="Times New Roman"/>
          <w:sz w:val="24"/>
          <w:szCs w:val="24"/>
          <w:lang w:eastAsia="ro-RO"/>
        </w:rPr>
      </w:pPr>
    </w:p>
    <w:p w:rsidR="00E264EC" w:rsidRPr="00830DBB" w:rsidRDefault="00E264EC" w:rsidP="00830DBB">
      <w:pPr>
        <w:spacing w:after="0" w:line="240" w:lineRule="auto"/>
        <w:rPr>
          <w:rFonts w:ascii="Times New Roman" w:eastAsia="SimSun" w:hAnsi="Times New Roman" w:cs="Times New Roman"/>
          <w:sz w:val="24"/>
          <w:szCs w:val="24"/>
          <w:lang w:eastAsia="ro-RO"/>
        </w:rPr>
      </w:pPr>
    </w:p>
    <w:p w:rsidR="00830DBB" w:rsidRPr="00830DBB" w:rsidRDefault="00830DBB" w:rsidP="00830DBB">
      <w:pPr>
        <w:keepNext/>
        <w:spacing w:after="0" w:line="240" w:lineRule="auto"/>
        <w:jc w:val="both"/>
        <w:outlineLvl w:val="0"/>
        <w:rPr>
          <w:rFonts w:ascii="Arial" w:eastAsia="Times New Roman" w:hAnsi="Arial" w:cs="Arial"/>
          <w:bCs/>
          <w:color w:val="000000" w:themeColor="text1"/>
          <w:sz w:val="24"/>
          <w:szCs w:val="24"/>
          <w:lang w:eastAsia="ro-RO"/>
        </w:rPr>
      </w:pPr>
      <w:r w:rsidRPr="00830DBB">
        <w:rPr>
          <w:rFonts w:ascii="Arial" w:eastAsia="Times New Roman" w:hAnsi="Arial" w:cs="Arial"/>
          <w:color w:val="000000" w:themeColor="text1"/>
          <w:sz w:val="24"/>
          <w:szCs w:val="24"/>
          <w:lang w:eastAsia="ro-RO"/>
        </w:rPr>
        <w:lastRenderedPageBreak/>
        <w:t xml:space="preserve">Tabelul III.1. Evoluţia repartiţiei terenurilor agricole pe tipuri de folosinţe </w:t>
      </w:r>
      <w:r w:rsidRPr="00830DBB">
        <w:rPr>
          <w:rFonts w:ascii="Arial" w:eastAsia="Times New Roman" w:hAnsi="Arial" w:cs="Arial"/>
          <w:bCs/>
          <w:color w:val="000000" w:themeColor="text1"/>
          <w:sz w:val="24"/>
          <w:szCs w:val="24"/>
          <w:lang w:eastAsia="ro-RO"/>
        </w:rPr>
        <w:t xml:space="preserve">în judeţul Vaslui, în perioada 2011 – 2015 </w:t>
      </w:r>
    </w:p>
    <w:tbl>
      <w:tblPr>
        <w:tblW w:w="97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2835"/>
        <w:gridCol w:w="1276"/>
        <w:gridCol w:w="1134"/>
        <w:gridCol w:w="1134"/>
        <w:gridCol w:w="1134"/>
        <w:gridCol w:w="1131"/>
      </w:tblGrid>
      <w:tr w:rsidR="00830DBB" w:rsidRPr="00830DBB" w:rsidTr="00080B9C">
        <w:trPr>
          <w:trHeight w:val="222"/>
        </w:trPr>
        <w:tc>
          <w:tcPr>
            <w:tcW w:w="1134" w:type="dxa"/>
            <w:vMerge w:val="restart"/>
            <w:vAlign w:val="center"/>
          </w:tcPr>
          <w:p w:rsidR="00830DBB" w:rsidRPr="00830DBB" w:rsidRDefault="00830DBB" w:rsidP="00830DBB">
            <w:pPr>
              <w:spacing w:after="0" w:line="240" w:lineRule="auto"/>
              <w:jc w:val="center"/>
              <w:rPr>
                <w:rFonts w:ascii="Arial" w:eastAsia="SimSun" w:hAnsi="Arial" w:cs="Arial"/>
                <w:b/>
                <w:bCs/>
                <w:color w:val="000000" w:themeColor="text1"/>
                <w:sz w:val="24"/>
                <w:szCs w:val="24"/>
                <w:lang w:val="en-GB"/>
              </w:rPr>
            </w:pPr>
            <w:r w:rsidRPr="00830DBB">
              <w:rPr>
                <w:rFonts w:ascii="Arial" w:eastAsia="SimSun" w:hAnsi="Arial" w:cs="Arial"/>
                <w:b/>
                <w:bCs/>
                <w:color w:val="000000" w:themeColor="text1"/>
                <w:sz w:val="24"/>
                <w:szCs w:val="24"/>
                <w:lang w:val="en-GB"/>
              </w:rPr>
              <w:t>Nr. crt.</w:t>
            </w:r>
          </w:p>
        </w:tc>
        <w:tc>
          <w:tcPr>
            <w:tcW w:w="2835" w:type="dxa"/>
            <w:vMerge w:val="restart"/>
            <w:vAlign w:val="center"/>
          </w:tcPr>
          <w:p w:rsidR="00830DBB" w:rsidRPr="00830DBB" w:rsidRDefault="00830DBB" w:rsidP="00830DBB">
            <w:pPr>
              <w:spacing w:after="0" w:line="240" w:lineRule="auto"/>
              <w:jc w:val="center"/>
              <w:rPr>
                <w:rFonts w:ascii="Arial" w:eastAsia="SimSun" w:hAnsi="Arial" w:cs="Arial"/>
                <w:b/>
                <w:bCs/>
                <w:color w:val="000000" w:themeColor="text1"/>
                <w:sz w:val="24"/>
                <w:szCs w:val="24"/>
                <w:lang w:val="fr-FR"/>
              </w:rPr>
            </w:pPr>
            <w:r w:rsidRPr="00830DBB">
              <w:rPr>
                <w:rFonts w:ascii="Arial" w:eastAsia="SimSun" w:hAnsi="Arial" w:cs="Arial"/>
                <w:b/>
                <w:bCs/>
                <w:color w:val="000000" w:themeColor="text1"/>
                <w:sz w:val="24"/>
                <w:szCs w:val="24"/>
                <w:lang w:val="fr-FR"/>
              </w:rPr>
              <w:t>Categoria de folosinţã</w:t>
            </w:r>
          </w:p>
        </w:tc>
        <w:tc>
          <w:tcPr>
            <w:tcW w:w="5809" w:type="dxa"/>
            <w:gridSpan w:val="5"/>
            <w:shd w:val="clear" w:color="auto" w:fill="auto"/>
          </w:tcPr>
          <w:p w:rsidR="00830DBB" w:rsidRPr="00830DBB" w:rsidRDefault="00830DBB" w:rsidP="00830DBB">
            <w:pPr>
              <w:spacing w:after="0" w:line="240" w:lineRule="auto"/>
              <w:jc w:val="center"/>
              <w:rPr>
                <w:rFonts w:ascii="Arial" w:eastAsia="SimSun" w:hAnsi="Arial" w:cs="Arial"/>
                <w:b/>
                <w:color w:val="000000" w:themeColor="text1"/>
                <w:sz w:val="24"/>
                <w:szCs w:val="24"/>
                <w:lang w:val="it-IT"/>
              </w:rPr>
            </w:pPr>
            <w:r w:rsidRPr="00830DBB">
              <w:rPr>
                <w:rFonts w:ascii="Arial" w:eastAsia="SimSun" w:hAnsi="Arial" w:cs="Arial"/>
                <w:b/>
                <w:color w:val="000000" w:themeColor="text1"/>
                <w:sz w:val="24"/>
                <w:szCs w:val="24"/>
                <w:lang w:val="it-IT"/>
              </w:rPr>
              <w:t>Suprafa</w:t>
            </w:r>
            <w:r w:rsidRPr="00830DBB">
              <w:rPr>
                <w:rFonts w:ascii="Arial" w:eastAsia="SimSun" w:hAnsi="Arial" w:cs="Arial"/>
                <w:b/>
                <w:color w:val="000000" w:themeColor="text1"/>
                <w:sz w:val="24"/>
                <w:szCs w:val="24"/>
                <w:lang w:val="ro-RO"/>
              </w:rPr>
              <w:t>ţ</w:t>
            </w:r>
            <w:r w:rsidRPr="00830DBB">
              <w:rPr>
                <w:rFonts w:ascii="Arial" w:eastAsia="SimSun" w:hAnsi="Arial" w:cs="Arial"/>
                <w:b/>
                <w:color w:val="000000" w:themeColor="text1"/>
                <w:sz w:val="24"/>
                <w:szCs w:val="24"/>
                <w:lang w:val="it-IT"/>
              </w:rPr>
              <w:t>a (ha)</w:t>
            </w:r>
          </w:p>
        </w:tc>
      </w:tr>
      <w:tr w:rsidR="00830DBB" w:rsidRPr="00830DBB" w:rsidTr="00080B9C">
        <w:trPr>
          <w:trHeight w:val="149"/>
        </w:trPr>
        <w:tc>
          <w:tcPr>
            <w:tcW w:w="1134" w:type="dxa"/>
            <w:vMerge/>
            <w:vAlign w:val="center"/>
          </w:tcPr>
          <w:p w:rsidR="00830DBB" w:rsidRPr="00830DBB" w:rsidRDefault="00830DBB" w:rsidP="00830DBB">
            <w:pPr>
              <w:spacing w:after="0" w:line="240" w:lineRule="auto"/>
              <w:rPr>
                <w:rFonts w:ascii="Arial" w:eastAsia="SimSun" w:hAnsi="Arial" w:cs="Arial"/>
                <w:caps/>
                <w:color w:val="000000" w:themeColor="text1"/>
                <w:sz w:val="24"/>
                <w:szCs w:val="24"/>
                <w:lang w:val="fr-FR"/>
              </w:rPr>
            </w:pPr>
          </w:p>
        </w:tc>
        <w:tc>
          <w:tcPr>
            <w:tcW w:w="2835" w:type="dxa"/>
            <w:vMerge/>
            <w:vAlign w:val="center"/>
          </w:tcPr>
          <w:p w:rsidR="00830DBB" w:rsidRPr="00830DBB" w:rsidRDefault="00830DBB" w:rsidP="00830DBB">
            <w:pPr>
              <w:spacing w:after="0" w:line="240" w:lineRule="auto"/>
              <w:rPr>
                <w:rFonts w:ascii="Arial" w:eastAsia="SimSun" w:hAnsi="Arial" w:cs="Arial"/>
                <w:caps/>
                <w:color w:val="000000" w:themeColor="text1"/>
                <w:sz w:val="24"/>
                <w:szCs w:val="24"/>
                <w:lang w:val="fr-FR"/>
              </w:rPr>
            </w:pPr>
          </w:p>
        </w:tc>
        <w:tc>
          <w:tcPr>
            <w:tcW w:w="1276" w:type="dxa"/>
          </w:tcPr>
          <w:p w:rsidR="00830DBB" w:rsidRPr="00830DBB" w:rsidRDefault="00830DBB" w:rsidP="00830DBB">
            <w:pPr>
              <w:spacing w:after="0" w:line="240" w:lineRule="auto"/>
              <w:jc w:val="center"/>
              <w:rPr>
                <w:rFonts w:ascii="Arial" w:eastAsia="SimSun" w:hAnsi="Arial" w:cs="Arial"/>
                <w:b/>
                <w:bCs/>
                <w:caps/>
                <w:color w:val="000000" w:themeColor="text1"/>
                <w:sz w:val="24"/>
                <w:szCs w:val="24"/>
                <w:lang w:val="fr-FR"/>
              </w:rPr>
            </w:pPr>
            <w:r w:rsidRPr="00830DBB">
              <w:rPr>
                <w:rFonts w:ascii="Arial" w:eastAsia="SimSun" w:hAnsi="Arial" w:cs="Arial"/>
                <w:b/>
                <w:bCs/>
                <w:caps/>
                <w:color w:val="000000" w:themeColor="text1"/>
                <w:sz w:val="24"/>
                <w:szCs w:val="24"/>
                <w:lang w:val="fr-FR"/>
              </w:rPr>
              <w:t>2011</w:t>
            </w:r>
          </w:p>
        </w:tc>
        <w:tc>
          <w:tcPr>
            <w:tcW w:w="1134" w:type="dxa"/>
          </w:tcPr>
          <w:p w:rsidR="00830DBB" w:rsidRPr="00830DBB" w:rsidRDefault="00830DBB" w:rsidP="00830DBB">
            <w:pPr>
              <w:spacing w:after="0" w:line="240" w:lineRule="auto"/>
              <w:jc w:val="center"/>
              <w:rPr>
                <w:rFonts w:ascii="Arial" w:eastAsia="SimSun" w:hAnsi="Arial" w:cs="Arial"/>
                <w:b/>
                <w:bCs/>
                <w:caps/>
                <w:color w:val="000000" w:themeColor="text1"/>
                <w:sz w:val="24"/>
                <w:szCs w:val="24"/>
                <w:lang w:val="fr-FR"/>
              </w:rPr>
            </w:pPr>
            <w:r w:rsidRPr="00830DBB">
              <w:rPr>
                <w:rFonts w:ascii="Arial" w:eastAsia="SimSun" w:hAnsi="Arial" w:cs="Arial"/>
                <w:b/>
                <w:bCs/>
                <w:caps/>
                <w:color w:val="000000" w:themeColor="text1"/>
                <w:sz w:val="24"/>
                <w:szCs w:val="24"/>
                <w:lang w:val="fr-FR"/>
              </w:rPr>
              <w:t>2012</w:t>
            </w:r>
          </w:p>
        </w:tc>
        <w:tc>
          <w:tcPr>
            <w:tcW w:w="1134" w:type="dxa"/>
          </w:tcPr>
          <w:p w:rsidR="00830DBB" w:rsidRPr="00830DBB" w:rsidRDefault="00830DBB" w:rsidP="00830DBB">
            <w:pPr>
              <w:spacing w:after="0" w:line="240" w:lineRule="auto"/>
              <w:jc w:val="center"/>
              <w:rPr>
                <w:rFonts w:ascii="Arial" w:eastAsia="SimSun" w:hAnsi="Arial" w:cs="Arial"/>
                <w:b/>
                <w:bCs/>
                <w:caps/>
                <w:color w:val="000000" w:themeColor="text1"/>
                <w:sz w:val="24"/>
                <w:szCs w:val="24"/>
                <w:lang w:val="fr-FR"/>
              </w:rPr>
            </w:pPr>
            <w:r w:rsidRPr="00830DBB">
              <w:rPr>
                <w:rFonts w:ascii="Arial" w:eastAsia="SimSun" w:hAnsi="Arial" w:cs="Arial"/>
                <w:b/>
                <w:bCs/>
                <w:caps/>
                <w:color w:val="000000" w:themeColor="text1"/>
                <w:sz w:val="24"/>
                <w:szCs w:val="24"/>
                <w:lang w:val="fr-FR"/>
              </w:rPr>
              <w:t>2013</w:t>
            </w:r>
          </w:p>
        </w:tc>
        <w:tc>
          <w:tcPr>
            <w:tcW w:w="1134" w:type="dxa"/>
          </w:tcPr>
          <w:p w:rsidR="00830DBB" w:rsidRPr="00830DBB" w:rsidRDefault="00830DBB" w:rsidP="00830DBB">
            <w:pPr>
              <w:spacing w:after="0" w:line="240" w:lineRule="auto"/>
              <w:jc w:val="center"/>
              <w:rPr>
                <w:rFonts w:ascii="Arial" w:eastAsia="SimSun" w:hAnsi="Arial" w:cs="Arial"/>
                <w:b/>
                <w:bCs/>
                <w:caps/>
                <w:color w:val="000000" w:themeColor="text1"/>
                <w:sz w:val="24"/>
                <w:szCs w:val="24"/>
                <w:lang w:val="fr-FR"/>
              </w:rPr>
            </w:pPr>
            <w:r w:rsidRPr="00830DBB">
              <w:rPr>
                <w:rFonts w:ascii="Arial" w:eastAsia="SimSun" w:hAnsi="Arial" w:cs="Arial"/>
                <w:b/>
                <w:bCs/>
                <w:caps/>
                <w:color w:val="000000" w:themeColor="text1"/>
                <w:sz w:val="24"/>
                <w:szCs w:val="24"/>
                <w:lang w:val="fr-FR"/>
              </w:rPr>
              <w:t>2014</w:t>
            </w:r>
          </w:p>
        </w:tc>
        <w:tc>
          <w:tcPr>
            <w:tcW w:w="1131" w:type="dxa"/>
          </w:tcPr>
          <w:p w:rsidR="00830DBB" w:rsidRPr="00830DBB" w:rsidRDefault="00830DBB" w:rsidP="00830DBB">
            <w:pPr>
              <w:spacing w:after="0" w:line="240" w:lineRule="auto"/>
              <w:jc w:val="center"/>
              <w:rPr>
                <w:rFonts w:ascii="Arial" w:eastAsia="SimSun" w:hAnsi="Arial" w:cs="Arial"/>
                <w:b/>
                <w:bCs/>
                <w:caps/>
                <w:color w:val="000000" w:themeColor="text1"/>
                <w:sz w:val="24"/>
                <w:szCs w:val="24"/>
                <w:lang w:val="fr-FR"/>
              </w:rPr>
            </w:pPr>
            <w:r w:rsidRPr="00830DBB">
              <w:rPr>
                <w:rFonts w:ascii="Arial" w:eastAsia="SimSun" w:hAnsi="Arial" w:cs="Arial"/>
                <w:b/>
                <w:bCs/>
                <w:caps/>
                <w:color w:val="000000" w:themeColor="text1"/>
                <w:sz w:val="24"/>
                <w:szCs w:val="24"/>
                <w:lang w:val="fr-FR"/>
              </w:rPr>
              <w:t>2015</w:t>
            </w:r>
          </w:p>
        </w:tc>
      </w:tr>
      <w:tr w:rsidR="00830DBB" w:rsidRPr="00830DBB" w:rsidTr="00080B9C">
        <w:trPr>
          <w:trHeight w:val="245"/>
        </w:trPr>
        <w:tc>
          <w:tcPr>
            <w:tcW w:w="1134" w:type="dxa"/>
          </w:tcPr>
          <w:p w:rsidR="00830DBB" w:rsidRPr="00830DBB" w:rsidRDefault="00830DBB" w:rsidP="00830DBB">
            <w:pPr>
              <w:spacing w:after="0" w:line="240" w:lineRule="auto"/>
              <w:jc w:val="center"/>
              <w:rPr>
                <w:rFonts w:ascii="Arial" w:eastAsia="SimSun" w:hAnsi="Arial" w:cs="Arial"/>
                <w:color w:val="000000" w:themeColor="text1"/>
                <w:sz w:val="24"/>
                <w:szCs w:val="24"/>
                <w:lang w:val="fr-FR"/>
              </w:rPr>
            </w:pPr>
            <w:r w:rsidRPr="00830DBB">
              <w:rPr>
                <w:rFonts w:ascii="Arial" w:eastAsia="SimSun" w:hAnsi="Arial" w:cs="Arial"/>
                <w:color w:val="000000" w:themeColor="text1"/>
                <w:sz w:val="24"/>
                <w:szCs w:val="24"/>
                <w:lang w:val="fr-FR"/>
              </w:rPr>
              <w:t>1.</w:t>
            </w:r>
          </w:p>
        </w:tc>
        <w:tc>
          <w:tcPr>
            <w:tcW w:w="2835" w:type="dxa"/>
          </w:tcPr>
          <w:p w:rsidR="00830DBB" w:rsidRPr="00830DBB" w:rsidRDefault="00830DBB" w:rsidP="00830DBB">
            <w:pPr>
              <w:spacing w:after="0" w:line="240" w:lineRule="auto"/>
              <w:jc w:val="center"/>
              <w:rPr>
                <w:rFonts w:ascii="Arial" w:eastAsia="SimSun" w:hAnsi="Arial" w:cs="Arial"/>
                <w:color w:val="000000" w:themeColor="text1"/>
                <w:sz w:val="24"/>
                <w:szCs w:val="24"/>
                <w:lang w:val="fr-FR"/>
              </w:rPr>
            </w:pPr>
            <w:r w:rsidRPr="00830DBB">
              <w:rPr>
                <w:rFonts w:ascii="Arial" w:eastAsia="SimSun" w:hAnsi="Arial" w:cs="Arial"/>
                <w:color w:val="000000" w:themeColor="text1"/>
                <w:sz w:val="24"/>
                <w:szCs w:val="24"/>
                <w:lang w:val="fr-FR"/>
              </w:rPr>
              <w:t>Arabil</w:t>
            </w:r>
          </w:p>
        </w:tc>
        <w:tc>
          <w:tcPr>
            <w:tcW w:w="1276" w:type="dxa"/>
          </w:tcPr>
          <w:p w:rsidR="00830DBB" w:rsidRPr="00830DBB" w:rsidRDefault="00830DBB" w:rsidP="00830DBB">
            <w:pPr>
              <w:spacing w:after="0" w:line="240" w:lineRule="auto"/>
              <w:jc w:val="center"/>
              <w:rPr>
                <w:rFonts w:ascii="Arial" w:eastAsia="SimSun" w:hAnsi="Arial" w:cs="Arial"/>
                <w:color w:val="000000" w:themeColor="text1"/>
                <w:sz w:val="24"/>
                <w:szCs w:val="24"/>
                <w:lang w:val="it-IT"/>
              </w:rPr>
            </w:pPr>
            <w:r w:rsidRPr="00830DBB">
              <w:rPr>
                <w:rFonts w:ascii="Arial" w:eastAsia="SimSun" w:hAnsi="Arial" w:cs="Arial"/>
                <w:color w:val="000000" w:themeColor="text1"/>
                <w:sz w:val="24"/>
                <w:szCs w:val="24"/>
                <w:lang w:val="it-IT"/>
              </w:rPr>
              <w:t>291.696</w:t>
            </w:r>
          </w:p>
        </w:tc>
        <w:tc>
          <w:tcPr>
            <w:tcW w:w="1134" w:type="dxa"/>
          </w:tcPr>
          <w:p w:rsidR="00830DBB" w:rsidRPr="00830DBB" w:rsidRDefault="00830DBB" w:rsidP="00830DBB">
            <w:pPr>
              <w:spacing w:after="0" w:line="240" w:lineRule="auto"/>
              <w:jc w:val="center"/>
              <w:rPr>
                <w:rFonts w:ascii="Arial" w:eastAsia="SimSun" w:hAnsi="Arial" w:cs="Arial"/>
                <w:color w:val="000000" w:themeColor="text1"/>
                <w:sz w:val="24"/>
                <w:szCs w:val="24"/>
                <w:lang w:val="it-IT"/>
              </w:rPr>
            </w:pPr>
            <w:r w:rsidRPr="00830DBB">
              <w:rPr>
                <w:rFonts w:ascii="Arial" w:eastAsia="SimSun" w:hAnsi="Arial" w:cs="Arial"/>
                <w:color w:val="000000" w:themeColor="text1"/>
                <w:sz w:val="24"/>
                <w:szCs w:val="24"/>
                <w:lang w:val="it-IT"/>
              </w:rPr>
              <w:t>291.728</w:t>
            </w:r>
          </w:p>
        </w:tc>
        <w:tc>
          <w:tcPr>
            <w:tcW w:w="1134" w:type="dxa"/>
          </w:tcPr>
          <w:p w:rsidR="00830DBB" w:rsidRPr="00830DBB" w:rsidRDefault="00830DBB" w:rsidP="00830DBB">
            <w:pPr>
              <w:spacing w:after="0" w:line="240" w:lineRule="auto"/>
              <w:jc w:val="center"/>
              <w:rPr>
                <w:rFonts w:ascii="Arial" w:eastAsia="SimSun" w:hAnsi="Arial" w:cs="Arial"/>
                <w:color w:val="000000" w:themeColor="text1"/>
                <w:sz w:val="24"/>
                <w:szCs w:val="24"/>
                <w:lang w:val="it-IT"/>
              </w:rPr>
            </w:pPr>
            <w:r w:rsidRPr="00830DBB">
              <w:rPr>
                <w:rFonts w:ascii="Arial" w:eastAsia="SimSun" w:hAnsi="Arial" w:cs="Arial"/>
                <w:color w:val="000000" w:themeColor="text1"/>
                <w:sz w:val="24"/>
                <w:szCs w:val="24"/>
                <w:lang w:val="it-IT"/>
              </w:rPr>
              <w:t>291.711</w:t>
            </w:r>
          </w:p>
        </w:tc>
        <w:tc>
          <w:tcPr>
            <w:tcW w:w="1134" w:type="dxa"/>
          </w:tcPr>
          <w:p w:rsidR="00830DBB" w:rsidRPr="00830DBB" w:rsidRDefault="00830DBB" w:rsidP="00830DBB">
            <w:pPr>
              <w:spacing w:after="0" w:line="240" w:lineRule="auto"/>
              <w:jc w:val="center"/>
              <w:rPr>
                <w:rFonts w:ascii="Arial" w:eastAsia="SimSun" w:hAnsi="Arial" w:cs="Arial"/>
                <w:color w:val="000000" w:themeColor="text1"/>
                <w:sz w:val="24"/>
                <w:szCs w:val="24"/>
                <w:lang w:val="it-IT"/>
              </w:rPr>
            </w:pPr>
            <w:r w:rsidRPr="00830DBB">
              <w:rPr>
                <w:rFonts w:ascii="Arial" w:eastAsia="SimSun" w:hAnsi="Arial" w:cs="Arial"/>
                <w:color w:val="000000" w:themeColor="text1"/>
                <w:sz w:val="24"/>
                <w:szCs w:val="24"/>
                <w:lang w:val="it-IT"/>
              </w:rPr>
              <w:t>291.711</w:t>
            </w:r>
          </w:p>
        </w:tc>
        <w:tc>
          <w:tcPr>
            <w:tcW w:w="1131" w:type="dxa"/>
          </w:tcPr>
          <w:p w:rsidR="00830DBB" w:rsidRPr="00830DBB" w:rsidRDefault="00830DBB" w:rsidP="00830DBB">
            <w:pPr>
              <w:spacing w:after="0" w:line="240" w:lineRule="auto"/>
              <w:jc w:val="center"/>
              <w:rPr>
                <w:rFonts w:ascii="Arial" w:eastAsia="SimSun" w:hAnsi="Arial" w:cs="Arial"/>
                <w:color w:val="000000" w:themeColor="text1"/>
                <w:sz w:val="24"/>
                <w:szCs w:val="24"/>
                <w:lang w:val="it-IT"/>
              </w:rPr>
            </w:pPr>
            <w:r w:rsidRPr="00830DBB">
              <w:rPr>
                <w:rFonts w:ascii="Arial" w:eastAsia="SimSun" w:hAnsi="Arial" w:cs="Arial"/>
                <w:color w:val="000000" w:themeColor="text1"/>
                <w:sz w:val="24"/>
                <w:szCs w:val="24"/>
                <w:lang w:val="it-IT"/>
              </w:rPr>
              <w:t>292458</w:t>
            </w:r>
          </w:p>
        </w:tc>
      </w:tr>
      <w:tr w:rsidR="00830DBB" w:rsidRPr="00830DBB" w:rsidTr="00080B9C">
        <w:trPr>
          <w:trHeight w:val="231"/>
        </w:trPr>
        <w:tc>
          <w:tcPr>
            <w:tcW w:w="1134" w:type="dxa"/>
          </w:tcPr>
          <w:p w:rsidR="00830DBB" w:rsidRPr="00830DBB" w:rsidRDefault="00830DBB" w:rsidP="00830DBB">
            <w:pPr>
              <w:spacing w:after="0" w:line="240" w:lineRule="auto"/>
              <w:jc w:val="center"/>
              <w:rPr>
                <w:rFonts w:ascii="Arial" w:eastAsia="SimSun" w:hAnsi="Arial" w:cs="Arial"/>
                <w:color w:val="000000" w:themeColor="text1"/>
                <w:sz w:val="24"/>
                <w:szCs w:val="24"/>
                <w:lang w:val="fr-FR"/>
              </w:rPr>
            </w:pPr>
            <w:r w:rsidRPr="00830DBB">
              <w:rPr>
                <w:rFonts w:ascii="Arial" w:eastAsia="SimSun" w:hAnsi="Arial" w:cs="Arial"/>
                <w:color w:val="000000" w:themeColor="text1"/>
                <w:sz w:val="24"/>
                <w:szCs w:val="24"/>
                <w:lang w:val="fr-FR"/>
              </w:rPr>
              <w:t>2.</w:t>
            </w:r>
          </w:p>
        </w:tc>
        <w:tc>
          <w:tcPr>
            <w:tcW w:w="2835" w:type="dxa"/>
          </w:tcPr>
          <w:p w:rsidR="00830DBB" w:rsidRPr="00830DBB" w:rsidRDefault="00830DBB" w:rsidP="00830DBB">
            <w:pPr>
              <w:spacing w:after="0" w:line="240" w:lineRule="auto"/>
              <w:jc w:val="center"/>
              <w:rPr>
                <w:rFonts w:ascii="Arial" w:eastAsia="SimSun" w:hAnsi="Arial" w:cs="Arial"/>
                <w:color w:val="000000" w:themeColor="text1"/>
                <w:sz w:val="24"/>
                <w:szCs w:val="24"/>
                <w:lang w:val="fr-FR"/>
              </w:rPr>
            </w:pPr>
            <w:r w:rsidRPr="00830DBB">
              <w:rPr>
                <w:rFonts w:ascii="Arial" w:eastAsia="SimSun" w:hAnsi="Arial" w:cs="Arial"/>
                <w:color w:val="000000" w:themeColor="text1"/>
                <w:sz w:val="24"/>
                <w:szCs w:val="24"/>
                <w:lang w:val="fr-FR"/>
              </w:rPr>
              <w:t>Păşuni</w:t>
            </w:r>
          </w:p>
        </w:tc>
        <w:tc>
          <w:tcPr>
            <w:tcW w:w="1276" w:type="dxa"/>
          </w:tcPr>
          <w:p w:rsidR="00830DBB" w:rsidRPr="00830DBB" w:rsidRDefault="00830DBB" w:rsidP="00830DBB">
            <w:pPr>
              <w:spacing w:after="0" w:line="240" w:lineRule="auto"/>
              <w:jc w:val="center"/>
              <w:rPr>
                <w:rFonts w:ascii="Arial" w:eastAsia="SimSun" w:hAnsi="Arial" w:cs="Arial"/>
                <w:color w:val="000000" w:themeColor="text1"/>
                <w:sz w:val="24"/>
                <w:szCs w:val="24"/>
                <w:lang w:val="it-IT"/>
              </w:rPr>
            </w:pPr>
            <w:r w:rsidRPr="00830DBB">
              <w:rPr>
                <w:rFonts w:ascii="Arial" w:eastAsia="SimSun" w:hAnsi="Arial" w:cs="Arial"/>
                <w:color w:val="000000" w:themeColor="text1"/>
                <w:sz w:val="24"/>
                <w:szCs w:val="24"/>
                <w:lang w:val="it-IT"/>
              </w:rPr>
              <w:t>87.640</w:t>
            </w:r>
          </w:p>
        </w:tc>
        <w:tc>
          <w:tcPr>
            <w:tcW w:w="1134" w:type="dxa"/>
          </w:tcPr>
          <w:p w:rsidR="00830DBB" w:rsidRPr="00830DBB" w:rsidRDefault="00830DBB" w:rsidP="00830DBB">
            <w:pPr>
              <w:spacing w:after="0" w:line="240" w:lineRule="auto"/>
              <w:jc w:val="center"/>
              <w:rPr>
                <w:rFonts w:ascii="Arial" w:eastAsia="SimSun" w:hAnsi="Arial" w:cs="Arial"/>
                <w:color w:val="000000" w:themeColor="text1"/>
                <w:sz w:val="24"/>
                <w:szCs w:val="24"/>
                <w:lang w:val="it-IT"/>
              </w:rPr>
            </w:pPr>
            <w:r w:rsidRPr="00830DBB">
              <w:rPr>
                <w:rFonts w:ascii="Arial" w:eastAsia="SimSun" w:hAnsi="Arial" w:cs="Arial"/>
                <w:color w:val="000000" w:themeColor="text1"/>
                <w:sz w:val="24"/>
                <w:szCs w:val="24"/>
                <w:lang w:val="it-IT"/>
              </w:rPr>
              <w:t>87.574</w:t>
            </w:r>
          </w:p>
        </w:tc>
        <w:tc>
          <w:tcPr>
            <w:tcW w:w="1134" w:type="dxa"/>
          </w:tcPr>
          <w:p w:rsidR="00830DBB" w:rsidRPr="00830DBB" w:rsidRDefault="00830DBB" w:rsidP="00830DBB">
            <w:pPr>
              <w:spacing w:after="0" w:line="240" w:lineRule="auto"/>
              <w:jc w:val="center"/>
              <w:rPr>
                <w:rFonts w:ascii="Arial" w:eastAsia="SimSun" w:hAnsi="Arial" w:cs="Arial"/>
                <w:color w:val="000000" w:themeColor="text1"/>
                <w:sz w:val="24"/>
                <w:szCs w:val="24"/>
                <w:lang w:val="it-IT"/>
              </w:rPr>
            </w:pPr>
            <w:r w:rsidRPr="00830DBB">
              <w:rPr>
                <w:rFonts w:ascii="Arial" w:eastAsia="SimSun" w:hAnsi="Arial" w:cs="Arial"/>
                <w:color w:val="000000" w:themeColor="text1"/>
                <w:sz w:val="24"/>
                <w:szCs w:val="24"/>
                <w:lang w:val="it-IT"/>
              </w:rPr>
              <w:t>87.282</w:t>
            </w:r>
          </w:p>
        </w:tc>
        <w:tc>
          <w:tcPr>
            <w:tcW w:w="1134" w:type="dxa"/>
          </w:tcPr>
          <w:p w:rsidR="00830DBB" w:rsidRPr="00830DBB" w:rsidRDefault="00830DBB" w:rsidP="00830DBB">
            <w:pPr>
              <w:spacing w:after="0" w:line="240" w:lineRule="auto"/>
              <w:jc w:val="center"/>
              <w:rPr>
                <w:rFonts w:ascii="Arial" w:eastAsia="SimSun" w:hAnsi="Arial" w:cs="Arial"/>
                <w:color w:val="000000" w:themeColor="text1"/>
                <w:sz w:val="24"/>
                <w:szCs w:val="24"/>
                <w:lang w:val="it-IT"/>
              </w:rPr>
            </w:pPr>
            <w:r w:rsidRPr="00830DBB">
              <w:rPr>
                <w:rFonts w:ascii="Arial" w:eastAsia="SimSun" w:hAnsi="Arial" w:cs="Arial"/>
                <w:color w:val="000000" w:themeColor="text1"/>
                <w:sz w:val="24"/>
                <w:szCs w:val="24"/>
                <w:lang w:val="it-IT"/>
              </w:rPr>
              <w:t>87.282</w:t>
            </w:r>
          </w:p>
        </w:tc>
        <w:tc>
          <w:tcPr>
            <w:tcW w:w="1131" w:type="dxa"/>
          </w:tcPr>
          <w:p w:rsidR="00830DBB" w:rsidRPr="00830DBB" w:rsidRDefault="00830DBB" w:rsidP="00830DBB">
            <w:pPr>
              <w:spacing w:after="0" w:line="240" w:lineRule="auto"/>
              <w:jc w:val="center"/>
              <w:rPr>
                <w:rFonts w:ascii="Arial" w:eastAsia="SimSun" w:hAnsi="Arial" w:cs="Arial"/>
                <w:color w:val="000000" w:themeColor="text1"/>
                <w:sz w:val="24"/>
                <w:szCs w:val="24"/>
                <w:lang w:val="it-IT"/>
              </w:rPr>
            </w:pPr>
            <w:r w:rsidRPr="00830DBB">
              <w:rPr>
                <w:rFonts w:ascii="Arial" w:eastAsia="SimSun" w:hAnsi="Arial" w:cs="Arial"/>
                <w:color w:val="000000" w:themeColor="text1"/>
                <w:sz w:val="24"/>
                <w:szCs w:val="24"/>
                <w:lang w:val="it-IT"/>
              </w:rPr>
              <w:t>86287</w:t>
            </w:r>
          </w:p>
        </w:tc>
      </w:tr>
      <w:tr w:rsidR="00830DBB" w:rsidRPr="00830DBB" w:rsidTr="00080B9C">
        <w:trPr>
          <w:trHeight w:val="256"/>
        </w:trPr>
        <w:tc>
          <w:tcPr>
            <w:tcW w:w="1134" w:type="dxa"/>
          </w:tcPr>
          <w:p w:rsidR="00830DBB" w:rsidRPr="00830DBB" w:rsidRDefault="00830DBB" w:rsidP="00830DBB">
            <w:pPr>
              <w:spacing w:after="0" w:line="240" w:lineRule="auto"/>
              <w:jc w:val="center"/>
              <w:rPr>
                <w:rFonts w:ascii="Arial" w:eastAsia="SimSun" w:hAnsi="Arial" w:cs="Arial"/>
                <w:color w:val="000000" w:themeColor="text1"/>
                <w:sz w:val="24"/>
                <w:szCs w:val="24"/>
                <w:lang w:val="fr-FR"/>
              </w:rPr>
            </w:pPr>
            <w:r w:rsidRPr="00830DBB">
              <w:rPr>
                <w:rFonts w:ascii="Arial" w:eastAsia="SimSun" w:hAnsi="Arial" w:cs="Arial"/>
                <w:color w:val="000000" w:themeColor="text1"/>
                <w:sz w:val="24"/>
                <w:szCs w:val="24"/>
                <w:lang w:val="fr-FR"/>
              </w:rPr>
              <w:t>3.</w:t>
            </w:r>
          </w:p>
        </w:tc>
        <w:tc>
          <w:tcPr>
            <w:tcW w:w="2835" w:type="dxa"/>
          </w:tcPr>
          <w:p w:rsidR="00830DBB" w:rsidRPr="00830DBB" w:rsidRDefault="00830DBB" w:rsidP="00830DBB">
            <w:pPr>
              <w:spacing w:after="0" w:line="240" w:lineRule="auto"/>
              <w:jc w:val="center"/>
              <w:rPr>
                <w:rFonts w:ascii="Arial" w:eastAsia="SimSun" w:hAnsi="Arial" w:cs="Arial"/>
                <w:color w:val="000000" w:themeColor="text1"/>
                <w:sz w:val="24"/>
                <w:szCs w:val="24"/>
                <w:lang w:val="fr-FR"/>
              </w:rPr>
            </w:pPr>
            <w:r w:rsidRPr="00830DBB">
              <w:rPr>
                <w:rFonts w:ascii="Arial" w:eastAsia="SimSun" w:hAnsi="Arial" w:cs="Arial"/>
                <w:color w:val="000000" w:themeColor="text1"/>
                <w:sz w:val="24"/>
                <w:szCs w:val="24"/>
                <w:lang w:val="fr-FR"/>
              </w:rPr>
              <w:t>Fâneţe şi pajişti naturale</w:t>
            </w:r>
          </w:p>
        </w:tc>
        <w:tc>
          <w:tcPr>
            <w:tcW w:w="1276" w:type="dxa"/>
          </w:tcPr>
          <w:p w:rsidR="00830DBB" w:rsidRPr="00830DBB" w:rsidRDefault="00830DBB" w:rsidP="00830DBB">
            <w:pPr>
              <w:spacing w:after="0" w:line="240" w:lineRule="auto"/>
              <w:jc w:val="center"/>
              <w:rPr>
                <w:rFonts w:ascii="Arial" w:eastAsia="SimSun" w:hAnsi="Arial" w:cs="Arial"/>
                <w:color w:val="000000" w:themeColor="text1"/>
                <w:sz w:val="24"/>
                <w:szCs w:val="24"/>
                <w:lang w:val="it-IT"/>
              </w:rPr>
            </w:pPr>
            <w:r w:rsidRPr="00830DBB">
              <w:rPr>
                <w:rFonts w:ascii="Arial" w:eastAsia="SimSun" w:hAnsi="Arial" w:cs="Arial"/>
                <w:color w:val="000000" w:themeColor="text1"/>
                <w:sz w:val="24"/>
                <w:szCs w:val="24"/>
                <w:lang w:val="it-IT"/>
              </w:rPr>
              <w:t>7.923</w:t>
            </w:r>
          </w:p>
        </w:tc>
        <w:tc>
          <w:tcPr>
            <w:tcW w:w="1134" w:type="dxa"/>
          </w:tcPr>
          <w:p w:rsidR="00830DBB" w:rsidRPr="00830DBB" w:rsidRDefault="00830DBB" w:rsidP="00830DBB">
            <w:pPr>
              <w:spacing w:after="0" w:line="240" w:lineRule="auto"/>
              <w:jc w:val="center"/>
              <w:rPr>
                <w:rFonts w:ascii="Arial" w:eastAsia="SimSun" w:hAnsi="Arial" w:cs="Arial"/>
                <w:color w:val="000000" w:themeColor="text1"/>
                <w:sz w:val="24"/>
                <w:szCs w:val="24"/>
                <w:lang w:val="it-IT"/>
              </w:rPr>
            </w:pPr>
            <w:r w:rsidRPr="00830DBB">
              <w:rPr>
                <w:rFonts w:ascii="Arial" w:eastAsia="SimSun" w:hAnsi="Arial" w:cs="Arial"/>
                <w:color w:val="000000" w:themeColor="text1"/>
                <w:sz w:val="24"/>
                <w:szCs w:val="24"/>
                <w:lang w:val="it-IT"/>
              </w:rPr>
              <w:t>7.921</w:t>
            </w:r>
          </w:p>
        </w:tc>
        <w:tc>
          <w:tcPr>
            <w:tcW w:w="1134" w:type="dxa"/>
          </w:tcPr>
          <w:p w:rsidR="00830DBB" w:rsidRPr="00830DBB" w:rsidRDefault="00830DBB" w:rsidP="00830DBB">
            <w:pPr>
              <w:spacing w:after="0" w:line="240" w:lineRule="auto"/>
              <w:jc w:val="center"/>
              <w:rPr>
                <w:rFonts w:ascii="Arial" w:eastAsia="SimSun" w:hAnsi="Arial" w:cs="Arial"/>
                <w:color w:val="000000" w:themeColor="text1"/>
                <w:sz w:val="24"/>
                <w:szCs w:val="24"/>
                <w:lang w:val="it-IT"/>
              </w:rPr>
            </w:pPr>
            <w:r w:rsidRPr="00830DBB">
              <w:rPr>
                <w:rFonts w:ascii="Arial" w:eastAsia="SimSun" w:hAnsi="Arial" w:cs="Arial"/>
                <w:color w:val="000000" w:themeColor="text1"/>
                <w:sz w:val="24"/>
                <w:szCs w:val="24"/>
                <w:lang w:val="it-IT"/>
              </w:rPr>
              <w:t>7.918</w:t>
            </w:r>
          </w:p>
        </w:tc>
        <w:tc>
          <w:tcPr>
            <w:tcW w:w="1134" w:type="dxa"/>
          </w:tcPr>
          <w:p w:rsidR="00830DBB" w:rsidRPr="00830DBB" w:rsidRDefault="00830DBB" w:rsidP="00830DBB">
            <w:pPr>
              <w:spacing w:after="0" w:line="240" w:lineRule="auto"/>
              <w:jc w:val="center"/>
              <w:rPr>
                <w:rFonts w:ascii="Arial" w:eastAsia="SimSun" w:hAnsi="Arial" w:cs="Arial"/>
                <w:color w:val="000000" w:themeColor="text1"/>
                <w:sz w:val="24"/>
                <w:szCs w:val="24"/>
                <w:lang w:val="it-IT"/>
              </w:rPr>
            </w:pPr>
            <w:r w:rsidRPr="00830DBB">
              <w:rPr>
                <w:rFonts w:ascii="Arial" w:eastAsia="SimSun" w:hAnsi="Arial" w:cs="Arial"/>
                <w:color w:val="000000" w:themeColor="text1"/>
                <w:sz w:val="24"/>
                <w:szCs w:val="24"/>
                <w:lang w:val="it-IT"/>
              </w:rPr>
              <w:t>7.918</w:t>
            </w:r>
          </w:p>
        </w:tc>
        <w:tc>
          <w:tcPr>
            <w:tcW w:w="1131" w:type="dxa"/>
          </w:tcPr>
          <w:p w:rsidR="00830DBB" w:rsidRPr="00830DBB" w:rsidRDefault="00830DBB" w:rsidP="00830DBB">
            <w:pPr>
              <w:spacing w:after="0" w:line="240" w:lineRule="auto"/>
              <w:jc w:val="center"/>
              <w:rPr>
                <w:rFonts w:ascii="Arial" w:eastAsia="SimSun" w:hAnsi="Arial" w:cs="Arial"/>
                <w:color w:val="000000" w:themeColor="text1"/>
                <w:sz w:val="24"/>
                <w:szCs w:val="24"/>
                <w:lang w:val="it-IT"/>
              </w:rPr>
            </w:pPr>
            <w:r w:rsidRPr="00830DBB">
              <w:rPr>
                <w:rFonts w:ascii="Arial" w:eastAsia="SimSun" w:hAnsi="Arial" w:cs="Arial"/>
                <w:color w:val="000000" w:themeColor="text1"/>
                <w:sz w:val="24"/>
                <w:szCs w:val="24"/>
                <w:lang w:val="it-IT"/>
              </w:rPr>
              <w:t>7898</w:t>
            </w:r>
          </w:p>
        </w:tc>
      </w:tr>
      <w:tr w:rsidR="00830DBB" w:rsidRPr="00830DBB" w:rsidTr="00080B9C">
        <w:trPr>
          <w:trHeight w:val="231"/>
        </w:trPr>
        <w:tc>
          <w:tcPr>
            <w:tcW w:w="1134" w:type="dxa"/>
            <w:vAlign w:val="center"/>
          </w:tcPr>
          <w:p w:rsidR="00830DBB" w:rsidRPr="00830DBB" w:rsidRDefault="00830DBB" w:rsidP="00830DBB">
            <w:pPr>
              <w:spacing w:after="0" w:line="240" w:lineRule="auto"/>
              <w:jc w:val="center"/>
              <w:rPr>
                <w:rFonts w:ascii="Arial" w:eastAsia="SimSun" w:hAnsi="Arial" w:cs="Arial"/>
                <w:color w:val="000000" w:themeColor="text1"/>
                <w:sz w:val="24"/>
                <w:szCs w:val="24"/>
                <w:lang w:val="fr-FR"/>
              </w:rPr>
            </w:pPr>
            <w:r w:rsidRPr="00830DBB">
              <w:rPr>
                <w:rFonts w:ascii="Arial" w:eastAsia="SimSun" w:hAnsi="Arial" w:cs="Arial"/>
                <w:color w:val="000000" w:themeColor="text1"/>
                <w:sz w:val="24"/>
                <w:szCs w:val="24"/>
                <w:lang w:val="fr-FR"/>
              </w:rPr>
              <w:t>4.</w:t>
            </w:r>
          </w:p>
        </w:tc>
        <w:tc>
          <w:tcPr>
            <w:tcW w:w="2835" w:type="dxa"/>
            <w:vAlign w:val="center"/>
          </w:tcPr>
          <w:p w:rsidR="00830DBB" w:rsidRPr="00830DBB" w:rsidRDefault="00830DBB" w:rsidP="00830DBB">
            <w:pPr>
              <w:tabs>
                <w:tab w:val="center" w:pos="4320"/>
                <w:tab w:val="right" w:pos="8640"/>
              </w:tabs>
              <w:spacing w:after="0" w:line="240" w:lineRule="auto"/>
              <w:jc w:val="center"/>
              <w:rPr>
                <w:rFonts w:ascii="Arial" w:eastAsia="Times New Roman" w:hAnsi="Arial" w:cs="Arial"/>
                <w:color w:val="000000" w:themeColor="text1"/>
                <w:sz w:val="24"/>
                <w:szCs w:val="24"/>
                <w:lang w:val="fr-FR"/>
              </w:rPr>
            </w:pPr>
            <w:r w:rsidRPr="00830DBB">
              <w:rPr>
                <w:rFonts w:ascii="Arial" w:eastAsia="Times New Roman" w:hAnsi="Arial" w:cs="Arial"/>
                <w:color w:val="000000" w:themeColor="text1"/>
                <w:sz w:val="24"/>
                <w:szCs w:val="24"/>
                <w:lang w:val="fr-FR"/>
              </w:rPr>
              <w:t>Vii</w:t>
            </w:r>
          </w:p>
        </w:tc>
        <w:tc>
          <w:tcPr>
            <w:tcW w:w="1276" w:type="dxa"/>
          </w:tcPr>
          <w:p w:rsidR="00830DBB" w:rsidRPr="00830DBB" w:rsidRDefault="00830DBB" w:rsidP="00830DBB">
            <w:pPr>
              <w:spacing w:after="0" w:line="240" w:lineRule="auto"/>
              <w:jc w:val="center"/>
              <w:rPr>
                <w:rFonts w:ascii="Arial" w:eastAsia="SimSun" w:hAnsi="Arial" w:cs="Arial"/>
                <w:color w:val="000000" w:themeColor="text1"/>
                <w:sz w:val="24"/>
                <w:szCs w:val="24"/>
                <w:lang w:val="it-IT"/>
              </w:rPr>
            </w:pPr>
            <w:r w:rsidRPr="00830DBB">
              <w:rPr>
                <w:rFonts w:ascii="Arial" w:eastAsia="SimSun" w:hAnsi="Arial" w:cs="Arial"/>
                <w:color w:val="000000" w:themeColor="text1"/>
                <w:sz w:val="24"/>
                <w:szCs w:val="24"/>
                <w:lang w:val="it-IT"/>
              </w:rPr>
              <w:t>11.401</w:t>
            </w:r>
          </w:p>
        </w:tc>
        <w:tc>
          <w:tcPr>
            <w:tcW w:w="1134" w:type="dxa"/>
          </w:tcPr>
          <w:p w:rsidR="00830DBB" w:rsidRPr="00830DBB" w:rsidRDefault="00830DBB" w:rsidP="00830DBB">
            <w:pPr>
              <w:spacing w:after="0" w:line="240" w:lineRule="auto"/>
              <w:jc w:val="center"/>
              <w:rPr>
                <w:rFonts w:ascii="Arial" w:eastAsia="SimSun" w:hAnsi="Arial" w:cs="Arial"/>
                <w:color w:val="000000" w:themeColor="text1"/>
                <w:sz w:val="24"/>
                <w:szCs w:val="24"/>
                <w:lang w:val="it-IT"/>
              </w:rPr>
            </w:pPr>
            <w:r w:rsidRPr="00830DBB">
              <w:rPr>
                <w:rFonts w:ascii="Arial" w:eastAsia="SimSun" w:hAnsi="Arial" w:cs="Arial"/>
                <w:color w:val="000000" w:themeColor="text1"/>
                <w:sz w:val="24"/>
                <w:szCs w:val="24"/>
                <w:lang w:val="it-IT"/>
              </w:rPr>
              <w:t>11.401</w:t>
            </w:r>
          </w:p>
        </w:tc>
        <w:tc>
          <w:tcPr>
            <w:tcW w:w="1134" w:type="dxa"/>
          </w:tcPr>
          <w:p w:rsidR="00830DBB" w:rsidRPr="00830DBB" w:rsidRDefault="00830DBB" w:rsidP="00830DBB">
            <w:pPr>
              <w:spacing w:after="0" w:line="240" w:lineRule="auto"/>
              <w:jc w:val="center"/>
              <w:rPr>
                <w:rFonts w:ascii="Arial" w:eastAsia="SimSun" w:hAnsi="Arial" w:cs="Arial"/>
                <w:color w:val="000000" w:themeColor="text1"/>
                <w:sz w:val="24"/>
                <w:szCs w:val="24"/>
                <w:lang w:val="it-IT"/>
              </w:rPr>
            </w:pPr>
            <w:r w:rsidRPr="00830DBB">
              <w:rPr>
                <w:rFonts w:ascii="Arial" w:eastAsia="SimSun" w:hAnsi="Arial" w:cs="Arial"/>
                <w:color w:val="000000" w:themeColor="text1"/>
                <w:sz w:val="24"/>
                <w:szCs w:val="24"/>
                <w:lang w:val="it-IT"/>
              </w:rPr>
              <w:t>11.401</w:t>
            </w:r>
          </w:p>
        </w:tc>
        <w:tc>
          <w:tcPr>
            <w:tcW w:w="1134" w:type="dxa"/>
          </w:tcPr>
          <w:p w:rsidR="00830DBB" w:rsidRPr="00830DBB" w:rsidRDefault="00830DBB" w:rsidP="00830DBB">
            <w:pPr>
              <w:spacing w:after="0" w:line="240" w:lineRule="auto"/>
              <w:jc w:val="center"/>
              <w:rPr>
                <w:rFonts w:ascii="Arial" w:eastAsia="SimSun" w:hAnsi="Arial" w:cs="Arial"/>
                <w:color w:val="000000" w:themeColor="text1"/>
                <w:sz w:val="24"/>
                <w:szCs w:val="24"/>
                <w:lang w:val="it-IT"/>
              </w:rPr>
            </w:pPr>
            <w:r w:rsidRPr="00830DBB">
              <w:rPr>
                <w:rFonts w:ascii="Arial" w:eastAsia="SimSun" w:hAnsi="Arial" w:cs="Arial"/>
                <w:color w:val="000000" w:themeColor="text1"/>
                <w:sz w:val="24"/>
                <w:szCs w:val="24"/>
                <w:lang w:val="it-IT"/>
              </w:rPr>
              <w:t>11.401</w:t>
            </w:r>
          </w:p>
        </w:tc>
        <w:tc>
          <w:tcPr>
            <w:tcW w:w="1131" w:type="dxa"/>
          </w:tcPr>
          <w:p w:rsidR="00830DBB" w:rsidRPr="00830DBB" w:rsidRDefault="00830DBB" w:rsidP="00830DBB">
            <w:pPr>
              <w:spacing w:after="0" w:line="240" w:lineRule="auto"/>
              <w:jc w:val="center"/>
              <w:rPr>
                <w:rFonts w:ascii="Arial" w:eastAsia="SimSun" w:hAnsi="Arial" w:cs="Arial"/>
                <w:color w:val="000000" w:themeColor="text1"/>
                <w:sz w:val="24"/>
                <w:szCs w:val="24"/>
                <w:lang w:val="it-IT"/>
              </w:rPr>
            </w:pPr>
            <w:r w:rsidRPr="00830DBB">
              <w:rPr>
                <w:rFonts w:ascii="Arial" w:eastAsia="SimSun" w:hAnsi="Arial" w:cs="Arial"/>
                <w:color w:val="000000" w:themeColor="text1"/>
                <w:sz w:val="24"/>
                <w:szCs w:val="24"/>
                <w:lang w:val="it-IT"/>
              </w:rPr>
              <w:t>11846</w:t>
            </w:r>
          </w:p>
        </w:tc>
      </w:tr>
      <w:tr w:rsidR="00830DBB" w:rsidRPr="00830DBB" w:rsidTr="00080B9C">
        <w:trPr>
          <w:trHeight w:val="245"/>
        </w:trPr>
        <w:tc>
          <w:tcPr>
            <w:tcW w:w="1134" w:type="dxa"/>
          </w:tcPr>
          <w:p w:rsidR="00830DBB" w:rsidRPr="00830DBB" w:rsidRDefault="00830DBB" w:rsidP="00830DBB">
            <w:pPr>
              <w:spacing w:after="0" w:line="240" w:lineRule="auto"/>
              <w:jc w:val="center"/>
              <w:rPr>
                <w:rFonts w:ascii="Arial" w:eastAsia="SimSun" w:hAnsi="Arial" w:cs="Arial"/>
                <w:color w:val="000000" w:themeColor="text1"/>
                <w:sz w:val="24"/>
                <w:szCs w:val="24"/>
                <w:lang w:val="fr-FR"/>
              </w:rPr>
            </w:pPr>
            <w:r w:rsidRPr="00830DBB">
              <w:rPr>
                <w:rFonts w:ascii="Arial" w:eastAsia="SimSun" w:hAnsi="Arial" w:cs="Arial"/>
                <w:color w:val="000000" w:themeColor="text1"/>
                <w:sz w:val="24"/>
                <w:szCs w:val="24"/>
                <w:lang w:val="fr-FR"/>
              </w:rPr>
              <w:t>5.</w:t>
            </w:r>
          </w:p>
        </w:tc>
        <w:tc>
          <w:tcPr>
            <w:tcW w:w="2835" w:type="dxa"/>
          </w:tcPr>
          <w:p w:rsidR="00830DBB" w:rsidRPr="00830DBB" w:rsidRDefault="00830DBB" w:rsidP="00830DBB">
            <w:pPr>
              <w:spacing w:after="0" w:line="240" w:lineRule="auto"/>
              <w:jc w:val="center"/>
              <w:rPr>
                <w:rFonts w:ascii="Arial" w:eastAsia="SimSun" w:hAnsi="Arial" w:cs="Arial"/>
                <w:color w:val="000000" w:themeColor="text1"/>
                <w:sz w:val="24"/>
                <w:szCs w:val="24"/>
                <w:lang w:val="fr-FR"/>
              </w:rPr>
            </w:pPr>
            <w:r w:rsidRPr="00830DBB">
              <w:rPr>
                <w:rFonts w:ascii="Arial" w:eastAsia="SimSun" w:hAnsi="Arial" w:cs="Arial"/>
                <w:color w:val="000000" w:themeColor="text1"/>
                <w:sz w:val="24"/>
                <w:szCs w:val="24"/>
                <w:lang w:val="fr-FR"/>
              </w:rPr>
              <w:t>Livezi</w:t>
            </w:r>
          </w:p>
        </w:tc>
        <w:tc>
          <w:tcPr>
            <w:tcW w:w="1276" w:type="dxa"/>
          </w:tcPr>
          <w:p w:rsidR="00830DBB" w:rsidRPr="00830DBB" w:rsidRDefault="00830DBB" w:rsidP="00830DBB">
            <w:pPr>
              <w:spacing w:after="0" w:line="240" w:lineRule="auto"/>
              <w:jc w:val="center"/>
              <w:rPr>
                <w:rFonts w:ascii="Arial" w:eastAsia="SimSun" w:hAnsi="Arial" w:cs="Arial"/>
                <w:color w:val="000000" w:themeColor="text1"/>
                <w:sz w:val="24"/>
                <w:szCs w:val="24"/>
                <w:lang w:val="it-IT"/>
              </w:rPr>
            </w:pPr>
            <w:r w:rsidRPr="00830DBB">
              <w:rPr>
                <w:rFonts w:ascii="Arial" w:eastAsia="SimSun" w:hAnsi="Arial" w:cs="Arial"/>
                <w:color w:val="000000" w:themeColor="text1"/>
                <w:sz w:val="24"/>
                <w:szCs w:val="24"/>
                <w:lang w:val="it-IT"/>
              </w:rPr>
              <w:t>2.379</w:t>
            </w:r>
          </w:p>
        </w:tc>
        <w:tc>
          <w:tcPr>
            <w:tcW w:w="1134" w:type="dxa"/>
          </w:tcPr>
          <w:p w:rsidR="00830DBB" w:rsidRPr="00830DBB" w:rsidRDefault="00830DBB" w:rsidP="00830DBB">
            <w:pPr>
              <w:spacing w:after="0" w:line="240" w:lineRule="auto"/>
              <w:jc w:val="center"/>
              <w:rPr>
                <w:rFonts w:ascii="Arial" w:eastAsia="SimSun" w:hAnsi="Arial" w:cs="Arial"/>
                <w:color w:val="000000" w:themeColor="text1"/>
                <w:sz w:val="24"/>
                <w:szCs w:val="24"/>
                <w:lang w:val="it-IT"/>
              </w:rPr>
            </w:pPr>
            <w:r w:rsidRPr="00830DBB">
              <w:rPr>
                <w:rFonts w:ascii="Arial" w:eastAsia="SimSun" w:hAnsi="Arial" w:cs="Arial"/>
                <w:color w:val="000000" w:themeColor="text1"/>
                <w:sz w:val="24"/>
                <w:szCs w:val="24"/>
                <w:lang w:val="it-IT"/>
              </w:rPr>
              <w:t>2.409</w:t>
            </w:r>
          </w:p>
        </w:tc>
        <w:tc>
          <w:tcPr>
            <w:tcW w:w="1134" w:type="dxa"/>
          </w:tcPr>
          <w:p w:rsidR="00830DBB" w:rsidRPr="00830DBB" w:rsidRDefault="00830DBB" w:rsidP="00830DBB">
            <w:pPr>
              <w:spacing w:after="0" w:line="240" w:lineRule="auto"/>
              <w:jc w:val="center"/>
              <w:rPr>
                <w:rFonts w:ascii="Arial" w:eastAsia="SimSun" w:hAnsi="Arial" w:cs="Arial"/>
                <w:color w:val="000000" w:themeColor="text1"/>
                <w:sz w:val="24"/>
                <w:szCs w:val="24"/>
                <w:lang w:val="it-IT"/>
              </w:rPr>
            </w:pPr>
            <w:r w:rsidRPr="00830DBB">
              <w:rPr>
                <w:rFonts w:ascii="Arial" w:eastAsia="SimSun" w:hAnsi="Arial" w:cs="Arial"/>
                <w:color w:val="000000" w:themeColor="text1"/>
                <w:sz w:val="24"/>
                <w:szCs w:val="24"/>
                <w:lang w:val="it-IT"/>
              </w:rPr>
              <w:t>2.409</w:t>
            </w:r>
          </w:p>
        </w:tc>
        <w:tc>
          <w:tcPr>
            <w:tcW w:w="1134" w:type="dxa"/>
          </w:tcPr>
          <w:p w:rsidR="00830DBB" w:rsidRPr="00830DBB" w:rsidRDefault="00830DBB" w:rsidP="00830DBB">
            <w:pPr>
              <w:spacing w:after="0" w:line="240" w:lineRule="auto"/>
              <w:jc w:val="center"/>
              <w:rPr>
                <w:rFonts w:ascii="Arial" w:eastAsia="SimSun" w:hAnsi="Arial" w:cs="Arial"/>
                <w:color w:val="000000" w:themeColor="text1"/>
                <w:sz w:val="24"/>
                <w:szCs w:val="24"/>
                <w:lang w:val="it-IT"/>
              </w:rPr>
            </w:pPr>
            <w:r w:rsidRPr="00830DBB">
              <w:rPr>
                <w:rFonts w:ascii="Arial" w:eastAsia="SimSun" w:hAnsi="Arial" w:cs="Arial"/>
                <w:color w:val="000000" w:themeColor="text1"/>
                <w:sz w:val="24"/>
                <w:szCs w:val="24"/>
                <w:lang w:val="it-IT"/>
              </w:rPr>
              <w:t>2.409</w:t>
            </w:r>
          </w:p>
        </w:tc>
        <w:tc>
          <w:tcPr>
            <w:tcW w:w="1131" w:type="dxa"/>
          </w:tcPr>
          <w:p w:rsidR="00830DBB" w:rsidRPr="00830DBB" w:rsidRDefault="00830DBB" w:rsidP="00830DBB">
            <w:pPr>
              <w:spacing w:after="0" w:line="240" w:lineRule="auto"/>
              <w:jc w:val="center"/>
              <w:rPr>
                <w:rFonts w:ascii="Arial" w:eastAsia="SimSun" w:hAnsi="Arial" w:cs="Arial"/>
                <w:color w:val="000000" w:themeColor="text1"/>
                <w:sz w:val="24"/>
                <w:szCs w:val="24"/>
                <w:lang w:val="it-IT"/>
              </w:rPr>
            </w:pPr>
            <w:r w:rsidRPr="00830DBB">
              <w:rPr>
                <w:rFonts w:ascii="Arial" w:eastAsia="SimSun" w:hAnsi="Arial" w:cs="Arial"/>
                <w:color w:val="000000" w:themeColor="text1"/>
                <w:sz w:val="24"/>
                <w:szCs w:val="24"/>
                <w:lang w:val="it-IT"/>
              </w:rPr>
              <w:t>2761</w:t>
            </w:r>
          </w:p>
        </w:tc>
      </w:tr>
      <w:tr w:rsidR="00830DBB" w:rsidRPr="00830DBB" w:rsidTr="00080B9C">
        <w:trPr>
          <w:trHeight w:val="81"/>
        </w:trPr>
        <w:tc>
          <w:tcPr>
            <w:tcW w:w="3969" w:type="dxa"/>
            <w:gridSpan w:val="2"/>
          </w:tcPr>
          <w:p w:rsidR="00830DBB" w:rsidRPr="00830DBB" w:rsidRDefault="00830DBB" w:rsidP="00830DBB">
            <w:pPr>
              <w:spacing w:after="0" w:line="240" w:lineRule="auto"/>
              <w:jc w:val="center"/>
              <w:rPr>
                <w:rFonts w:ascii="Arial" w:eastAsia="SimSun" w:hAnsi="Arial" w:cs="Arial"/>
                <w:b/>
                <w:color w:val="000000" w:themeColor="text1"/>
                <w:sz w:val="24"/>
                <w:szCs w:val="24"/>
                <w:lang w:val="fr-FR"/>
              </w:rPr>
            </w:pPr>
            <w:r w:rsidRPr="00830DBB">
              <w:rPr>
                <w:rFonts w:ascii="Arial" w:eastAsia="SimSun" w:hAnsi="Arial" w:cs="Arial"/>
                <w:b/>
                <w:i/>
                <w:color w:val="000000" w:themeColor="text1"/>
                <w:sz w:val="24"/>
                <w:szCs w:val="24"/>
                <w:lang w:val="en-GB"/>
              </w:rPr>
              <w:t>TOTAL AGRICOL</w:t>
            </w:r>
          </w:p>
        </w:tc>
        <w:tc>
          <w:tcPr>
            <w:tcW w:w="1276" w:type="dxa"/>
          </w:tcPr>
          <w:p w:rsidR="00830DBB" w:rsidRPr="00830DBB" w:rsidRDefault="00830DBB" w:rsidP="00830DBB">
            <w:pPr>
              <w:spacing w:after="0" w:line="240" w:lineRule="auto"/>
              <w:jc w:val="center"/>
              <w:rPr>
                <w:rFonts w:ascii="Arial" w:eastAsia="SimSun" w:hAnsi="Arial" w:cs="Arial"/>
                <w:b/>
                <w:color w:val="000000" w:themeColor="text1"/>
                <w:sz w:val="24"/>
                <w:szCs w:val="24"/>
                <w:highlight w:val="darkYellow"/>
                <w:lang w:val="it-IT"/>
              </w:rPr>
            </w:pPr>
            <w:r w:rsidRPr="00830DBB">
              <w:rPr>
                <w:rFonts w:ascii="Arial" w:eastAsia="SimSun" w:hAnsi="Arial" w:cs="Arial"/>
                <w:b/>
                <w:color w:val="000000" w:themeColor="text1"/>
                <w:sz w:val="24"/>
                <w:szCs w:val="24"/>
                <w:lang w:val="it-IT"/>
              </w:rPr>
              <w:t>401.039</w:t>
            </w:r>
          </w:p>
        </w:tc>
        <w:tc>
          <w:tcPr>
            <w:tcW w:w="1134" w:type="dxa"/>
          </w:tcPr>
          <w:p w:rsidR="00830DBB" w:rsidRPr="00830DBB" w:rsidRDefault="00830DBB" w:rsidP="00830DBB">
            <w:pPr>
              <w:spacing w:after="0" w:line="240" w:lineRule="auto"/>
              <w:jc w:val="center"/>
              <w:rPr>
                <w:rFonts w:ascii="Arial" w:eastAsia="SimSun" w:hAnsi="Arial" w:cs="Arial"/>
                <w:b/>
                <w:color w:val="000000" w:themeColor="text1"/>
                <w:sz w:val="24"/>
                <w:szCs w:val="24"/>
                <w:lang w:val="it-IT"/>
              </w:rPr>
            </w:pPr>
            <w:r w:rsidRPr="00830DBB">
              <w:rPr>
                <w:rFonts w:ascii="Arial" w:eastAsia="SimSun" w:hAnsi="Arial" w:cs="Arial"/>
                <w:b/>
                <w:color w:val="000000" w:themeColor="text1"/>
                <w:sz w:val="24"/>
                <w:szCs w:val="24"/>
                <w:lang w:val="it-IT"/>
              </w:rPr>
              <w:t>401.033</w:t>
            </w:r>
          </w:p>
        </w:tc>
        <w:tc>
          <w:tcPr>
            <w:tcW w:w="1134" w:type="dxa"/>
          </w:tcPr>
          <w:p w:rsidR="00830DBB" w:rsidRPr="00830DBB" w:rsidRDefault="00830DBB" w:rsidP="00830DBB">
            <w:pPr>
              <w:spacing w:after="0" w:line="240" w:lineRule="auto"/>
              <w:jc w:val="center"/>
              <w:rPr>
                <w:rFonts w:ascii="Arial" w:eastAsia="SimSun" w:hAnsi="Arial" w:cs="Arial"/>
                <w:b/>
                <w:color w:val="000000" w:themeColor="text1"/>
                <w:sz w:val="24"/>
                <w:szCs w:val="24"/>
                <w:lang w:val="it-IT"/>
              </w:rPr>
            </w:pPr>
            <w:r w:rsidRPr="00830DBB">
              <w:rPr>
                <w:rFonts w:ascii="Arial" w:eastAsia="SimSun" w:hAnsi="Arial" w:cs="Arial"/>
                <w:b/>
                <w:color w:val="000000" w:themeColor="text1"/>
                <w:sz w:val="24"/>
                <w:szCs w:val="24"/>
                <w:lang w:val="it-IT"/>
              </w:rPr>
              <w:t>400.721</w:t>
            </w:r>
          </w:p>
        </w:tc>
        <w:tc>
          <w:tcPr>
            <w:tcW w:w="1134" w:type="dxa"/>
          </w:tcPr>
          <w:p w:rsidR="00830DBB" w:rsidRPr="00830DBB" w:rsidRDefault="00830DBB" w:rsidP="00830DBB">
            <w:pPr>
              <w:spacing w:after="0" w:line="240" w:lineRule="auto"/>
              <w:jc w:val="center"/>
              <w:rPr>
                <w:rFonts w:ascii="Arial" w:eastAsia="SimSun" w:hAnsi="Arial" w:cs="Arial"/>
                <w:b/>
                <w:color w:val="000000" w:themeColor="text1"/>
                <w:sz w:val="24"/>
                <w:szCs w:val="24"/>
                <w:lang w:val="it-IT"/>
              </w:rPr>
            </w:pPr>
            <w:r w:rsidRPr="00830DBB">
              <w:rPr>
                <w:rFonts w:ascii="Arial" w:eastAsia="SimSun" w:hAnsi="Arial" w:cs="Arial"/>
                <w:b/>
                <w:color w:val="000000" w:themeColor="text1"/>
                <w:sz w:val="24"/>
                <w:szCs w:val="24"/>
                <w:lang w:val="it-IT"/>
              </w:rPr>
              <w:t>400.721</w:t>
            </w:r>
          </w:p>
        </w:tc>
        <w:tc>
          <w:tcPr>
            <w:tcW w:w="1131" w:type="dxa"/>
          </w:tcPr>
          <w:p w:rsidR="00830DBB" w:rsidRPr="00830DBB" w:rsidRDefault="00830DBB" w:rsidP="00830DBB">
            <w:pPr>
              <w:spacing w:after="0" w:line="240" w:lineRule="auto"/>
              <w:jc w:val="center"/>
              <w:rPr>
                <w:rFonts w:ascii="Arial" w:eastAsia="SimSun" w:hAnsi="Arial" w:cs="Arial"/>
                <w:b/>
                <w:color w:val="000000" w:themeColor="text1"/>
                <w:sz w:val="24"/>
                <w:szCs w:val="24"/>
                <w:lang w:val="it-IT"/>
              </w:rPr>
            </w:pPr>
            <w:r w:rsidRPr="00830DBB">
              <w:rPr>
                <w:rFonts w:ascii="Arial" w:eastAsia="SimSun" w:hAnsi="Arial" w:cs="Arial"/>
                <w:b/>
                <w:color w:val="000000" w:themeColor="text1"/>
                <w:sz w:val="24"/>
                <w:szCs w:val="24"/>
                <w:lang w:val="it-IT"/>
              </w:rPr>
              <w:t>401250</w:t>
            </w:r>
          </w:p>
        </w:tc>
      </w:tr>
    </w:tbl>
    <w:p w:rsidR="00830DBB" w:rsidRPr="00830DBB" w:rsidRDefault="00830DBB" w:rsidP="00830DBB">
      <w:pPr>
        <w:spacing w:after="0" w:line="240" w:lineRule="auto"/>
        <w:ind w:right="-235"/>
        <w:jc w:val="both"/>
        <w:rPr>
          <w:rFonts w:ascii="Arial" w:eastAsia="SimSun" w:hAnsi="Arial" w:cs="Arial"/>
          <w:color w:val="000000" w:themeColor="text1"/>
          <w:sz w:val="20"/>
          <w:szCs w:val="24"/>
          <w:lang w:val="en-GB"/>
        </w:rPr>
      </w:pPr>
      <w:r w:rsidRPr="00830DBB">
        <w:rPr>
          <w:rFonts w:ascii="Arial" w:eastAsia="SimSun" w:hAnsi="Arial" w:cs="Arial"/>
          <w:color w:val="000000" w:themeColor="text1"/>
          <w:sz w:val="20"/>
          <w:szCs w:val="24"/>
          <w:lang w:val="en-GB"/>
        </w:rPr>
        <w:t>(Sursa: Oficiul Judeţean de Studii Pedologice şi Agrochimice Vaslui)</w:t>
      </w:r>
    </w:p>
    <w:p w:rsidR="00830DBB" w:rsidRPr="00830DBB" w:rsidRDefault="00830DBB" w:rsidP="00830DBB">
      <w:pPr>
        <w:spacing w:after="0" w:line="240" w:lineRule="auto"/>
        <w:ind w:right="-235"/>
        <w:jc w:val="both"/>
        <w:rPr>
          <w:rFonts w:ascii="Arial" w:eastAsia="SimSun" w:hAnsi="Arial" w:cs="Arial"/>
          <w:color w:val="FF0000"/>
          <w:sz w:val="24"/>
          <w:szCs w:val="24"/>
          <w:lang w:val="ro-RO"/>
        </w:rPr>
      </w:pPr>
    </w:p>
    <w:p w:rsidR="00830DBB" w:rsidRPr="00830DBB" w:rsidRDefault="00830DBB" w:rsidP="00E264EC">
      <w:pPr>
        <w:spacing w:after="0" w:line="240" w:lineRule="auto"/>
        <w:ind w:right="-235" w:firstLine="720"/>
        <w:jc w:val="both"/>
        <w:rPr>
          <w:rFonts w:ascii="Arial" w:eastAsia="SimSun" w:hAnsi="Arial" w:cs="Arial"/>
          <w:color w:val="000000" w:themeColor="text1"/>
          <w:sz w:val="24"/>
          <w:szCs w:val="24"/>
          <w:lang w:val="ro-RO"/>
        </w:rPr>
      </w:pPr>
      <w:r w:rsidRPr="00830DBB">
        <w:rPr>
          <w:rFonts w:ascii="Arial" w:eastAsia="SimSun" w:hAnsi="Arial" w:cs="Arial"/>
          <w:color w:val="000000" w:themeColor="text1"/>
          <w:sz w:val="24"/>
          <w:szCs w:val="24"/>
          <w:lang w:val="ro-RO"/>
        </w:rPr>
        <w:t>Se poate observa că suprafaţa agricolă prezintă o mică scădere în perioada anilor 2010-2013, deoarece o parte din această suprafaţă a fost destinată construcţiilor şi o altă parte, datorită degradării terenurilor agricole a devenit improprie agriculturii. Totodată, se menţine tendinţa de uşoară creştere a plantaţiilor viticole şi pomicole, există şi un grad ridicat de îmbătrânire a celor existente şi de înlocuire treptată prin replantare.</w:t>
      </w:r>
    </w:p>
    <w:p w:rsidR="00830DBB" w:rsidRPr="00830DBB" w:rsidRDefault="00830DBB" w:rsidP="00830DBB">
      <w:pPr>
        <w:spacing w:after="0" w:line="240" w:lineRule="auto"/>
        <w:ind w:right="-235"/>
        <w:jc w:val="both"/>
        <w:rPr>
          <w:rFonts w:ascii="Arial" w:eastAsia="SimSun" w:hAnsi="Arial" w:cs="Arial"/>
          <w:color w:val="FF0000"/>
          <w:sz w:val="24"/>
          <w:szCs w:val="24"/>
          <w:lang w:val="ro-RO"/>
        </w:rPr>
      </w:pPr>
    </w:p>
    <w:p w:rsidR="00830DBB" w:rsidRPr="00830DBB" w:rsidRDefault="00830DBB" w:rsidP="00830DBB">
      <w:pPr>
        <w:spacing w:after="0" w:line="240" w:lineRule="auto"/>
        <w:rPr>
          <w:rFonts w:ascii="Arial" w:eastAsia="SimSun" w:hAnsi="Arial" w:cs="Arial"/>
          <w:color w:val="000000"/>
          <w:sz w:val="24"/>
          <w:szCs w:val="24"/>
          <w:lang w:val="ro-RO"/>
        </w:rPr>
      </w:pPr>
      <w:r w:rsidRPr="00830DBB">
        <w:rPr>
          <w:rFonts w:ascii="Arial" w:eastAsia="SimSun" w:hAnsi="Arial" w:cs="Arial"/>
          <w:color w:val="000000"/>
          <w:sz w:val="24"/>
          <w:szCs w:val="24"/>
          <w:lang w:val="ro-RO"/>
        </w:rPr>
        <w:t xml:space="preserve">Figura </w:t>
      </w:r>
      <w:r w:rsidRPr="00830DBB">
        <w:rPr>
          <w:rFonts w:ascii="Arial" w:eastAsia="SimSun" w:hAnsi="Arial" w:cs="Arial"/>
          <w:color w:val="000000"/>
          <w:sz w:val="24"/>
          <w:szCs w:val="24"/>
          <w:lang w:val="en-GB"/>
        </w:rPr>
        <w:t xml:space="preserve">III.2. </w:t>
      </w:r>
      <w:r w:rsidRPr="00830DBB">
        <w:rPr>
          <w:rFonts w:ascii="Arial" w:eastAsia="SimSun" w:hAnsi="Arial" w:cs="Arial"/>
          <w:color w:val="000000"/>
          <w:sz w:val="24"/>
          <w:szCs w:val="24"/>
          <w:lang w:val="ro-RO"/>
        </w:rPr>
        <w:t>Evoluţia culturilor agricole în perioada 2011- 2015, în judeţul Vaslui</w:t>
      </w:r>
    </w:p>
    <w:p w:rsidR="00830DBB" w:rsidRPr="00830DBB" w:rsidRDefault="00830DBB" w:rsidP="00830DBB">
      <w:pPr>
        <w:spacing w:after="0" w:line="360" w:lineRule="auto"/>
        <w:jc w:val="both"/>
        <w:rPr>
          <w:rFonts w:ascii="Arial" w:eastAsia="SimSun" w:hAnsi="Arial" w:cs="Arial"/>
          <w:b/>
          <w:i/>
          <w:sz w:val="24"/>
          <w:szCs w:val="24"/>
          <w:lang w:val="it-IT"/>
        </w:rPr>
      </w:pPr>
      <w:r w:rsidRPr="00830DBB">
        <w:rPr>
          <w:rFonts w:ascii="Arial" w:eastAsia="SimSun" w:hAnsi="Arial" w:cs="Arial"/>
          <w:b/>
          <w:i/>
          <w:noProof/>
          <w:sz w:val="24"/>
          <w:szCs w:val="24"/>
        </w:rPr>
        <w:drawing>
          <wp:inline distT="0" distB="0" distL="0" distR="0" wp14:anchorId="3DE681E0" wp14:editId="4F114CB6">
            <wp:extent cx="5943600" cy="2838450"/>
            <wp:effectExtent l="0" t="0" r="0" b="0"/>
            <wp:docPr id="208" name="Char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830DBB" w:rsidRPr="00830DBB" w:rsidRDefault="00830DBB" w:rsidP="00830DBB">
      <w:pPr>
        <w:spacing w:after="0" w:line="360" w:lineRule="auto"/>
        <w:jc w:val="both"/>
        <w:rPr>
          <w:rFonts w:ascii="Arial" w:eastAsia="SimSun" w:hAnsi="Arial" w:cs="Arial"/>
          <w:b/>
          <w:i/>
          <w:sz w:val="24"/>
          <w:szCs w:val="24"/>
          <w:lang w:val="it-IT"/>
        </w:rPr>
      </w:pPr>
    </w:p>
    <w:p w:rsidR="00830DBB" w:rsidRPr="00830DBB" w:rsidRDefault="00830DBB" w:rsidP="00830DBB">
      <w:pPr>
        <w:spacing w:after="0" w:line="360" w:lineRule="auto"/>
        <w:jc w:val="both"/>
        <w:rPr>
          <w:rFonts w:ascii="Arial" w:eastAsia="SimSun" w:hAnsi="Arial" w:cs="Arial"/>
          <w:b/>
          <w:i/>
          <w:sz w:val="24"/>
          <w:szCs w:val="24"/>
          <w:lang w:val="it-IT"/>
        </w:rPr>
      </w:pPr>
      <w:r w:rsidRPr="00830DBB">
        <w:rPr>
          <w:rFonts w:ascii="Arial" w:eastAsia="SimSun" w:hAnsi="Arial" w:cs="Arial"/>
          <w:b/>
          <w:i/>
          <w:sz w:val="24"/>
          <w:szCs w:val="24"/>
          <w:lang w:val="it-IT"/>
        </w:rPr>
        <w:t xml:space="preserve">Clase de calitate ale solului – calitatea solurilor </w:t>
      </w:r>
    </w:p>
    <w:p w:rsidR="00830DBB" w:rsidRPr="00830DBB" w:rsidRDefault="00830DBB" w:rsidP="005910C7">
      <w:pPr>
        <w:numPr>
          <w:ilvl w:val="0"/>
          <w:numId w:val="7"/>
        </w:numPr>
        <w:spacing w:after="0" w:line="240" w:lineRule="auto"/>
        <w:jc w:val="both"/>
        <w:rPr>
          <w:rFonts w:ascii="Arial" w:eastAsia="SimSun" w:hAnsi="Arial" w:cs="Arial"/>
          <w:i/>
          <w:sz w:val="24"/>
          <w:szCs w:val="24"/>
          <w:lang w:val="en-GB"/>
        </w:rPr>
      </w:pPr>
      <w:r w:rsidRPr="00830DBB">
        <w:rPr>
          <w:rFonts w:ascii="Arial" w:eastAsia="SimSun" w:hAnsi="Arial" w:cs="Arial"/>
          <w:i/>
          <w:sz w:val="24"/>
          <w:szCs w:val="24"/>
          <w:lang w:val="en-GB"/>
        </w:rPr>
        <w:t>Repartiţia terenurilor pe clase de calitate</w:t>
      </w:r>
      <w:r w:rsidRPr="00830DBB">
        <w:rPr>
          <w:rFonts w:ascii="Arial" w:eastAsia="SimSun" w:hAnsi="Arial" w:cs="Arial"/>
          <w:b/>
          <w:i/>
          <w:sz w:val="24"/>
          <w:szCs w:val="24"/>
          <w:lang w:val="it-IT"/>
        </w:rPr>
        <w:t xml:space="preserve"> </w:t>
      </w:r>
      <w:r w:rsidRPr="00830DBB">
        <w:rPr>
          <w:rFonts w:ascii="Arial" w:eastAsia="SimSun" w:hAnsi="Arial" w:cs="Arial"/>
          <w:i/>
          <w:sz w:val="24"/>
          <w:szCs w:val="24"/>
          <w:lang w:val="it-IT"/>
        </w:rPr>
        <w:t>în anul 2015</w:t>
      </w:r>
    </w:p>
    <w:p w:rsidR="00830DBB" w:rsidRPr="00830DBB" w:rsidRDefault="00830DBB" w:rsidP="00830DBB">
      <w:pPr>
        <w:spacing w:after="0" w:line="240" w:lineRule="auto"/>
        <w:jc w:val="both"/>
        <w:rPr>
          <w:rFonts w:ascii="Arial" w:eastAsia="SimSun" w:hAnsi="Arial" w:cs="Arial"/>
          <w:i/>
          <w:sz w:val="24"/>
          <w:szCs w:val="24"/>
          <w:lang w:val="en-GB"/>
        </w:rPr>
      </w:pPr>
    </w:p>
    <w:p w:rsidR="00830DBB" w:rsidRDefault="00830DBB" w:rsidP="00E264EC">
      <w:pPr>
        <w:spacing w:after="0" w:line="240" w:lineRule="auto"/>
        <w:ind w:right="-235" w:firstLine="720"/>
        <w:jc w:val="both"/>
        <w:rPr>
          <w:rFonts w:ascii="Arial" w:eastAsia="SimSun" w:hAnsi="Arial" w:cs="Arial"/>
          <w:color w:val="FF0000"/>
          <w:sz w:val="24"/>
          <w:szCs w:val="24"/>
          <w:lang w:val="ro-RO"/>
        </w:rPr>
      </w:pPr>
      <w:r w:rsidRPr="00830DBB">
        <w:rPr>
          <w:rFonts w:ascii="Arial" w:eastAsia="SimSun" w:hAnsi="Arial" w:cs="Arial"/>
          <w:color w:val="000000" w:themeColor="text1"/>
          <w:sz w:val="24"/>
          <w:szCs w:val="24"/>
          <w:lang w:val="ro-RO"/>
        </w:rPr>
        <w:t>Calitatea terenurilor agricole ţine cont atât de conţinutul solului în humus (materie organică), ce determină fertilitatea solului, dar şi de manifestările factorilor de mediu faţă de plante. Terenurile agricole se clasifică în 5 clase de calitate, diferenţiate în funcţie de nota medie de bonitate</w:t>
      </w:r>
      <w:r w:rsidRPr="00830DBB">
        <w:rPr>
          <w:rFonts w:ascii="Arial" w:eastAsia="SimSun" w:hAnsi="Arial" w:cs="Arial"/>
          <w:color w:val="FF0000"/>
          <w:sz w:val="24"/>
          <w:szCs w:val="24"/>
          <w:lang w:val="ro-RO"/>
        </w:rPr>
        <w:t>.</w:t>
      </w:r>
    </w:p>
    <w:p w:rsidR="00E264EC" w:rsidRPr="00830DBB" w:rsidRDefault="00E264EC" w:rsidP="00830DBB">
      <w:pPr>
        <w:spacing w:after="0" w:line="240" w:lineRule="auto"/>
        <w:ind w:right="-235"/>
        <w:jc w:val="both"/>
        <w:rPr>
          <w:rFonts w:ascii="Arial" w:eastAsia="SimSun" w:hAnsi="Arial" w:cs="Arial"/>
          <w:color w:val="FF0000"/>
          <w:sz w:val="24"/>
          <w:szCs w:val="24"/>
          <w:lang w:val="ro-RO"/>
        </w:rPr>
      </w:pPr>
    </w:p>
    <w:p w:rsidR="00830DBB" w:rsidRPr="00830DBB" w:rsidRDefault="00830DBB" w:rsidP="00830DBB">
      <w:pPr>
        <w:keepNext/>
        <w:spacing w:after="0" w:line="240" w:lineRule="auto"/>
        <w:jc w:val="both"/>
        <w:outlineLvl w:val="0"/>
        <w:rPr>
          <w:rFonts w:ascii="Arial" w:eastAsia="Times New Roman" w:hAnsi="Arial" w:cs="Arial"/>
          <w:color w:val="000000" w:themeColor="text1"/>
          <w:sz w:val="24"/>
          <w:szCs w:val="24"/>
          <w:lang w:eastAsia="ro-RO"/>
        </w:rPr>
      </w:pPr>
      <w:r w:rsidRPr="00830DBB">
        <w:rPr>
          <w:rFonts w:ascii="Arial" w:eastAsia="Times New Roman" w:hAnsi="Arial" w:cs="Arial"/>
          <w:color w:val="000000" w:themeColor="text1"/>
          <w:sz w:val="24"/>
          <w:szCs w:val="24"/>
          <w:lang w:eastAsia="ro-RO"/>
        </w:rPr>
        <w:lastRenderedPageBreak/>
        <w:t xml:space="preserve">Tabelul III.2. Repartiţia terenurilor pe clase de calitate, în anul 2015 </w:t>
      </w:r>
    </w:p>
    <w:tbl>
      <w:tblPr>
        <w:tblW w:w="10632" w:type="dxa"/>
        <w:tblInd w:w="-176" w:type="dxa"/>
        <w:tblLayout w:type="fixed"/>
        <w:tblLook w:val="0000" w:firstRow="0" w:lastRow="0" w:firstColumn="0" w:lastColumn="0" w:noHBand="0" w:noVBand="0"/>
      </w:tblPr>
      <w:tblGrid>
        <w:gridCol w:w="851"/>
        <w:gridCol w:w="731"/>
        <w:gridCol w:w="1112"/>
        <w:gridCol w:w="758"/>
        <w:gridCol w:w="1151"/>
        <w:gridCol w:w="1006"/>
        <w:gridCol w:w="1007"/>
        <w:gridCol w:w="863"/>
        <w:gridCol w:w="1169"/>
        <w:gridCol w:w="850"/>
        <w:gridCol w:w="1134"/>
      </w:tblGrid>
      <w:tr w:rsidR="00830DBB" w:rsidRPr="00830DBB" w:rsidTr="00080B9C">
        <w:trPr>
          <w:trHeight w:val="255"/>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30DBB" w:rsidRPr="00830DBB" w:rsidRDefault="00830DBB" w:rsidP="00830DBB">
            <w:pPr>
              <w:spacing w:after="0" w:line="240" w:lineRule="auto"/>
              <w:jc w:val="center"/>
              <w:rPr>
                <w:rFonts w:ascii="Arial" w:eastAsia="SimSun" w:hAnsi="Arial" w:cs="Arial"/>
                <w:b/>
                <w:bCs/>
                <w:color w:val="000000" w:themeColor="text1"/>
                <w:sz w:val="20"/>
                <w:szCs w:val="20"/>
                <w:lang w:val="en-GB"/>
              </w:rPr>
            </w:pPr>
            <w:r w:rsidRPr="00830DBB">
              <w:rPr>
                <w:rFonts w:ascii="Arial" w:eastAsia="SimSun" w:hAnsi="Arial" w:cs="Arial"/>
                <w:b/>
                <w:bCs/>
                <w:color w:val="000000" w:themeColor="text1"/>
                <w:sz w:val="20"/>
                <w:szCs w:val="20"/>
                <w:lang w:val="en-GB"/>
              </w:rPr>
              <w:t>Folosinţă</w:t>
            </w:r>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tcPr>
          <w:p w:rsidR="00830DBB" w:rsidRPr="00830DBB" w:rsidRDefault="00830DBB" w:rsidP="00830DBB">
            <w:pPr>
              <w:spacing w:after="0" w:line="240" w:lineRule="auto"/>
              <w:jc w:val="center"/>
              <w:rPr>
                <w:rFonts w:ascii="Arial" w:eastAsia="SimSun" w:hAnsi="Arial" w:cs="Arial"/>
                <w:b/>
                <w:bCs/>
                <w:color w:val="000000" w:themeColor="text1"/>
                <w:sz w:val="20"/>
                <w:szCs w:val="20"/>
                <w:lang w:val="en-GB"/>
              </w:rPr>
            </w:pPr>
            <w:r w:rsidRPr="00830DBB">
              <w:rPr>
                <w:rFonts w:ascii="Arial" w:eastAsia="SimSun" w:hAnsi="Arial" w:cs="Arial"/>
                <w:b/>
                <w:bCs/>
                <w:color w:val="000000" w:themeColor="text1"/>
                <w:sz w:val="20"/>
                <w:szCs w:val="20"/>
                <w:lang w:val="en-GB"/>
              </w:rPr>
              <w:t>Clasa I</w:t>
            </w:r>
          </w:p>
        </w:tc>
        <w:tc>
          <w:tcPr>
            <w:tcW w:w="1909" w:type="dxa"/>
            <w:gridSpan w:val="2"/>
            <w:tcBorders>
              <w:top w:val="single" w:sz="4" w:space="0" w:color="auto"/>
              <w:left w:val="nil"/>
              <w:bottom w:val="single" w:sz="4" w:space="0" w:color="auto"/>
              <w:right w:val="single" w:sz="4" w:space="0" w:color="auto"/>
            </w:tcBorders>
            <w:shd w:val="clear" w:color="auto" w:fill="auto"/>
            <w:noWrap/>
            <w:vAlign w:val="center"/>
          </w:tcPr>
          <w:p w:rsidR="00830DBB" w:rsidRPr="00830DBB" w:rsidRDefault="00830DBB" w:rsidP="00830DBB">
            <w:pPr>
              <w:spacing w:after="0" w:line="240" w:lineRule="auto"/>
              <w:jc w:val="center"/>
              <w:rPr>
                <w:rFonts w:ascii="Arial" w:eastAsia="SimSun" w:hAnsi="Arial" w:cs="Arial"/>
                <w:b/>
                <w:bCs/>
                <w:color w:val="000000" w:themeColor="text1"/>
                <w:sz w:val="20"/>
                <w:szCs w:val="20"/>
                <w:lang w:val="en-GB"/>
              </w:rPr>
            </w:pPr>
            <w:r w:rsidRPr="00830DBB">
              <w:rPr>
                <w:rFonts w:ascii="Arial" w:eastAsia="SimSun" w:hAnsi="Arial" w:cs="Arial"/>
                <w:b/>
                <w:bCs/>
                <w:color w:val="000000" w:themeColor="text1"/>
                <w:sz w:val="20"/>
                <w:szCs w:val="20"/>
                <w:lang w:val="en-GB"/>
              </w:rPr>
              <w:t>Clasa II</w:t>
            </w:r>
          </w:p>
        </w:tc>
        <w:tc>
          <w:tcPr>
            <w:tcW w:w="2013" w:type="dxa"/>
            <w:gridSpan w:val="2"/>
            <w:tcBorders>
              <w:top w:val="single" w:sz="4" w:space="0" w:color="auto"/>
              <w:left w:val="nil"/>
              <w:bottom w:val="single" w:sz="4" w:space="0" w:color="auto"/>
              <w:right w:val="single" w:sz="4" w:space="0" w:color="auto"/>
            </w:tcBorders>
            <w:shd w:val="clear" w:color="auto" w:fill="auto"/>
            <w:noWrap/>
            <w:vAlign w:val="center"/>
          </w:tcPr>
          <w:p w:rsidR="00830DBB" w:rsidRPr="00830DBB" w:rsidRDefault="00830DBB" w:rsidP="00830DBB">
            <w:pPr>
              <w:spacing w:after="0" w:line="240" w:lineRule="auto"/>
              <w:jc w:val="center"/>
              <w:rPr>
                <w:rFonts w:ascii="Arial" w:eastAsia="SimSun" w:hAnsi="Arial" w:cs="Arial"/>
                <w:b/>
                <w:bCs/>
                <w:color w:val="000000" w:themeColor="text1"/>
                <w:sz w:val="20"/>
                <w:szCs w:val="20"/>
                <w:lang w:val="en-GB"/>
              </w:rPr>
            </w:pPr>
            <w:r w:rsidRPr="00830DBB">
              <w:rPr>
                <w:rFonts w:ascii="Arial" w:eastAsia="SimSun" w:hAnsi="Arial" w:cs="Arial"/>
                <w:b/>
                <w:bCs/>
                <w:color w:val="000000" w:themeColor="text1"/>
                <w:sz w:val="20"/>
                <w:szCs w:val="20"/>
                <w:lang w:val="en-GB"/>
              </w:rPr>
              <w:t>Clasa III</w:t>
            </w:r>
          </w:p>
        </w:tc>
        <w:tc>
          <w:tcPr>
            <w:tcW w:w="2032" w:type="dxa"/>
            <w:gridSpan w:val="2"/>
            <w:tcBorders>
              <w:top w:val="single" w:sz="4" w:space="0" w:color="auto"/>
              <w:left w:val="nil"/>
              <w:bottom w:val="single" w:sz="4" w:space="0" w:color="auto"/>
              <w:right w:val="single" w:sz="4" w:space="0" w:color="auto"/>
            </w:tcBorders>
            <w:shd w:val="clear" w:color="auto" w:fill="auto"/>
            <w:noWrap/>
            <w:vAlign w:val="center"/>
          </w:tcPr>
          <w:p w:rsidR="00830DBB" w:rsidRPr="00830DBB" w:rsidRDefault="00830DBB" w:rsidP="00830DBB">
            <w:pPr>
              <w:spacing w:after="0" w:line="240" w:lineRule="auto"/>
              <w:jc w:val="center"/>
              <w:rPr>
                <w:rFonts w:ascii="Arial" w:eastAsia="SimSun" w:hAnsi="Arial" w:cs="Arial"/>
                <w:b/>
                <w:bCs/>
                <w:color w:val="000000" w:themeColor="text1"/>
                <w:sz w:val="20"/>
                <w:szCs w:val="20"/>
                <w:lang w:val="en-GB"/>
              </w:rPr>
            </w:pPr>
            <w:r w:rsidRPr="00830DBB">
              <w:rPr>
                <w:rFonts w:ascii="Arial" w:eastAsia="SimSun" w:hAnsi="Arial" w:cs="Arial"/>
                <w:b/>
                <w:bCs/>
                <w:color w:val="000000" w:themeColor="text1"/>
                <w:sz w:val="20"/>
                <w:szCs w:val="20"/>
                <w:lang w:val="en-GB"/>
              </w:rPr>
              <w:t>Clasa IV</w:t>
            </w:r>
          </w:p>
        </w:tc>
        <w:tc>
          <w:tcPr>
            <w:tcW w:w="1984" w:type="dxa"/>
            <w:gridSpan w:val="2"/>
            <w:tcBorders>
              <w:top w:val="single" w:sz="4" w:space="0" w:color="auto"/>
              <w:left w:val="nil"/>
              <w:bottom w:val="single" w:sz="4" w:space="0" w:color="auto"/>
              <w:right w:val="single" w:sz="4" w:space="0" w:color="auto"/>
            </w:tcBorders>
            <w:shd w:val="clear" w:color="auto" w:fill="auto"/>
            <w:noWrap/>
            <w:vAlign w:val="center"/>
          </w:tcPr>
          <w:p w:rsidR="00830DBB" w:rsidRPr="00830DBB" w:rsidRDefault="00830DBB" w:rsidP="00830DBB">
            <w:pPr>
              <w:spacing w:after="0" w:line="240" w:lineRule="auto"/>
              <w:jc w:val="center"/>
              <w:rPr>
                <w:rFonts w:ascii="Arial" w:eastAsia="SimSun" w:hAnsi="Arial" w:cs="Arial"/>
                <w:b/>
                <w:bCs/>
                <w:color w:val="000000" w:themeColor="text1"/>
                <w:sz w:val="20"/>
                <w:szCs w:val="20"/>
                <w:lang w:val="en-GB"/>
              </w:rPr>
            </w:pPr>
            <w:r w:rsidRPr="00830DBB">
              <w:rPr>
                <w:rFonts w:ascii="Arial" w:eastAsia="SimSun" w:hAnsi="Arial" w:cs="Arial"/>
                <w:b/>
                <w:bCs/>
                <w:color w:val="000000" w:themeColor="text1"/>
                <w:sz w:val="20"/>
                <w:szCs w:val="20"/>
                <w:lang w:val="en-GB"/>
              </w:rPr>
              <w:t>Clasa V</w:t>
            </w:r>
          </w:p>
        </w:tc>
      </w:tr>
      <w:tr w:rsidR="00830DBB" w:rsidRPr="00830DBB" w:rsidTr="00080B9C">
        <w:trPr>
          <w:trHeight w:val="559"/>
        </w:trPr>
        <w:tc>
          <w:tcPr>
            <w:tcW w:w="851" w:type="dxa"/>
            <w:vMerge/>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rPr>
                <w:rFonts w:ascii="Arial" w:eastAsia="SimSun" w:hAnsi="Arial" w:cs="Arial"/>
                <w:b/>
                <w:bCs/>
                <w:color w:val="000000" w:themeColor="text1"/>
                <w:sz w:val="20"/>
                <w:szCs w:val="20"/>
                <w:lang w:val="en-GB"/>
              </w:rPr>
            </w:pPr>
          </w:p>
        </w:tc>
        <w:tc>
          <w:tcPr>
            <w:tcW w:w="731" w:type="dxa"/>
            <w:tcBorders>
              <w:top w:val="single" w:sz="4" w:space="0" w:color="auto"/>
              <w:left w:val="nil"/>
              <w:bottom w:val="single" w:sz="4" w:space="0" w:color="auto"/>
              <w:right w:val="single" w:sz="4" w:space="0" w:color="auto"/>
            </w:tcBorders>
            <w:shd w:val="clear" w:color="auto" w:fill="auto"/>
            <w:noWrap/>
            <w:vAlign w:val="center"/>
          </w:tcPr>
          <w:p w:rsidR="00830DBB" w:rsidRPr="00830DBB" w:rsidRDefault="00830DBB" w:rsidP="00830DBB">
            <w:pPr>
              <w:spacing w:after="0" w:line="240" w:lineRule="auto"/>
              <w:jc w:val="center"/>
              <w:rPr>
                <w:rFonts w:ascii="Arial" w:eastAsia="SimSun" w:hAnsi="Arial" w:cs="Arial"/>
                <w:b/>
                <w:bCs/>
                <w:color w:val="000000" w:themeColor="text1"/>
                <w:sz w:val="20"/>
                <w:szCs w:val="20"/>
                <w:lang w:val="en-GB"/>
              </w:rPr>
            </w:pPr>
            <w:r w:rsidRPr="00830DBB">
              <w:rPr>
                <w:rFonts w:ascii="Arial" w:eastAsia="SimSun" w:hAnsi="Arial" w:cs="Arial"/>
                <w:b/>
                <w:bCs/>
                <w:color w:val="000000" w:themeColor="text1"/>
                <w:sz w:val="20"/>
                <w:szCs w:val="20"/>
                <w:lang w:val="en-GB"/>
              </w:rPr>
              <w:t>ha</w:t>
            </w:r>
          </w:p>
        </w:tc>
        <w:tc>
          <w:tcPr>
            <w:tcW w:w="1112" w:type="dxa"/>
            <w:tcBorders>
              <w:top w:val="single" w:sz="4" w:space="0" w:color="auto"/>
              <w:left w:val="nil"/>
              <w:bottom w:val="single" w:sz="4" w:space="0" w:color="auto"/>
              <w:right w:val="single" w:sz="4" w:space="0" w:color="auto"/>
            </w:tcBorders>
            <w:shd w:val="clear" w:color="auto" w:fill="auto"/>
            <w:vAlign w:val="center"/>
          </w:tcPr>
          <w:p w:rsidR="00830DBB" w:rsidRPr="00830DBB" w:rsidRDefault="00830DBB" w:rsidP="00830DBB">
            <w:pPr>
              <w:spacing w:after="0" w:line="240" w:lineRule="auto"/>
              <w:jc w:val="center"/>
              <w:rPr>
                <w:rFonts w:ascii="Arial" w:eastAsia="SimSun" w:hAnsi="Arial" w:cs="Arial"/>
                <w:b/>
                <w:bCs/>
                <w:color w:val="000000" w:themeColor="text1"/>
                <w:sz w:val="20"/>
                <w:szCs w:val="20"/>
                <w:lang w:val="en-GB"/>
              </w:rPr>
            </w:pPr>
            <w:r w:rsidRPr="00830DBB">
              <w:rPr>
                <w:rFonts w:ascii="Arial" w:eastAsia="SimSun" w:hAnsi="Arial" w:cs="Arial"/>
                <w:b/>
                <w:bCs/>
                <w:color w:val="000000" w:themeColor="text1"/>
                <w:sz w:val="20"/>
                <w:szCs w:val="20"/>
                <w:lang w:val="en-GB"/>
              </w:rPr>
              <w:t>% din total folosinţă</w:t>
            </w:r>
          </w:p>
        </w:tc>
        <w:tc>
          <w:tcPr>
            <w:tcW w:w="758" w:type="dxa"/>
            <w:tcBorders>
              <w:top w:val="single" w:sz="4" w:space="0" w:color="auto"/>
              <w:left w:val="nil"/>
              <w:bottom w:val="single" w:sz="4" w:space="0" w:color="auto"/>
              <w:right w:val="single" w:sz="4" w:space="0" w:color="auto"/>
            </w:tcBorders>
            <w:shd w:val="clear" w:color="auto" w:fill="auto"/>
            <w:noWrap/>
            <w:vAlign w:val="center"/>
          </w:tcPr>
          <w:p w:rsidR="00830DBB" w:rsidRPr="00830DBB" w:rsidRDefault="00830DBB" w:rsidP="00830DBB">
            <w:pPr>
              <w:spacing w:after="0" w:line="240" w:lineRule="auto"/>
              <w:jc w:val="center"/>
              <w:rPr>
                <w:rFonts w:ascii="Arial" w:eastAsia="SimSun" w:hAnsi="Arial" w:cs="Arial"/>
                <w:b/>
                <w:bCs/>
                <w:color w:val="000000" w:themeColor="text1"/>
                <w:sz w:val="20"/>
                <w:szCs w:val="20"/>
                <w:lang w:val="en-GB"/>
              </w:rPr>
            </w:pPr>
            <w:r w:rsidRPr="00830DBB">
              <w:rPr>
                <w:rFonts w:ascii="Arial" w:eastAsia="SimSun" w:hAnsi="Arial" w:cs="Arial"/>
                <w:b/>
                <w:bCs/>
                <w:color w:val="000000" w:themeColor="text1"/>
                <w:sz w:val="20"/>
                <w:szCs w:val="20"/>
                <w:lang w:val="en-GB"/>
              </w:rPr>
              <w:t>ha</w:t>
            </w:r>
          </w:p>
        </w:tc>
        <w:tc>
          <w:tcPr>
            <w:tcW w:w="1151" w:type="dxa"/>
            <w:tcBorders>
              <w:top w:val="single" w:sz="4" w:space="0" w:color="auto"/>
              <w:left w:val="nil"/>
              <w:bottom w:val="single" w:sz="4" w:space="0" w:color="auto"/>
              <w:right w:val="single" w:sz="4" w:space="0" w:color="auto"/>
            </w:tcBorders>
            <w:shd w:val="clear" w:color="auto" w:fill="auto"/>
            <w:vAlign w:val="center"/>
          </w:tcPr>
          <w:p w:rsidR="00830DBB" w:rsidRPr="00830DBB" w:rsidRDefault="00830DBB" w:rsidP="00830DBB">
            <w:pPr>
              <w:spacing w:after="0" w:line="240" w:lineRule="auto"/>
              <w:jc w:val="center"/>
              <w:rPr>
                <w:rFonts w:ascii="Arial" w:eastAsia="SimSun" w:hAnsi="Arial" w:cs="Arial"/>
                <w:b/>
                <w:bCs/>
                <w:color w:val="000000" w:themeColor="text1"/>
                <w:sz w:val="20"/>
                <w:szCs w:val="20"/>
                <w:lang w:val="en-GB"/>
              </w:rPr>
            </w:pPr>
            <w:r w:rsidRPr="00830DBB">
              <w:rPr>
                <w:rFonts w:ascii="Arial" w:eastAsia="SimSun" w:hAnsi="Arial" w:cs="Arial"/>
                <w:b/>
                <w:bCs/>
                <w:color w:val="000000" w:themeColor="text1"/>
                <w:sz w:val="20"/>
                <w:szCs w:val="20"/>
                <w:lang w:val="en-GB"/>
              </w:rPr>
              <w:t>% din total folosinţă</w:t>
            </w:r>
          </w:p>
        </w:tc>
        <w:tc>
          <w:tcPr>
            <w:tcW w:w="1006" w:type="dxa"/>
            <w:tcBorders>
              <w:top w:val="single" w:sz="4" w:space="0" w:color="auto"/>
              <w:left w:val="nil"/>
              <w:bottom w:val="single" w:sz="4" w:space="0" w:color="auto"/>
              <w:right w:val="single" w:sz="4" w:space="0" w:color="auto"/>
            </w:tcBorders>
            <w:shd w:val="clear" w:color="auto" w:fill="auto"/>
            <w:noWrap/>
            <w:vAlign w:val="center"/>
          </w:tcPr>
          <w:p w:rsidR="00830DBB" w:rsidRPr="00830DBB" w:rsidRDefault="00830DBB" w:rsidP="00830DBB">
            <w:pPr>
              <w:spacing w:after="0" w:line="240" w:lineRule="auto"/>
              <w:jc w:val="center"/>
              <w:rPr>
                <w:rFonts w:ascii="Arial" w:eastAsia="SimSun" w:hAnsi="Arial" w:cs="Arial"/>
                <w:b/>
                <w:bCs/>
                <w:color w:val="000000" w:themeColor="text1"/>
                <w:sz w:val="20"/>
                <w:szCs w:val="20"/>
                <w:lang w:val="en-GB"/>
              </w:rPr>
            </w:pPr>
            <w:r w:rsidRPr="00830DBB">
              <w:rPr>
                <w:rFonts w:ascii="Arial" w:eastAsia="SimSun" w:hAnsi="Arial" w:cs="Arial"/>
                <w:b/>
                <w:bCs/>
                <w:color w:val="000000" w:themeColor="text1"/>
                <w:sz w:val="20"/>
                <w:szCs w:val="20"/>
                <w:lang w:val="en-GB"/>
              </w:rPr>
              <w:t>ha</w:t>
            </w:r>
          </w:p>
        </w:tc>
        <w:tc>
          <w:tcPr>
            <w:tcW w:w="1007" w:type="dxa"/>
            <w:tcBorders>
              <w:top w:val="single" w:sz="4" w:space="0" w:color="auto"/>
              <w:left w:val="nil"/>
              <w:bottom w:val="single" w:sz="4" w:space="0" w:color="auto"/>
              <w:right w:val="single" w:sz="4" w:space="0" w:color="auto"/>
            </w:tcBorders>
            <w:shd w:val="clear" w:color="auto" w:fill="auto"/>
            <w:vAlign w:val="center"/>
          </w:tcPr>
          <w:p w:rsidR="00830DBB" w:rsidRPr="00830DBB" w:rsidRDefault="00830DBB" w:rsidP="00830DBB">
            <w:pPr>
              <w:spacing w:after="0" w:line="240" w:lineRule="auto"/>
              <w:jc w:val="center"/>
              <w:rPr>
                <w:rFonts w:ascii="Arial" w:eastAsia="SimSun" w:hAnsi="Arial" w:cs="Arial"/>
                <w:b/>
                <w:bCs/>
                <w:color w:val="000000" w:themeColor="text1"/>
                <w:sz w:val="20"/>
                <w:szCs w:val="20"/>
                <w:lang w:val="en-GB"/>
              </w:rPr>
            </w:pPr>
            <w:r w:rsidRPr="00830DBB">
              <w:rPr>
                <w:rFonts w:ascii="Arial" w:eastAsia="SimSun" w:hAnsi="Arial" w:cs="Arial"/>
                <w:b/>
                <w:bCs/>
                <w:color w:val="000000" w:themeColor="text1"/>
                <w:sz w:val="20"/>
                <w:szCs w:val="20"/>
                <w:lang w:val="en-GB"/>
              </w:rPr>
              <w:t>% din total folosinţă</w:t>
            </w:r>
          </w:p>
        </w:tc>
        <w:tc>
          <w:tcPr>
            <w:tcW w:w="863" w:type="dxa"/>
            <w:tcBorders>
              <w:top w:val="single" w:sz="4" w:space="0" w:color="auto"/>
              <w:left w:val="nil"/>
              <w:bottom w:val="single" w:sz="4" w:space="0" w:color="auto"/>
              <w:right w:val="single" w:sz="4" w:space="0" w:color="auto"/>
            </w:tcBorders>
            <w:shd w:val="clear" w:color="auto" w:fill="auto"/>
            <w:noWrap/>
            <w:vAlign w:val="center"/>
          </w:tcPr>
          <w:p w:rsidR="00830DBB" w:rsidRPr="00830DBB" w:rsidRDefault="00830DBB" w:rsidP="00830DBB">
            <w:pPr>
              <w:spacing w:after="0" w:line="240" w:lineRule="auto"/>
              <w:jc w:val="center"/>
              <w:rPr>
                <w:rFonts w:ascii="Arial" w:eastAsia="SimSun" w:hAnsi="Arial" w:cs="Arial"/>
                <w:b/>
                <w:bCs/>
                <w:color w:val="000000" w:themeColor="text1"/>
                <w:sz w:val="20"/>
                <w:szCs w:val="20"/>
                <w:lang w:val="en-GB"/>
              </w:rPr>
            </w:pPr>
            <w:r w:rsidRPr="00830DBB">
              <w:rPr>
                <w:rFonts w:ascii="Arial" w:eastAsia="SimSun" w:hAnsi="Arial" w:cs="Arial"/>
                <w:b/>
                <w:bCs/>
                <w:color w:val="000000" w:themeColor="text1"/>
                <w:sz w:val="20"/>
                <w:szCs w:val="20"/>
                <w:lang w:val="en-GB"/>
              </w:rPr>
              <w:t>ha</w:t>
            </w:r>
          </w:p>
        </w:tc>
        <w:tc>
          <w:tcPr>
            <w:tcW w:w="1169" w:type="dxa"/>
            <w:tcBorders>
              <w:top w:val="single" w:sz="4" w:space="0" w:color="auto"/>
              <w:left w:val="nil"/>
              <w:bottom w:val="single" w:sz="4" w:space="0" w:color="auto"/>
              <w:right w:val="single" w:sz="4" w:space="0" w:color="auto"/>
            </w:tcBorders>
            <w:shd w:val="clear" w:color="auto" w:fill="auto"/>
            <w:vAlign w:val="center"/>
          </w:tcPr>
          <w:p w:rsidR="00830DBB" w:rsidRPr="00830DBB" w:rsidRDefault="00830DBB" w:rsidP="00830DBB">
            <w:pPr>
              <w:spacing w:after="0" w:line="240" w:lineRule="auto"/>
              <w:jc w:val="center"/>
              <w:rPr>
                <w:rFonts w:ascii="Arial" w:eastAsia="SimSun" w:hAnsi="Arial" w:cs="Arial"/>
                <w:b/>
                <w:bCs/>
                <w:color w:val="000000" w:themeColor="text1"/>
                <w:sz w:val="20"/>
                <w:szCs w:val="20"/>
                <w:lang w:val="en-GB"/>
              </w:rPr>
            </w:pPr>
            <w:r w:rsidRPr="00830DBB">
              <w:rPr>
                <w:rFonts w:ascii="Arial" w:eastAsia="SimSun" w:hAnsi="Arial" w:cs="Arial"/>
                <w:b/>
                <w:bCs/>
                <w:color w:val="000000" w:themeColor="text1"/>
                <w:sz w:val="20"/>
                <w:szCs w:val="20"/>
                <w:lang w:val="en-GB"/>
              </w:rPr>
              <w:t>% din total folosinţă</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830DBB" w:rsidRPr="00830DBB" w:rsidRDefault="00830DBB" w:rsidP="00830DBB">
            <w:pPr>
              <w:spacing w:after="0" w:line="240" w:lineRule="auto"/>
              <w:jc w:val="center"/>
              <w:rPr>
                <w:rFonts w:ascii="Arial" w:eastAsia="SimSun" w:hAnsi="Arial" w:cs="Arial"/>
                <w:b/>
                <w:bCs/>
                <w:color w:val="000000" w:themeColor="text1"/>
                <w:sz w:val="20"/>
                <w:szCs w:val="20"/>
                <w:lang w:val="en-GB"/>
              </w:rPr>
            </w:pPr>
            <w:r w:rsidRPr="00830DBB">
              <w:rPr>
                <w:rFonts w:ascii="Arial" w:eastAsia="SimSun" w:hAnsi="Arial" w:cs="Arial"/>
                <w:b/>
                <w:bCs/>
                <w:color w:val="000000" w:themeColor="text1"/>
                <w:sz w:val="20"/>
                <w:szCs w:val="20"/>
                <w:lang w:val="en-GB"/>
              </w:rPr>
              <w:t>ha</w:t>
            </w:r>
          </w:p>
        </w:tc>
        <w:tc>
          <w:tcPr>
            <w:tcW w:w="1134" w:type="dxa"/>
            <w:tcBorders>
              <w:top w:val="single" w:sz="4" w:space="0" w:color="auto"/>
              <w:left w:val="nil"/>
              <w:bottom w:val="single" w:sz="4" w:space="0" w:color="auto"/>
              <w:right w:val="single" w:sz="4" w:space="0" w:color="auto"/>
            </w:tcBorders>
            <w:shd w:val="clear" w:color="auto" w:fill="auto"/>
            <w:vAlign w:val="center"/>
          </w:tcPr>
          <w:p w:rsidR="00830DBB" w:rsidRPr="00830DBB" w:rsidRDefault="00830DBB" w:rsidP="00830DBB">
            <w:pPr>
              <w:spacing w:after="0" w:line="240" w:lineRule="auto"/>
              <w:jc w:val="center"/>
              <w:rPr>
                <w:rFonts w:ascii="Arial" w:eastAsia="SimSun" w:hAnsi="Arial" w:cs="Arial"/>
                <w:b/>
                <w:bCs/>
                <w:color w:val="000000" w:themeColor="text1"/>
                <w:sz w:val="20"/>
                <w:szCs w:val="20"/>
                <w:lang w:val="en-GB"/>
              </w:rPr>
            </w:pPr>
            <w:r w:rsidRPr="00830DBB">
              <w:rPr>
                <w:rFonts w:ascii="Arial" w:eastAsia="SimSun" w:hAnsi="Arial" w:cs="Arial"/>
                <w:b/>
                <w:bCs/>
                <w:color w:val="000000" w:themeColor="text1"/>
                <w:sz w:val="20"/>
                <w:szCs w:val="20"/>
                <w:lang w:val="en-GB"/>
              </w:rPr>
              <w:t>% din total folosinţă</w:t>
            </w:r>
          </w:p>
        </w:tc>
      </w:tr>
      <w:tr w:rsidR="00830DBB" w:rsidRPr="00830DBB" w:rsidTr="00080B9C">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Arabil</w:t>
            </w:r>
          </w:p>
        </w:tc>
        <w:tc>
          <w:tcPr>
            <w:tcW w:w="731" w:type="dxa"/>
            <w:tcBorders>
              <w:top w:val="single" w:sz="4" w:space="0" w:color="auto"/>
              <w:left w:val="nil"/>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5.659</w:t>
            </w:r>
          </w:p>
        </w:tc>
        <w:tc>
          <w:tcPr>
            <w:tcW w:w="1112" w:type="dxa"/>
            <w:tcBorders>
              <w:top w:val="single" w:sz="4" w:space="0" w:color="auto"/>
              <w:left w:val="nil"/>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1,94</w:t>
            </w:r>
          </w:p>
        </w:tc>
        <w:tc>
          <w:tcPr>
            <w:tcW w:w="758" w:type="dxa"/>
            <w:tcBorders>
              <w:top w:val="single" w:sz="4" w:space="0" w:color="auto"/>
              <w:left w:val="nil"/>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86.253</w:t>
            </w:r>
          </w:p>
        </w:tc>
        <w:tc>
          <w:tcPr>
            <w:tcW w:w="1151" w:type="dxa"/>
            <w:tcBorders>
              <w:top w:val="single" w:sz="4" w:space="0" w:color="auto"/>
              <w:left w:val="nil"/>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29,57</w:t>
            </w:r>
          </w:p>
        </w:tc>
        <w:tc>
          <w:tcPr>
            <w:tcW w:w="1006" w:type="dxa"/>
            <w:tcBorders>
              <w:top w:val="single" w:sz="4" w:space="0" w:color="auto"/>
              <w:left w:val="nil"/>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121.898</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41,79</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58.288</w:t>
            </w:r>
          </w:p>
        </w:tc>
        <w:tc>
          <w:tcPr>
            <w:tcW w:w="1169" w:type="dxa"/>
            <w:tcBorders>
              <w:top w:val="single" w:sz="4" w:space="0" w:color="auto"/>
              <w:left w:val="nil"/>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19,98</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19.613</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6,72</w:t>
            </w:r>
          </w:p>
        </w:tc>
      </w:tr>
      <w:tr w:rsidR="00830DBB" w:rsidRPr="00830DBB" w:rsidTr="00080B9C">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en-GB"/>
              </w:rPr>
              <w:t>P</w:t>
            </w:r>
            <w:r w:rsidRPr="00830DBB">
              <w:rPr>
                <w:rFonts w:ascii="Arial" w:eastAsia="SimSun" w:hAnsi="Arial" w:cs="Arial"/>
                <w:color w:val="000000" w:themeColor="text1"/>
                <w:sz w:val="20"/>
                <w:szCs w:val="20"/>
                <w:lang w:val="ro-RO"/>
              </w:rPr>
              <w:t>ăşuni</w:t>
            </w:r>
          </w:p>
        </w:tc>
        <w:tc>
          <w:tcPr>
            <w:tcW w:w="731" w:type="dxa"/>
            <w:tcBorders>
              <w:top w:val="single" w:sz="4" w:space="0" w:color="auto"/>
              <w:left w:val="nil"/>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175</w:t>
            </w:r>
          </w:p>
        </w:tc>
        <w:tc>
          <w:tcPr>
            <w:tcW w:w="1112" w:type="dxa"/>
            <w:tcBorders>
              <w:top w:val="single" w:sz="4" w:space="0" w:color="auto"/>
              <w:left w:val="nil"/>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0,20</w:t>
            </w:r>
          </w:p>
        </w:tc>
        <w:tc>
          <w:tcPr>
            <w:tcW w:w="758" w:type="dxa"/>
            <w:tcBorders>
              <w:top w:val="single" w:sz="4" w:space="0" w:color="auto"/>
              <w:left w:val="nil"/>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4.488</w:t>
            </w:r>
          </w:p>
        </w:tc>
        <w:tc>
          <w:tcPr>
            <w:tcW w:w="1151" w:type="dxa"/>
            <w:tcBorders>
              <w:top w:val="single" w:sz="4" w:space="0" w:color="auto"/>
              <w:left w:val="nil"/>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5,14</w:t>
            </w:r>
          </w:p>
        </w:tc>
        <w:tc>
          <w:tcPr>
            <w:tcW w:w="1006" w:type="dxa"/>
            <w:tcBorders>
              <w:top w:val="single" w:sz="4" w:space="0" w:color="auto"/>
              <w:left w:val="nil"/>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27.416</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31,41</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39.771</w:t>
            </w:r>
          </w:p>
        </w:tc>
        <w:tc>
          <w:tcPr>
            <w:tcW w:w="1169" w:type="dxa"/>
            <w:tcBorders>
              <w:top w:val="single" w:sz="4" w:space="0" w:color="auto"/>
              <w:left w:val="nil"/>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45,57</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15.432</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17,68</w:t>
            </w:r>
          </w:p>
        </w:tc>
      </w:tr>
      <w:tr w:rsidR="00830DBB" w:rsidRPr="00830DBB" w:rsidTr="00080B9C">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Fâneţe</w:t>
            </w:r>
          </w:p>
        </w:tc>
        <w:tc>
          <w:tcPr>
            <w:tcW w:w="731" w:type="dxa"/>
            <w:tcBorders>
              <w:top w:val="single" w:sz="4" w:space="0" w:color="auto"/>
              <w:left w:val="nil"/>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w:t>
            </w:r>
          </w:p>
        </w:tc>
        <w:tc>
          <w:tcPr>
            <w:tcW w:w="1112" w:type="dxa"/>
            <w:tcBorders>
              <w:top w:val="single" w:sz="4" w:space="0" w:color="auto"/>
              <w:left w:val="nil"/>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w:t>
            </w:r>
          </w:p>
        </w:tc>
        <w:tc>
          <w:tcPr>
            <w:tcW w:w="758" w:type="dxa"/>
            <w:tcBorders>
              <w:top w:val="single" w:sz="4" w:space="0" w:color="auto"/>
              <w:left w:val="nil"/>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470</w:t>
            </w:r>
          </w:p>
        </w:tc>
        <w:tc>
          <w:tcPr>
            <w:tcW w:w="1151" w:type="dxa"/>
            <w:tcBorders>
              <w:top w:val="single" w:sz="4" w:space="0" w:color="auto"/>
              <w:left w:val="nil"/>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5,94</w:t>
            </w:r>
          </w:p>
        </w:tc>
        <w:tc>
          <w:tcPr>
            <w:tcW w:w="1006" w:type="dxa"/>
            <w:tcBorders>
              <w:top w:val="single" w:sz="4" w:space="0" w:color="auto"/>
              <w:left w:val="nil"/>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3.175</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40,09</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2.879</w:t>
            </w:r>
          </w:p>
        </w:tc>
        <w:tc>
          <w:tcPr>
            <w:tcW w:w="1169" w:type="dxa"/>
            <w:tcBorders>
              <w:top w:val="single" w:sz="4" w:space="0" w:color="auto"/>
              <w:left w:val="nil"/>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36,36</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1.394</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17,61</w:t>
            </w:r>
          </w:p>
        </w:tc>
      </w:tr>
      <w:tr w:rsidR="00830DBB" w:rsidRPr="00830DBB" w:rsidTr="00080B9C">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Vii</w:t>
            </w:r>
          </w:p>
        </w:tc>
        <w:tc>
          <w:tcPr>
            <w:tcW w:w="731" w:type="dxa"/>
            <w:tcBorders>
              <w:top w:val="single" w:sz="4" w:space="0" w:color="auto"/>
              <w:left w:val="nil"/>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w:t>
            </w:r>
          </w:p>
        </w:tc>
        <w:tc>
          <w:tcPr>
            <w:tcW w:w="1112" w:type="dxa"/>
            <w:tcBorders>
              <w:top w:val="single" w:sz="4" w:space="0" w:color="auto"/>
              <w:left w:val="nil"/>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w:t>
            </w:r>
          </w:p>
        </w:tc>
        <w:tc>
          <w:tcPr>
            <w:tcW w:w="758" w:type="dxa"/>
            <w:tcBorders>
              <w:top w:val="single" w:sz="4" w:space="0" w:color="auto"/>
              <w:left w:val="nil"/>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1.654</w:t>
            </w:r>
          </w:p>
        </w:tc>
        <w:tc>
          <w:tcPr>
            <w:tcW w:w="1151" w:type="dxa"/>
            <w:tcBorders>
              <w:top w:val="single" w:sz="4" w:space="0" w:color="auto"/>
              <w:left w:val="nil"/>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14,51</w:t>
            </w:r>
          </w:p>
        </w:tc>
        <w:tc>
          <w:tcPr>
            <w:tcW w:w="1006" w:type="dxa"/>
            <w:tcBorders>
              <w:top w:val="single" w:sz="4" w:space="0" w:color="auto"/>
              <w:left w:val="nil"/>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4.313</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37,83</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4.015</w:t>
            </w:r>
          </w:p>
        </w:tc>
        <w:tc>
          <w:tcPr>
            <w:tcW w:w="1169" w:type="dxa"/>
            <w:tcBorders>
              <w:top w:val="single" w:sz="4" w:space="0" w:color="auto"/>
              <w:left w:val="nil"/>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35,22</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1.419</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12,44</w:t>
            </w:r>
          </w:p>
        </w:tc>
      </w:tr>
      <w:tr w:rsidR="00830DBB" w:rsidRPr="00830DBB" w:rsidTr="00080B9C">
        <w:trPr>
          <w:trHeight w:val="255"/>
        </w:trPr>
        <w:tc>
          <w:tcPr>
            <w:tcW w:w="851" w:type="dxa"/>
            <w:tcBorders>
              <w:top w:val="nil"/>
              <w:left w:val="single" w:sz="8" w:space="0" w:color="auto"/>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Livezi</w:t>
            </w:r>
          </w:p>
        </w:tc>
        <w:tc>
          <w:tcPr>
            <w:tcW w:w="731" w:type="dxa"/>
            <w:tcBorders>
              <w:top w:val="nil"/>
              <w:left w:val="nil"/>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w:t>
            </w:r>
          </w:p>
        </w:tc>
        <w:tc>
          <w:tcPr>
            <w:tcW w:w="1112" w:type="dxa"/>
            <w:tcBorders>
              <w:top w:val="nil"/>
              <w:left w:val="nil"/>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w:t>
            </w:r>
          </w:p>
        </w:tc>
        <w:tc>
          <w:tcPr>
            <w:tcW w:w="758" w:type="dxa"/>
            <w:tcBorders>
              <w:top w:val="nil"/>
              <w:left w:val="nil"/>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213</w:t>
            </w:r>
          </w:p>
        </w:tc>
        <w:tc>
          <w:tcPr>
            <w:tcW w:w="1151" w:type="dxa"/>
            <w:tcBorders>
              <w:top w:val="nil"/>
              <w:left w:val="nil"/>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10,09</w:t>
            </w:r>
          </w:p>
        </w:tc>
        <w:tc>
          <w:tcPr>
            <w:tcW w:w="1006" w:type="dxa"/>
            <w:tcBorders>
              <w:top w:val="nil"/>
              <w:left w:val="nil"/>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843</w:t>
            </w:r>
          </w:p>
        </w:tc>
        <w:tc>
          <w:tcPr>
            <w:tcW w:w="1007" w:type="dxa"/>
            <w:tcBorders>
              <w:top w:val="nil"/>
              <w:left w:val="nil"/>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34,99</w:t>
            </w:r>
          </w:p>
        </w:tc>
        <w:tc>
          <w:tcPr>
            <w:tcW w:w="863" w:type="dxa"/>
            <w:tcBorders>
              <w:top w:val="nil"/>
              <w:left w:val="nil"/>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939</w:t>
            </w:r>
          </w:p>
        </w:tc>
        <w:tc>
          <w:tcPr>
            <w:tcW w:w="1169" w:type="dxa"/>
            <w:tcBorders>
              <w:top w:val="nil"/>
              <w:left w:val="nil"/>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38,98</w:t>
            </w:r>
          </w:p>
        </w:tc>
        <w:tc>
          <w:tcPr>
            <w:tcW w:w="850" w:type="dxa"/>
            <w:tcBorders>
              <w:top w:val="nil"/>
              <w:left w:val="nil"/>
              <w:bottom w:val="single" w:sz="4" w:space="0" w:color="auto"/>
              <w:right w:val="single" w:sz="4" w:space="0" w:color="auto"/>
            </w:tcBorders>
            <w:shd w:val="clear" w:color="auto" w:fill="auto"/>
            <w:noWrap/>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384</w:t>
            </w:r>
          </w:p>
        </w:tc>
        <w:tc>
          <w:tcPr>
            <w:tcW w:w="1134" w:type="dxa"/>
            <w:tcBorders>
              <w:top w:val="nil"/>
              <w:left w:val="nil"/>
              <w:bottom w:val="single" w:sz="4" w:space="0" w:color="auto"/>
              <w:right w:val="single" w:sz="8" w:space="0" w:color="auto"/>
            </w:tcBorders>
            <w:shd w:val="clear" w:color="auto" w:fill="auto"/>
            <w:noWrap/>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15,94</w:t>
            </w:r>
          </w:p>
        </w:tc>
      </w:tr>
    </w:tbl>
    <w:p w:rsidR="00830DBB" w:rsidRPr="00830DBB" w:rsidRDefault="00830DBB" w:rsidP="00830DBB">
      <w:pPr>
        <w:keepNext/>
        <w:spacing w:after="0" w:line="240" w:lineRule="auto"/>
        <w:jc w:val="both"/>
        <w:outlineLvl w:val="0"/>
        <w:rPr>
          <w:rFonts w:ascii="Arial" w:eastAsia="Times New Roman" w:hAnsi="Arial" w:cs="Arial"/>
          <w:color w:val="000000"/>
          <w:sz w:val="20"/>
          <w:szCs w:val="20"/>
          <w:lang w:eastAsia="ro-RO"/>
        </w:rPr>
      </w:pPr>
      <w:r w:rsidRPr="00830DBB">
        <w:rPr>
          <w:rFonts w:ascii="Arial" w:eastAsia="Times New Roman" w:hAnsi="Arial" w:cs="Arial"/>
          <w:color w:val="000000"/>
          <w:sz w:val="20"/>
          <w:szCs w:val="20"/>
          <w:lang w:eastAsia="ro-RO"/>
        </w:rPr>
        <w:t>(sursa: Oficiul Judeţean de Studii Pedologice şi Agrochimice Vaslui)</w:t>
      </w:r>
    </w:p>
    <w:p w:rsidR="00830DBB" w:rsidRPr="00830DBB" w:rsidRDefault="00830DBB" w:rsidP="00830DBB">
      <w:pPr>
        <w:spacing w:after="0" w:line="240" w:lineRule="auto"/>
        <w:rPr>
          <w:rFonts w:ascii="Times New Roman" w:eastAsia="SimSun" w:hAnsi="Times New Roman" w:cs="Times New Roman"/>
          <w:sz w:val="24"/>
          <w:szCs w:val="24"/>
          <w:lang w:eastAsia="ro-RO"/>
        </w:rPr>
      </w:pPr>
    </w:p>
    <w:p w:rsidR="00830DBB" w:rsidRPr="00830DBB" w:rsidRDefault="00830DBB" w:rsidP="00830DBB">
      <w:pPr>
        <w:spacing w:after="0" w:line="240" w:lineRule="auto"/>
        <w:rPr>
          <w:rFonts w:ascii="Arial" w:eastAsia="SimSun" w:hAnsi="Arial" w:cs="Arial"/>
          <w:sz w:val="24"/>
          <w:szCs w:val="24"/>
          <w:lang w:val="ro-RO"/>
        </w:rPr>
      </w:pPr>
      <w:r w:rsidRPr="00830DBB">
        <w:rPr>
          <w:rFonts w:ascii="Arial" w:eastAsia="SimSun" w:hAnsi="Arial" w:cs="Arial"/>
          <w:color w:val="000000"/>
          <w:sz w:val="24"/>
          <w:szCs w:val="24"/>
          <w:lang w:val="ro-RO"/>
        </w:rPr>
        <w:t xml:space="preserve"> Figura </w:t>
      </w:r>
      <w:r w:rsidRPr="00830DBB">
        <w:rPr>
          <w:rFonts w:ascii="Arial" w:eastAsia="SimSun" w:hAnsi="Arial" w:cs="Arial"/>
          <w:color w:val="000000"/>
          <w:sz w:val="24"/>
          <w:szCs w:val="24"/>
          <w:lang w:val="en-GB"/>
        </w:rPr>
        <w:t xml:space="preserve">III.3. </w:t>
      </w:r>
      <w:r w:rsidRPr="00830DBB">
        <w:rPr>
          <w:rFonts w:ascii="Arial" w:eastAsia="SimSun" w:hAnsi="Arial" w:cs="Arial"/>
          <w:sz w:val="24"/>
          <w:szCs w:val="24"/>
          <w:lang w:val="ro-RO"/>
        </w:rPr>
        <w:t>Încadrarea solurilor pe clase de calitate în judeţul Vaslui</w:t>
      </w:r>
    </w:p>
    <w:p w:rsidR="00830DBB" w:rsidRPr="00830DBB" w:rsidRDefault="00830DBB" w:rsidP="00830DBB">
      <w:pPr>
        <w:spacing w:after="0" w:line="240" w:lineRule="auto"/>
        <w:jc w:val="center"/>
        <w:rPr>
          <w:rFonts w:ascii="Arial" w:eastAsia="SimSun" w:hAnsi="Arial" w:cs="Arial"/>
          <w:sz w:val="24"/>
          <w:szCs w:val="24"/>
          <w:lang w:val="en-GB"/>
        </w:rPr>
      </w:pPr>
      <w:r w:rsidRPr="00830DBB">
        <w:rPr>
          <w:rFonts w:ascii="Arial" w:eastAsia="SimSun" w:hAnsi="Arial" w:cs="Arial"/>
          <w:noProof/>
          <w:sz w:val="24"/>
          <w:szCs w:val="24"/>
        </w:rPr>
        <w:drawing>
          <wp:inline distT="0" distB="0" distL="0" distR="0" wp14:anchorId="3D22CA0A" wp14:editId="7AADA9C9">
            <wp:extent cx="5848350" cy="2362200"/>
            <wp:effectExtent l="0" t="0" r="0" b="0"/>
            <wp:docPr id="209" name="Chart 20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830DBB" w:rsidRPr="00830DBB" w:rsidRDefault="00830DBB" w:rsidP="00830DBB">
      <w:pPr>
        <w:spacing w:after="0" w:line="240" w:lineRule="auto"/>
        <w:jc w:val="both"/>
        <w:rPr>
          <w:rFonts w:ascii="Arial" w:eastAsia="SimSun" w:hAnsi="Arial" w:cs="Arial"/>
          <w:i/>
          <w:sz w:val="24"/>
          <w:szCs w:val="24"/>
          <w:lang w:val="en-GB"/>
        </w:rPr>
      </w:pPr>
    </w:p>
    <w:p w:rsidR="00830DBB" w:rsidRPr="00830DBB" w:rsidRDefault="00830DBB" w:rsidP="00830DBB">
      <w:pPr>
        <w:spacing w:after="0" w:line="240" w:lineRule="auto"/>
        <w:jc w:val="both"/>
        <w:rPr>
          <w:rFonts w:ascii="Arial" w:eastAsia="SimSun" w:hAnsi="Arial" w:cs="Arial"/>
          <w:color w:val="FF0000"/>
          <w:sz w:val="24"/>
          <w:szCs w:val="24"/>
          <w:lang w:val="en-GB"/>
        </w:rPr>
      </w:pPr>
    </w:p>
    <w:p w:rsidR="00830DBB" w:rsidRPr="00830DBB" w:rsidRDefault="00830DBB" w:rsidP="00830DBB">
      <w:pPr>
        <w:spacing w:after="0" w:line="240" w:lineRule="auto"/>
        <w:jc w:val="both"/>
        <w:rPr>
          <w:rFonts w:ascii="Arial" w:eastAsia="SimSun" w:hAnsi="Arial" w:cs="Arial"/>
          <w:color w:val="FF0000"/>
          <w:sz w:val="24"/>
          <w:szCs w:val="24"/>
          <w:lang w:val="en-GB"/>
        </w:rPr>
      </w:pPr>
    </w:p>
    <w:p w:rsidR="00830DBB" w:rsidRPr="00830DBB" w:rsidRDefault="00830DBB" w:rsidP="00E264EC">
      <w:pPr>
        <w:spacing w:after="0" w:line="240" w:lineRule="auto"/>
        <w:ind w:firstLine="720"/>
        <w:jc w:val="both"/>
        <w:rPr>
          <w:rFonts w:ascii="Arial" w:eastAsia="SimSun" w:hAnsi="Arial" w:cs="Arial"/>
          <w:color w:val="000000" w:themeColor="text1"/>
          <w:sz w:val="24"/>
          <w:szCs w:val="24"/>
          <w:lang w:val="it-IT"/>
        </w:rPr>
      </w:pPr>
      <w:r w:rsidRPr="00830DBB">
        <w:rPr>
          <w:rFonts w:ascii="Arial" w:eastAsia="SimSun" w:hAnsi="Arial" w:cs="Arial"/>
          <w:color w:val="000000" w:themeColor="text1"/>
          <w:sz w:val="24"/>
          <w:szCs w:val="24"/>
          <w:lang w:val="en-GB"/>
        </w:rPr>
        <w:t xml:space="preserve">În tabelul de mai jos este prezentată repartiţia terenurilor </w:t>
      </w:r>
      <w:r w:rsidRPr="00830DBB">
        <w:rPr>
          <w:rFonts w:ascii="Arial" w:eastAsia="SimSun" w:hAnsi="Arial" w:cs="Arial"/>
          <w:color w:val="000000" w:themeColor="text1"/>
          <w:sz w:val="24"/>
          <w:szCs w:val="24"/>
          <w:lang w:val="it-IT"/>
        </w:rPr>
        <w:t>pe clase de pretabilitate, în judeţul Vaslui, în anul 2015:</w:t>
      </w:r>
    </w:p>
    <w:p w:rsidR="00830DBB" w:rsidRPr="00830DBB" w:rsidRDefault="00830DBB" w:rsidP="00830DBB">
      <w:pPr>
        <w:spacing w:after="0" w:line="240" w:lineRule="auto"/>
        <w:jc w:val="both"/>
        <w:rPr>
          <w:rFonts w:ascii="Arial" w:eastAsia="SimSun" w:hAnsi="Arial" w:cs="Arial"/>
          <w:i/>
          <w:color w:val="FF0000"/>
          <w:sz w:val="24"/>
          <w:szCs w:val="24"/>
          <w:lang w:val="it-IT"/>
        </w:rPr>
      </w:pPr>
    </w:p>
    <w:p w:rsidR="00830DBB" w:rsidRPr="00830DBB" w:rsidRDefault="00830DBB" w:rsidP="00830DBB">
      <w:pPr>
        <w:keepNext/>
        <w:spacing w:after="0" w:line="240" w:lineRule="auto"/>
        <w:jc w:val="both"/>
        <w:outlineLvl w:val="0"/>
        <w:rPr>
          <w:rFonts w:ascii="Arial" w:eastAsia="Times New Roman" w:hAnsi="Arial" w:cs="Arial"/>
          <w:bCs/>
          <w:color w:val="000000" w:themeColor="text1"/>
          <w:sz w:val="24"/>
          <w:szCs w:val="24"/>
          <w:lang w:eastAsia="ro-RO"/>
        </w:rPr>
      </w:pPr>
      <w:r w:rsidRPr="00830DBB">
        <w:rPr>
          <w:rFonts w:ascii="Arial" w:eastAsia="Times New Roman" w:hAnsi="Arial" w:cs="Arial"/>
          <w:color w:val="000000" w:themeColor="text1"/>
          <w:sz w:val="24"/>
          <w:szCs w:val="24"/>
          <w:lang w:eastAsia="ro-RO"/>
        </w:rPr>
        <w:t xml:space="preserve">Tabelul III.3. Repartiţia terenurilor </w:t>
      </w:r>
      <w:r w:rsidRPr="00830DBB">
        <w:rPr>
          <w:rFonts w:ascii="Arial" w:eastAsia="Times New Roman" w:hAnsi="Arial" w:cs="Arial"/>
          <w:color w:val="000000" w:themeColor="text1"/>
          <w:sz w:val="24"/>
          <w:szCs w:val="24"/>
          <w:lang w:val="it-IT" w:eastAsia="ro-RO"/>
        </w:rPr>
        <w:t xml:space="preserve">pe clase de bonitate </w:t>
      </w:r>
    </w:p>
    <w:tbl>
      <w:tblPr>
        <w:tblW w:w="9885" w:type="dxa"/>
        <w:tblInd w:w="-3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10"/>
        <w:gridCol w:w="1052"/>
        <w:gridCol w:w="905"/>
        <w:gridCol w:w="1155"/>
        <w:gridCol w:w="1155"/>
        <w:gridCol w:w="1155"/>
        <w:gridCol w:w="1155"/>
        <w:gridCol w:w="1155"/>
        <w:gridCol w:w="1443"/>
      </w:tblGrid>
      <w:tr w:rsidR="00830DBB" w:rsidRPr="00830DBB" w:rsidTr="00080B9C">
        <w:trPr>
          <w:cantSplit/>
          <w:trHeight w:val="247"/>
        </w:trPr>
        <w:tc>
          <w:tcPr>
            <w:tcW w:w="710" w:type="dxa"/>
            <w:vMerge w:val="restart"/>
            <w:tcBorders>
              <w:top w:val="single" w:sz="6" w:space="0" w:color="auto"/>
              <w:left w:val="single" w:sz="6" w:space="0" w:color="auto"/>
              <w:bottom w:val="single" w:sz="4" w:space="0" w:color="auto"/>
              <w:right w:val="single" w:sz="6" w:space="0" w:color="auto"/>
            </w:tcBorders>
            <w:shd w:val="clear" w:color="auto" w:fill="auto"/>
            <w:vAlign w:val="center"/>
          </w:tcPr>
          <w:p w:rsidR="00830DBB" w:rsidRPr="00830DBB" w:rsidRDefault="00830DBB" w:rsidP="00830DBB">
            <w:pPr>
              <w:spacing w:after="0" w:line="240" w:lineRule="auto"/>
              <w:jc w:val="center"/>
              <w:rPr>
                <w:rFonts w:ascii="Arial" w:eastAsia="SimSun" w:hAnsi="Arial" w:cs="Arial"/>
                <w:b/>
                <w:bCs/>
                <w:color w:val="000000" w:themeColor="text1"/>
                <w:sz w:val="20"/>
                <w:szCs w:val="20"/>
                <w:lang w:val="it-IT"/>
              </w:rPr>
            </w:pPr>
            <w:r w:rsidRPr="00830DBB">
              <w:rPr>
                <w:rFonts w:ascii="Arial" w:eastAsia="SimSun" w:hAnsi="Arial" w:cs="Arial"/>
                <w:b/>
                <w:bCs/>
                <w:color w:val="000000" w:themeColor="text1"/>
                <w:sz w:val="20"/>
                <w:szCs w:val="20"/>
                <w:lang w:val="it-IT"/>
              </w:rPr>
              <w:t>Nr. crt.</w:t>
            </w:r>
          </w:p>
        </w:tc>
        <w:tc>
          <w:tcPr>
            <w:tcW w:w="1052" w:type="dxa"/>
            <w:vMerge w:val="restart"/>
            <w:tcBorders>
              <w:top w:val="single" w:sz="6" w:space="0" w:color="auto"/>
              <w:left w:val="single" w:sz="6" w:space="0" w:color="auto"/>
              <w:bottom w:val="single" w:sz="4" w:space="0" w:color="auto"/>
              <w:right w:val="single" w:sz="6" w:space="0" w:color="auto"/>
            </w:tcBorders>
            <w:shd w:val="clear" w:color="auto" w:fill="auto"/>
            <w:vAlign w:val="center"/>
          </w:tcPr>
          <w:p w:rsidR="00830DBB" w:rsidRPr="00830DBB" w:rsidRDefault="00830DBB" w:rsidP="00830DBB">
            <w:pPr>
              <w:spacing w:after="0" w:line="240" w:lineRule="auto"/>
              <w:jc w:val="center"/>
              <w:rPr>
                <w:rFonts w:ascii="Arial" w:eastAsia="SimSun" w:hAnsi="Arial" w:cs="Arial"/>
                <w:b/>
                <w:bCs/>
                <w:color w:val="000000" w:themeColor="text1"/>
                <w:sz w:val="20"/>
                <w:szCs w:val="20"/>
                <w:lang w:val="it-IT"/>
              </w:rPr>
            </w:pPr>
            <w:r w:rsidRPr="00830DBB">
              <w:rPr>
                <w:rFonts w:ascii="Arial" w:eastAsia="SimSun" w:hAnsi="Arial" w:cs="Arial"/>
                <w:b/>
                <w:bCs/>
                <w:color w:val="000000" w:themeColor="text1"/>
                <w:sz w:val="20"/>
                <w:szCs w:val="20"/>
                <w:lang w:val="it-IT"/>
              </w:rPr>
              <w:t>Specif.</w:t>
            </w:r>
          </w:p>
        </w:tc>
        <w:tc>
          <w:tcPr>
            <w:tcW w:w="905" w:type="dxa"/>
            <w:vMerge w:val="restart"/>
            <w:tcBorders>
              <w:top w:val="single" w:sz="6" w:space="0" w:color="auto"/>
              <w:left w:val="single" w:sz="6" w:space="0" w:color="auto"/>
              <w:bottom w:val="single" w:sz="6" w:space="0" w:color="auto"/>
              <w:right w:val="single" w:sz="6" w:space="0" w:color="auto"/>
            </w:tcBorders>
            <w:shd w:val="clear" w:color="auto" w:fill="auto"/>
          </w:tcPr>
          <w:p w:rsidR="00830DBB" w:rsidRPr="00830DBB" w:rsidRDefault="00830DBB" w:rsidP="00830DBB">
            <w:pPr>
              <w:spacing w:after="0" w:line="240" w:lineRule="auto"/>
              <w:jc w:val="center"/>
              <w:rPr>
                <w:rFonts w:ascii="Arial" w:eastAsia="SimSun" w:hAnsi="Arial" w:cs="Arial"/>
                <w:b/>
                <w:bCs/>
                <w:color w:val="000000" w:themeColor="text1"/>
                <w:sz w:val="20"/>
                <w:szCs w:val="20"/>
                <w:lang w:val="it-IT"/>
              </w:rPr>
            </w:pPr>
            <w:r w:rsidRPr="00830DBB">
              <w:rPr>
                <w:rFonts w:ascii="Arial" w:eastAsia="SimSun" w:hAnsi="Arial" w:cs="Arial"/>
                <w:b/>
                <w:bCs/>
                <w:color w:val="000000" w:themeColor="text1"/>
                <w:sz w:val="20"/>
                <w:szCs w:val="20"/>
                <w:lang w:val="it-IT"/>
              </w:rPr>
              <w:t>U.M.</w:t>
            </w:r>
          </w:p>
          <w:p w:rsidR="00830DBB" w:rsidRPr="00830DBB" w:rsidRDefault="00830DBB" w:rsidP="00830DBB">
            <w:pPr>
              <w:spacing w:after="0" w:line="240" w:lineRule="auto"/>
              <w:jc w:val="center"/>
              <w:rPr>
                <w:rFonts w:ascii="Arial" w:eastAsia="SimSun" w:hAnsi="Arial" w:cs="Arial"/>
                <w:b/>
                <w:bCs/>
                <w:color w:val="000000" w:themeColor="text1"/>
                <w:sz w:val="20"/>
                <w:szCs w:val="20"/>
                <w:lang w:val="it-IT"/>
              </w:rPr>
            </w:pPr>
            <w:r w:rsidRPr="00830DBB">
              <w:rPr>
                <w:rFonts w:ascii="Arial" w:eastAsia="SimSun" w:hAnsi="Arial" w:cs="Arial"/>
                <w:b/>
                <w:bCs/>
                <w:color w:val="000000" w:themeColor="text1"/>
                <w:sz w:val="20"/>
                <w:szCs w:val="20"/>
                <w:lang w:val="it-IT"/>
              </w:rPr>
              <w:t>(ha)</w:t>
            </w:r>
          </w:p>
        </w:tc>
        <w:tc>
          <w:tcPr>
            <w:tcW w:w="7218" w:type="dxa"/>
            <w:gridSpan w:val="6"/>
            <w:tcBorders>
              <w:top w:val="single" w:sz="6" w:space="0" w:color="auto"/>
              <w:left w:val="single" w:sz="6" w:space="0" w:color="auto"/>
              <w:bottom w:val="single" w:sz="4" w:space="0" w:color="auto"/>
              <w:right w:val="single" w:sz="6" w:space="0" w:color="auto"/>
            </w:tcBorders>
            <w:shd w:val="clear" w:color="auto" w:fill="auto"/>
          </w:tcPr>
          <w:p w:rsidR="00830DBB" w:rsidRPr="00830DBB" w:rsidRDefault="00830DBB" w:rsidP="00830DBB">
            <w:pPr>
              <w:spacing w:after="0" w:line="240" w:lineRule="auto"/>
              <w:jc w:val="center"/>
              <w:rPr>
                <w:rFonts w:ascii="Arial" w:eastAsia="SimSun" w:hAnsi="Arial" w:cs="Arial"/>
                <w:b/>
                <w:bCs/>
                <w:color w:val="000000" w:themeColor="text1"/>
                <w:sz w:val="20"/>
                <w:szCs w:val="20"/>
                <w:lang w:val="it-IT"/>
              </w:rPr>
            </w:pPr>
            <w:r w:rsidRPr="00830DBB">
              <w:rPr>
                <w:rFonts w:ascii="Arial" w:eastAsia="SimSun" w:hAnsi="Arial" w:cs="Arial"/>
                <w:b/>
                <w:bCs/>
                <w:color w:val="000000" w:themeColor="text1"/>
                <w:sz w:val="20"/>
                <w:szCs w:val="20"/>
                <w:lang w:val="it-IT"/>
              </w:rPr>
              <w:t>Clase de bonitare ale solurilor</w:t>
            </w:r>
          </w:p>
        </w:tc>
      </w:tr>
      <w:tr w:rsidR="00830DBB" w:rsidRPr="00830DBB" w:rsidTr="00080B9C">
        <w:trPr>
          <w:cantSplit/>
          <w:trHeight w:val="291"/>
        </w:trPr>
        <w:tc>
          <w:tcPr>
            <w:tcW w:w="710" w:type="dxa"/>
            <w:vMerge/>
            <w:tcBorders>
              <w:top w:val="single" w:sz="6" w:space="0" w:color="auto"/>
              <w:left w:val="single" w:sz="6" w:space="0" w:color="auto"/>
              <w:bottom w:val="single" w:sz="4" w:space="0" w:color="auto"/>
              <w:right w:val="single" w:sz="6" w:space="0" w:color="auto"/>
            </w:tcBorders>
            <w:shd w:val="clear" w:color="auto" w:fill="auto"/>
            <w:vAlign w:val="center"/>
          </w:tcPr>
          <w:p w:rsidR="00830DBB" w:rsidRPr="00830DBB" w:rsidRDefault="00830DBB" w:rsidP="00830DBB">
            <w:pPr>
              <w:spacing w:after="0" w:line="240" w:lineRule="auto"/>
              <w:rPr>
                <w:rFonts w:ascii="Arial" w:eastAsia="SimSun" w:hAnsi="Arial" w:cs="Arial"/>
                <w:b/>
                <w:bCs/>
                <w:color w:val="000000" w:themeColor="text1"/>
                <w:sz w:val="20"/>
                <w:szCs w:val="20"/>
                <w:lang w:val="it-IT"/>
              </w:rPr>
            </w:pPr>
          </w:p>
        </w:tc>
        <w:tc>
          <w:tcPr>
            <w:tcW w:w="1052" w:type="dxa"/>
            <w:vMerge/>
            <w:tcBorders>
              <w:top w:val="single" w:sz="6" w:space="0" w:color="auto"/>
              <w:left w:val="single" w:sz="6" w:space="0" w:color="auto"/>
              <w:bottom w:val="single" w:sz="4" w:space="0" w:color="auto"/>
              <w:right w:val="single" w:sz="6" w:space="0" w:color="auto"/>
            </w:tcBorders>
            <w:shd w:val="clear" w:color="auto" w:fill="auto"/>
            <w:vAlign w:val="center"/>
          </w:tcPr>
          <w:p w:rsidR="00830DBB" w:rsidRPr="00830DBB" w:rsidRDefault="00830DBB" w:rsidP="00830DBB">
            <w:pPr>
              <w:spacing w:after="0" w:line="240" w:lineRule="auto"/>
              <w:rPr>
                <w:rFonts w:ascii="Arial" w:eastAsia="SimSun" w:hAnsi="Arial" w:cs="Arial"/>
                <w:b/>
                <w:bCs/>
                <w:color w:val="000000" w:themeColor="text1"/>
                <w:sz w:val="20"/>
                <w:szCs w:val="20"/>
                <w:lang w:val="it-IT"/>
              </w:rPr>
            </w:pPr>
          </w:p>
        </w:tc>
        <w:tc>
          <w:tcPr>
            <w:tcW w:w="905" w:type="dxa"/>
            <w:vMerge/>
            <w:tcBorders>
              <w:top w:val="single" w:sz="6" w:space="0" w:color="auto"/>
              <w:left w:val="single" w:sz="6" w:space="0" w:color="auto"/>
              <w:bottom w:val="single" w:sz="6" w:space="0" w:color="auto"/>
              <w:right w:val="single" w:sz="6" w:space="0" w:color="auto"/>
            </w:tcBorders>
            <w:shd w:val="clear" w:color="auto" w:fill="auto"/>
            <w:vAlign w:val="center"/>
          </w:tcPr>
          <w:p w:rsidR="00830DBB" w:rsidRPr="00830DBB" w:rsidRDefault="00830DBB" w:rsidP="00830DBB">
            <w:pPr>
              <w:spacing w:after="0" w:line="240" w:lineRule="auto"/>
              <w:rPr>
                <w:rFonts w:ascii="Arial" w:eastAsia="SimSun" w:hAnsi="Arial" w:cs="Arial"/>
                <w:b/>
                <w:bCs/>
                <w:color w:val="000000" w:themeColor="text1"/>
                <w:sz w:val="20"/>
                <w:szCs w:val="20"/>
                <w:lang w:val="it-IT"/>
              </w:rPr>
            </w:pPr>
          </w:p>
        </w:tc>
        <w:tc>
          <w:tcPr>
            <w:tcW w:w="1155" w:type="dxa"/>
            <w:tcBorders>
              <w:top w:val="single" w:sz="4" w:space="0" w:color="auto"/>
              <w:left w:val="single" w:sz="6" w:space="0" w:color="auto"/>
              <w:bottom w:val="single" w:sz="4" w:space="0" w:color="auto"/>
              <w:right w:val="single" w:sz="4" w:space="0" w:color="auto"/>
            </w:tcBorders>
            <w:shd w:val="clear" w:color="auto" w:fill="auto"/>
          </w:tcPr>
          <w:p w:rsidR="00830DBB" w:rsidRPr="00830DBB" w:rsidRDefault="00830DBB" w:rsidP="00830DBB">
            <w:pPr>
              <w:spacing w:after="0" w:line="240" w:lineRule="auto"/>
              <w:jc w:val="center"/>
              <w:rPr>
                <w:rFonts w:ascii="Arial" w:eastAsia="SimSun" w:hAnsi="Arial" w:cs="Arial"/>
                <w:b/>
                <w:bCs/>
                <w:color w:val="000000" w:themeColor="text1"/>
                <w:sz w:val="20"/>
                <w:szCs w:val="20"/>
                <w:lang w:val="it-IT"/>
              </w:rPr>
            </w:pPr>
            <w:r w:rsidRPr="00830DBB">
              <w:rPr>
                <w:rFonts w:ascii="Arial" w:eastAsia="SimSun" w:hAnsi="Arial" w:cs="Arial"/>
                <w:b/>
                <w:bCs/>
                <w:color w:val="000000" w:themeColor="text1"/>
                <w:sz w:val="20"/>
                <w:szCs w:val="20"/>
                <w:lang w:val="it-IT"/>
              </w:rPr>
              <w:t>I</w:t>
            </w:r>
          </w:p>
        </w:tc>
        <w:tc>
          <w:tcPr>
            <w:tcW w:w="1155" w:type="dxa"/>
            <w:tcBorders>
              <w:top w:val="single" w:sz="4" w:space="0" w:color="auto"/>
              <w:left w:val="single" w:sz="6" w:space="0" w:color="auto"/>
              <w:bottom w:val="single" w:sz="4" w:space="0" w:color="auto"/>
              <w:right w:val="single" w:sz="4" w:space="0" w:color="auto"/>
            </w:tcBorders>
            <w:shd w:val="clear" w:color="auto" w:fill="auto"/>
          </w:tcPr>
          <w:p w:rsidR="00830DBB" w:rsidRPr="00830DBB" w:rsidRDefault="00830DBB" w:rsidP="00830DBB">
            <w:pPr>
              <w:spacing w:after="0" w:line="240" w:lineRule="auto"/>
              <w:jc w:val="center"/>
              <w:rPr>
                <w:rFonts w:ascii="Arial" w:eastAsia="SimSun" w:hAnsi="Arial" w:cs="Arial"/>
                <w:b/>
                <w:bCs/>
                <w:color w:val="000000" w:themeColor="text1"/>
                <w:sz w:val="20"/>
                <w:szCs w:val="20"/>
                <w:lang w:val="it-IT"/>
              </w:rPr>
            </w:pPr>
            <w:r w:rsidRPr="00830DBB">
              <w:rPr>
                <w:rFonts w:ascii="Arial" w:eastAsia="SimSun" w:hAnsi="Arial" w:cs="Arial"/>
                <w:b/>
                <w:bCs/>
                <w:color w:val="000000" w:themeColor="text1"/>
                <w:sz w:val="20"/>
                <w:szCs w:val="20"/>
                <w:lang w:val="it-IT"/>
              </w:rPr>
              <w:t>II</w:t>
            </w:r>
          </w:p>
        </w:tc>
        <w:tc>
          <w:tcPr>
            <w:tcW w:w="1155" w:type="dxa"/>
            <w:tcBorders>
              <w:top w:val="single" w:sz="4" w:space="0" w:color="auto"/>
              <w:left w:val="single" w:sz="6" w:space="0" w:color="auto"/>
              <w:bottom w:val="single" w:sz="4" w:space="0" w:color="auto"/>
              <w:right w:val="single" w:sz="4" w:space="0" w:color="auto"/>
            </w:tcBorders>
            <w:shd w:val="clear" w:color="auto" w:fill="auto"/>
          </w:tcPr>
          <w:p w:rsidR="00830DBB" w:rsidRPr="00830DBB" w:rsidRDefault="00830DBB" w:rsidP="00830DBB">
            <w:pPr>
              <w:spacing w:after="0" w:line="240" w:lineRule="auto"/>
              <w:jc w:val="center"/>
              <w:rPr>
                <w:rFonts w:ascii="Arial" w:eastAsia="SimSun" w:hAnsi="Arial" w:cs="Arial"/>
                <w:b/>
                <w:bCs/>
                <w:color w:val="000000" w:themeColor="text1"/>
                <w:sz w:val="20"/>
                <w:szCs w:val="20"/>
                <w:lang w:val="it-IT"/>
              </w:rPr>
            </w:pPr>
            <w:r w:rsidRPr="00830DBB">
              <w:rPr>
                <w:rFonts w:ascii="Arial" w:eastAsia="SimSun" w:hAnsi="Arial" w:cs="Arial"/>
                <w:b/>
                <w:bCs/>
                <w:color w:val="000000" w:themeColor="text1"/>
                <w:sz w:val="20"/>
                <w:szCs w:val="20"/>
                <w:lang w:val="it-IT"/>
              </w:rPr>
              <w:t>III</w:t>
            </w:r>
          </w:p>
        </w:tc>
        <w:tc>
          <w:tcPr>
            <w:tcW w:w="1155" w:type="dxa"/>
            <w:tcBorders>
              <w:top w:val="single" w:sz="4" w:space="0" w:color="auto"/>
              <w:left w:val="single" w:sz="6" w:space="0" w:color="auto"/>
              <w:bottom w:val="single" w:sz="4" w:space="0" w:color="auto"/>
              <w:right w:val="single" w:sz="4" w:space="0" w:color="auto"/>
            </w:tcBorders>
            <w:shd w:val="clear" w:color="auto" w:fill="auto"/>
          </w:tcPr>
          <w:p w:rsidR="00830DBB" w:rsidRPr="00830DBB" w:rsidRDefault="00830DBB" w:rsidP="00830DBB">
            <w:pPr>
              <w:spacing w:after="0" w:line="240" w:lineRule="auto"/>
              <w:jc w:val="center"/>
              <w:rPr>
                <w:rFonts w:ascii="Arial" w:eastAsia="SimSun" w:hAnsi="Arial" w:cs="Arial"/>
                <w:b/>
                <w:bCs/>
                <w:color w:val="000000" w:themeColor="text1"/>
                <w:sz w:val="20"/>
                <w:szCs w:val="20"/>
                <w:lang w:val="it-IT"/>
              </w:rPr>
            </w:pPr>
            <w:r w:rsidRPr="00830DBB">
              <w:rPr>
                <w:rFonts w:ascii="Arial" w:eastAsia="SimSun" w:hAnsi="Arial" w:cs="Arial"/>
                <w:b/>
                <w:bCs/>
                <w:color w:val="000000" w:themeColor="text1"/>
                <w:sz w:val="20"/>
                <w:szCs w:val="20"/>
                <w:lang w:val="it-IT"/>
              </w:rPr>
              <w:t>IV</w:t>
            </w:r>
          </w:p>
        </w:tc>
        <w:tc>
          <w:tcPr>
            <w:tcW w:w="1155" w:type="dxa"/>
            <w:tcBorders>
              <w:top w:val="single" w:sz="4" w:space="0" w:color="auto"/>
              <w:left w:val="single" w:sz="6" w:space="0" w:color="auto"/>
              <w:bottom w:val="single" w:sz="4" w:space="0" w:color="auto"/>
              <w:right w:val="single" w:sz="4" w:space="0" w:color="auto"/>
            </w:tcBorders>
            <w:shd w:val="clear" w:color="auto" w:fill="auto"/>
          </w:tcPr>
          <w:p w:rsidR="00830DBB" w:rsidRPr="00830DBB" w:rsidRDefault="00830DBB" w:rsidP="00830DBB">
            <w:pPr>
              <w:spacing w:after="0" w:line="240" w:lineRule="auto"/>
              <w:jc w:val="center"/>
              <w:rPr>
                <w:rFonts w:ascii="Arial" w:eastAsia="SimSun" w:hAnsi="Arial" w:cs="Arial"/>
                <w:b/>
                <w:bCs/>
                <w:color w:val="000000" w:themeColor="text1"/>
                <w:sz w:val="20"/>
                <w:szCs w:val="20"/>
                <w:lang w:val="it-IT"/>
              </w:rPr>
            </w:pPr>
            <w:r w:rsidRPr="00830DBB">
              <w:rPr>
                <w:rFonts w:ascii="Arial" w:eastAsia="SimSun" w:hAnsi="Arial" w:cs="Arial"/>
                <w:b/>
                <w:bCs/>
                <w:color w:val="000000" w:themeColor="text1"/>
                <w:sz w:val="20"/>
                <w:szCs w:val="20"/>
                <w:lang w:val="it-IT"/>
              </w:rPr>
              <w:t>V</w:t>
            </w:r>
          </w:p>
        </w:tc>
        <w:tc>
          <w:tcPr>
            <w:tcW w:w="1443" w:type="dxa"/>
            <w:tcBorders>
              <w:top w:val="single" w:sz="6" w:space="0" w:color="auto"/>
              <w:left w:val="single" w:sz="6" w:space="0" w:color="auto"/>
              <w:bottom w:val="single" w:sz="6" w:space="0" w:color="auto"/>
              <w:right w:val="single" w:sz="6" w:space="0" w:color="auto"/>
            </w:tcBorders>
            <w:shd w:val="clear" w:color="auto" w:fill="auto"/>
          </w:tcPr>
          <w:p w:rsidR="00830DBB" w:rsidRPr="00830DBB" w:rsidRDefault="00830DBB" w:rsidP="00830DBB">
            <w:pPr>
              <w:spacing w:after="0" w:line="240" w:lineRule="auto"/>
              <w:jc w:val="center"/>
              <w:rPr>
                <w:rFonts w:ascii="Arial" w:eastAsia="SimSun" w:hAnsi="Arial" w:cs="Arial"/>
                <w:b/>
                <w:bCs/>
                <w:color w:val="000000" w:themeColor="text1"/>
                <w:sz w:val="20"/>
                <w:szCs w:val="20"/>
                <w:lang w:val="it-IT"/>
              </w:rPr>
            </w:pPr>
            <w:r w:rsidRPr="00830DBB">
              <w:rPr>
                <w:rFonts w:ascii="Arial" w:eastAsia="SimSun" w:hAnsi="Arial" w:cs="Arial"/>
                <w:b/>
                <w:bCs/>
                <w:color w:val="000000" w:themeColor="text1"/>
                <w:sz w:val="20"/>
                <w:szCs w:val="20"/>
                <w:lang w:val="it-IT"/>
              </w:rPr>
              <w:t>Total (ha)</w:t>
            </w:r>
          </w:p>
        </w:tc>
      </w:tr>
      <w:tr w:rsidR="00830DBB" w:rsidRPr="00830DBB" w:rsidTr="00080B9C">
        <w:trPr>
          <w:cantSplit/>
          <w:trHeight w:val="219"/>
        </w:trPr>
        <w:tc>
          <w:tcPr>
            <w:tcW w:w="710" w:type="dxa"/>
            <w:tcBorders>
              <w:top w:val="single" w:sz="4" w:space="0" w:color="auto"/>
              <w:left w:val="single" w:sz="6" w:space="0" w:color="auto"/>
              <w:bottom w:val="single" w:sz="4" w:space="0" w:color="auto"/>
              <w:right w:val="single" w:sz="6" w:space="0" w:color="auto"/>
            </w:tcBorders>
          </w:tcPr>
          <w:p w:rsidR="00830DBB" w:rsidRPr="00830DBB" w:rsidRDefault="00830DBB" w:rsidP="00830DBB">
            <w:pPr>
              <w:spacing w:after="0" w:line="240" w:lineRule="auto"/>
              <w:jc w:val="center"/>
              <w:rPr>
                <w:rFonts w:ascii="Arial" w:eastAsia="SimSun" w:hAnsi="Arial" w:cs="Arial"/>
                <w:color w:val="000000" w:themeColor="text1"/>
                <w:sz w:val="20"/>
                <w:szCs w:val="20"/>
                <w:lang w:val="it-IT"/>
              </w:rPr>
            </w:pPr>
            <w:r w:rsidRPr="00830DBB">
              <w:rPr>
                <w:rFonts w:ascii="Arial" w:eastAsia="SimSun" w:hAnsi="Arial" w:cs="Arial"/>
                <w:color w:val="000000" w:themeColor="text1"/>
                <w:sz w:val="20"/>
                <w:szCs w:val="20"/>
                <w:lang w:val="it-IT"/>
              </w:rPr>
              <w:t>1</w:t>
            </w:r>
          </w:p>
        </w:tc>
        <w:tc>
          <w:tcPr>
            <w:tcW w:w="1052" w:type="dxa"/>
            <w:tcBorders>
              <w:top w:val="single" w:sz="4" w:space="0" w:color="auto"/>
              <w:left w:val="single" w:sz="6" w:space="0" w:color="auto"/>
              <w:bottom w:val="single" w:sz="4" w:space="0" w:color="auto"/>
              <w:right w:val="single" w:sz="6" w:space="0" w:color="auto"/>
            </w:tcBorders>
          </w:tcPr>
          <w:p w:rsidR="00830DBB" w:rsidRPr="00830DBB" w:rsidRDefault="00830DBB" w:rsidP="00830DBB">
            <w:pPr>
              <w:tabs>
                <w:tab w:val="center" w:pos="4320"/>
                <w:tab w:val="right" w:pos="8640"/>
              </w:tabs>
              <w:spacing w:after="0" w:line="240" w:lineRule="auto"/>
              <w:rPr>
                <w:rFonts w:ascii="Arial" w:eastAsia="Times New Roman" w:hAnsi="Arial" w:cs="Arial"/>
                <w:b/>
                <w:color w:val="000000" w:themeColor="text1"/>
                <w:sz w:val="20"/>
                <w:szCs w:val="20"/>
                <w:lang w:val="ro-RO"/>
              </w:rPr>
            </w:pPr>
            <w:r w:rsidRPr="00830DBB">
              <w:rPr>
                <w:rFonts w:ascii="Arial" w:eastAsia="Times New Roman" w:hAnsi="Arial" w:cs="Arial"/>
                <w:b/>
                <w:color w:val="000000" w:themeColor="text1"/>
                <w:sz w:val="20"/>
                <w:szCs w:val="20"/>
                <w:lang w:val="ro-RO"/>
              </w:rPr>
              <w:t>Arabil</w:t>
            </w:r>
          </w:p>
        </w:tc>
        <w:tc>
          <w:tcPr>
            <w:tcW w:w="905" w:type="dxa"/>
            <w:tcBorders>
              <w:top w:val="single" w:sz="6" w:space="0" w:color="auto"/>
              <w:left w:val="single" w:sz="6" w:space="0" w:color="auto"/>
              <w:bottom w:val="single" w:sz="6" w:space="0" w:color="auto"/>
              <w:right w:val="single" w:sz="6" w:space="0" w:color="auto"/>
            </w:tcBorders>
          </w:tcPr>
          <w:p w:rsidR="00830DBB" w:rsidRPr="00830DBB" w:rsidRDefault="00830DBB" w:rsidP="00830DBB">
            <w:pPr>
              <w:spacing w:after="0" w:line="240" w:lineRule="auto"/>
              <w:jc w:val="center"/>
              <w:rPr>
                <w:rFonts w:ascii="Arial" w:eastAsia="SimSun" w:hAnsi="Arial" w:cs="Arial"/>
                <w:color w:val="000000" w:themeColor="text1"/>
                <w:sz w:val="20"/>
                <w:szCs w:val="20"/>
                <w:lang w:val="it-IT"/>
              </w:rPr>
            </w:pPr>
            <w:r w:rsidRPr="00830DBB">
              <w:rPr>
                <w:rFonts w:ascii="Arial" w:eastAsia="SimSun" w:hAnsi="Arial" w:cs="Arial"/>
                <w:color w:val="000000" w:themeColor="text1"/>
                <w:sz w:val="20"/>
                <w:szCs w:val="20"/>
                <w:lang w:val="it-IT"/>
              </w:rPr>
              <w:t>(ha)</w:t>
            </w:r>
          </w:p>
        </w:tc>
        <w:tc>
          <w:tcPr>
            <w:tcW w:w="1155" w:type="dxa"/>
            <w:tcBorders>
              <w:top w:val="single" w:sz="4" w:space="0" w:color="auto"/>
              <w:left w:val="single" w:sz="6" w:space="0" w:color="auto"/>
              <w:bottom w:val="single" w:sz="4" w:space="0" w:color="auto"/>
              <w:right w:val="single" w:sz="4" w:space="0" w:color="auto"/>
            </w:tcBorders>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5659</w:t>
            </w:r>
          </w:p>
        </w:tc>
        <w:tc>
          <w:tcPr>
            <w:tcW w:w="1155" w:type="dxa"/>
            <w:tcBorders>
              <w:top w:val="single" w:sz="4" w:space="0" w:color="auto"/>
              <w:left w:val="single" w:sz="4" w:space="0" w:color="auto"/>
              <w:bottom w:val="single" w:sz="4" w:space="0" w:color="auto"/>
              <w:right w:val="single" w:sz="4" w:space="0" w:color="auto"/>
            </w:tcBorders>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86253</w:t>
            </w:r>
          </w:p>
        </w:tc>
        <w:tc>
          <w:tcPr>
            <w:tcW w:w="1155" w:type="dxa"/>
            <w:tcBorders>
              <w:top w:val="single" w:sz="4" w:space="0" w:color="auto"/>
              <w:left w:val="single" w:sz="4" w:space="0" w:color="auto"/>
              <w:bottom w:val="single" w:sz="4" w:space="0" w:color="auto"/>
              <w:right w:val="single" w:sz="4" w:space="0" w:color="auto"/>
            </w:tcBorders>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122645</w:t>
            </w:r>
          </w:p>
        </w:tc>
        <w:tc>
          <w:tcPr>
            <w:tcW w:w="1155" w:type="dxa"/>
            <w:tcBorders>
              <w:top w:val="single" w:sz="4" w:space="0" w:color="auto"/>
              <w:left w:val="single" w:sz="4" w:space="0" w:color="auto"/>
              <w:bottom w:val="single" w:sz="4" w:space="0" w:color="auto"/>
              <w:right w:val="single" w:sz="4" w:space="0" w:color="auto"/>
            </w:tcBorders>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58288</w:t>
            </w:r>
          </w:p>
        </w:tc>
        <w:tc>
          <w:tcPr>
            <w:tcW w:w="1155" w:type="dxa"/>
            <w:tcBorders>
              <w:top w:val="single" w:sz="4" w:space="0" w:color="auto"/>
              <w:left w:val="single" w:sz="4" w:space="0" w:color="auto"/>
              <w:bottom w:val="single" w:sz="4" w:space="0" w:color="auto"/>
              <w:right w:val="single" w:sz="4" w:space="0" w:color="auto"/>
            </w:tcBorders>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19613</w:t>
            </w:r>
          </w:p>
        </w:tc>
        <w:tc>
          <w:tcPr>
            <w:tcW w:w="1443" w:type="dxa"/>
            <w:tcBorders>
              <w:top w:val="single" w:sz="6" w:space="0" w:color="auto"/>
              <w:left w:val="single" w:sz="6" w:space="0" w:color="auto"/>
              <w:bottom w:val="single" w:sz="6" w:space="0" w:color="auto"/>
              <w:right w:val="single" w:sz="6" w:space="0" w:color="auto"/>
            </w:tcBorders>
          </w:tcPr>
          <w:p w:rsidR="00830DBB" w:rsidRPr="00830DBB" w:rsidRDefault="00830DBB" w:rsidP="00830DBB">
            <w:pPr>
              <w:spacing w:after="0" w:line="240" w:lineRule="auto"/>
              <w:jc w:val="center"/>
              <w:rPr>
                <w:rFonts w:ascii="Arial" w:eastAsia="SimSun" w:hAnsi="Arial" w:cs="Arial"/>
                <w:b/>
                <w:sz w:val="20"/>
                <w:szCs w:val="20"/>
                <w:lang w:val="it-IT"/>
              </w:rPr>
            </w:pPr>
            <w:r w:rsidRPr="00830DBB">
              <w:rPr>
                <w:rFonts w:ascii="Arial" w:eastAsia="SimSun" w:hAnsi="Arial" w:cs="Arial"/>
                <w:b/>
                <w:sz w:val="20"/>
                <w:szCs w:val="20"/>
                <w:lang w:val="it-IT"/>
              </w:rPr>
              <w:t>292458</w:t>
            </w:r>
          </w:p>
        </w:tc>
      </w:tr>
      <w:tr w:rsidR="00830DBB" w:rsidRPr="00830DBB" w:rsidTr="00080B9C">
        <w:trPr>
          <w:cantSplit/>
          <w:trHeight w:val="247"/>
        </w:trPr>
        <w:tc>
          <w:tcPr>
            <w:tcW w:w="710" w:type="dxa"/>
            <w:tcBorders>
              <w:top w:val="single" w:sz="4" w:space="0" w:color="auto"/>
              <w:left w:val="single" w:sz="6" w:space="0" w:color="auto"/>
              <w:bottom w:val="single" w:sz="4" w:space="0" w:color="auto"/>
              <w:right w:val="single" w:sz="6" w:space="0" w:color="auto"/>
            </w:tcBorders>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2</w:t>
            </w:r>
          </w:p>
        </w:tc>
        <w:tc>
          <w:tcPr>
            <w:tcW w:w="1052" w:type="dxa"/>
            <w:tcBorders>
              <w:top w:val="single" w:sz="4" w:space="0" w:color="auto"/>
              <w:left w:val="single" w:sz="6" w:space="0" w:color="auto"/>
              <w:bottom w:val="single" w:sz="4" w:space="0" w:color="auto"/>
              <w:right w:val="single" w:sz="6" w:space="0" w:color="auto"/>
            </w:tcBorders>
          </w:tcPr>
          <w:p w:rsidR="00830DBB" w:rsidRPr="00830DBB" w:rsidRDefault="00830DBB" w:rsidP="00830DBB">
            <w:pPr>
              <w:spacing w:after="0" w:line="240" w:lineRule="auto"/>
              <w:rPr>
                <w:rFonts w:ascii="Arial" w:eastAsia="SimSun" w:hAnsi="Arial" w:cs="Arial"/>
                <w:b/>
                <w:color w:val="000000" w:themeColor="text1"/>
                <w:sz w:val="20"/>
                <w:szCs w:val="20"/>
                <w:lang w:val="en-GB"/>
              </w:rPr>
            </w:pPr>
            <w:r w:rsidRPr="00830DBB">
              <w:rPr>
                <w:rFonts w:ascii="Arial" w:eastAsia="SimSun" w:hAnsi="Arial" w:cs="Arial"/>
                <w:b/>
                <w:color w:val="000000" w:themeColor="text1"/>
                <w:sz w:val="20"/>
                <w:szCs w:val="20"/>
                <w:lang w:val="en-GB"/>
              </w:rPr>
              <w:t>Păşuni</w:t>
            </w:r>
          </w:p>
        </w:tc>
        <w:tc>
          <w:tcPr>
            <w:tcW w:w="905" w:type="dxa"/>
            <w:tcBorders>
              <w:top w:val="single" w:sz="6" w:space="0" w:color="auto"/>
              <w:left w:val="single" w:sz="6" w:space="0" w:color="auto"/>
              <w:bottom w:val="single" w:sz="6" w:space="0" w:color="auto"/>
              <w:right w:val="single" w:sz="6" w:space="0" w:color="auto"/>
            </w:tcBorders>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(ha)</w:t>
            </w:r>
          </w:p>
        </w:tc>
        <w:tc>
          <w:tcPr>
            <w:tcW w:w="1155" w:type="dxa"/>
            <w:tcBorders>
              <w:top w:val="single" w:sz="4" w:space="0" w:color="auto"/>
              <w:left w:val="single" w:sz="6" w:space="0" w:color="auto"/>
              <w:bottom w:val="single" w:sz="4" w:space="0" w:color="auto"/>
              <w:right w:val="single" w:sz="4" w:space="0" w:color="auto"/>
            </w:tcBorders>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175</w:t>
            </w:r>
          </w:p>
        </w:tc>
        <w:tc>
          <w:tcPr>
            <w:tcW w:w="1155" w:type="dxa"/>
            <w:tcBorders>
              <w:top w:val="single" w:sz="4" w:space="0" w:color="auto"/>
              <w:left w:val="single" w:sz="4" w:space="0" w:color="auto"/>
              <w:bottom w:val="single" w:sz="4" w:space="0" w:color="auto"/>
              <w:right w:val="single" w:sz="4" w:space="0" w:color="auto"/>
            </w:tcBorders>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4.488</w:t>
            </w:r>
          </w:p>
        </w:tc>
        <w:tc>
          <w:tcPr>
            <w:tcW w:w="1155" w:type="dxa"/>
            <w:tcBorders>
              <w:top w:val="single" w:sz="4" w:space="0" w:color="auto"/>
              <w:left w:val="single" w:sz="4" w:space="0" w:color="auto"/>
              <w:bottom w:val="single" w:sz="4" w:space="0" w:color="auto"/>
              <w:right w:val="single" w:sz="4" w:space="0" w:color="auto"/>
            </w:tcBorders>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26421</w:t>
            </w:r>
          </w:p>
        </w:tc>
        <w:tc>
          <w:tcPr>
            <w:tcW w:w="1155" w:type="dxa"/>
            <w:tcBorders>
              <w:top w:val="single" w:sz="4" w:space="0" w:color="auto"/>
              <w:left w:val="single" w:sz="4" w:space="0" w:color="auto"/>
              <w:bottom w:val="single" w:sz="4" w:space="0" w:color="auto"/>
              <w:right w:val="single" w:sz="4" w:space="0" w:color="auto"/>
            </w:tcBorders>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39771</w:t>
            </w:r>
          </w:p>
        </w:tc>
        <w:tc>
          <w:tcPr>
            <w:tcW w:w="1155" w:type="dxa"/>
            <w:tcBorders>
              <w:top w:val="single" w:sz="4" w:space="0" w:color="auto"/>
              <w:left w:val="single" w:sz="4" w:space="0" w:color="auto"/>
              <w:bottom w:val="single" w:sz="4" w:space="0" w:color="auto"/>
              <w:right w:val="single" w:sz="4" w:space="0" w:color="auto"/>
            </w:tcBorders>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15432</w:t>
            </w:r>
          </w:p>
        </w:tc>
        <w:tc>
          <w:tcPr>
            <w:tcW w:w="1443" w:type="dxa"/>
            <w:tcBorders>
              <w:top w:val="single" w:sz="6" w:space="0" w:color="auto"/>
              <w:left w:val="single" w:sz="6" w:space="0" w:color="auto"/>
              <w:bottom w:val="single" w:sz="6" w:space="0" w:color="auto"/>
              <w:right w:val="single" w:sz="6" w:space="0" w:color="auto"/>
            </w:tcBorders>
          </w:tcPr>
          <w:p w:rsidR="00830DBB" w:rsidRPr="00830DBB" w:rsidRDefault="00830DBB" w:rsidP="00830DBB">
            <w:pPr>
              <w:spacing w:after="0" w:line="240" w:lineRule="auto"/>
              <w:jc w:val="center"/>
              <w:rPr>
                <w:rFonts w:ascii="Arial" w:eastAsia="SimSun" w:hAnsi="Arial" w:cs="Arial"/>
                <w:b/>
                <w:sz w:val="20"/>
                <w:szCs w:val="20"/>
                <w:lang w:val="it-IT"/>
              </w:rPr>
            </w:pPr>
            <w:r w:rsidRPr="00830DBB">
              <w:rPr>
                <w:rFonts w:ascii="Arial" w:eastAsia="SimSun" w:hAnsi="Arial" w:cs="Arial"/>
                <w:b/>
                <w:sz w:val="20"/>
                <w:szCs w:val="20"/>
                <w:lang w:val="it-IT"/>
              </w:rPr>
              <w:t>86287</w:t>
            </w:r>
          </w:p>
        </w:tc>
      </w:tr>
      <w:tr w:rsidR="00830DBB" w:rsidRPr="00830DBB" w:rsidTr="00080B9C">
        <w:trPr>
          <w:cantSplit/>
          <w:trHeight w:val="247"/>
        </w:trPr>
        <w:tc>
          <w:tcPr>
            <w:tcW w:w="710" w:type="dxa"/>
            <w:tcBorders>
              <w:top w:val="single" w:sz="4" w:space="0" w:color="auto"/>
              <w:left w:val="single" w:sz="6" w:space="0" w:color="auto"/>
              <w:bottom w:val="single" w:sz="4" w:space="0" w:color="auto"/>
              <w:right w:val="single" w:sz="6" w:space="0" w:color="auto"/>
            </w:tcBorders>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3</w:t>
            </w:r>
          </w:p>
        </w:tc>
        <w:tc>
          <w:tcPr>
            <w:tcW w:w="1052" w:type="dxa"/>
            <w:tcBorders>
              <w:top w:val="single" w:sz="4" w:space="0" w:color="auto"/>
              <w:left w:val="single" w:sz="6" w:space="0" w:color="auto"/>
              <w:bottom w:val="single" w:sz="4" w:space="0" w:color="auto"/>
              <w:right w:val="single" w:sz="6" w:space="0" w:color="auto"/>
            </w:tcBorders>
          </w:tcPr>
          <w:p w:rsidR="00830DBB" w:rsidRPr="00830DBB" w:rsidRDefault="00830DBB" w:rsidP="00830DBB">
            <w:pPr>
              <w:spacing w:after="0" w:line="240" w:lineRule="auto"/>
              <w:rPr>
                <w:rFonts w:ascii="Arial" w:eastAsia="SimSun" w:hAnsi="Arial" w:cs="Arial"/>
                <w:b/>
                <w:color w:val="000000" w:themeColor="text1"/>
                <w:sz w:val="20"/>
                <w:szCs w:val="20"/>
                <w:lang w:val="ro-RO"/>
              </w:rPr>
            </w:pPr>
            <w:r w:rsidRPr="00830DBB">
              <w:rPr>
                <w:rFonts w:ascii="Arial" w:eastAsia="SimSun" w:hAnsi="Arial" w:cs="Arial"/>
                <w:b/>
                <w:color w:val="000000" w:themeColor="text1"/>
                <w:sz w:val="20"/>
                <w:szCs w:val="20"/>
                <w:lang w:val="en-GB"/>
              </w:rPr>
              <w:t>F</w:t>
            </w:r>
            <w:r w:rsidRPr="00830DBB">
              <w:rPr>
                <w:rFonts w:ascii="Arial" w:eastAsia="SimSun" w:hAnsi="Arial" w:cs="Arial"/>
                <w:b/>
                <w:color w:val="000000" w:themeColor="text1"/>
                <w:sz w:val="20"/>
                <w:szCs w:val="20"/>
                <w:lang w:val="ro-RO"/>
              </w:rPr>
              <w:t>âneţe</w:t>
            </w:r>
          </w:p>
        </w:tc>
        <w:tc>
          <w:tcPr>
            <w:tcW w:w="905" w:type="dxa"/>
            <w:tcBorders>
              <w:top w:val="single" w:sz="6" w:space="0" w:color="auto"/>
              <w:left w:val="single" w:sz="6" w:space="0" w:color="auto"/>
              <w:bottom w:val="single" w:sz="6" w:space="0" w:color="auto"/>
              <w:right w:val="single" w:sz="6" w:space="0" w:color="auto"/>
            </w:tcBorders>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(ha)</w:t>
            </w:r>
          </w:p>
        </w:tc>
        <w:tc>
          <w:tcPr>
            <w:tcW w:w="1155" w:type="dxa"/>
            <w:tcBorders>
              <w:top w:val="single" w:sz="4" w:space="0" w:color="auto"/>
              <w:left w:val="single" w:sz="6" w:space="0" w:color="auto"/>
              <w:bottom w:val="single" w:sz="4" w:space="0" w:color="auto"/>
              <w:right w:val="single" w:sz="4" w:space="0" w:color="auto"/>
            </w:tcBorders>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w:t>
            </w:r>
          </w:p>
        </w:tc>
        <w:tc>
          <w:tcPr>
            <w:tcW w:w="1155" w:type="dxa"/>
            <w:tcBorders>
              <w:top w:val="single" w:sz="4" w:space="0" w:color="auto"/>
              <w:left w:val="single" w:sz="4" w:space="0" w:color="auto"/>
              <w:bottom w:val="single" w:sz="4" w:space="0" w:color="auto"/>
              <w:right w:val="single" w:sz="4" w:space="0" w:color="auto"/>
            </w:tcBorders>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470</w:t>
            </w:r>
          </w:p>
        </w:tc>
        <w:tc>
          <w:tcPr>
            <w:tcW w:w="1155" w:type="dxa"/>
            <w:tcBorders>
              <w:top w:val="single" w:sz="4" w:space="0" w:color="auto"/>
              <w:left w:val="single" w:sz="4" w:space="0" w:color="auto"/>
              <w:bottom w:val="single" w:sz="4" w:space="0" w:color="auto"/>
              <w:right w:val="single" w:sz="4" w:space="0" w:color="auto"/>
            </w:tcBorders>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3155</w:t>
            </w:r>
          </w:p>
        </w:tc>
        <w:tc>
          <w:tcPr>
            <w:tcW w:w="1155" w:type="dxa"/>
            <w:tcBorders>
              <w:top w:val="single" w:sz="4" w:space="0" w:color="auto"/>
              <w:left w:val="single" w:sz="4" w:space="0" w:color="auto"/>
              <w:bottom w:val="single" w:sz="4" w:space="0" w:color="auto"/>
              <w:right w:val="single" w:sz="4" w:space="0" w:color="auto"/>
            </w:tcBorders>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2879</w:t>
            </w:r>
          </w:p>
        </w:tc>
        <w:tc>
          <w:tcPr>
            <w:tcW w:w="1155" w:type="dxa"/>
            <w:tcBorders>
              <w:top w:val="single" w:sz="4" w:space="0" w:color="auto"/>
              <w:left w:val="single" w:sz="4" w:space="0" w:color="auto"/>
              <w:bottom w:val="single" w:sz="4" w:space="0" w:color="auto"/>
              <w:right w:val="single" w:sz="4" w:space="0" w:color="auto"/>
            </w:tcBorders>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1394</w:t>
            </w:r>
          </w:p>
        </w:tc>
        <w:tc>
          <w:tcPr>
            <w:tcW w:w="1443" w:type="dxa"/>
            <w:tcBorders>
              <w:top w:val="single" w:sz="6" w:space="0" w:color="auto"/>
              <w:left w:val="single" w:sz="6" w:space="0" w:color="auto"/>
              <w:bottom w:val="single" w:sz="6" w:space="0" w:color="auto"/>
              <w:right w:val="single" w:sz="6" w:space="0" w:color="auto"/>
            </w:tcBorders>
          </w:tcPr>
          <w:p w:rsidR="00830DBB" w:rsidRPr="00830DBB" w:rsidRDefault="00830DBB" w:rsidP="00830DBB">
            <w:pPr>
              <w:spacing w:after="0" w:line="240" w:lineRule="auto"/>
              <w:jc w:val="center"/>
              <w:rPr>
                <w:rFonts w:ascii="Arial" w:eastAsia="SimSun" w:hAnsi="Arial" w:cs="Arial"/>
                <w:b/>
                <w:sz w:val="20"/>
                <w:szCs w:val="20"/>
                <w:lang w:val="it-IT"/>
              </w:rPr>
            </w:pPr>
            <w:r w:rsidRPr="00830DBB">
              <w:rPr>
                <w:rFonts w:ascii="Arial" w:eastAsia="SimSun" w:hAnsi="Arial" w:cs="Arial"/>
                <w:b/>
                <w:sz w:val="20"/>
                <w:szCs w:val="20"/>
                <w:lang w:val="it-IT"/>
              </w:rPr>
              <w:t>7.898</w:t>
            </w:r>
          </w:p>
        </w:tc>
      </w:tr>
      <w:tr w:rsidR="00830DBB" w:rsidRPr="00830DBB" w:rsidTr="00080B9C">
        <w:trPr>
          <w:cantSplit/>
          <w:trHeight w:val="247"/>
        </w:trPr>
        <w:tc>
          <w:tcPr>
            <w:tcW w:w="710" w:type="dxa"/>
            <w:tcBorders>
              <w:top w:val="single" w:sz="4" w:space="0" w:color="auto"/>
              <w:left w:val="single" w:sz="6" w:space="0" w:color="auto"/>
              <w:bottom w:val="single" w:sz="4" w:space="0" w:color="auto"/>
              <w:right w:val="single" w:sz="6" w:space="0" w:color="auto"/>
            </w:tcBorders>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4</w:t>
            </w:r>
          </w:p>
        </w:tc>
        <w:tc>
          <w:tcPr>
            <w:tcW w:w="1052" w:type="dxa"/>
            <w:tcBorders>
              <w:top w:val="single" w:sz="4" w:space="0" w:color="auto"/>
              <w:left w:val="single" w:sz="6" w:space="0" w:color="auto"/>
              <w:bottom w:val="single" w:sz="4" w:space="0" w:color="auto"/>
              <w:right w:val="single" w:sz="6" w:space="0" w:color="auto"/>
            </w:tcBorders>
          </w:tcPr>
          <w:p w:rsidR="00830DBB" w:rsidRPr="00830DBB" w:rsidRDefault="00830DBB" w:rsidP="00830DBB">
            <w:pPr>
              <w:spacing w:after="0" w:line="240" w:lineRule="auto"/>
              <w:rPr>
                <w:rFonts w:ascii="Arial" w:eastAsia="SimSun" w:hAnsi="Arial" w:cs="Arial"/>
                <w:b/>
                <w:color w:val="000000" w:themeColor="text1"/>
                <w:sz w:val="20"/>
                <w:szCs w:val="20"/>
                <w:lang w:val="en-GB"/>
              </w:rPr>
            </w:pPr>
            <w:r w:rsidRPr="00830DBB">
              <w:rPr>
                <w:rFonts w:ascii="Arial" w:eastAsia="SimSun" w:hAnsi="Arial" w:cs="Arial"/>
                <w:b/>
                <w:color w:val="000000" w:themeColor="text1"/>
                <w:sz w:val="20"/>
                <w:szCs w:val="20"/>
                <w:lang w:val="en-GB"/>
              </w:rPr>
              <w:t>Vii</w:t>
            </w:r>
          </w:p>
        </w:tc>
        <w:tc>
          <w:tcPr>
            <w:tcW w:w="905" w:type="dxa"/>
            <w:tcBorders>
              <w:top w:val="single" w:sz="6" w:space="0" w:color="auto"/>
              <w:left w:val="single" w:sz="6" w:space="0" w:color="auto"/>
              <w:bottom w:val="single" w:sz="6" w:space="0" w:color="auto"/>
              <w:right w:val="single" w:sz="6" w:space="0" w:color="auto"/>
            </w:tcBorders>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(ha)</w:t>
            </w:r>
          </w:p>
        </w:tc>
        <w:tc>
          <w:tcPr>
            <w:tcW w:w="1155" w:type="dxa"/>
            <w:tcBorders>
              <w:top w:val="single" w:sz="4" w:space="0" w:color="auto"/>
              <w:left w:val="single" w:sz="6" w:space="0" w:color="auto"/>
              <w:bottom w:val="single" w:sz="4" w:space="0" w:color="auto"/>
              <w:right w:val="single" w:sz="4" w:space="0" w:color="auto"/>
            </w:tcBorders>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w:t>
            </w:r>
          </w:p>
        </w:tc>
        <w:tc>
          <w:tcPr>
            <w:tcW w:w="1155" w:type="dxa"/>
            <w:tcBorders>
              <w:top w:val="single" w:sz="4" w:space="0" w:color="auto"/>
              <w:left w:val="single" w:sz="4" w:space="0" w:color="auto"/>
              <w:bottom w:val="single" w:sz="4" w:space="0" w:color="auto"/>
              <w:right w:val="single" w:sz="4" w:space="0" w:color="auto"/>
            </w:tcBorders>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1.654</w:t>
            </w:r>
          </w:p>
        </w:tc>
        <w:tc>
          <w:tcPr>
            <w:tcW w:w="1155" w:type="dxa"/>
            <w:tcBorders>
              <w:top w:val="single" w:sz="4" w:space="0" w:color="auto"/>
              <w:left w:val="single" w:sz="4" w:space="0" w:color="auto"/>
              <w:bottom w:val="single" w:sz="4" w:space="0" w:color="auto"/>
              <w:right w:val="single" w:sz="4" w:space="0" w:color="auto"/>
            </w:tcBorders>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4758</w:t>
            </w:r>
          </w:p>
        </w:tc>
        <w:tc>
          <w:tcPr>
            <w:tcW w:w="1155" w:type="dxa"/>
            <w:tcBorders>
              <w:top w:val="single" w:sz="4" w:space="0" w:color="auto"/>
              <w:left w:val="single" w:sz="4" w:space="0" w:color="auto"/>
              <w:bottom w:val="single" w:sz="4" w:space="0" w:color="auto"/>
              <w:right w:val="single" w:sz="4" w:space="0" w:color="auto"/>
            </w:tcBorders>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4015</w:t>
            </w:r>
          </w:p>
        </w:tc>
        <w:tc>
          <w:tcPr>
            <w:tcW w:w="1155" w:type="dxa"/>
            <w:tcBorders>
              <w:top w:val="single" w:sz="4" w:space="0" w:color="auto"/>
              <w:left w:val="single" w:sz="4" w:space="0" w:color="auto"/>
              <w:bottom w:val="single" w:sz="4" w:space="0" w:color="auto"/>
              <w:right w:val="single" w:sz="4" w:space="0" w:color="auto"/>
            </w:tcBorders>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1419</w:t>
            </w:r>
          </w:p>
        </w:tc>
        <w:tc>
          <w:tcPr>
            <w:tcW w:w="1443" w:type="dxa"/>
            <w:tcBorders>
              <w:top w:val="single" w:sz="6" w:space="0" w:color="auto"/>
              <w:left w:val="single" w:sz="6" w:space="0" w:color="auto"/>
              <w:bottom w:val="single" w:sz="6" w:space="0" w:color="auto"/>
              <w:right w:val="single" w:sz="6" w:space="0" w:color="auto"/>
            </w:tcBorders>
          </w:tcPr>
          <w:p w:rsidR="00830DBB" w:rsidRPr="00830DBB" w:rsidRDefault="00830DBB" w:rsidP="00830DBB">
            <w:pPr>
              <w:spacing w:after="0" w:line="240" w:lineRule="auto"/>
              <w:jc w:val="center"/>
              <w:rPr>
                <w:rFonts w:ascii="Arial" w:eastAsia="SimSun" w:hAnsi="Arial" w:cs="Arial"/>
                <w:b/>
                <w:sz w:val="20"/>
                <w:szCs w:val="20"/>
                <w:lang w:val="it-IT"/>
              </w:rPr>
            </w:pPr>
            <w:r w:rsidRPr="00830DBB">
              <w:rPr>
                <w:rFonts w:ascii="Arial" w:eastAsia="SimSun" w:hAnsi="Arial" w:cs="Arial"/>
                <w:b/>
                <w:sz w:val="20"/>
                <w:szCs w:val="20"/>
                <w:lang w:val="it-IT"/>
              </w:rPr>
              <w:t>11.846</w:t>
            </w:r>
          </w:p>
        </w:tc>
      </w:tr>
      <w:tr w:rsidR="00830DBB" w:rsidRPr="00830DBB" w:rsidTr="00080B9C">
        <w:trPr>
          <w:cantSplit/>
          <w:trHeight w:val="261"/>
        </w:trPr>
        <w:tc>
          <w:tcPr>
            <w:tcW w:w="710" w:type="dxa"/>
            <w:tcBorders>
              <w:top w:val="single" w:sz="4" w:space="0" w:color="auto"/>
              <w:left w:val="single" w:sz="6" w:space="0" w:color="auto"/>
              <w:bottom w:val="single" w:sz="4" w:space="0" w:color="auto"/>
              <w:right w:val="single" w:sz="6" w:space="0" w:color="auto"/>
            </w:tcBorders>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5</w:t>
            </w:r>
          </w:p>
        </w:tc>
        <w:tc>
          <w:tcPr>
            <w:tcW w:w="1052" w:type="dxa"/>
            <w:tcBorders>
              <w:top w:val="single" w:sz="4" w:space="0" w:color="auto"/>
              <w:left w:val="single" w:sz="6" w:space="0" w:color="auto"/>
              <w:bottom w:val="single" w:sz="4" w:space="0" w:color="auto"/>
              <w:right w:val="single" w:sz="6" w:space="0" w:color="auto"/>
            </w:tcBorders>
          </w:tcPr>
          <w:p w:rsidR="00830DBB" w:rsidRPr="00830DBB" w:rsidRDefault="00830DBB" w:rsidP="00830DBB">
            <w:pPr>
              <w:spacing w:after="0" w:line="240" w:lineRule="auto"/>
              <w:rPr>
                <w:rFonts w:ascii="Arial" w:eastAsia="SimSun" w:hAnsi="Arial" w:cs="Arial"/>
                <w:b/>
                <w:color w:val="000000" w:themeColor="text1"/>
                <w:sz w:val="20"/>
                <w:szCs w:val="20"/>
                <w:lang w:val="en-GB"/>
              </w:rPr>
            </w:pPr>
            <w:r w:rsidRPr="00830DBB">
              <w:rPr>
                <w:rFonts w:ascii="Arial" w:eastAsia="SimSun" w:hAnsi="Arial" w:cs="Arial"/>
                <w:b/>
                <w:color w:val="000000" w:themeColor="text1"/>
                <w:sz w:val="20"/>
                <w:szCs w:val="20"/>
                <w:lang w:val="en-GB"/>
              </w:rPr>
              <w:t>Livezi</w:t>
            </w:r>
          </w:p>
        </w:tc>
        <w:tc>
          <w:tcPr>
            <w:tcW w:w="905" w:type="dxa"/>
            <w:tcBorders>
              <w:top w:val="single" w:sz="6" w:space="0" w:color="auto"/>
              <w:left w:val="single" w:sz="6" w:space="0" w:color="auto"/>
              <w:bottom w:val="single" w:sz="6" w:space="0" w:color="auto"/>
              <w:right w:val="single" w:sz="6" w:space="0" w:color="auto"/>
            </w:tcBorders>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(ha)</w:t>
            </w:r>
          </w:p>
        </w:tc>
        <w:tc>
          <w:tcPr>
            <w:tcW w:w="1155" w:type="dxa"/>
            <w:tcBorders>
              <w:top w:val="single" w:sz="4" w:space="0" w:color="auto"/>
              <w:left w:val="single" w:sz="6" w:space="0" w:color="auto"/>
              <w:bottom w:val="single" w:sz="4" w:space="0" w:color="auto"/>
              <w:right w:val="single" w:sz="4" w:space="0" w:color="auto"/>
            </w:tcBorders>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w:t>
            </w:r>
          </w:p>
        </w:tc>
        <w:tc>
          <w:tcPr>
            <w:tcW w:w="1155" w:type="dxa"/>
            <w:tcBorders>
              <w:top w:val="single" w:sz="4" w:space="0" w:color="auto"/>
              <w:left w:val="single" w:sz="4" w:space="0" w:color="auto"/>
              <w:bottom w:val="single" w:sz="4" w:space="0" w:color="auto"/>
              <w:right w:val="single" w:sz="4" w:space="0" w:color="auto"/>
            </w:tcBorders>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243</w:t>
            </w:r>
          </w:p>
        </w:tc>
        <w:tc>
          <w:tcPr>
            <w:tcW w:w="1155" w:type="dxa"/>
            <w:tcBorders>
              <w:top w:val="single" w:sz="4" w:space="0" w:color="auto"/>
              <w:left w:val="single" w:sz="4" w:space="0" w:color="auto"/>
              <w:bottom w:val="single" w:sz="4" w:space="0" w:color="auto"/>
              <w:right w:val="single" w:sz="4" w:space="0" w:color="auto"/>
            </w:tcBorders>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1195</w:t>
            </w:r>
          </w:p>
        </w:tc>
        <w:tc>
          <w:tcPr>
            <w:tcW w:w="1155" w:type="dxa"/>
            <w:tcBorders>
              <w:top w:val="single" w:sz="4" w:space="0" w:color="auto"/>
              <w:left w:val="single" w:sz="4" w:space="0" w:color="auto"/>
              <w:bottom w:val="single" w:sz="4" w:space="0" w:color="auto"/>
              <w:right w:val="single" w:sz="4" w:space="0" w:color="auto"/>
            </w:tcBorders>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939</w:t>
            </w:r>
          </w:p>
        </w:tc>
        <w:tc>
          <w:tcPr>
            <w:tcW w:w="1155" w:type="dxa"/>
            <w:tcBorders>
              <w:top w:val="single" w:sz="4" w:space="0" w:color="auto"/>
              <w:left w:val="single" w:sz="4" w:space="0" w:color="auto"/>
              <w:bottom w:val="single" w:sz="4" w:space="0" w:color="auto"/>
              <w:right w:val="single" w:sz="4" w:space="0" w:color="auto"/>
            </w:tcBorders>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384</w:t>
            </w:r>
          </w:p>
        </w:tc>
        <w:tc>
          <w:tcPr>
            <w:tcW w:w="1443" w:type="dxa"/>
            <w:tcBorders>
              <w:top w:val="single" w:sz="6" w:space="0" w:color="auto"/>
              <w:left w:val="single" w:sz="6" w:space="0" w:color="auto"/>
              <w:bottom w:val="single" w:sz="6" w:space="0" w:color="auto"/>
              <w:right w:val="single" w:sz="6" w:space="0" w:color="auto"/>
            </w:tcBorders>
          </w:tcPr>
          <w:p w:rsidR="00830DBB" w:rsidRPr="00830DBB" w:rsidRDefault="00830DBB" w:rsidP="00830DBB">
            <w:pPr>
              <w:spacing w:after="0" w:line="240" w:lineRule="auto"/>
              <w:jc w:val="center"/>
              <w:rPr>
                <w:rFonts w:ascii="Arial" w:eastAsia="SimSun" w:hAnsi="Arial" w:cs="Arial"/>
                <w:b/>
                <w:sz w:val="20"/>
                <w:szCs w:val="20"/>
                <w:lang w:val="it-IT"/>
              </w:rPr>
            </w:pPr>
            <w:r w:rsidRPr="00830DBB">
              <w:rPr>
                <w:rFonts w:ascii="Arial" w:eastAsia="SimSun" w:hAnsi="Arial" w:cs="Arial"/>
                <w:b/>
                <w:sz w:val="20"/>
                <w:szCs w:val="20"/>
                <w:lang w:val="it-IT"/>
              </w:rPr>
              <w:t>2.761</w:t>
            </w:r>
          </w:p>
        </w:tc>
      </w:tr>
      <w:tr w:rsidR="00830DBB" w:rsidRPr="00830DBB" w:rsidTr="00080B9C">
        <w:trPr>
          <w:cantSplit/>
          <w:trHeight w:val="140"/>
        </w:trPr>
        <w:tc>
          <w:tcPr>
            <w:tcW w:w="2667" w:type="dxa"/>
            <w:gridSpan w:val="3"/>
            <w:tcBorders>
              <w:top w:val="single" w:sz="4" w:space="0" w:color="auto"/>
              <w:left w:val="single" w:sz="6" w:space="0" w:color="auto"/>
              <w:bottom w:val="single" w:sz="6" w:space="0" w:color="auto"/>
              <w:right w:val="single" w:sz="6" w:space="0" w:color="auto"/>
            </w:tcBorders>
            <w:shd w:val="clear" w:color="auto" w:fill="auto"/>
          </w:tcPr>
          <w:p w:rsidR="00830DBB" w:rsidRPr="00830DBB" w:rsidRDefault="00830DBB" w:rsidP="00830DBB">
            <w:pPr>
              <w:spacing w:after="0" w:line="240" w:lineRule="auto"/>
              <w:rPr>
                <w:rFonts w:ascii="Arial" w:eastAsia="SimSun" w:hAnsi="Arial" w:cs="Arial"/>
                <w:color w:val="000000" w:themeColor="text1"/>
                <w:sz w:val="20"/>
                <w:szCs w:val="20"/>
                <w:lang w:val="fr-FR"/>
              </w:rPr>
            </w:pPr>
            <w:r w:rsidRPr="00830DBB">
              <w:rPr>
                <w:rFonts w:ascii="Arial" w:eastAsia="SimSun" w:hAnsi="Arial" w:cs="Arial"/>
                <w:b/>
                <w:bCs/>
                <w:i/>
                <w:color w:val="000000" w:themeColor="text1"/>
                <w:sz w:val="20"/>
                <w:szCs w:val="20"/>
                <w:lang w:val="en-GB"/>
              </w:rPr>
              <w:t>Total</w:t>
            </w:r>
          </w:p>
        </w:tc>
        <w:tc>
          <w:tcPr>
            <w:tcW w:w="1155" w:type="dxa"/>
            <w:tcBorders>
              <w:top w:val="single" w:sz="4" w:space="0" w:color="auto"/>
              <w:left w:val="single" w:sz="6" w:space="0" w:color="auto"/>
              <w:bottom w:val="single" w:sz="6" w:space="0" w:color="auto"/>
              <w:right w:val="single" w:sz="4" w:space="0" w:color="auto"/>
            </w:tcBorders>
            <w:shd w:val="clear" w:color="auto" w:fill="auto"/>
          </w:tcPr>
          <w:p w:rsidR="00830DBB" w:rsidRPr="00830DBB" w:rsidRDefault="00830DBB" w:rsidP="00830DBB">
            <w:pPr>
              <w:spacing w:after="0" w:line="240" w:lineRule="auto"/>
              <w:jc w:val="center"/>
              <w:rPr>
                <w:rFonts w:ascii="Arial" w:eastAsia="SimSun" w:hAnsi="Arial" w:cs="Arial"/>
                <w:b/>
                <w:sz w:val="20"/>
                <w:szCs w:val="20"/>
                <w:lang w:val="fr-FR"/>
              </w:rPr>
            </w:pPr>
            <w:r w:rsidRPr="00830DBB">
              <w:rPr>
                <w:rFonts w:ascii="Arial" w:eastAsia="SimSun" w:hAnsi="Arial" w:cs="Arial"/>
                <w:b/>
                <w:sz w:val="20"/>
                <w:szCs w:val="20"/>
                <w:lang w:val="fr-FR"/>
              </w:rPr>
              <w:t>5834</w:t>
            </w:r>
          </w:p>
        </w:tc>
        <w:tc>
          <w:tcPr>
            <w:tcW w:w="1155" w:type="dxa"/>
            <w:tcBorders>
              <w:top w:val="single" w:sz="4" w:space="0" w:color="auto"/>
              <w:left w:val="single" w:sz="4" w:space="0" w:color="auto"/>
              <w:bottom w:val="single" w:sz="6" w:space="0" w:color="auto"/>
              <w:right w:val="single" w:sz="4" w:space="0" w:color="auto"/>
            </w:tcBorders>
            <w:shd w:val="clear" w:color="auto" w:fill="auto"/>
          </w:tcPr>
          <w:p w:rsidR="00830DBB" w:rsidRPr="00830DBB" w:rsidRDefault="00830DBB" w:rsidP="00830DBB">
            <w:pPr>
              <w:spacing w:after="0" w:line="240" w:lineRule="auto"/>
              <w:jc w:val="center"/>
              <w:rPr>
                <w:rFonts w:ascii="Arial" w:eastAsia="SimSun" w:hAnsi="Arial" w:cs="Arial"/>
                <w:b/>
                <w:sz w:val="20"/>
                <w:szCs w:val="20"/>
                <w:lang w:val="fr-FR"/>
              </w:rPr>
            </w:pPr>
            <w:r w:rsidRPr="00830DBB">
              <w:rPr>
                <w:rFonts w:ascii="Arial" w:eastAsia="SimSun" w:hAnsi="Arial" w:cs="Arial"/>
                <w:b/>
                <w:sz w:val="20"/>
                <w:szCs w:val="20"/>
                <w:lang w:val="fr-FR"/>
              </w:rPr>
              <w:t>93108</w:t>
            </w:r>
          </w:p>
        </w:tc>
        <w:tc>
          <w:tcPr>
            <w:tcW w:w="1155" w:type="dxa"/>
            <w:tcBorders>
              <w:top w:val="single" w:sz="4" w:space="0" w:color="auto"/>
              <w:left w:val="single" w:sz="4" w:space="0" w:color="auto"/>
              <w:bottom w:val="single" w:sz="6" w:space="0" w:color="auto"/>
              <w:right w:val="single" w:sz="4" w:space="0" w:color="auto"/>
            </w:tcBorders>
            <w:shd w:val="clear" w:color="auto" w:fill="auto"/>
          </w:tcPr>
          <w:p w:rsidR="00830DBB" w:rsidRPr="00830DBB" w:rsidRDefault="00830DBB" w:rsidP="00830DBB">
            <w:pPr>
              <w:spacing w:after="0" w:line="240" w:lineRule="auto"/>
              <w:jc w:val="right"/>
              <w:rPr>
                <w:rFonts w:ascii="Arial" w:eastAsia="SimSun" w:hAnsi="Arial" w:cs="Arial"/>
                <w:b/>
                <w:sz w:val="20"/>
                <w:szCs w:val="20"/>
                <w:lang w:val="fr-FR"/>
              </w:rPr>
            </w:pPr>
            <w:r w:rsidRPr="00830DBB">
              <w:rPr>
                <w:rFonts w:ascii="Arial" w:eastAsia="SimSun" w:hAnsi="Arial" w:cs="Arial"/>
                <w:b/>
                <w:sz w:val="20"/>
                <w:szCs w:val="20"/>
                <w:lang w:val="fr-FR"/>
              </w:rPr>
              <w:t>158174</w:t>
            </w:r>
          </w:p>
        </w:tc>
        <w:tc>
          <w:tcPr>
            <w:tcW w:w="1155" w:type="dxa"/>
            <w:tcBorders>
              <w:top w:val="single" w:sz="4" w:space="0" w:color="auto"/>
              <w:left w:val="single" w:sz="4" w:space="0" w:color="auto"/>
              <w:bottom w:val="single" w:sz="6" w:space="0" w:color="auto"/>
              <w:right w:val="single" w:sz="4" w:space="0" w:color="auto"/>
            </w:tcBorders>
            <w:shd w:val="clear" w:color="auto" w:fill="auto"/>
          </w:tcPr>
          <w:p w:rsidR="00830DBB" w:rsidRPr="00830DBB" w:rsidRDefault="00830DBB" w:rsidP="00830DBB">
            <w:pPr>
              <w:spacing w:after="0" w:line="240" w:lineRule="auto"/>
              <w:jc w:val="center"/>
              <w:rPr>
                <w:rFonts w:ascii="Arial" w:eastAsia="SimSun" w:hAnsi="Arial" w:cs="Arial"/>
                <w:b/>
                <w:sz w:val="20"/>
                <w:szCs w:val="20"/>
                <w:lang w:val="fr-FR"/>
              </w:rPr>
            </w:pPr>
            <w:r w:rsidRPr="00830DBB">
              <w:rPr>
                <w:rFonts w:ascii="Arial" w:eastAsia="SimSun" w:hAnsi="Arial" w:cs="Arial"/>
                <w:b/>
                <w:sz w:val="20"/>
                <w:szCs w:val="20"/>
                <w:lang w:val="fr-FR"/>
              </w:rPr>
              <w:t>105892</w:t>
            </w:r>
          </w:p>
        </w:tc>
        <w:tc>
          <w:tcPr>
            <w:tcW w:w="1155" w:type="dxa"/>
            <w:tcBorders>
              <w:top w:val="single" w:sz="4" w:space="0" w:color="auto"/>
              <w:left w:val="single" w:sz="4" w:space="0" w:color="auto"/>
              <w:bottom w:val="single" w:sz="6" w:space="0" w:color="auto"/>
              <w:right w:val="single" w:sz="4" w:space="0" w:color="auto"/>
            </w:tcBorders>
            <w:shd w:val="clear" w:color="auto" w:fill="auto"/>
          </w:tcPr>
          <w:p w:rsidR="00830DBB" w:rsidRPr="00830DBB" w:rsidRDefault="00830DBB" w:rsidP="00830DBB">
            <w:pPr>
              <w:spacing w:after="0" w:line="240" w:lineRule="auto"/>
              <w:jc w:val="center"/>
              <w:rPr>
                <w:rFonts w:ascii="Arial" w:eastAsia="SimSun" w:hAnsi="Arial" w:cs="Arial"/>
                <w:b/>
                <w:sz w:val="20"/>
                <w:szCs w:val="20"/>
                <w:lang w:val="fr-FR"/>
              </w:rPr>
            </w:pPr>
            <w:r w:rsidRPr="00830DBB">
              <w:rPr>
                <w:rFonts w:ascii="Arial" w:eastAsia="SimSun" w:hAnsi="Arial" w:cs="Arial"/>
                <w:b/>
                <w:sz w:val="20"/>
                <w:szCs w:val="20"/>
                <w:lang w:val="fr-FR"/>
              </w:rPr>
              <w:t>38242</w:t>
            </w:r>
          </w:p>
        </w:tc>
        <w:tc>
          <w:tcPr>
            <w:tcW w:w="1443" w:type="dxa"/>
            <w:tcBorders>
              <w:top w:val="single" w:sz="6" w:space="0" w:color="auto"/>
              <w:left w:val="single" w:sz="6" w:space="0" w:color="auto"/>
              <w:bottom w:val="single" w:sz="6" w:space="0" w:color="auto"/>
              <w:right w:val="single" w:sz="6" w:space="0" w:color="auto"/>
            </w:tcBorders>
            <w:shd w:val="clear" w:color="auto" w:fill="auto"/>
          </w:tcPr>
          <w:p w:rsidR="00830DBB" w:rsidRPr="00830DBB" w:rsidRDefault="00830DBB" w:rsidP="00830DBB">
            <w:pPr>
              <w:spacing w:after="0" w:line="240" w:lineRule="auto"/>
              <w:jc w:val="center"/>
              <w:rPr>
                <w:rFonts w:ascii="Arial" w:eastAsia="SimSun" w:hAnsi="Arial" w:cs="Arial"/>
                <w:b/>
                <w:sz w:val="20"/>
                <w:szCs w:val="20"/>
                <w:lang w:val="it-IT"/>
              </w:rPr>
            </w:pPr>
            <w:r w:rsidRPr="00830DBB">
              <w:rPr>
                <w:rFonts w:ascii="Arial" w:eastAsia="SimSun" w:hAnsi="Arial" w:cs="Arial"/>
                <w:b/>
                <w:sz w:val="20"/>
                <w:szCs w:val="20"/>
                <w:lang w:val="it-IT"/>
              </w:rPr>
              <w:t>401250</w:t>
            </w:r>
          </w:p>
        </w:tc>
      </w:tr>
    </w:tbl>
    <w:p w:rsidR="00830DBB" w:rsidRPr="00830DBB" w:rsidRDefault="00830DBB" w:rsidP="00830DBB">
      <w:pPr>
        <w:keepNext/>
        <w:spacing w:after="0" w:line="240" w:lineRule="auto"/>
        <w:jc w:val="both"/>
        <w:outlineLvl w:val="0"/>
        <w:rPr>
          <w:rFonts w:ascii="Arial" w:eastAsia="Times New Roman" w:hAnsi="Arial" w:cs="Arial"/>
          <w:bCs/>
          <w:color w:val="000000" w:themeColor="text1"/>
          <w:sz w:val="20"/>
          <w:szCs w:val="20"/>
          <w:lang w:eastAsia="ro-RO"/>
        </w:rPr>
      </w:pPr>
      <w:r w:rsidRPr="00830DBB">
        <w:rPr>
          <w:rFonts w:ascii="Arial" w:eastAsia="Times New Roman" w:hAnsi="Arial" w:cs="Arial"/>
          <w:color w:val="000000" w:themeColor="text1"/>
          <w:sz w:val="20"/>
          <w:szCs w:val="20"/>
          <w:lang w:eastAsia="ro-RO"/>
        </w:rPr>
        <w:t>(sursa: Oficiul Judeţean de Studii Pedologice şi Agrochimice Vaslui)</w:t>
      </w:r>
    </w:p>
    <w:p w:rsidR="00830DBB" w:rsidRPr="00830DBB" w:rsidRDefault="00830DBB" w:rsidP="00830DBB">
      <w:pPr>
        <w:tabs>
          <w:tab w:val="left" w:pos="1276"/>
        </w:tabs>
        <w:spacing w:after="0" w:line="240" w:lineRule="auto"/>
        <w:jc w:val="both"/>
        <w:rPr>
          <w:rFonts w:ascii="Arial" w:eastAsia="SimSun" w:hAnsi="Arial" w:cs="Arial"/>
          <w:color w:val="000000" w:themeColor="text1"/>
          <w:sz w:val="24"/>
          <w:szCs w:val="24"/>
          <w:lang w:val="en-GB"/>
        </w:rPr>
      </w:pPr>
      <w:r w:rsidRPr="00830DBB">
        <w:rPr>
          <w:rFonts w:ascii="Arial" w:eastAsia="SimSun" w:hAnsi="Arial" w:cs="Arial"/>
          <w:color w:val="000000" w:themeColor="text1"/>
          <w:sz w:val="24"/>
          <w:szCs w:val="24"/>
          <w:lang w:val="en-GB"/>
        </w:rPr>
        <w:t xml:space="preserve">             Se constată că suprafeţele cele mai mari de terenuri agricole se încadrează în clasa de fertilitate a III-a (122645 ha), cu un potenţial de fertilitate mediu. Clasele de calitate ale terenurilor dau pretabilitatea acestora pentru folosinţele agricole.</w:t>
      </w:r>
    </w:p>
    <w:p w:rsidR="00E264EC" w:rsidRDefault="00830DBB" w:rsidP="00830DBB">
      <w:pPr>
        <w:tabs>
          <w:tab w:val="left" w:pos="1276"/>
        </w:tabs>
        <w:spacing w:after="0" w:line="240" w:lineRule="auto"/>
        <w:rPr>
          <w:rFonts w:ascii="Arial" w:eastAsia="SimSun" w:hAnsi="Arial" w:cs="Arial"/>
          <w:b/>
          <w:i/>
          <w:sz w:val="24"/>
          <w:szCs w:val="24"/>
          <w:lang w:val="ro-RO"/>
        </w:rPr>
      </w:pPr>
      <w:r w:rsidRPr="00830DBB">
        <w:rPr>
          <w:rFonts w:ascii="Arial" w:eastAsia="SimSun" w:hAnsi="Arial" w:cs="Arial"/>
          <w:b/>
          <w:i/>
          <w:sz w:val="24"/>
          <w:szCs w:val="24"/>
          <w:lang w:val="ro-RO"/>
        </w:rPr>
        <w:t>I</w:t>
      </w:r>
    </w:p>
    <w:p w:rsidR="00830DBB" w:rsidRPr="00830DBB" w:rsidRDefault="00830DBB" w:rsidP="00830DBB">
      <w:pPr>
        <w:tabs>
          <w:tab w:val="left" w:pos="1276"/>
        </w:tabs>
        <w:spacing w:after="0" w:line="240" w:lineRule="auto"/>
        <w:rPr>
          <w:rFonts w:ascii="Arial" w:eastAsia="SimSun" w:hAnsi="Arial" w:cs="Arial"/>
          <w:b/>
          <w:i/>
          <w:sz w:val="24"/>
          <w:szCs w:val="24"/>
          <w:lang w:val="ro-RO"/>
        </w:rPr>
      </w:pPr>
      <w:r w:rsidRPr="00830DBB">
        <w:rPr>
          <w:rFonts w:ascii="Arial" w:eastAsia="SimSun" w:hAnsi="Arial" w:cs="Arial"/>
          <w:b/>
          <w:i/>
          <w:sz w:val="24"/>
          <w:szCs w:val="24"/>
          <w:lang w:val="ro-RO"/>
        </w:rPr>
        <w:lastRenderedPageBreak/>
        <w:t xml:space="preserve">II.1.2. Terenuri afectate de diverşi factori limitativi </w:t>
      </w:r>
    </w:p>
    <w:p w:rsidR="00830DBB" w:rsidRPr="00830DBB" w:rsidRDefault="00830DBB" w:rsidP="00830DBB">
      <w:pPr>
        <w:tabs>
          <w:tab w:val="left" w:pos="1276"/>
        </w:tabs>
        <w:spacing w:after="0" w:line="240" w:lineRule="auto"/>
        <w:rPr>
          <w:rFonts w:ascii="Arial" w:eastAsia="SimSun" w:hAnsi="Arial" w:cs="Arial"/>
          <w:i/>
          <w:sz w:val="24"/>
          <w:szCs w:val="24"/>
          <w:lang w:val="ro-RO"/>
        </w:rPr>
      </w:pPr>
    </w:p>
    <w:p w:rsidR="00830DBB" w:rsidRPr="00830DBB" w:rsidRDefault="00830DBB" w:rsidP="00830DBB">
      <w:pPr>
        <w:tabs>
          <w:tab w:val="left" w:pos="708"/>
          <w:tab w:val="center" w:pos="4703"/>
          <w:tab w:val="right" w:pos="9406"/>
        </w:tabs>
        <w:spacing w:after="0" w:line="240" w:lineRule="auto"/>
        <w:ind w:right="-235"/>
        <w:jc w:val="both"/>
        <w:rPr>
          <w:rFonts w:ascii="Arial" w:eastAsia="Times New Roman" w:hAnsi="Arial" w:cs="Arial"/>
          <w:color w:val="000000" w:themeColor="text1"/>
          <w:sz w:val="24"/>
          <w:szCs w:val="24"/>
          <w:lang w:val="ro-RO"/>
        </w:rPr>
      </w:pPr>
      <w:r w:rsidRPr="00830DBB">
        <w:rPr>
          <w:rFonts w:ascii="Arial" w:eastAsia="Times New Roman" w:hAnsi="Arial" w:cs="Arial"/>
          <w:color w:val="000000"/>
          <w:sz w:val="24"/>
          <w:szCs w:val="24"/>
          <w:lang w:val="ro-RO"/>
        </w:rPr>
        <w:tab/>
      </w:r>
      <w:r w:rsidRPr="00830DBB">
        <w:rPr>
          <w:rFonts w:ascii="Arial" w:eastAsia="Times New Roman" w:hAnsi="Arial" w:cs="Arial"/>
          <w:color w:val="000000" w:themeColor="text1"/>
          <w:sz w:val="24"/>
          <w:szCs w:val="24"/>
          <w:lang w:val="ro-RO"/>
        </w:rPr>
        <w:t>Influenţa antropică asupra solului se reflectă acut prin deteriorarea proprietăţilor fizice şi chimice, a funcţiilor acestuia, în special în capacitatea bioproductivă, prin afectarea cantităţiilor şi implicit a calităţii produselor agricole.</w:t>
      </w:r>
    </w:p>
    <w:p w:rsidR="00830DBB" w:rsidRPr="00830DBB" w:rsidRDefault="00830DBB" w:rsidP="00830DBB">
      <w:pPr>
        <w:tabs>
          <w:tab w:val="left" w:pos="708"/>
          <w:tab w:val="center" w:pos="4703"/>
          <w:tab w:val="right" w:pos="9406"/>
        </w:tabs>
        <w:spacing w:after="0" w:line="240" w:lineRule="auto"/>
        <w:ind w:right="-235"/>
        <w:jc w:val="both"/>
        <w:rPr>
          <w:rFonts w:ascii="Arial" w:eastAsia="Times New Roman" w:hAnsi="Arial" w:cs="Arial"/>
          <w:color w:val="000000" w:themeColor="text1"/>
          <w:sz w:val="24"/>
          <w:szCs w:val="24"/>
          <w:lang w:val="ro-RO"/>
        </w:rPr>
      </w:pPr>
      <w:r w:rsidRPr="00830DBB">
        <w:rPr>
          <w:rFonts w:ascii="Arial" w:eastAsia="Times New Roman" w:hAnsi="Arial" w:cs="Arial"/>
          <w:color w:val="000000" w:themeColor="text1"/>
          <w:sz w:val="24"/>
          <w:szCs w:val="24"/>
          <w:lang w:val="ro-RO"/>
        </w:rPr>
        <w:tab/>
        <w:t xml:space="preserve">Eroziunea solului şi alunecările de teren, la nivelul judeţului Vaslui reprezintă factorii principali care afectează o suprafaţă de 58.984 ha, respectiv de  42.496 ha. </w:t>
      </w:r>
    </w:p>
    <w:p w:rsidR="00830DBB" w:rsidRPr="00830DBB" w:rsidRDefault="00830DBB" w:rsidP="00830DBB">
      <w:pPr>
        <w:tabs>
          <w:tab w:val="left" w:pos="708"/>
          <w:tab w:val="center" w:pos="4703"/>
          <w:tab w:val="right" w:pos="9406"/>
        </w:tabs>
        <w:spacing w:after="0" w:line="240" w:lineRule="auto"/>
        <w:ind w:right="-235"/>
        <w:jc w:val="both"/>
        <w:rPr>
          <w:rFonts w:ascii="Arial" w:eastAsia="Times New Roman" w:hAnsi="Arial" w:cs="Arial"/>
          <w:color w:val="000000" w:themeColor="text1"/>
          <w:sz w:val="24"/>
          <w:szCs w:val="24"/>
          <w:lang w:val="ro-RO"/>
        </w:rPr>
      </w:pPr>
      <w:r w:rsidRPr="00830DBB">
        <w:rPr>
          <w:rFonts w:ascii="Arial" w:eastAsia="Times New Roman" w:hAnsi="Arial" w:cs="Arial"/>
          <w:color w:val="000000" w:themeColor="text1"/>
          <w:sz w:val="24"/>
          <w:szCs w:val="24"/>
          <w:lang w:val="ro-RO"/>
        </w:rPr>
        <w:tab/>
        <w:t>Eroziunea solului (de suprafaţă şi de adâncime) apare datorită vântului, a precipitaţiilor precum şi a activităţilor umane, cum ar fi:</w:t>
      </w:r>
    </w:p>
    <w:p w:rsidR="00830DBB" w:rsidRPr="00830DBB" w:rsidRDefault="00830DBB" w:rsidP="00830DBB">
      <w:pPr>
        <w:tabs>
          <w:tab w:val="center" w:pos="4703"/>
          <w:tab w:val="right" w:pos="9406"/>
        </w:tabs>
        <w:spacing w:after="0" w:line="240" w:lineRule="auto"/>
        <w:ind w:right="-235"/>
        <w:jc w:val="both"/>
        <w:rPr>
          <w:rFonts w:ascii="Arial" w:eastAsia="Times New Roman" w:hAnsi="Arial" w:cs="Arial"/>
          <w:b/>
          <w:color w:val="000000" w:themeColor="text1"/>
          <w:sz w:val="24"/>
          <w:szCs w:val="24"/>
          <w:lang w:val="ro-RO"/>
        </w:rPr>
      </w:pPr>
      <w:r w:rsidRPr="00830DBB">
        <w:rPr>
          <w:rFonts w:ascii="Arial" w:eastAsia="Times New Roman" w:hAnsi="Arial" w:cs="Arial"/>
          <w:color w:val="000000" w:themeColor="text1"/>
          <w:sz w:val="24"/>
          <w:szCs w:val="24"/>
          <w:lang w:val="ro-RO"/>
        </w:rPr>
        <w:t>▪ lucrări agricole de bază pe linia de cea mai mare pantă, necorespunzătoare, care distrug textura solului;</w:t>
      </w:r>
    </w:p>
    <w:p w:rsidR="00830DBB" w:rsidRPr="00830DBB" w:rsidRDefault="00830DBB" w:rsidP="00830DBB">
      <w:pPr>
        <w:tabs>
          <w:tab w:val="center" w:pos="4703"/>
          <w:tab w:val="right" w:pos="9406"/>
        </w:tabs>
        <w:spacing w:after="0" w:line="240" w:lineRule="auto"/>
        <w:ind w:right="-714"/>
        <w:jc w:val="both"/>
        <w:rPr>
          <w:rFonts w:ascii="Arial" w:eastAsia="Times New Roman" w:hAnsi="Arial" w:cs="Arial"/>
          <w:b/>
          <w:color w:val="000000" w:themeColor="text1"/>
          <w:sz w:val="24"/>
          <w:szCs w:val="24"/>
          <w:lang w:val="ro-RO"/>
        </w:rPr>
      </w:pPr>
      <w:r w:rsidRPr="00830DBB">
        <w:rPr>
          <w:rFonts w:ascii="Arial" w:eastAsia="Times New Roman" w:hAnsi="Arial" w:cs="Arial"/>
          <w:color w:val="000000" w:themeColor="text1"/>
          <w:sz w:val="24"/>
          <w:szCs w:val="24"/>
          <w:lang w:val="ro-RO"/>
        </w:rPr>
        <w:t>▪ tratamente cu pesticide şi fertilizanţi chimici;</w:t>
      </w:r>
    </w:p>
    <w:p w:rsidR="00830DBB" w:rsidRPr="00830DBB" w:rsidRDefault="00830DBB" w:rsidP="00830DBB">
      <w:pPr>
        <w:tabs>
          <w:tab w:val="center" w:pos="4703"/>
          <w:tab w:val="right" w:pos="9406"/>
        </w:tabs>
        <w:spacing w:after="0" w:line="240" w:lineRule="auto"/>
        <w:ind w:right="-714"/>
        <w:jc w:val="both"/>
        <w:rPr>
          <w:rFonts w:ascii="Arial" w:eastAsia="Times New Roman" w:hAnsi="Arial" w:cs="Arial"/>
          <w:color w:val="000000" w:themeColor="text1"/>
          <w:sz w:val="24"/>
          <w:szCs w:val="24"/>
          <w:lang w:val="ro-RO"/>
        </w:rPr>
      </w:pPr>
      <w:r w:rsidRPr="00830DBB">
        <w:rPr>
          <w:rFonts w:ascii="Arial" w:eastAsia="Times New Roman" w:hAnsi="Arial" w:cs="Arial"/>
          <w:color w:val="000000" w:themeColor="text1"/>
          <w:sz w:val="24"/>
          <w:szCs w:val="24"/>
          <w:lang w:val="ro-RO"/>
        </w:rPr>
        <w:t>▪ ploi acide, etc.</w:t>
      </w:r>
    </w:p>
    <w:p w:rsidR="00830DBB" w:rsidRPr="00830DBB" w:rsidRDefault="00830DBB" w:rsidP="00830DBB">
      <w:pPr>
        <w:keepNext/>
        <w:spacing w:after="0" w:line="240" w:lineRule="auto"/>
        <w:jc w:val="both"/>
        <w:outlineLvl w:val="0"/>
        <w:rPr>
          <w:rFonts w:ascii="Arial" w:eastAsia="Times New Roman" w:hAnsi="Arial" w:cs="Arial"/>
          <w:b/>
          <w:color w:val="000000" w:themeColor="text1"/>
          <w:sz w:val="24"/>
          <w:szCs w:val="24"/>
          <w:lang w:val="ro-RO"/>
        </w:rPr>
      </w:pPr>
    </w:p>
    <w:p w:rsidR="00830DBB" w:rsidRPr="00830DBB" w:rsidRDefault="00830DBB" w:rsidP="00830DBB">
      <w:pPr>
        <w:keepNext/>
        <w:spacing w:after="0" w:line="240" w:lineRule="auto"/>
        <w:jc w:val="both"/>
        <w:outlineLvl w:val="0"/>
        <w:rPr>
          <w:rFonts w:ascii="Arial" w:eastAsia="Times New Roman" w:hAnsi="Arial" w:cs="Arial"/>
          <w:color w:val="000000" w:themeColor="text1"/>
          <w:sz w:val="24"/>
          <w:szCs w:val="24"/>
          <w:lang w:eastAsia="ro-RO"/>
        </w:rPr>
      </w:pPr>
      <w:r w:rsidRPr="00830DBB">
        <w:rPr>
          <w:rFonts w:ascii="Arial" w:eastAsia="Times New Roman" w:hAnsi="Arial" w:cs="Arial"/>
          <w:color w:val="000000" w:themeColor="text1"/>
          <w:sz w:val="24"/>
          <w:szCs w:val="24"/>
          <w:lang w:eastAsia="ro-RO"/>
        </w:rPr>
        <w:t>Tabelul III.</w:t>
      </w:r>
      <w:r w:rsidRPr="00830DBB">
        <w:rPr>
          <w:rFonts w:ascii="Arial" w:eastAsia="Times New Roman" w:hAnsi="Arial" w:cs="Arial"/>
          <w:color w:val="000000" w:themeColor="text1"/>
          <w:sz w:val="24"/>
          <w:szCs w:val="24"/>
          <w:lang w:val="ro-RO" w:eastAsia="ro-RO"/>
        </w:rPr>
        <w:t>4</w:t>
      </w:r>
      <w:r w:rsidRPr="00830DBB">
        <w:rPr>
          <w:rFonts w:ascii="Arial" w:eastAsia="Times New Roman" w:hAnsi="Arial" w:cs="Arial"/>
          <w:color w:val="000000" w:themeColor="text1"/>
          <w:sz w:val="24"/>
          <w:szCs w:val="24"/>
          <w:lang w:eastAsia="ro-RO"/>
        </w:rPr>
        <w:t xml:space="preserve">. Repartiţia solurilor afectate de factori de degradare, în perioada 2011 – 2015 </w:t>
      </w:r>
    </w:p>
    <w:tbl>
      <w:tblPr>
        <w:tblW w:w="9759" w:type="dxa"/>
        <w:jc w:val="center"/>
        <w:tblInd w:w="-1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
        <w:gridCol w:w="3358"/>
        <w:gridCol w:w="1168"/>
        <w:gridCol w:w="1168"/>
        <w:gridCol w:w="1168"/>
        <w:gridCol w:w="1349"/>
        <w:gridCol w:w="1109"/>
      </w:tblGrid>
      <w:tr w:rsidR="00830DBB" w:rsidRPr="00830DBB" w:rsidTr="00080B9C">
        <w:trPr>
          <w:trHeight w:val="242"/>
          <w:jc w:val="center"/>
        </w:trPr>
        <w:tc>
          <w:tcPr>
            <w:tcW w:w="43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30DBB" w:rsidRPr="00830DBB" w:rsidRDefault="00830DBB" w:rsidP="00830DBB">
            <w:pPr>
              <w:tabs>
                <w:tab w:val="center" w:pos="4703"/>
                <w:tab w:val="right" w:pos="9406"/>
              </w:tabs>
              <w:spacing w:after="0" w:line="240" w:lineRule="auto"/>
              <w:ind w:right="113"/>
              <w:jc w:val="center"/>
              <w:rPr>
                <w:rFonts w:ascii="Arial" w:eastAsia="Times New Roman" w:hAnsi="Arial" w:cs="Arial"/>
                <w:b/>
                <w:color w:val="000000" w:themeColor="text1"/>
                <w:sz w:val="20"/>
                <w:szCs w:val="20"/>
                <w:lang w:val="ro-RO"/>
              </w:rPr>
            </w:pPr>
            <w:r w:rsidRPr="00830DBB">
              <w:rPr>
                <w:rFonts w:ascii="Arial" w:eastAsia="Times New Roman" w:hAnsi="Arial" w:cs="Arial"/>
                <w:b/>
                <w:color w:val="000000" w:themeColor="text1"/>
                <w:sz w:val="20"/>
                <w:szCs w:val="20"/>
                <w:lang w:val="ro-RO"/>
              </w:rPr>
              <w:t>Judeţ      Vaslui</w:t>
            </w:r>
          </w:p>
        </w:tc>
        <w:tc>
          <w:tcPr>
            <w:tcW w:w="3358" w:type="dxa"/>
            <w:vMerge w:val="restart"/>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tabs>
                <w:tab w:val="center" w:pos="4703"/>
                <w:tab w:val="right" w:pos="9406"/>
              </w:tabs>
              <w:spacing w:after="0" w:line="240" w:lineRule="auto"/>
              <w:jc w:val="center"/>
              <w:rPr>
                <w:rFonts w:ascii="Arial" w:eastAsia="Times New Roman" w:hAnsi="Arial" w:cs="Arial"/>
                <w:b/>
                <w:color w:val="000000" w:themeColor="text1"/>
                <w:sz w:val="20"/>
                <w:szCs w:val="20"/>
                <w:lang w:val="ro-RO"/>
              </w:rPr>
            </w:pPr>
            <w:r w:rsidRPr="00830DBB">
              <w:rPr>
                <w:rFonts w:ascii="Arial" w:eastAsia="Times New Roman" w:hAnsi="Arial" w:cs="Arial"/>
                <w:b/>
                <w:color w:val="000000" w:themeColor="text1"/>
                <w:sz w:val="20"/>
                <w:szCs w:val="20"/>
                <w:lang w:val="ro-RO"/>
              </w:rPr>
              <w:t>Factori de degradare</w:t>
            </w:r>
          </w:p>
        </w:tc>
        <w:tc>
          <w:tcPr>
            <w:tcW w:w="5962" w:type="dxa"/>
            <w:gridSpan w:val="5"/>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tabs>
                <w:tab w:val="center" w:pos="4703"/>
                <w:tab w:val="right" w:pos="9406"/>
              </w:tabs>
              <w:spacing w:after="0" w:line="240" w:lineRule="auto"/>
              <w:jc w:val="center"/>
              <w:rPr>
                <w:rFonts w:ascii="Arial" w:eastAsia="Times New Roman" w:hAnsi="Arial" w:cs="Arial"/>
                <w:b/>
                <w:color w:val="000000" w:themeColor="text1"/>
                <w:sz w:val="20"/>
                <w:szCs w:val="20"/>
                <w:lang w:val="ro-RO"/>
              </w:rPr>
            </w:pPr>
            <w:r w:rsidRPr="00830DBB">
              <w:rPr>
                <w:rFonts w:ascii="Arial" w:eastAsia="Times New Roman" w:hAnsi="Arial" w:cs="Arial"/>
                <w:b/>
                <w:color w:val="000000" w:themeColor="text1"/>
                <w:sz w:val="20"/>
                <w:szCs w:val="20"/>
                <w:lang w:val="ro-RO"/>
              </w:rPr>
              <w:t>Anul (ha)</w:t>
            </w:r>
          </w:p>
        </w:tc>
      </w:tr>
      <w:tr w:rsidR="00830DBB" w:rsidRPr="00830DBB" w:rsidTr="00080B9C">
        <w:trPr>
          <w:trHeight w:val="202"/>
          <w:jc w:val="center"/>
        </w:trPr>
        <w:tc>
          <w:tcPr>
            <w:tcW w:w="439" w:type="dxa"/>
            <w:vMerge/>
            <w:tcBorders>
              <w:top w:val="single" w:sz="4" w:space="0" w:color="auto"/>
              <w:left w:val="single" w:sz="4" w:space="0" w:color="auto"/>
              <w:bottom w:val="single" w:sz="4" w:space="0" w:color="auto"/>
              <w:right w:val="single" w:sz="4" w:space="0" w:color="auto"/>
            </w:tcBorders>
            <w:shd w:val="clear" w:color="auto" w:fill="auto"/>
          </w:tcPr>
          <w:p w:rsidR="00830DBB" w:rsidRPr="00830DBB" w:rsidRDefault="00830DBB" w:rsidP="00830DBB">
            <w:pPr>
              <w:tabs>
                <w:tab w:val="center" w:pos="4703"/>
                <w:tab w:val="right" w:pos="9406"/>
              </w:tabs>
              <w:spacing w:after="0" w:line="240" w:lineRule="auto"/>
              <w:jc w:val="both"/>
              <w:rPr>
                <w:rFonts w:ascii="Arial" w:eastAsia="Times New Roman" w:hAnsi="Arial" w:cs="Arial"/>
                <w:color w:val="000000" w:themeColor="text1"/>
                <w:sz w:val="20"/>
                <w:szCs w:val="20"/>
                <w:lang w:val="ro-RO"/>
              </w:rPr>
            </w:pPr>
          </w:p>
        </w:tc>
        <w:tc>
          <w:tcPr>
            <w:tcW w:w="3358" w:type="dxa"/>
            <w:vMerge/>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tabs>
                <w:tab w:val="center" w:pos="4703"/>
                <w:tab w:val="right" w:pos="9406"/>
              </w:tabs>
              <w:spacing w:after="0" w:line="240" w:lineRule="auto"/>
              <w:jc w:val="center"/>
              <w:rPr>
                <w:rFonts w:ascii="Arial" w:eastAsia="Times New Roman" w:hAnsi="Arial" w:cs="Arial"/>
                <w:color w:val="000000" w:themeColor="text1"/>
                <w:sz w:val="20"/>
                <w:szCs w:val="20"/>
                <w:lang w:val="ro-RO"/>
              </w:rPr>
            </w:pPr>
          </w:p>
        </w:tc>
        <w:tc>
          <w:tcPr>
            <w:tcW w:w="116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tabs>
                <w:tab w:val="center" w:pos="4703"/>
                <w:tab w:val="right" w:pos="9406"/>
              </w:tabs>
              <w:spacing w:after="0" w:line="240" w:lineRule="auto"/>
              <w:jc w:val="center"/>
              <w:rPr>
                <w:rFonts w:ascii="Arial" w:eastAsia="Times New Roman" w:hAnsi="Arial" w:cs="Arial"/>
                <w:b/>
                <w:color w:val="000000" w:themeColor="text1"/>
                <w:sz w:val="20"/>
                <w:szCs w:val="20"/>
                <w:lang w:val="ro-RO"/>
              </w:rPr>
            </w:pPr>
            <w:r w:rsidRPr="00830DBB">
              <w:rPr>
                <w:rFonts w:ascii="Arial" w:eastAsia="Times New Roman" w:hAnsi="Arial" w:cs="Arial"/>
                <w:b/>
                <w:color w:val="000000" w:themeColor="text1"/>
                <w:sz w:val="20"/>
                <w:szCs w:val="20"/>
                <w:lang w:val="ro-RO"/>
              </w:rPr>
              <w:t>2011</w:t>
            </w:r>
          </w:p>
        </w:tc>
        <w:tc>
          <w:tcPr>
            <w:tcW w:w="116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tabs>
                <w:tab w:val="center" w:pos="4703"/>
                <w:tab w:val="right" w:pos="9406"/>
              </w:tabs>
              <w:spacing w:after="0" w:line="240" w:lineRule="auto"/>
              <w:jc w:val="center"/>
              <w:rPr>
                <w:rFonts w:ascii="Arial" w:eastAsia="Times New Roman" w:hAnsi="Arial" w:cs="Arial"/>
                <w:b/>
                <w:color w:val="000000" w:themeColor="text1"/>
                <w:sz w:val="20"/>
                <w:szCs w:val="20"/>
                <w:lang w:val="ro-RO"/>
              </w:rPr>
            </w:pPr>
            <w:r w:rsidRPr="00830DBB">
              <w:rPr>
                <w:rFonts w:ascii="Arial" w:eastAsia="Times New Roman" w:hAnsi="Arial" w:cs="Arial"/>
                <w:b/>
                <w:color w:val="000000" w:themeColor="text1"/>
                <w:sz w:val="20"/>
                <w:szCs w:val="20"/>
                <w:lang w:val="ro-RO"/>
              </w:rPr>
              <w:t>2012</w:t>
            </w:r>
          </w:p>
        </w:tc>
        <w:tc>
          <w:tcPr>
            <w:tcW w:w="116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tabs>
                <w:tab w:val="center" w:pos="4703"/>
                <w:tab w:val="right" w:pos="9406"/>
              </w:tabs>
              <w:spacing w:after="0" w:line="240" w:lineRule="auto"/>
              <w:jc w:val="center"/>
              <w:rPr>
                <w:rFonts w:ascii="Arial" w:eastAsia="Times New Roman" w:hAnsi="Arial" w:cs="Arial"/>
                <w:b/>
                <w:color w:val="000000" w:themeColor="text1"/>
                <w:sz w:val="20"/>
                <w:szCs w:val="20"/>
                <w:lang w:val="ro-RO"/>
              </w:rPr>
            </w:pPr>
            <w:r w:rsidRPr="00830DBB">
              <w:rPr>
                <w:rFonts w:ascii="Arial" w:eastAsia="Times New Roman" w:hAnsi="Arial" w:cs="Arial"/>
                <w:b/>
                <w:color w:val="000000" w:themeColor="text1"/>
                <w:sz w:val="20"/>
                <w:szCs w:val="20"/>
                <w:lang w:val="ro-RO"/>
              </w:rPr>
              <w:t>2013</w:t>
            </w:r>
          </w:p>
        </w:tc>
        <w:tc>
          <w:tcPr>
            <w:tcW w:w="1349"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tabs>
                <w:tab w:val="center" w:pos="4703"/>
                <w:tab w:val="right" w:pos="9406"/>
              </w:tabs>
              <w:spacing w:after="0" w:line="240" w:lineRule="auto"/>
              <w:jc w:val="center"/>
              <w:rPr>
                <w:rFonts w:ascii="Arial" w:eastAsia="Times New Roman" w:hAnsi="Arial" w:cs="Arial"/>
                <w:b/>
                <w:color w:val="000000" w:themeColor="text1"/>
                <w:sz w:val="20"/>
                <w:szCs w:val="20"/>
                <w:lang w:val="ro-RO"/>
              </w:rPr>
            </w:pPr>
            <w:r w:rsidRPr="00830DBB">
              <w:rPr>
                <w:rFonts w:ascii="Arial" w:eastAsia="Times New Roman" w:hAnsi="Arial" w:cs="Arial"/>
                <w:b/>
                <w:color w:val="000000" w:themeColor="text1"/>
                <w:sz w:val="20"/>
                <w:szCs w:val="20"/>
                <w:lang w:val="ro-RO"/>
              </w:rPr>
              <w:t>2014</w:t>
            </w:r>
          </w:p>
        </w:tc>
        <w:tc>
          <w:tcPr>
            <w:tcW w:w="1109"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tabs>
                <w:tab w:val="center" w:pos="4703"/>
                <w:tab w:val="right" w:pos="9406"/>
              </w:tabs>
              <w:spacing w:after="0" w:line="240" w:lineRule="auto"/>
              <w:jc w:val="center"/>
              <w:rPr>
                <w:rFonts w:ascii="Arial" w:eastAsia="Times New Roman" w:hAnsi="Arial" w:cs="Arial"/>
                <w:b/>
                <w:color w:val="000000" w:themeColor="text1"/>
                <w:sz w:val="20"/>
                <w:szCs w:val="20"/>
                <w:lang w:val="ro-RO"/>
              </w:rPr>
            </w:pPr>
            <w:r w:rsidRPr="00830DBB">
              <w:rPr>
                <w:rFonts w:ascii="Arial" w:eastAsia="Times New Roman" w:hAnsi="Arial" w:cs="Arial"/>
                <w:b/>
                <w:color w:val="000000" w:themeColor="text1"/>
                <w:sz w:val="20"/>
                <w:szCs w:val="20"/>
                <w:lang w:val="ro-RO"/>
              </w:rPr>
              <w:t>2015</w:t>
            </w:r>
          </w:p>
        </w:tc>
      </w:tr>
      <w:tr w:rsidR="00830DBB" w:rsidRPr="00830DBB" w:rsidTr="00080B9C">
        <w:trPr>
          <w:trHeight w:val="205"/>
          <w:jc w:val="center"/>
        </w:trPr>
        <w:tc>
          <w:tcPr>
            <w:tcW w:w="439" w:type="dxa"/>
            <w:vMerge/>
            <w:tcBorders>
              <w:top w:val="single" w:sz="4" w:space="0" w:color="auto"/>
              <w:left w:val="single" w:sz="4" w:space="0" w:color="auto"/>
              <w:bottom w:val="single" w:sz="4" w:space="0" w:color="auto"/>
              <w:right w:val="single" w:sz="4" w:space="0" w:color="auto"/>
            </w:tcBorders>
            <w:shd w:val="clear" w:color="auto" w:fill="auto"/>
          </w:tcPr>
          <w:p w:rsidR="00830DBB" w:rsidRPr="00830DBB" w:rsidRDefault="00830DBB" w:rsidP="00830DBB">
            <w:pPr>
              <w:tabs>
                <w:tab w:val="center" w:pos="4703"/>
                <w:tab w:val="right" w:pos="9406"/>
              </w:tabs>
              <w:spacing w:after="0" w:line="240" w:lineRule="auto"/>
              <w:jc w:val="both"/>
              <w:rPr>
                <w:rFonts w:ascii="Arial" w:eastAsia="Times New Roman" w:hAnsi="Arial" w:cs="Arial"/>
                <w:color w:val="000000" w:themeColor="text1"/>
                <w:sz w:val="20"/>
                <w:szCs w:val="20"/>
                <w:lang w:val="ro-RO"/>
              </w:rPr>
            </w:pPr>
          </w:p>
        </w:tc>
        <w:tc>
          <w:tcPr>
            <w:tcW w:w="335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Eroziune</w:t>
            </w:r>
          </w:p>
        </w:tc>
        <w:tc>
          <w:tcPr>
            <w:tcW w:w="116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tabs>
                <w:tab w:val="center" w:pos="4703"/>
                <w:tab w:val="right" w:pos="9406"/>
              </w:tabs>
              <w:spacing w:after="0" w:line="240" w:lineRule="auto"/>
              <w:jc w:val="center"/>
              <w:rPr>
                <w:rFonts w:ascii="Arial" w:eastAsia="Times New Roman" w:hAnsi="Arial" w:cs="Arial"/>
                <w:color w:val="000000" w:themeColor="text1"/>
                <w:sz w:val="20"/>
                <w:szCs w:val="20"/>
                <w:lang w:val="ro-RO"/>
              </w:rPr>
            </w:pPr>
            <w:r w:rsidRPr="00830DBB">
              <w:rPr>
                <w:rFonts w:ascii="Arial" w:eastAsia="Times New Roman" w:hAnsi="Arial" w:cs="Arial"/>
                <w:color w:val="000000" w:themeColor="text1"/>
                <w:sz w:val="20"/>
                <w:szCs w:val="20"/>
                <w:lang w:val="ro-RO"/>
              </w:rPr>
              <w:t>58984</w:t>
            </w:r>
          </w:p>
        </w:tc>
        <w:tc>
          <w:tcPr>
            <w:tcW w:w="116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tabs>
                <w:tab w:val="center" w:pos="4703"/>
                <w:tab w:val="right" w:pos="9406"/>
              </w:tabs>
              <w:spacing w:after="0" w:line="240" w:lineRule="auto"/>
              <w:jc w:val="center"/>
              <w:rPr>
                <w:rFonts w:ascii="Arial" w:eastAsia="Times New Roman" w:hAnsi="Arial" w:cs="Arial"/>
                <w:color w:val="000000" w:themeColor="text1"/>
                <w:sz w:val="20"/>
                <w:szCs w:val="20"/>
                <w:lang w:val="ro-RO"/>
              </w:rPr>
            </w:pPr>
            <w:r w:rsidRPr="00830DBB">
              <w:rPr>
                <w:rFonts w:ascii="Arial" w:eastAsia="Times New Roman" w:hAnsi="Arial" w:cs="Arial"/>
                <w:color w:val="000000" w:themeColor="text1"/>
                <w:sz w:val="20"/>
                <w:szCs w:val="20"/>
                <w:lang w:val="ro-RO"/>
              </w:rPr>
              <w:t>58984</w:t>
            </w:r>
          </w:p>
        </w:tc>
        <w:tc>
          <w:tcPr>
            <w:tcW w:w="116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tabs>
                <w:tab w:val="center" w:pos="4703"/>
                <w:tab w:val="right" w:pos="9406"/>
              </w:tabs>
              <w:spacing w:after="0" w:line="240" w:lineRule="auto"/>
              <w:jc w:val="center"/>
              <w:rPr>
                <w:rFonts w:ascii="Arial" w:eastAsia="Times New Roman" w:hAnsi="Arial" w:cs="Arial"/>
                <w:color w:val="000000" w:themeColor="text1"/>
                <w:sz w:val="20"/>
                <w:szCs w:val="20"/>
                <w:lang w:val="ro-RO"/>
              </w:rPr>
            </w:pPr>
            <w:r w:rsidRPr="00830DBB">
              <w:rPr>
                <w:rFonts w:ascii="Arial" w:eastAsia="Times New Roman" w:hAnsi="Arial" w:cs="Arial"/>
                <w:color w:val="000000" w:themeColor="text1"/>
                <w:sz w:val="20"/>
                <w:szCs w:val="20"/>
                <w:lang w:val="ro-RO"/>
              </w:rPr>
              <w:t>58984</w:t>
            </w:r>
          </w:p>
        </w:tc>
        <w:tc>
          <w:tcPr>
            <w:tcW w:w="1349"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tabs>
                <w:tab w:val="center" w:pos="4703"/>
                <w:tab w:val="right" w:pos="9406"/>
              </w:tabs>
              <w:spacing w:after="0" w:line="240" w:lineRule="auto"/>
              <w:jc w:val="center"/>
              <w:rPr>
                <w:rFonts w:ascii="Arial" w:eastAsia="Times New Roman" w:hAnsi="Arial" w:cs="Arial"/>
                <w:color w:val="000000" w:themeColor="text1"/>
                <w:sz w:val="20"/>
                <w:szCs w:val="20"/>
                <w:lang w:val="ro-RO"/>
              </w:rPr>
            </w:pPr>
            <w:r w:rsidRPr="00830DBB">
              <w:rPr>
                <w:rFonts w:ascii="Arial" w:eastAsia="Times New Roman" w:hAnsi="Arial" w:cs="Arial"/>
                <w:color w:val="000000" w:themeColor="text1"/>
                <w:sz w:val="20"/>
                <w:szCs w:val="20"/>
                <w:lang w:val="ro-RO"/>
              </w:rPr>
              <w:t>58984</w:t>
            </w:r>
          </w:p>
        </w:tc>
        <w:tc>
          <w:tcPr>
            <w:tcW w:w="1109"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tabs>
                <w:tab w:val="center" w:pos="4703"/>
                <w:tab w:val="right" w:pos="9406"/>
              </w:tabs>
              <w:spacing w:after="0" w:line="240" w:lineRule="auto"/>
              <w:jc w:val="center"/>
              <w:rPr>
                <w:rFonts w:ascii="Arial" w:eastAsia="Times New Roman" w:hAnsi="Arial" w:cs="Arial"/>
                <w:color w:val="000000" w:themeColor="text1"/>
                <w:sz w:val="20"/>
                <w:szCs w:val="20"/>
                <w:lang w:val="ro-RO"/>
              </w:rPr>
            </w:pPr>
            <w:r w:rsidRPr="00830DBB">
              <w:rPr>
                <w:rFonts w:ascii="Arial" w:eastAsia="Times New Roman" w:hAnsi="Arial" w:cs="Arial"/>
                <w:color w:val="000000" w:themeColor="text1"/>
                <w:sz w:val="20"/>
                <w:szCs w:val="20"/>
                <w:lang w:val="ro-RO"/>
              </w:rPr>
              <w:t>58984</w:t>
            </w:r>
          </w:p>
        </w:tc>
      </w:tr>
      <w:tr w:rsidR="00830DBB" w:rsidRPr="00830DBB" w:rsidTr="00080B9C">
        <w:trPr>
          <w:trHeight w:val="125"/>
          <w:jc w:val="center"/>
        </w:trPr>
        <w:tc>
          <w:tcPr>
            <w:tcW w:w="439" w:type="dxa"/>
            <w:vMerge/>
            <w:tcBorders>
              <w:top w:val="single" w:sz="4" w:space="0" w:color="auto"/>
              <w:left w:val="single" w:sz="4" w:space="0" w:color="auto"/>
              <w:bottom w:val="single" w:sz="4" w:space="0" w:color="auto"/>
              <w:right w:val="single" w:sz="4" w:space="0" w:color="auto"/>
            </w:tcBorders>
            <w:shd w:val="clear" w:color="auto" w:fill="auto"/>
          </w:tcPr>
          <w:p w:rsidR="00830DBB" w:rsidRPr="00830DBB" w:rsidRDefault="00830DBB" w:rsidP="00830DBB">
            <w:pPr>
              <w:tabs>
                <w:tab w:val="center" w:pos="4703"/>
                <w:tab w:val="right" w:pos="9406"/>
              </w:tabs>
              <w:spacing w:after="0" w:line="240" w:lineRule="auto"/>
              <w:jc w:val="both"/>
              <w:rPr>
                <w:rFonts w:ascii="Arial" w:eastAsia="Times New Roman" w:hAnsi="Arial" w:cs="Arial"/>
                <w:color w:val="000000" w:themeColor="text1"/>
                <w:sz w:val="20"/>
                <w:szCs w:val="20"/>
                <w:lang w:val="ro-RO"/>
              </w:rPr>
            </w:pPr>
          </w:p>
        </w:tc>
        <w:tc>
          <w:tcPr>
            <w:tcW w:w="335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Alunecări de teren</w:t>
            </w:r>
          </w:p>
        </w:tc>
        <w:tc>
          <w:tcPr>
            <w:tcW w:w="116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42496</w:t>
            </w:r>
          </w:p>
        </w:tc>
        <w:tc>
          <w:tcPr>
            <w:tcW w:w="116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42496</w:t>
            </w:r>
          </w:p>
        </w:tc>
        <w:tc>
          <w:tcPr>
            <w:tcW w:w="116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42496</w:t>
            </w:r>
          </w:p>
        </w:tc>
        <w:tc>
          <w:tcPr>
            <w:tcW w:w="1349"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42496</w:t>
            </w:r>
          </w:p>
        </w:tc>
        <w:tc>
          <w:tcPr>
            <w:tcW w:w="1109"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42496</w:t>
            </w:r>
          </w:p>
        </w:tc>
      </w:tr>
      <w:tr w:rsidR="00830DBB" w:rsidRPr="00830DBB" w:rsidTr="00080B9C">
        <w:trPr>
          <w:trHeight w:val="202"/>
          <w:jc w:val="center"/>
        </w:trPr>
        <w:tc>
          <w:tcPr>
            <w:tcW w:w="439" w:type="dxa"/>
            <w:vMerge/>
            <w:tcBorders>
              <w:top w:val="single" w:sz="4" w:space="0" w:color="auto"/>
              <w:left w:val="single" w:sz="4" w:space="0" w:color="auto"/>
              <w:bottom w:val="single" w:sz="4" w:space="0" w:color="auto"/>
              <w:right w:val="single" w:sz="4" w:space="0" w:color="auto"/>
            </w:tcBorders>
            <w:shd w:val="clear" w:color="auto" w:fill="auto"/>
          </w:tcPr>
          <w:p w:rsidR="00830DBB" w:rsidRPr="00830DBB" w:rsidRDefault="00830DBB" w:rsidP="00830DBB">
            <w:pPr>
              <w:tabs>
                <w:tab w:val="center" w:pos="4703"/>
                <w:tab w:val="right" w:pos="9406"/>
              </w:tabs>
              <w:spacing w:after="0" w:line="240" w:lineRule="auto"/>
              <w:jc w:val="both"/>
              <w:rPr>
                <w:rFonts w:ascii="Arial" w:eastAsia="Times New Roman" w:hAnsi="Arial" w:cs="Arial"/>
                <w:color w:val="000000" w:themeColor="text1"/>
                <w:sz w:val="20"/>
                <w:szCs w:val="20"/>
                <w:lang w:val="ro-RO"/>
              </w:rPr>
            </w:pPr>
          </w:p>
        </w:tc>
        <w:tc>
          <w:tcPr>
            <w:tcW w:w="335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Inundabilitate</w:t>
            </w:r>
          </w:p>
        </w:tc>
        <w:tc>
          <w:tcPr>
            <w:tcW w:w="116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15956</w:t>
            </w:r>
          </w:p>
        </w:tc>
        <w:tc>
          <w:tcPr>
            <w:tcW w:w="116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15956</w:t>
            </w:r>
          </w:p>
        </w:tc>
        <w:tc>
          <w:tcPr>
            <w:tcW w:w="116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15956</w:t>
            </w:r>
          </w:p>
        </w:tc>
        <w:tc>
          <w:tcPr>
            <w:tcW w:w="1349"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15956</w:t>
            </w:r>
          </w:p>
        </w:tc>
        <w:tc>
          <w:tcPr>
            <w:tcW w:w="1109"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15956</w:t>
            </w:r>
          </w:p>
        </w:tc>
      </w:tr>
      <w:tr w:rsidR="00830DBB" w:rsidRPr="00830DBB" w:rsidTr="00080B9C">
        <w:trPr>
          <w:trHeight w:val="120"/>
          <w:jc w:val="center"/>
        </w:trPr>
        <w:tc>
          <w:tcPr>
            <w:tcW w:w="439" w:type="dxa"/>
            <w:vMerge/>
            <w:tcBorders>
              <w:top w:val="single" w:sz="4" w:space="0" w:color="auto"/>
              <w:left w:val="single" w:sz="4" w:space="0" w:color="auto"/>
              <w:bottom w:val="single" w:sz="4" w:space="0" w:color="auto"/>
              <w:right w:val="single" w:sz="4" w:space="0" w:color="auto"/>
            </w:tcBorders>
            <w:shd w:val="clear" w:color="auto" w:fill="auto"/>
          </w:tcPr>
          <w:p w:rsidR="00830DBB" w:rsidRPr="00830DBB" w:rsidRDefault="00830DBB" w:rsidP="00830DBB">
            <w:pPr>
              <w:tabs>
                <w:tab w:val="center" w:pos="4703"/>
                <w:tab w:val="right" w:pos="9406"/>
              </w:tabs>
              <w:spacing w:after="0" w:line="240" w:lineRule="auto"/>
              <w:jc w:val="both"/>
              <w:rPr>
                <w:rFonts w:ascii="Arial" w:eastAsia="Times New Roman" w:hAnsi="Arial" w:cs="Arial"/>
                <w:color w:val="000000" w:themeColor="text1"/>
                <w:sz w:val="20"/>
                <w:szCs w:val="20"/>
                <w:lang w:val="ro-RO"/>
              </w:rPr>
            </w:pPr>
          </w:p>
        </w:tc>
        <w:tc>
          <w:tcPr>
            <w:tcW w:w="335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Acidifiere</w:t>
            </w:r>
          </w:p>
        </w:tc>
        <w:tc>
          <w:tcPr>
            <w:tcW w:w="116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7548</w:t>
            </w:r>
          </w:p>
        </w:tc>
        <w:tc>
          <w:tcPr>
            <w:tcW w:w="116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7548</w:t>
            </w:r>
          </w:p>
        </w:tc>
        <w:tc>
          <w:tcPr>
            <w:tcW w:w="116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7548</w:t>
            </w:r>
          </w:p>
        </w:tc>
        <w:tc>
          <w:tcPr>
            <w:tcW w:w="1349"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7548</w:t>
            </w:r>
          </w:p>
        </w:tc>
        <w:tc>
          <w:tcPr>
            <w:tcW w:w="1109"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7548</w:t>
            </w:r>
          </w:p>
        </w:tc>
      </w:tr>
      <w:tr w:rsidR="00830DBB" w:rsidRPr="00830DBB" w:rsidTr="00080B9C">
        <w:trPr>
          <w:trHeight w:val="218"/>
          <w:jc w:val="center"/>
        </w:trPr>
        <w:tc>
          <w:tcPr>
            <w:tcW w:w="439" w:type="dxa"/>
            <w:vMerge/>
            <w:tcBorders>
              <w:top w:val="single" w:sz="4" w:space="0" w:color="auto"/>
              <w:left w:val="single" w:sz="4" w:space="0" w:color="auto"/>
              <w:bottom w:val="single" w:sz="4" w:space="0" w:color="auto"/>
              <w:right w:val="single" w:sz="4" w:space="0" w:color="auto"/>
            </w:tcBorders>
            <w:shd w:val="clear" w:color="auto" w:fill="auto"/>
          </w:tcPr>
          <w:p w:rsidR="00830DBB" w:rsidRPr="00830DBB" w:rsidRDefault="00830DBB" w:rsidP="00830DBB">
            <w:pPr>
              <w:tabs>
                <w:tab w:val="center" w:pos="4703"/>
                <w:tab w:val="right" w:pos="9406"/>
              </w:tabs>
              <w:spacing w:after="0" w:line="240" w:lineRule="auto"/>
              <w:jc w:val="both"/>
              <w:rPr>
                <w:rFonts w:ascii="Arial" w:eastAsia="Times New Roman" w:hAnsi="Arial" w:cs="Arial"/>
                <w:color w:val="000000" w:themeColor="text1"/>
                <w:sz w:val="20"/>
                <w:szCs w:val="20"/>
                <w:lang w:val="ro-RO"/>
              </w:rPr>
            </w:pPr>
          </w:p>
        </w:tc>
        <w:tc>
          <w:tcPr>
            <w:tcW w:w="335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Compactare</w:t>
            </w:r>
          </w:p>
        </w:tc>
        <w:tc>
          <w:tcPr>
            <w:tcW w:w="116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b/>
                <w:color w:val="000000" w:themeColor="text1"/>
                <w:sz w:val="20"/>
                <w:szCs w:val="20"/>
                <w:lang w:val="en-GB"/>
              </w:rPr>
            </w:pPr>
            <w:r w:rsidRPr="00830DBB">
              <w:rPr>
                <w:rFonts w:ascii="Arial" w:eastAsia="SimSun" w:hAnsi="Arial" w:cs="Arial"/>
                <w:b/>
                <w:color w:val="000000" w:themeColor="text1"/>
                <w:sz w:val="20"/>
                <w:szCs w:val="20"/>
                <w:lang w:val="en-GB"/>
              </w:rPr>
              <w:t>-</w:t>
            </w:r>
          </w:p>
        </w:tc>
        <w:tc>
          <w:tcPr>
            <w:tcW w:w="116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19339</w:t>
            </w:r>
          </w:p>
        </w:tc>
        <w:tc>
          <w:tcPr>
            <w:tcW w:w="116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19439</w:t>
            </w:r>
          </w:p>
        </w:tc>
        <w:tc>
          <w:tcPr>
            <w:tcW w:w="1349"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19439</w:t>
            </w:r>
          </w:p>
        </w:tc>
        <w:tc>
          <w:tcPr>
            <w:tcW w:w="1109"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19439</w:t>
            </w:r>
          </w:p>
        </w:tc>
      </w:tr>
      <w:tr w:rsidR="00830DBB" w:rsidRPr="00830DBB" w:rsidTr="00080B9C">
        <w:trPr>
          <w:trHeight w:val="145"/>
          <w:jc w:val="center"/>
        </w:trPr>
        <w:tc>
          <w:tcPr>
            <w:tcW w:w="439" w:type="dxa"/>
            <w:vMerge/>
            <w:tcBorders>
              <w:top w:val="single" w:sz="4" w:space="0" w:color="auto"/>
              <w:left w:val="single" w:sz="4" w:space="0" w:color="auto"/>
              <w:bottom w:val="single" w:sz="4" w:space="0" w:color="auto"/>
              <w:right w:val="single" w:sz="4" w:space="0" w:color="auto"/>
            </w:tcBorders>
            <w:shd w:val="clear" w:color="auto" w:fill="auto"/>
          </w:tcPr>
          <w:p w:rsidR="00830DBB" w:rsidRPr="00830DBB" w:rsidRDefault="00830DBB" w:rsidP="00830DBB">
            <w:pPr>
              <w:tabs>
                <w:tab w:val="center" w:pos="4703"/>
                <w:tab w:val="right" w:pos="9406"/>
              </w:tabs>
              <w:spacing w:after="0" w:line="240" w:lineRule="auto"/>
              <w:jc w:val="both"/>
              <w:rPr>
                <w:rFonts w:ascii="Arial" w:eastAsia="Times New Roman" w:hAnsi="Arial" w:cs="Arial"/>
                <w:color w:val="000000" w:themeColor="text1"/>
                <w:sz w:val="20"/>
                <w:szCs w:val="20"/>
                <w:lang w:val="ro-RO"/>
              </w:rPr>
            </w:pPr>
          </w:p>
        </w:tc>
        <w:tc>
          <w:tcPr>
            <w:tcW w:w="335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Deficit de elemente nutritive</w:t>
            </w:r>
          </w:p>
        </w:tc>
        <w:tc>
          <w:tcPr>
            <w:tcW w:w="116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w:t>
            </w:r>
          </w:p>
        </w:tc>
        <w:tc>
          <w:tcPr>
            <w:tcW w:w="116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401039</w:t>
            </w:r>
          </w:p>
        </w:tc>
        <w:tc>
          <w:tcPr>
            <w:tcW w:w="116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345200</w:t>
            </w:r>
          </w:p>
        </w:tc>
        <w:tc>
          <w:tcPr>
            <w:tcW w:w="1349"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345200</w:t>
            </w:r>
          </w:p>
        </w:tc>
        <w:tc>
          <w:tcPr>
            <w:tcW w:w="1109"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345200</w:t>
            </w:r>
          </w:p>
        </w:tc>
      </w:tr>
      <w:tr w:rsidR="00830DBB" w:rsidRPr="00830DBB" w:rsidTr="00080B9C">
        <w:trPr>
          <w:trHeight w:val="145"/>
          <w:jc w:val="center"/>
        </w:trPr>
        <w:tc>
          <w:tcPr>
            <w:tcW w:w="439" w:type="dxa"/>
            <w:vMerge/>
            <w:tcBorders>
              <w:top w:val="single" w:sz="4" w:space="0" w:color="auto"/>
              <w:left w:val="single" w:sz="4" w:space="0" w:color="auto"/>
              <w:bottom w:val="single" w:sz="4" w:space="0" w:color="auto"/>
              <w:right w:val="single" w:sz="4" w:space="0" w:color="auto"/>
            </w:tcBorders>
            <w:shd w:val="clear" w:color="auto" w:fill="auto"/>
          </w:tcPr>
          <w:p w:rsidR="00830DBB" w:rsidRPr="00830DBB" w:rsidRDefault="00830DBB" w:rsidP="00830DBB">
            <w:pPr>
              <w:tabs>
                <w:tab w:val="center" w:pos="4703"/>
                <w:tab w:val="right" w:pos="9406"/>
              </w:tabs>
              <w:spacing w:after="0" w:line="240" w:lineRule="auto"/>
              <w:jc w:val="both"/>
              <w:rPr>
                <w:rFonts w:ascii="Arial" w:eastAsia="Times New Roman" w:hAnsi="Arial" w:cs="Arial"/>
                <w:color w:val="000000" w:themeColor="text1"/>
                <w:sz w:val="20"/>
                <w:szCs w:val="20"/>
                <w:lang w:val="ro-RO"/>
              </w:rPr>
            </w:pPr>
          </w:p>
        </w:tc>
        <w:tc>
          <w:tcPr>
            <w:tcW w:w="335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Volum edafic redus</w:t>
            </w:r>
          </w:p>
        </w:tc>
        <w:tc>
          <w:tcPr>
            <w:tcW w:w="116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w:t>
            </w:r>
          </w:p>
        </w:tc>
        <w:tc>
          <w:tcPr>
            <w:tcW w:w="116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w:t>
            </w:r>
          </w:p>
        </w:tc>
        <w:tc>
          <w:tcPr>
            <w:tcW w:w="116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w:t>
            </w:r>
          </w:p>
        </w:tc>
        <w:tc>
          <w:tcPr>
            <w:tcW w:w="1349"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w:t>
            </w:r>
          </w:p>
        </w:tc>
        <w:tc>
          <w:tcPr>
            <w:tcW w:w="1109"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w:t>
            </w:r>
          </w:p>
        </w:tc>
      </w:tr>
      <w:tr w:rsidR="00830DBB" w:rsidRPr="00830DBB" w:rsidTr="00080B9C">
        <w:trPr>
          <w:trHeight w:val="145"/>
          <w:jc w:val="center"/>
        </w:trPr>
        <w:tc>
          <w:tcPr>
            <w:tcW w:w="439" w:type="dxa"/>
            <w:vMerge/>
            <w:tcBorders>
              <w:top w:val="single" w:sz="4" w:space="0" w:color="auto"/>
              <w:left w:val="single" w:sz="4" w:space="0" w:color="auto"/>
              <w:bottom w:val="single" w:sz="4" w:space="0" w:color="auto"/>
              <w:right w:val="single" w:sz="4" w:space="0" w:color="auto"/>
            </w:tcBorders>
            <w:shd w:val="clear" w:color="auto" w:fill="auto"/>
          </w:tcPr>
          <w:p w:rsidR="00830DBB" w:rsidRPr="00830DBB" w:rsidRDefault="00830DBB" w:rsidP="00830DBB">
            <w:pPr>
              <w:tabs>
                <w:tab w:val="center" w:pos="4703"/>
                <w:tab w:val="right" w:pos="9406"/>
              </w:tabs>
              <w:spacing w:after="0" w:line="240" w:lineRule="auto"/>
              <w:jc w:val="both"/>
              <w:rPr>
                <w:rFonts w:ascii="Arial" w:eastAsia="Times New Roman" w:hAnsi="Arial" w:cs="Arial"/>
                <w:color w:val="000000" w:themeColor="text1"/>
                <w:sz w:val="20"/>
                <w:szCs w:val="20"/>
                <w:lang w:val="ro-RO"/>
              </w:rPr>
            </w:pPr>
          </w:p>
        </w:tc>
        <w:tc>
          <w:tcPr>
            <w:tcW w:w="335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Sărăturare</w:t>
            </w:r>
          </w:p>
        </w:tc>
        <w:tc>
          <w:tcPr>
            <w:tcW w:w="116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7970</w:t>
            </w:r>
          </w:p>
        </w:tc>
        <w:tc>
          <w:tcPr>
            <w:tcW w:w="116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11513</w:t>
            </w:r>
          </w:p>
        </w:tc>
        <w:tc>
          <w:tcPr>
            <w:tcW w:w="116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11513</w:t>
            </w:r>
          </w:p>
        </w:tc>
        <w:tc>
          <w:tcPr>
            <w:tcW w:w="1349"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11513</w:t>
            </w:r>
          </w:p>
        </w:tc>
        <w:tc>
          <w:tcPr>
            <w:tcW w:w="1109"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11513</w:t>
            </w:r>
          </w:p>
        </w:tc>
      </w:tr>
      <w:tr w:rsidR="00830DBB" w:rsidRPr="00830DBB" w:rsidTr="00080B9C">
        <w:trPr>
          <w:trHeight w:val="145"/>
          <w:jc w:val="center"/>
        </w:trPr>
        <w:tc>
          <w:tcPr>
            <w:tcW w:w="439" w:type="dxa"/>
            <w:vMerge/>
            <w:tcBorders>
              <w:top w:val="single" w:sz="4" w:space="0" w:color="auto"/>
              <w:left w:val="single" w:sz="4" w:space="0" w:color="auto"/>
              <w:bottom w:val="single" w:sz="4" w:space="0" w:color="auto"/>
              <w:right w:val="single" w:sz="4" w:space="0" w:color="auto"/>
            </w:tcBorders>
            <w:shd w:val="clear" w:color="auto" w:fill="auto"/>
          </w:tcPr>
          <w:p w:rsidR="00830DBB" w:rsidRPr="00830DBB" w:rsidRDefault="00830DBB" w:rsidP="00830DBB">
            <w:pPr>
              <w:tabs>
                <w:tab w:val="center" w:pos="4703"/>
                <w:tab w:val="right" w:pos="9406"/>
              </w:tabs>
              <w:spacing w:after="0" w:line="240" w:lineRule="auto"/>
              <w:jc w:val="both"/>
              <w:rPr>
                <w:rFonts w:ascii="Arial" w:eastAsia="Times New Roman" w:hAnsi="Arial" w:cs="Arial"/>
                <w:color w:val="000000" w:themeColor="text1"/>
                <w:sz w:val="20"/>
                <w:szCs w:val="20"/>
                <w:lang w:val="ro-RO"/>
              </w:rPr>
            </w:pPr>
          </w:p>
        </w:tc>
        <w:tc>
          <w:tcPr>
            <w:tcW w:w="335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Exces de umiditate în sol</w:t>
            </w:r>
          </w:p>
        </w:tc>
        <w:tc>
          <w:tcPr>
            <w:tcW w:w="116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16641</w:t>
            </w:r>
          </w:p>
        </w:tc>
        <w:tc>
          <w:tcPr>
            <w:tcW w:w="116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16641</w:t>
            </w:r>
          </w:p>
        </w:tc>
        <w:tc>
          <w:tcPr>
            <w:tcW w:w="116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16641</w:t>
            </w:r>
          </w:p>
        </w:tc>
        <w:tc>
          <w:tcPr>
            <w:tcW w:w="1349"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16641</w:t>
            </w:r>
          </w:p>
        </w:tc>
        <w:tc>
          <w:tcPr>
            <w:tcW w:w="1109"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16641</w:t>
            </w:r>
          </w:p>
        </w:tc>
      </w:tr>
      <w:tr w:rsidR="00830DBB" w:rsidRPr="00830DBB" w:rsidTr="00080B9C">
        <w:trPr>
          <w:trHeight w:val="145"/>
          <w:jc w:val="center"/>
        </w:trPr>
        <w:tc>
          <w:tcPr>
            <w:tcW w:w="439" w:type="dxa"/>
            <w:vMerge/>
            <w:tcBorders>
              <w:top w:val="single" w:sz="4" w:space="0" w:color="auto"/>
              <w:left w:val="single" w:sz="4" w:space="0" w:color="auto"/>
              <w:bottom w:val="single" w:sz="4" w:space="0" w:color="auto"/>
              <w:right w:val="single" w:sz="4" w:space="0" w:color="auto"/>
            </w:tcBorders>
            <w:shd w:val="clear" w:color="auto" w:fill="auto"/>
          </w:tcPr>
          <w:p w:rsidR="00830DBB" w:rsidRPr="00830DBB" w:rsidRDefault="00830DBB" w:rsidP="00830DBB">
            <w:pPr>
              <w:tabs>
                <w:tab w:val="center" w:pos="4703"/>
                <w:tab w:val="right" w:pos="9406"/>
              </w:tabs>
              <w:spacing w:after="0" w:line="240" w:lineRule="auto"/>
              <w:jc w:val="both"/>
              <w:rPr>
                <w:rFonts w:ascii="Arial" w:eastAsia="Times New Roman" w:hAnsi="Arial" w:cs="Arial"/>
                <w:color w:val="000000" w:themeColor="text1"/>
                <w:sz w:val="20"/>
                <w:szCs w:val="20"/>
                <w:lang w:val="ro-RO"/>
              </w:rPr>
            </w:pPr>
          </w:p>
        </w:tc>
        <w:tc>
          <w:tcPr>
            <w:tcW w:w="335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Gleizare</w:t>
            </w:r>
          </w:p>
        </w:tc>
        <w:tc>
          <w:tcPr>
            <w:tcW w:w="116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43433</w:t>
            </w:r>
          </w:p>
        </w:tc>
        <w:tc>
          <w:tcPr>
            <w:tcW w:w="116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43433</w:t>
            </w:r>
          </w:p>
        </w:tc>
        <w:tc>
          <w:tcPr>
            <w:tcW w:w="116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43433</w:t>
            </w:r>
          </w:p>
        </w:tc>
        <w:tc>
          <w:tcPr>
            <w:tcW w:w="1349"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43433</w:t>
            </w:r>
          </w:p>
        </w:tc>
        <w:tc>
          <w:tcPr>
            <w:tcW w:w="1109"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43433</w:t>
            </w:r>
          </w:p>
        </w:tc>
      </w:tr>
      <w:tr w:rsidR="00830DBB" w:rsidRPr="00830DBB" w:rsidTr="00080B9C">
        <w:trPr>
          <w:trHeight w:val="145"/>
          <w:jc w:val="center"/>
        </w:trPr>
        <w:tc>
          <w:tcPr>
            <w:tcW w:w="439" w:type="dxa"/>
            <w:vMerge/>
            <w:tcBorders>
              <w:top w:val="single" w:sz="4" w:space="0" w:color="auto"/>
              <w:left w:val="single" w:sz="4" w:space="0" w:color="auto"/>
              <w:bottom w:val="single" w:sz="4" w:space="0" w:color="auto"/>
              <w:right w:val="single" w:sz="4" w:space="0" w:color="auto"/>
            </w:tcBorders>
            <w:shd w:val="clear" w:color="auto" w:fill="auto"/>
          </w:tcPr>
          <w:p w:rsidR="00830DBB" w:rsidRPr="00830DBB" w:rsidRDefault="00830DBB" w:rsidP="00830DBB">
            <w:pPr>
              <w:tabs>
                <w:tab w:val="center" w:pos="4703"/>
                <w:tab w:val="right" w:pos="9406"/>
              </w:tabs>
              <w:spacing w:after="0" w:line="240" w:lineRule="auto"/>
              <w:jc w:val="both"/>
              <w:rPr>
                <w:rFonts w:ascii="Arial" w:eastAsia="Times New Roman" w:hAnsi="Arial" w:cs="Arial"/>
                <w:color w:val="000000" w:themeColor="text1"/>
                <w:sz w:val="20"/>
                <w:szCs w:val="20"/>
                <w:lang w:val="ro-RO"/>
              </w:rPr>
            </w:pPr>
          </w:p>
        </w:tc>
        <w:tc>
          <w:tcPr>
            <w:tcW w:w="3358" w:type="dxa"/>
            <w:tcBorders>
              <w:top w:val="single" w:sz="4" w:space="0" w:color="auto"/>
              <w:left w:val="single" w:sz="4" w:space="0" w:color="auto"/>
              <w:bottom w:val="single" w:sz="4" w:space="0" w:color="auto"/>
              <w:right w:val="single" w:sz="4" w:space="0" w:color="auto"/>
            </w:tcBorders>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Pseudogleizare</w:t>
            </w:r>
          </w:p>
        </w:tc>
        <w:tc>
          <w:tcPr>
            <w:tcW w:w="116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w:t>
            </w:r>
          </w:p>
        </w:tc>
        <w:tc>
          <w:tcPr>
            <w:tcW w:w="116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6287</w:t>
            </w:r>
          </w:p>
        </w:tc>
        <w:tc>
          <w:tcPr>
            <w:tcW w:w="116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 xml:space="preserve"> 6287</w:t>
            </w:r>
          </w:p>
        </w:tc>
        <w:tc>
          <w:tcPr>
            <w:tcW w:w="1349"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 xml:space="preserve"> 6287</w:t>
            </w:r>
          </w:p>
        </w:tc>
        <w:tc>
          <w:tcPr>
            <w:tcW w:w="1109"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6287</w:t>
            </w:r>
          </w:p>
        </w:tc>
      </w:tr>
      <w:tr w:rsidR="00830DBB" w:rsidRPr="00830DBB" w:rsidTr="00080B9C">
        <w:trPr>
          <w:trHeight w:val="145"/>
          <w:jc w:val="center"/>
        </w:trPr>
        <w:tc>
          <w:tcPr>
            <w:tcW w:w="439" w:type="dxa"/>
            <w:vMerge/>
            <w:tcBorders>
              <w:top w:val="single" w:sz="4" w:space="0" w:color="auto"/>
              <w:left w:val="single" w:sz="4" w:space="0" w:color="auto"/>
              <w:bottom w:val="single" w:sz="4" w:space="0" w:color="auto"/>
              <w:right w:val="single" w:sz="4" w:space="0" w:color="auto"/>
            </w:tcBorders>
            <w:shd w:val="clear" w:color="auto" w:fill="auto"/>
          </w:tcPr>
          <w:p w:rsidR="00830DBB" w:rsidRPr="00830DBB" w:rsidRDefault="00830DBB" w:rsidP="00830DBB">
            <w:pPr>
              <w:tabs>
                <w:tab w:val="center" w:pos="4703"/>
                <w:tab w:val="right" w:pos="9406"/>
              </w:tabs>
              <w:spacing w:after="0" w:line="240" w:lineRule="auto"/>
              <w:jc w:val="both"/>
              <w:rPr>
                <w:rFonts w:ascii="Arial" w:eastAsia="Times New Roman" w:hAnsi="Arial" w:cs="Arial"/>
                <w:color w:val="000000" w:themeColor="text1"/>
                <w:sz w:val="20"/>
                <w:szCs w:val="20"/>
                <w:lang w:val="ro-RO"/>
              </w:rPr>
            </w:pPr>
          </w:p>
        </w:tc>
        <w:tc>
          <w:tcPr>
            <w:tcW w:w="3358" w:type="dxa"/>
            <w:tcBorders>
              <w:top w:val="single" w:sz="4" w:space="0" w:color="auto"/>
              <w:left w:val="single" w:sz="4" w:space="0" w:color="auto"/>
              <w:bottom w:val="single" w:sz="4" w:space="0" w:color="auto"/>
              <w:right w:val="single" w:sz="4" w:space="0" w:color="auto"/>
            </w:tcBorders>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en-GB"/>
              </w:rPr>
              <w:t>Seceta periodic</w:t>
            </w:r>
            <w:r w:rsidRPr="00830DBB">
              <w:rPr>
                <w:rFonts w:ascii="Arial" w:eastAsia="SimSun" w:hAnsi="Arial" w:cs="Arial"/>
                <w:color w:val="000000" w:themeColor="text1"/>
                <w:sz w:val="20"/>
                <w:szCs w:val="20"/>
                <w:lang w:val="ro-RO"/>
              </w:rPr>
              <w:t>ă</w:t>
            </w:r>
          </w:p>
        </w:tc>
        <w:tc>
          <w:tcPr>
            <w:tcW w:w="116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6287</w:t>
            </w:r>
          </w:p>
        </w:tc>
        <w:tc>
          <w:tcPr>
            <w:tcW w:w="116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w:t>
            </w:r>
          </w:p>
        </w:tc>
        <w:tc>
          <w:tcPr>
            <w:tcW w:w="116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w:t>
            </w:r>
          </w:p>
        </w:tc>
        <w:tc>
          <w:tcPr>
            <w:tcW w:w="1349"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w:t>
            </w:r>
          </w:p>
        </w:tc>
        <w:tc>
          <w:tcPr>
            <w:tcW w:w="1109"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w:t>
            </w:r>
          </w:p>
        </w:tc>
      </w:tr>
      <w:tr w:rsidR="00830DBB" w:rsidRPr="00830DBB" w:rsidTr="00080B9C">
        <w:trPr>
          <w:trHeight w:val="145"/>
          <w:jc w:val="center"/>
        </w:trPr>
        <w:tc>
          <w:tcPr>
            <w:tcW w:w="439" w:type="dxa"/>
            <w:vMerge/>
            <w:tcBorders>
              <w:top w:val="single" w:sz="4" w:space="0" w:color="auto"/>
              <w:left w:val="single" w:sz="4" w:space="0" w:color="auto"/>
              <w:bottom w:val="single" w:sz="4" w:space="0" w:color="auto"/>
              <w:right w:val="single" w:sz="4" w:space="0" w:color="auto"/>
            </w:tcBorders>
            <w:shd w:val="clear" w:color="auto" w:fill="auto"/>
          </w:tcPr>
          <w:p w:rsidR="00830DBB" w:rsidRPr="00830DBB" w:rsidRDefault="00830DBB" w:rsidP="00830DBB">
            <w:pPr>
              <w:tabs>
                <w:tab w:val="center" w:pos="4703"/>
                <w:tab w:val="right" w:pos="9406"/>
              </w:tabs>
              <w:spacing w:after="0" w:line="240" w:lineRule="auto"/>
              <w:jc w:val="both"/>
              <w:rPr>
                <w:rFonts w:ascii="Arial" w:eastAsia="Times New Roman" w:hAnsi="Arial" w:cs="Arial"/>
                <w:color w:val="000000" w:themeColor="text1"/>
                <w:sz w:val="20"/>
                <w:szCs w:val="20"/>
                <w:lang w:val="ro-RO"/>
              </w:rPr>
            </w:pPr>
          </w:p>
        </w:tc>
        <w:tc>
          <w:tcPr>
            <w:tcW w:w="3358" w:type="dxa"/>
            <w:tcBorders>
              <w:top w:val="single" w:sz="4" w:space="0" w:color="auto"/>
              <w:left w:val="single" w:sz="4" w:space="0" w:color="auto"/>
              <w:bottom w:val="single" w:sz="4" w:space="0" w:color="auto"/>
              <w:right w:val="single" w:sz="4" w:space="0" w:color="auto"/>
            </w:tcBorders>
            <w:vAlign w:val="bottom"/>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Terenuri nisipoase</w:t>
            </w:r>
          </w:p>
        </w:tc>
        <w:tc>
          <w:tcPr>
            <w:tcW w:w="116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11930</w:t>
            </w:r>
          </w:p>
        </w:tc>
        <w:tc>
          <w:tcPr>
            <w:tcW w:w="116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11930</w:t>
            </w:r>
          </w:p>
        </w:tc>
        <w:tc>
          <w:tcPr>
            <w:tcW w:w="116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11930</w:t>
            </w:r>
          </w:p>
        </w:tc>
        <w:tc>
          <w:tcPr>
            <w:tcW w:w="1349"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11930</w:t>
            </w:r>
          </w:p>
        </w:tc>
        <w:tc>
          <w:tcPr>
            <w:tcW w:w="1109"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11930</w:t>
            </w:r>
          </w:p>
        </w:tc>
      </w:tr>
      <w:tr w:rsidR="00830DBB" w:rsidRPr="00830DBB" w:rsidTr="00080B9C">
        <w:trPr>
          <w:trHeight w:val="145"/>
          <w:jc w:val="center"/>
        </w:trPr>
        <w:tc>
          <w:tcPr>
            <w:tcW w:w="3797" w:type="dxa"/>
            <w:gridSpan w:val="2"/>
            <w:tcBorders>
              <w:top w:val="single" w:sz="4" w:space="0" w:color="auto"/>
              <w:left w:val="single" w:sz="4" w:space="0" w:color="auto"/>
              <w:bottom w:val="single" w:sz="4" w:space="0" w:color="auto"/>
              <w:right w:val="single" w:sz="4" w:space="0" w:color="auto"/>
            </w:tcBorders>
            <w:shd w:val="clear" w:color="auto" w:fill="auto"/>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b/>
                <w:color w:val="000000" w:themeColor="text1"/>
                <w:sz w:val="20"/>
                <w:szCs w:val="20"/>
                <w:lang w:val="en-GB"/>
              </w:rPr>
              <w:t>Total suprafe</w:t>
            </w:r>
            <w:r w:rsidRPr="00830DBB">
              <w:rPr>
                <w:rFonts w:ascii="Arial" w:eastAsia="SimSun" w:hAnsi="Arial" w:cs="Arial"/>
                <w:b/>
                <w:color w:val="000000" w:themeColor="text1"/>
                <w:sz w:val="20"/>
                <w:szCs w:val="20"/>
                <w:lang w:val="ro-RO"/>
              </w:rPr>
              <w:t>ţe degradate</w:t>
            </w:r>
          </w:p>
        </w:tc>
        <w:tc>
          <w:tcPr>
            <w:tcW w:w="116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b/>
                <w:color w:val="000000" w:themeColor="text1"/>
                <w:sz w:val="20"/>
                <w:szCs w:val="20"/>
                <w:lang w:val="en-GB"/>
              </w:rPr>
              <w:t>211245</w:t>
            </w:r>
          </w:p>
        </w:tc>
        <w:tc>
          <w:tcPr>
            <w:tcW w:w="1168"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jc w:val="center"/>
              <w:rPr>
                <w:rFonts w:ascii="Arial" w:eastAsia="SimSun" w:hAnsi="Arial" w:cs="Arial"/>
                <w:b/>
                <w:color w:val="000000" w:themeColor="text1"/>
                <w:sz w:val="20"/>
                <w:szCs w:val="20"/>
                <w:lang w:val="en-GB"/>
              </w:rPr>
            </w:pPr>
            <w:r w:rsidRPr="00830DBB">
              <w:rPr>
                <w:rFonts w:ascii="Arial" w:eastAsia="SimSun" w:hAnsi="Arial" w:cs="Arial"/>
                <w:b/>
                <w:color w:val="000000" w:themeColor="text1"/>
                <w:sz w:val="20"/>
                <w:szCs w:val="20"/>
                <w:lang w:val="en-GB"/>
              </w:rPr>
              <w:t>635166</w:t>
            </w:r>
          </w:p>
        </w:tc>
        <w:tc>
          <w:tcPr>
            <w:tcW w:w="1168"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b/>
                <w:color w:val="000000" w:themeColor="text1"/>
                <w:sz w:val="20"/>
                <w:szCs w:val="20"/>
                <w:lang w:val="en-GB"/>
              </w:rPr>
            </w:pPr>
            <w:r w:rsidRPr="00830DBB">
              <w:rPr>
                <w:rFonts w:ascii="Arial" w:eastAsia="SimSun" w:hAnsi="Arial" w:cs="Arial"/>
                <w:b/>
                <w:color w:val="000000" w:themeColor="text1"/>
                <w:sz w:val="20"/>
                <w:szCs w:val="20"/>
                <w:lang w:val="en-GB"/>
              </w:rPr>
              <w:t>579427</w:t>
            </w:r>
          </w:p>
        </w:tc>
        <w:tc>
          <w:tcPr>
            <w:tcW w:w="1349"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b/>
                <w:color w:val="000000" w:themeColor="text1"/>
                <w:sz w:val="20"/>
                <w:szCs w:val="20"/>
                <w:lang w:val="en-GB"/>
              </w:rPr>
            </w:pPr>
            <w:r w:rsidRPr="00830DBB">
              <w:rPr>
                <w:rFonts w:ascii="Arial" w:eastAsia="SimSun" w:hAnsi="Arial" w:cs="Arial"/>
                <w:b/>
                <w:color w:val="000000" w:themeColor="text1"/>
                <w:sz w:val="20"/>
                <w:szCs w:val="20"/>
                <w:lang w:val="en-GB"/>
              </w:rPr>
              <w:t>579427</w:t>
            </w:r>
          </w:p>
        </w:tc>
        <w:tc>
          <w:tcPr>
            <w:tcW w:w="1109"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Arial"/>
                <w:color w:val="000000" w:themeColor="text1"/>
                <w:sz w:val="20"/>
                <w:szCs w:val="20"/>
                <w:lang w:val="en-GB"/>
              </w:rPr>
            </w:pPr>
            <w:r w:rsidRPr="00830DBB">
              <w:rPr>
                <w:rFonts w:ascii="Arial" w:eastAsia="SimSun" w:hAnsi="Arial" w:cs="Arial"/>
                <w:b/>
                <w:color w:val="000000" w:themeColor="text1"/>
                <w:sz w:val="20"/>
                <w:szCs w:val="20"/>
                <w:lang w:val="en-GB"/>
              </w:rPr>
              <w:t>579427</w:t>
            </w:r>
          </w:p>
        </w:tc>
      </w:tr>
    </w:tbl>
    <w:p w:rsidR="00830DBB" w:rsidRPr="00830DBB" w:rsidRDefault="00830DBB" w:rsidP="00830DBB">
      <w:pPr>
        <w:keepNext/>
        <w:spacing w:after="0" w:line="240" w:lineRule="auto"/>
        <w:jc w:val="both"/>
        <w:outlineLvl w:val="0"/>
        <w:rPr>
          <w:rFonts w:ascii="Arial" w:eastAsia="Times New Roman" w:hAnsi="Arial" w:cs="Arial"/>
          <w:bCs/>
          <w:color w:val="000000" w:themeColor="text1"/>
          <w:sz w:val="20"/>
          <w:szCs w:val="20"/>
          <w:lang w:eastAsia="ro-RO"/>
        </w:rPr>
      </w:pPr>
      <w:r w:rsidRPr="00830DBB">
        <w:rPr>
          <w:rFonts w:ascii="Arial" w:eastAsia="Times New Roman" w:hAnsi="Arial" w:cs="Arial"/>
          <w:color w:val="000000" w:themeColor="text1"/>
          <w:sz w:val="20"/>
          <w:szCs w:val="20"/>
          <w:lang w:eastAsia="ro-RO"/>
        </w:rPr>
        <w:t>(sursa: Oficiul Judeţean de Studii Pedologice şi Agrochimice Vaslui)</w:t>
      </w:r>
    </w:p>
    <w:p w:rsidR="00830DBB" w:rsidRPr="00830DBB" w:rsidRDefault="00830DBB" w:rsidP="00830DBB">
      <w:pPr>
        <w:spacing w:after="0" w:line="240" w:lineRule="auto"/>
        <w:rPr>
          <w:rFonts w:ascii="Arial" w:eastAsia="SimSun" w:hAnsi="Arial" w:cs="Arial"/>
          <w:i/>
          <w:color w:val="FF0000"/>
          <w:sz w:val="24"/>
          <w:szCs w:val="24"/>
          <w:lang w:val="ro-RO"/>
        </w:rPr>
      </w:pPr>
    </w:p>
    <w:p w:rsidR="00830DBB" w:rsidRPr="00830DBB" w:rsidRDefault="00830DBB" w:rsidP="00830DBB">
      <w:pPr>
        <w:spacing w:after="0" w:line="240" w:lineRule="auto"/>
        <w:rPr>
          <w:rFonts w:ascii="Arial" w:eastAsia="SimSun" w:hAnsi="Arial" w:cs="Arial"/>
          <w:b/>
          <w:color w:val="000000" w:themeColor="text1"/>
          <w:sz w:val="24"/>
          <w:szCs w:val="24"/>
          <w:lang w:val="ro-RO"/>
        </w:rPr>
      </w:pPr>
      <w:r w:rsidRPr="00830DBB">
        <w:rPr>
          <w:rFonts w:ascii="Arial" w:eastAsia="SimSun" w:hAnsi="Arial" w:cs="Arial"/>
          <w:b/>
          <w:color w:val="000000" w:themeColor="text1"/>
          <w:sz w:val="24"/>
          <w:szCs w:val="24"/>
          <w:lang w:val="ro-RO"/>
        </w:rPr>
        <w:t xml:space="preserve">III.2. Zone critice sub aspectul deteriorării solurilor  </w:t>
      </w:r>
    </w:p>
    <w:p w:rsidR="00830DBB" w:rsidRPr="00830DBB" w:rsidRDefault="00830DBB" w:rsidP="00830DBB">
      <w:pPr>
        <w:spacing w:after="0" w:line="240" w:lineRule="auto"/>
        <w:rPr>
          <w:rFonts w:ascii="Arial" w:eastAsia="SimSun" w:hAnsi="Arial" w:cs="Arial"/>
          <w:b/>
          <w:color w:val="000000" w:themeColor="text1"/>
          <w:sz w:val="24"/>
          <w:szCs w:val="24"/>
          <w:lang w:val="ro-RO"/>
        </w:rPr>
      </w:pPr>
      <w:r w:rsidRPr="00830DBB">
        <w:rPr>
          <w:rFonts w:ascii="Arial" w:eastAsia="SimSun" w:hAnsi="Arial" w:cs="Arial"/>
          <w:b/>
          <w:color w:val="000000" w:themeColor="text1"/>
          <w:sz w:val="24"/>
          <w:szCs w:val="24"/>
          <w:lang w:val="ro-RO"/>
        </w:rPr>
        <w:t xml:space="preserve"> </w:t>
      </w:r>
      <w:r w:rsidRPr="00830DBB">
        <w:rPr>
          <w:rFonts w:ascii="Arial" w:eastAsia="SimSun" w:hAnsi="Arial" w:cs="Arial"/>
          <w:b/>
          <w:color w:val="000000" w:themeColor="text1"/>
          <w:sz w:val="24"/>
          <w:szCs w:val="24"/>
          <w:lang w:val="ro-RO"/>
        </w:rPr>
        <w:tab/>
      </w:r>
    </w:p>
    <w:p w:rsidR="00830DBB" w:rsidRPr="00830DBB" w:rsidRDefault="00830DBB" w:rsidP="00830DBB">
      <w:pPr>
        <w:tabs>
          <w:tab w:val="left" w:pos="1276"/>
        </w:tabs>
        <w:spacing w:after="0" w:line="240" w:lineRule="auto"/>
        <w:rPr>
          <w:rFonts w:ascii="Arial" w:eastAsia="SimSun" w:hAnsi="Arial" w:cs="Arial"/>
          <w:b/>
          <w:i/>
          <w:color w:val="000000" w:themeColor="text1"/>
          <w:sz w:val="24"/>
          <w:szCs w:val="24"/>
          <w:lang w:val="ro-RO"/>
        </w:rPr>
      </w:pPr>
      <w:r w:rsidRPr="00830DBB">
        <w:rPr>
          <w:rFonts w:ascii="Arial" w:eastAsia="SimSun" w:hAnsi="Arial" w:cs="Arial"/>
          <w:b/>
          <w:i/>
          <w:color w:val="000000" w:themeColor="text1"/>
          <w:sz w:val="24"/>
          <w:szCs w:val="24"/>
          <w:lang w:val="ro-RO"/>
        </w:rPr>
        <w:t xml:space="preserve">III.2.1. Zone afectate de procese naturale  </w:t>
      </w:r>
    </w:p>
    <w:p w:rsidR="00830DBB" w:rsidRPr="00830DBB" w:rsidRDefault="00830DBB" w:rsidP="00830DBB">
      <w:pPr>
        <w:spacing w:after="0" w:line="240" w:lineRule="auto"/>
        <w:jc w:val="both"/>
        <w:rPr>
          <w:rFonts w:ascii="Arial" w:eastAsia="SimSun" w:hAnsi="Arial" w:cs="Arial"/>
          <w:b/>
          <w:i/>
          <w:color w:val="000000" w:themeColor="text1"/>
          <w:sz w:val="24"/>
          <w:szCs w:val="24"/>
          <w:lang w:val="it-IT"/>
        </w:rPr>
      </w:pPr>
    </w:p>
    <w:p w:rsidR="00830DBB" w:rsidRPr="00830DBB" w:rsidRDefault="00830DBB" w:rsidP="00830DBB">
      <w:pPr>
        <w:spacing w:after="0" w:line="240" w:lineRule="auto"/>
        <w:ind w:right="-235"/>
        <w:jc w:val="both"/>
        <w:rPr>
          <w:rFonts w:ascii="Arial" w:eastAsia="SimSun" w:hAnsi="Arial" w:cs="Arial"/>
          <w:color w:val="000000" w:themeColor="text1"/>
          <w:sz w:val="24"/>
          <w:szCs w:val="24"/>
          <w:lang w:val="ro-RO"/>
        </w:rPr>
      </w:pPr>
      <w:r w:rsidRPr="00830DBB">
        <w:rPr>
          <w:rFonts w:ascii="Arial" w:eastAsia="SimSun" w:hAnsi="Arial" w:cs="Arial"/>
          <w:color w:val="000000" w:themeColor="text1"/>
          <w:sz w:val="24"/>
          <w:szCs w:val="24"/>
          <w:lang w:val="ro-RO"/>
        </w:rPr>
        <w:t>Zone critice sub aspectul degradării solurilor se întâlnesc în bazinul hidrografic al râurilor Tutova, Bârlad, Vasluieţ, Crasna, Buda, Elan, Horincea, Idrici, Lohan şi Rahova.</w:t>
      </w:r>
    </w:p>
    <w:p w:rsidR="00830DBB" w:rsidRPr="00830DBB" w:rsidRDefault="00830DBB" w:rsidP="00830DBB">
      <w:pPr>
        <w:spacing w:after="0" w:line="240" w:lineRule="auto"/>
        <w:jc w:val="both"/>
        <w:rPr>
          <w:rFonts w:ascii="Arial" w:eastAsia="SimSun" w:hAnsi="Arial" w:cs="Arial"/>
          <w:color w:val="000000" w:themeColor="text1"/>
          <w:sz w:val="24"/>
          <w:szCs w:val="24"/>
          <w:lang w:val="ro-RO"/>
        </w:rPr>
      </w:pPr>
    </w:p>
    <w:p w:rsidR="00830DBB" w:rsidRPr="00830DBB" w:rsidRDefault="00830DBB" w:rsidP="00830DBB">
      <w:pPr>
        <w:spacing w:after="0" w:line="240" w:lineRule="auto"/>
        <w:jc w:val="both"/>
        <w:rPr>
          <w:rFonts w:ascii="Arial" w:eastAsia="SimSun" w:hAnsi="Arial" w:cs="Arial"/>
          <w:color w:val="000000" w:themeColor="text1"/>
          <w:sz w:val="24"/>
          <w:szCs w:val="24"/>
          <w:lang w:val="ro-RO"/>
        </w:rPr>
      </w:pPr>
      <w:r w:rsidRPr="00830DBB">
        <w:rPr>
          <w:rFonts w:ascii="Arial" w:eastAsia="SimSun" w:hAnsi="Arial" w:cs="Arial"/>
          <w:color w:val="000000" w:themeColor="text1"/>
          <w:sz w:val="24"/>
          <w:szCs w:val="24"/>
          <w:lang w:val="en-GB"/>
        </w:rPr>
        <w:t>Tabelul III.</w:t>
      </w:r>
      <w:r w:rsidRPr="00830DBB">
        <w:rPr>
          <w:rFonts w:ascii="Arial" w:eastAsia="SimSun" w:hAnsi="Arial" w:cs="Arial"/>
          <w:color w:val="000000" w:themeColor="text1"/>
          <w:sz w:val="24"/>
          <w:szCs w:val="24"/>
          <w:lang w:val="ro-RO"/>
        </w:rPr>
        <w:t>5</w:t>
      </w:r>
      <w:r w:rsidRPr="00830DBB">
        <w:rPr>
          <w:rFonts w:ascii="Arial" w:eastAsia="SimSun" w:hAnsi="Arial" w:cs="Arial"/>
          <w:color w:val="000000" w:themeColor="text1"/>
          <w:sz w:val="24"/>
          <w:szCs w:val="24"/>
          <w:lang w:val="en-GB"/>
        </w:rPr>
        <w:t xml:space="preserve">. </w:t>
      </w:r>
      <w:r w:rsidRPr="00830DBB">
        <w:rPr>
          <w:rFonts w:ascii="Arial" w:eastAsia="SimSun" w:hAnsi="Arial" w:cs="Arial"/>
          <w:color w:val="000000" w:themeColor="text1"/>
          <w:sz w:val="24"/>
          <w:szCs w:val="24"/>
          <w:lang w:val="ro-RO"/>
        </w:rPr>
        <w:t>Zone critice privind deteriorarea solului în judeţul Vaslui</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1"/>
        <w:gridCol w:w="2835"/>
        <w:gridCol w:w="1276"/>
        <w:gridCol w:w="4536"/>
      </w:tblGrid>
      <w:tr w:rsidR="00830DBB" w:rsidRPr="00830DBB" w:rsidTr="00080B9C">
        <w:trPr>
          <w:trHeight w:val="462"/>
        </w:trPr>
        <w:tc>
          <w:tcPr>
            <w:tcW w:w="567" w:type="dxa"/>
            <w:vMerge w:val="restart"/>
            <w:tcBorders>
              <w:top w:val="single" w:sz="4" w:space="0" w:color="auto"/>
              <w:left w:val="single" w:sz="4" w:space="0" w:color="auto"/>
              <w:right w:val="single" w:sz="4" w:space="0" w:color="auto"/>
            </w:tcBorders>
            <w:textDirection w:val="btLr"/>
            <w:vAlign w:val="center"/>
          </w:tcPr>
          <w:p w:rsidR="00830DBB" w:rsidRPr="00830DBB" w:rsidRDefault="00830DBB" w:rsidP="00830DBB">
            <w:pPr>
              <w:spacing w:after="0" w:line="240" w:lineRule="auto"/>
              <w:ind w:right="113"/>
              <w:jc w:val="center"/>
              <w:rPr>
                <w:rFonts w:ascii="Arial" w:eastAsia="SimSun" w:hAnsi="Arial" w:cs="Times New Roman"/>
                <w:b/>
                <w:color w:val="000000" w:themeColor="text1"/>
                <w:sz w:val="20"/>
                <w:szCs w:val="20"/>
                <w:lang w:val="ro-RO"/>
              </w:rPr>
            </w:pPr>
            <w:r w:rsidRPr="00830DBB">
              <w:rPr>
                <w:rFonts w:ascii="Arial" w:eastAsia="SimSun" w:hAnsi="Arial" w:cs="Times New Roman"/>
                <w:b/>
                <w:color w:val="000000" w:themeColor="text1"/>
                <w:sz w:val="20"/>
                <w:szCs w:val="20"/>
                <w:lang w:val="ro-RO"/>
              </w:rPr>
              <w:t>Judeţ Vaslui</w:t>
            </w:r>
          </w:p>
        </w:tc>
        <w:tc>
          <w:tcPr>
            <w:tcW w:w="851"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Times New Roman"/>
                <w:b/>
                <w:color w:val="000000" w:themeColor="text1"/>
                <w:sz w:val="20"/>
                <w:szCs w:val="20"/>
                <w:lang w:val="ro-RO"/>
              </w:rPr>
            </w:pPr>
            <w:r w:rsidRPr="00830DBB">
              <w:rPr>
                <w:rFonts w:ascii="Arial" w:eastAsia="SimSun" w:hAnsi="Arial" w:cs="Times New Roman"/>
                <w:b/>
                <w:color w:val="000000" w:themeColor="text1"/>
                <w:sz w:val="20"/>
                <w:szCs w:val="20"/>
                <w:lang w:val="ro-RO"/>
              </w:rPr>
              <w:t>Anul</w:t>
            </w:r>
          </w:p>
        </w:tc>
        <w:tc>
          <w:tcPr>
            <w:tcW w:w="2835"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Times New Roman"/>
                <w:b/>
                <w:color w:val="000000" w:themeColor="text1"/>
                <w:sz w:val="20"/>
                <w:szCs w:val="20"/>
                <w:lang w:val="ro-RO"/>
              </w:rPr>
            </w:pPr>
            <w:r w:rsidRPr="00830DBB">
              <w:rPr>
                <w:rFonts w:ascii="Arial" w:eastAsia="SimSun" w:hAnsi="Arial" w:cs="Times New Roman"/>
                <w:b/>
                <w:color w:val="000000" w:themeColor="text1"/>
                <w:sz w:val="20"/>
                <w:szCs w:val="20"/>
                <w:lang w:val="ro-RO"/>
              </w:rPr>
              <w:t>Tipuri de alunecări</w:t>
            </w:r>
          </w:p>
        </w:tc>
        <w:tc>
          <w:tcPr>
            <w:tcW w:w="1276"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Times New Roman"/>
                <w:b/>
                <w:color w:val="000000" w:themeColor="text1"/>
                <w:sz w:val="20"/>
                <w:szCs w:val="20"/>
                <w:lang w:val="ro-RO"/>
              </w:rPr>
            </w:pPr>
            <w:r w:rsidRPr="00830DBB">
              <w:rPr>
                <w:rFonts w:ascii="Arial" w:eastAsia="SimSun" w:hAnsi="Arial" w:cs="Times New Roman"/>
                <w:b/>
                <w:color w:val="000000" w:themeColor="text1"/>
                <w:sz w:val="20"/>
                <w:szCs w:val="20"/>
                <w:lang w:val="ro-RO"/>
              </w:rPr>
              <w:t xml:space="preserve">Suprafaţa </w:t>
            </w:r>
            <w:r w:rsidRPr="00830DBB">
              <w:rPr>
                <w:rFonts w:ascii="Arial" w:eastAsia="SimSun" w:hAnsi="Arial" w:cs="Arial"/>
                <w:b/>
                <w:color w:val="000000" w:themeColor="text1"/>
                <w:sz w:val="20"/>
                <w:szCs w:val="20"/>
                <w:lang w:val="en-GB"/>
              </w:rPr>
              <w:t>(ha)</w:t>
            </w:r>
            <w:r w:rsidRPr="00830DBB">
              <w:rPr>
                <w:rFonts w:ascii="Arial" w:eastAsia="SimSun" w:hAnsi="Arial" w:cs="Times New Roman"/>
                <w:b/>
                <w:color w:val="000000" w:themeColor="text1"/>
                <w:sz w:val="20"/>
                <w:szCs w:val="20"/>
                <w:lang w:val="ro-RO"/>
              </w:rPr>
              <w:t xml:space="preserve">     </w:t>
            </w:r>
          </w:p>
        </w:tc>
        <w:tc>
          <w:tcPr>
            <w:tcW w:w="4536" w:type="dxa"/>
            <w:tcBorders>
              <w:top w:val="single" w:sz="4" w:space="0" w:color="auto"/>
              <w:left w:val="single" w:sz="4" w:space="0" w:color="auto"/>
              <w:bottom w:val="single" w:sz="4" w:space="0" w:color="auto"/>
              <w:right w:val="single" w:sz="4" w:space="0" w:color="auto"/>
            </w:tcBorders>
            <w:vAlign w:val="center"/>
          </w:tcPr>
          <w:p w:rsidR="00830DBB" w:rsidRPr="00830DBB" w:rsidRDefault="00830DBB" w:rsidP="00830DBB">
            <w:pPr>
              <w:spacing w:after="0" w:line="240" w:lineRule="auto"/>
              <w:jc w:val="center"/>
              <w:rPr>
                <w:rFonts w:ascii="Arial" w:eastAsia="SimSun" w:hAnsi="Arial" w:cs="Times New Roman"/>
                <w:b/>
                <w:color w:val="000000" w:themeColor="text1"/>
                <w:sz w:val="20"/>
                <w:szCs w:val="20"/>
                <w:lang w:val="ro-RO"/>
              </w:rPr>
            </w:pPr>
            <w:r w:rsidRPr="00830DBB">
              <w:rPr>
                <w:rFonts w:ascii="Arial" w:eastAsia="SimSun" w:hAnsi="Arial" w:cs="Times New Roman"/>
                <w:b/>
                <w:color w:val="000000" w:themeColor="text1"/>
                <w:sz w:val="20"/>
                <w:szCs w:val="20"/>
                <w:lang w:val="ro-RO"/>
              </w:rPr>
              <w:t>Măsuri de consolidare şi prevenire</w:t>
            </w:r>
          </w:p>
        </w:tc>
      </w:tr>
      <w:tr w:rsidR="00830DBB" w:rsidRPr="00830DBB" w:rsidTr="00080B9C">
        <w:trPr>
          <w:trHeight w:val="256"/>
        </w:trPr>
        <w:tc>
          <w:tcPr>
            <w:tcW w:w="567" w:type="dxa"/>
            <w:vMerge/>
            <w:tcBorders>
              <w:left w:val="single" w:sz="4" w:space="0" w:color="auto"/>
              <w:right w:val="single" w:sz="4" w:space="0" w:color="auto"/>
            </w:tcBorders>
            <w:vAlign w:val="center"/>
          </w:tcPr>
          <w:p w:rsidR="00830DBB" w:rsidRPr="00830DBB" w:rsidRDefault="00830DBB" w:rsidP="00830DBB">
            <w:pPr>
              <w:spacing w:after="0" w:line="240" w:lineRule="auto"/>
              <w:rPr>
                <w:rFonts w:ascii="Arial" w:eastAsia="SimSun" w:hAnsi="Arial" w:cs="Arial"/>
                <w:color w:val="000000" w:themeColor="text1"/>
                <w:sz w:val="24"/>
                <w:szCs w:val="24"/>
                <w:lang w:val="ro-RO"/>
              </w:rPr>
            </w:pPr>
          </w:p>
        </w:tc>
        <w:tc>
          <w:tcPr>
            <w:tcW w:w="851" w:type="dxa"/>
            <w:vMerge w:val="restart"/>
            <w:tcBorders>
              <w:top w:val="single" w:sz="4" w:space="0" w:color="auto"/>
              <w:left w:val="single" w:sz="4" w:space="0" w:color="auto"/>
              <w:right w:val="single" w:sz="4" w:space="0" w:color="auto"/>
            </w:tcBorders>
          </w:tcPr>
          <w:p w:rsidR="00830DBB" w:rsidRPr="00830DBB" w:rsidRDefault="00830DBB" w:rsidP="00830DBB">
            <w:pPr>
              <w:spacing w:after="0" w:line="240" w:lineRule="auto"/>
              <w:jc w:val="both"/>
              <w:rPr>
                <w:rFonts w:ascii="Arial" w:eastAsia="SimSun" w:hAnsi="Arial" w:cs="Arial"/>
                <w:color w:val="000000" w:themeColor="text1"/>
                <w:sz w:val="24"/>
                <w:szCs w:val="24"/>
                <w:lang w:val="ro-RO"/>
              </w:rPr>
            </w:pPr>
            <w:r w:rsidRPr="00830DBB">
              <w:rPr>
                <w:rFonts w:ascii="Arial" w:eastAsia="SimSun" w:hAnsi="Arial" w:cs="Arial"/>
                <w:color w:val="000000" w:themeColor="text1"/>
                <w:sz w:val="24"/>
                <w:szCs w:val="24"/>
                <w:lang w:val="ro-RO"/>
              </w:rPr>
              <w:t>2011</w:t>
            </w:r>
          </w:p>
        </w:tc>
        <w:tc>
          <w:tcPr>
            <w:tcW w:w="2835"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Alunecări active - Codăieşti</w:t>
            </w:r>
          </w:p>
        </w:tc>
        <w:tc>
          <w:tcPr>
            <w:tcW w:w="1276"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jc w:val="both"/>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12</w:t>
            </w:r>
          </w:p>
        </w:tc>
        <w:tc>
          <w:tcPr>
            <w:tcW w:w="4536"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 xml:space="preserve">Propunere lucrări pentru eliminarea excesului de umiditate prin lucrări de drenaj şi împădurire </w:t>
            </w:r>
          </w:p>
        </w:tc>
      </w:tr>
      <w:tr w:rsidR="00830DBB" w:rsidRPr="00830DBB" w:rsidTr="00080B9C">
        <w:trPr>
          <w:trHeight w:val="273"/>
        </w:trPr>
        <w:tc>
          <w:tcPr>
            <w:tcW w:w="567" w:type="dxa"/>
            <w:vMerge/>
            <w:tcBorders>
              <w:left w:val="single" w:sz="4" w:space="0" w:color="auto"/>
              <w:right w:val="single" w:sz="4" w:space="0" w:color="auto"/>
            </w:tcBorders>
            <w:vAlign w:val="center"/>
          </w:tcPr>
          <w:p w:rsidR="00830DBB" w:rsidRPr="00830DBB" w:rsidRDefault="00830DBB" w:rsidP="00830DBB">
            <w:pPr>
              <w:spacing w:after="0" w:line="240" w:lineRule="auto"/>
              <w:rPr>
                <w:rFonts w:ascii="Arial" w:eastAsia="SimSun" w:hAnsi="Arial" w:cs="Arial"/>
                <w:color w:val="000000" w:themeColor="text1"/>
                <w:sz w:val="24"/>
                <w:szCs w:val="24"/>
                <w:lang w:val="ro-RO"/>
              </w:rPr>
            </w:pPr>
          </w:p>
        </w:tc>
        <w:tc>
          <w:tcPr>
            <w:tcW w:w="851" w:type="dxa"/>
            <w:vMerge/>
            <w:tcBorders>
              <w:left w:val="single" w:sz="4" w:space="0" w:color="auto"/>
              <w:right w:val="single" w:sz="4" w:space="0" w:color="auto"/>
            </w:tcBorders>
          </w:tcPr>
          <w:p w:rsidR="00830DBB" w:rsidRPr="00830DBB" w:rsidRDefault="00830DBB" w:rsidP="00830DBB">
            <w:pPr>
              <w:spacing w:after="0" w:line="240" w:lineRule="auto"/>
              <w:jc w:val="both"/>
              <w:rPr>
                <w:rFonts w:ascii="Arial" w:eastAsia="SimSun" w:hAnsi="Arial" w:cs="Arial"/>
                <w:color w:val="000000" w:themeColor="text1"/>
                <w:sz w:val="24"/>
                <w:szCs w:val="24"/>
                <w:lang w:val="ro-RO"/>
              </w:rPr>
            </w:pPr>
          </w:p>
        </w:tc>
        <w:tc>
          <w:tcPr>
            <w:tcW w:w="2835"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Alunecări active – Fulgu, Lăleşti</w:t>
            </w:r>
          </w:p>
        </w:tc>
        <w:tc>
          <w:tcPr>
            <w:tcW w:w="1276"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32,6</w:t>
            </w:r>
          </w:p>
        </w:tc>
        <w:tc>
          <w:tcPr>
            <w:tcW w:w="4536"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Propunere lucrări de împădurire</w:t>
            </w:r>
          </w:p>
        </w:tc>
      </w:tr>
      <w:tr w:rsidR="00830DBB" w:rsidRPr="00830DBB" w:rsidTr="00080B9C">
        <w:trPr>
          <w:trHeight w:val="273"/>
        </w:trPr>
        <w:tc>
          <w:tcPr>
            <w:tcW w:w="567" w:type="dxa"/>
            <w:vMerge/>
            <w:tcBorders>
              <w:left w:val="single" w:sz="4" w:space="0" w:color="auto"/>
              <w:right w:val="single" w:sz="4" w:space="0" w:color="auto"/>
            </w:tcBorders>
            <w:vAlign w:val="center"/>
          </w:tcPr>
          <w:p w:rsidR="00830DBB" w:rsidRPr="00830DBB" w:rsidRDefault="00830DBB" w:rsidP="00830DBB">
            <w:pPr>
              <w:spacing w:after="0" w:line="240" w:lineRule="auto"/>
              <w:rPr>
                <w:rFonts w:ascii="Arial" w:eastAsia="SimSun" w:hAnsi="Arial" w:cs="Arial"/>
                <w:color w:val="000000" w:themeColor="text1"/>
                <w:sz w:val="24"/>
                <w:szCs w:val="24"/>
                <w:lang w:val="ro-RO"/>
              </w:rPr>
            </w:pPr>
          </w:p>
        </w:tc>
        <w:tc>
          <w:tcPr>
            <w:tcW w:w="851" w:type="dxa"/>
            <w:vMerge/>
            <w:tcBorders>
              <w:left w:val="single" w:sz="4" w:space="0" w:color="auto"/>
              <w:right w:val="single" w:sz="4" w:space="0" w:color="auto"/>
            </w:tcBorders>
          </w:tcPr>
          <w:p w:rsidR="00830DBB" w:rsidRPr="00830DBB" w:rsidRDefault="00830DBB" w:rsidP="00830DBB">
            <w:pPr>
              <w:spacing w:after="0" w:line="240" w:lineRule="auto"/>
              <w:jc w:val="both"/>
              <w:rPr>
                <w:rFonts w:ascii="Arial" w:eastAsia="SimSun" w:hAnsi="Arial" w:cs="Arial"/>
                <w:color w:val="000000" w:themeColor="text1"/>
                <w:sz w:val="24"/>
                <w:szCs w:val="24"/>
                <w:lang w:val="ro-RO"/>
              </w:rPr>
            </w:pPr>
          </w:p>
        </w:tc>
        <w:tc>
          <w:tcPr>
            <w:tcW w:w="2835"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 xml:space="preserve">Alunecări active  - Loturi Chipereni, Cociuba, </w:t>
            </w:r>
            <w:r w:rsidRPr="00830DBB">
              <w:rPr>
                <w:rFonts w:ascii="Arial" w:eastAsia="SimSun" w:hAnsi="Arial" w:cs="Arial"/>
                <w:color w:val="000000" w:themeColor="text1"/>
                <w:sz w:val="20"/>
                <w:szCs w:val="20"/>
                <w:lang w:val="ro-RO"/>
              </w:rPr>
              <w:lastRenderedPageBreak/>
              <w:t>Muncelul, Imaş Puieşti</w:t>
            </w:r>
          </w:p>
        </w:tc>
        <w:tc>
          <w:tcPr>
            <w:tcW w:w="1276"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lastRenderedPageBreak/>
              <w:t>73,3</w:t>
            </w:r>
          </w:p>
        </w:tc>
        <w:tc>
          <w:tcPr>
            <w:tcW w:w="4536"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Propunere lucrări de împădurire</w:t>
            </w:r>
          </w:p>
        </w:tc>
      </w:tr>
      <w:tr w:rsidR="00830DBB" w:rsidRPr="00830DBB" w:rsidTr="00080B9C">
        <w:trPr>
          <w:trHeight w:val="273"/>
        </w:trPr>
        <w:tc>
          <w:tcPr>
            <w:tcW w:w="567" w:type="dxa"/>
            <w:vMerge/>
            <w:tcBorders>
              <w:left w:val="single" w:sz="4" w:space="0" w:color="auto"/>
              <w:right w:val="single" w:sz="4" w:space="0" w:color="auto"/>
            </w:tcBorders>
            <w:vAlign w:val="center"/>
          </w:tcPr>
          <w:p w:rsidR="00830DBB" w:rsidRPr="00830DBB" w:rsidRDefault="00830DBB" w:rsidP="00830DBB">
            <w:pPr>
              <w:spacing w:after="0" w:line="240" w:lineRule="auto"/>
              <w:rPr>
                <w:rFonts w:ascii="Arial" w:eastAsia="SimSun" w:hAnsi="Arial" w:cs="Arial"/>
                <w:color w:val="000000" w:themeColor="text1"/>
                <w:sz w:val="24"/>
                <w:szCs w:val="24"/>
                <w:lang w:val="ro-RO"/>
              </w:rPr>
            </w:pPr>
          </w:p>
        </w:tc>
        <w:tc>
          <w:tcPr>
            <w:tcW w:w="851" w:type="dxa"/>
            <w:vMerge/>
            <w:tcBorders>
              <w:left w:val="single" w:sz="4" w:space="0" w:color="auto"/>
              <w:bottom w:val="single" w:sz="4" w:space="0" w:color="auto"/>
              <w:right w:val="single" w:sz="4" w:space="0" w:color="auto"/>
            </w:tcBorders>
          </w:tcPr>
          <w:p w:rsidR="00830DBB" w:rsidRPr="00830DBB" w:rsidRDefault="00830DBB" w:rsidP="00830DBB">
            <w:pPr>
              <w:spacing w:after="0" w:line="240" w:lineRule="auto"/>
              <w:jc w:val="both"/>
              <w:rPr>
                <w:rFonts w:ascii="Arial" w:eastAsia="SimSun" w:hAnsi="Arial" w:cs="Arial"/>
                <w:color w:val="000000" w:themeColor="text1"/>
                <w:sz w:val="24"/>
                <w:szCs w:val="24"/>
                <w:lang w:val="ro-RO"/>
              </w:rPr>
            </w:pPr>
          </w:p>
        </w:tc>
        <w:tc>
          <w:tcPr>
            <w:tcW w:w="2835"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Alunecări active – Munteni Râpă</w:t>
            </w:r>
          </w:p>
        </w:tc>
        <w:tc>
          <w:tcPr>
            <w:tcW w:w="1276"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8</w:t>
            </w:r>
          </w:p>
        </w:tc>
        <w:tc>
          <w:tcPr>
            <w:tcW w:w="4536"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Propunere lucrări  - reabilitare şi consolidarea lucrărilor de CES (baraje, podeţe, praguri şi canale)</w:t>
            </w:r>
          </w:p>
        </w:tc>
      </w:tr>
      <w:tr w:rsidR="00830DBB" w:rsidRPr="00830DBB" w:rsidTr="00080B9C">
        <w:trPr>
          <w:trHeight w:val="143"/>
        </w:trPr>
        <w:tc>
          <w:tcPr>
            <w:tcW w:w="567" w:type="dxa"/>
            <w:vMerge/>
            <w:tcBorders>
              <w:left w:val="single" w:sz="4" w:space="0" w:color="auto"/>
              <w:right w:val="single" w:sz="4" w:space="0" w:color="auto"/>
            </w:tcBorders>
            <w:vAlign w:val="center"/>
          </w:tcPr>
          <w:p w:rsidR="00830DBB" w:rsidRPr="00830DBB" w:rsidRDefault="00830DBB" w:rsidP="00830DBB">
            <w:pPr>
              <w:spacing w:after="0" w:line="240" w:lineRule="auto"/>
              <w:rPr>
                <w:rFonts w:ascii="Arial" w:eastAsia="SimSun" w:hAnsi="Arial" w:cs="Arial"/>
                <w:color w:val="000000" w:themeColor="text1"/>
                <w:sz w:val="24"/>
                <w:szCs w:val="24"/>
                <w:lang w:val="ro-RO"/>
              </w:rPr>
            </w:pPr>
          </w:p>
        </w:tc>
        <w:tc>
          <w:tcPr>
            <w:tcW w:w="851" w:type="dxa"/>
            <w:vMerge w:val="restart"/>
            <w:tcBorders>
              <w:top w:val="single" w:sz="4" w:space="0" w:color="auto"/>
              <w:left w:val="single" w:sz="4" w:space="0" w:color="auto"/>
              <w:right w:val="single" w:sz="4" w:space="0" w:color="auto"/>
            </w:tcBorders>
          </w:tcPr>
          <w:p w:rsidR="00830DBB" w:rsidRPr="00830DBB" w:rsidRDefault="00830DBB" w:rsidP="00830DBB">
            <w:pPr>
              <w:spacing w:after="0" w:line="240" w:lineRule="auto"/>
              <w:jc w:val="both"/>
              <w:rPr>
                <w:rFonts w:ascii="Arial" w:eastAsia="SimSun" w:hAnsi="Arial" w:cs="Arial"/>
                <w:color w:val="000000" w:themeColor="text1"/>
                <w:sz w:val="24"/>
                <w:szCs w:val="24"/>
                <w:lang w:val="ro-RO"/>
              </w:rPr>
            </w:pPr>
          </w:p>
          <w:p w:rsidR="00830DBB" w:rsidRPr="00830DBB" w:rsidRDefault="00830DBB" w:rsidP="00830DBB">
            <w:pPr>
              <w:spacing w:after="0" w:line="240" w:lineRule="auto"/>
              <w:jc w:val="both"/>
              <w:rPr>
                <w:rFonts w:ascii="Arial" w:eastAsia="SimSun" w:hAnsi="Arial" w:cs="Arial"/>
                <w:color w:val="000000" w:themeColor="text1"/>
                <w:sz w:val="24"/>
                <w:szCs w:val="24"/>
                <w:lang w:val="ro-RO"/>
              </w:rPr>
            </w:pPr>
          </w:p>
          <w:p w:rsidR="00830DBB" w:rsidRPr="00830DBB" w:rsidRDefault="00830DBB" w:rsidP="00830DBB">
            <w:pPr>
              <w:spacing w:after="0" w:line="240" w:lineRule="auto"/>
              <w:jc w:val="both"/>
              <w:rPr>
                <w:rFonts w:ascii="Arial" w:eastAsia="SimSun" w:hAnsi="Arial" w:cs="Arial"/>
                <w:color w:val="000000" w:themeColor="text1"/>
                <w:sz w:val="24"/>
                <w:szCs w:val="24"/>
                <w:lang w:val="ro-RO"/>
              </w:rPr>
            </w:pPr>
            <w:r w:rsidRPr="00830DBB">
              <w:rPr>
                <w:rFonts w:ascii="Arial" w:eastAsia="SimSun" w:hAnsi="Arial" w:cs="Arial"/>
                <w:color w:val="000000" w:themeColor="text1"/>
                <w:sz w:val="24"/>
                <w:szCs w:val="24"/>
                <w:lang w:val="ro-RO"/>
              </w:rPr>
              <w:t>2012</w:t>
            </w:r>
          </w:p>
        </w:tc>
        <w:tc>
          <w:tcPr>
            <w:tcW w:w="2835"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Alunecări active – Drâceni, sat Ghermanesti</w:t>
            </w:r>
          </w:p>
        </w:tc>
        <w:tc>
          <w:tcPr>
            <w:tcW w:w="1276"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jc w:val="both"/>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4</w:t>
            </w:r>
          </w:p>
        </w:tc>
        <w:tc>
          <w:tcPr>
            <w:tcW w:w="4536"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 xml:space="preserve">Propunere lucrări pentru eliminarea excesului de umiditate prin lucrări de drenaj şi împădurire </w:t>
            </w:r>
          </w:p>
        </w:tc>
      </w:tr>
      <w:tr w:rsidR="00830DBB" w:rsidRPr="00830DBB" w:rsidTr="00080B9C">
        <w:trPr>
          <w:trHeight w:val="480"/>
        </w:trPr>
        <w:tc>
          <w:tcPr>
            <w:tcW w:w="567" w:type="dxa"/>
            <w:vMerge/>
            <w:tcBorders>
              <w:left w:val="single" w:sz="4" w:space="0" w:color="auto"/>
              <w:right w:val="single" w:sz="4" w:space="0" w:color="auto"/>
            </w:tcBorders>
            <w:vAlign w:val="center"/>
          </w:tcPr>
          <w:p w:rsidR="00830DBB" w:rsidRPr="00830DBB" w:rsidRDefault="00830DBB" w:rsidP="00830DBB">
            <w:pPr>
              <w:spacing w:after="0" w:line="240" w:lineRule="auto"/>
              <w:rPr>
                <w:rFonts w:ascii="Arial" w:eastAsia="SimSun" w:hAnsi="Arial" w:cs="Arial"/>
                <w:color w:val="000000" w:themeColor="text1"/>
                <w:sz w:val="24"/>
                <w:szCs w:val="24"/>
                <w:lang w:val="ro-RO"/>
              </w:rPr>
            </w:pPr>
          </w:p>
        </w:tc>
        <w:tc>
          <w:tcPr>
            <w:tcW w:w="851" w:type="dxa"/>
            <w:vMerge/>
            <w:tcBorders>
              <w:left w:val="single" w:sz="4" w:space="0" w:color="auto"/>
              <w:right w:val="single" w:sz="4" w:space="0" w:color="auto"/>
            </w:tcBorders>
          </w:tcPr>
          <w:p w:rsidR="00830DBB" w:rsidRPr="00830DBB" w:rsidRDefault="00830DBB" w:rsidP="00830DBB">
            <w:pPr>
              <w:spacing w:after="0" w:line="240" w:lineRule="auto"/>
              <w:jc w:val="both"/>
              <w:rPr>
                <w:rFonts w:ascii="Arial" w:eastAsia="SimSun" w:hAnsi="Arial" w:cs="Arial"/>
                <w:color w:val="000000" w:themeColor="text1"/>
                <w:sz w:val="24"/>
                <w:szCs w:val="24"/>
                <w:lang w:val="ro-RO"/>
              </w:rPr>
            </w:pPr>
          </w:p>
        </w:tc>
        <w:tc>
          <w:tcPr>
            <w:tcW w:w="2835"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Alunecări active –Banca, sat Mitoc</w:t>
            </w:r>
          </w:p>
        </w:tc>
        <w:tc>
          <w:tcPr>
            <w:tcW w:w="1276"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jc w:val="both"/>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4,5</w:t>
            </w:r>
          </w:p>
        </w:tc>
        <w:tc>
          <w:tcPr>
            <w:tcW w:w="4536"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4"/>
                <w:szCs w:val="24"/>
                <w:lang w:val="en-GB"/>
              </w:rPr>
            </w:pPr>
            <w:r w:rsidRPr="00830DBB">
              <w:rPr>
                <w:rFonts w:ascii="Arial" w:eastAsia="SimSun" w:hAnsi="Arial" w:cs="Arial"/>
                <w:color w:val="000000" w:themeColor="text1"/>
                <w:sz w:val="20"/>
                <w:szCs w:val="20"/>
                <w:lang w:val="ro-RO"/>
              </w:rPr>
              <w:t>Propunere lucrări de împădurire</w:t>
            </w:r>
          </w:p>
        </w:tc>
      </w:tr>
      <w:tr w:rsidR="00830DBB" w:rsidRPr="00830DBB" w:rsidTr="00080B9C">
        <w:trPr>
          <w:trHeight w:val="512"/>
        </w:trPr>
        <w:tc>
          <w:tcPr>
            <w:tcW w:w="567" w:type="dxa"/>
            <w:vMerge/>
            <w:tcBorders>
              <w:left w:val="single" w:sz="4" w:space="0" w:color="auto"/>
              <w:right w:val="single" w:sz="4" w:space="0" w:color="auto"/>
            </w:tcBorders>
            <w:vAlign w:val="center"/>
          </w:tcPr>
          <w:p w:rsidR="00830DBB" w:rsidRPr="00830DBB" w:rsidRDefault="00830DBB" w:rsidP="00830DBB">
            <w:pPr>
              <w:spacing w:after="0" w:line="240" w:lineRule="auto"/>
              <w:rPr>
                <w:rFonts w:ascii="Arial" w:eastAsia="SimSun" w:hAnsi="Arial" w:cs="Arial"/>
                <w:color w:val="000000" w:themeColor="text1"/>
                <w:sz w:val="24"/>
                <w:szCs w:val="24"/>
                <w:lang w:val="ro-RO"/>
              </w:rPr>
            </w:pPr>
          </w:p>
        </w:tc>
        <w:tc>
          <w:tcPr>
            <w:tcW w:w="851" w:type="dxa"/>
            <w:vMerge/>
            <w:tcBorders>
              <w:left w:val="single" w:sz="4" w:space="0" w:color="auto"/>
              <w:right w:val="single" w:sz="4" w:space="0" w:color="auto"/>
            </w:tcBorders>
          </w:tcPr>
          <w:p w:rsidR="00830DBB" w:rsidRPr="00830DBB" w:rsidRDefault="00830DBB" w:rsidP="00830DBB">
            <w:pPr>
              <w:spacing w:after="0" w:line="240" w:lineRule="auto"/>
              <w:jc w:val="both"/>
              <w:rPr>
                <w:rFonts w:ascii="Arial" w:eastAsia="SimSun" w:hAnsi="Arial" w:cs="Arial"/>
                <w:color w:val="000000" w:themeColor="text1"/>
                <w:sz w:val="24"/>
                <w:szCs w:val="24"/>
                <w:lang w:val="ro-RO"/>
              </w:rPr>
            </w:pPr>
          </w:p>
        </w:tc>
        <w:tc>
          <w:tcPr>
            <w:tcW w:w="2835" w:type="dxa"/>
            <w:tcBorders>
              <w:top w:val="single" w:sz="4" w:space="0" w:color="auto"/>
              <w:left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Alunecări active  - Imaş Puieşti, Duda Epureni</w:t>
            </w:r>
          </w:p>
        </w:tc>
        <w:tc>
          <w:tcPr>
            <w:tcW w:w="1276" w:type="dxa"/>
            <w:tcBorders>
              <w:top w:val="single" w:sz="4" w:space="0" w:color="auto"/>
              <w:left w:val="single" w:sz="4" w:space="0" w:color="auto"/>
              <w:right w:val="single" w:sz="4" w:space="0" w:color="auto"/>
            </w:tcBorders>
          </w:tcPr>
          <w:p w:rsidR="00830DBB" w:rsidRPr="00830DBB" w:rsidRDefault="00830DBB" w:rsidP="00830DBB">
            <w:pPr>
              <w:spacing w:after="0" w:line="240" w:lineRule="auto"/>
              <w:jc w:val="both"/>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23,5</w:t>
            </w:r>
          </w:p>
        </w:tc>
        <w:tc>
          <w:tcPr>
            <w:tcW w:w="4536" w:type="dxa"/>
            <w:tcBorders>
              <w:top w:val="single" w:sz="4" w:space="0" w:color="auto"/>
              <w:left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4"/>
                <w:szCs w:val="24"/>
                <w:lang w:val="en-GB"/>
              </w:rPr>
            </w:pPr>
            <w:r w:rsidRPr="00830DBB">
              <w:rPr>
                <w:rFonts w:ascii="Arial" w:eastAsia="SimSun" w:hAnsi="Arial" w:cs="Arial"/>
                <w:color w:val="000000" w:themeColor="text1"/>
                <w:sz w:val="20"/>
                <w:szCs w:val="20"/>
                <w:lang w:val="ro-RO"/>
              </w:rPr>
              <w:t>Propunere lucrări de împădurire</w:t>
            </w:r>
          </w:p>
        </w:tc>
      </w:tr>
      <w:tr w:rsidR="00830DBB" w:rsidRPr="00830DBB" w:rsidTr="00080B9C">
        <w:trPr>
          <w:trHeight w:val="143"/>
        </w:trPr>
        <w:tc>
          <w:tcPr>
            <w:tcW w:w="567" w:type="dxa"/>
            <w:vMerge/>
            <w:tcBorders>
              <w:left w:val="single" w:sz="4" w:space="0" w:color="auto"/>
              <w:right w:val="single" w:sz="4" w:space="0" w:color="auto"/>
            </w:tcBorders>
            <w:vAlign w:val="center"/>
          </w:tcPr>
          <w:p w:rsidR="00830DBB" w:rsidRPr="00830DBB" w:rsidRDefault="00830DBB" w:rsidP="00830DBB">
            <w:pPr>
              <w:spacing w:after="0" w:line="240" w:lineRule="auto"/>
              <w:rPr>
                <w:rFonts w:ascii="Arial" w:eastAsia="SimSun" w:hAnsi="Arial" w:cs="Arial"/>
                <w:color w:val="000000" w:themeColor="text1"/>
                <w:sz w:val="24"/>
                <w:szCs w:val="24"/>
                <w:lang w:val="ro-RO"/>
              </w:rPr>
            </w:pPr>
          </w:p>
        </w:tc>
        <w:tc>
          <w:tcPr>
            <w:tcW w:w="851" w:type="dxa"/>
            <w:vMerge w:val="restart"/>
            <w:tcBorders>
              <w:top w:val="single" w:sz="4" w:space="0" w:color="auto"/>
              <w:left w:val="single" w:sz="4" w:space="0" w:color="auto"/>
              <w:right w:val="single" w:sz="4" w:space="0" w:color="auto"/>
            </w:tcBorders>
          </w:tcPr>
          <w:p w:rsidR="00830DBB" w:rsidRPr="00830DBB" w:rsidRDefault="00830DBB" w:rsidP="00830DBB">
            <w:pPr>
              <w:spacing w:after="0" w:line="240" w:lineRule="auto"/>
              <w:jc w:val="both"/>
              <w:rPr>
                <w:rFonts w:ascii="Arial" w:eastAsia="SimSun" w:hAnsi="Arial" w:cs="Arial"/>
                <w:color w:val="000000" w:themeColor="text1"/>
                <w:sz w:val="24"/>
                <w:szCs w:val="24"/>
                <w:lang w:val="ro-RO"/>
              </w:rPr>
            </w:pPr>
          </w:p>
          <w:p w:rsidR="00830DBB" w:rsidRPr="00830DBB" w:rsidRDefault="00830DBB" w:rsidP="00830DBB">
            <w:pPr>
              <w:spacing w:after="0" w:line="240" w:lineRule="auto"/>
              <w:jc w:val="both"/>
              <w:rPr>
                <w:rFonts w:ascii="Arial" w:eastAsia="SimSun" w:hAnsi="Arial" w:cs="Arial"/>
                <w:color w:val="000000" w:themeColor="text1"/>
                <w:sz w:val="24"/>
                <w:szCs w:val="24"/>
                <w:lang w:val="ro-RO"/>
              </w:rPr>
            </w:pPr>
          </w:p>
          <w:p w:rsidR="00830DBB" w:rsidRPr="00830DBB" w:rsidRDefault="00830DBB" w:rsidP="00830DBB">
            <w:pPr>
              <w:spacing w:after="0" w:line="240" w:lineRule="auto"/>
              <w:jc w:val="both"/>
              <w:rPr>
                <w:rFonts w:ascii="Arial" w:eastAsia="SimSun" w:hAnsi="Arial" w:cs="Arial"/>
                <w:color w:val="000000" w:themeColor="text1"/>
                <w:sz w:val="24"/>
                <w:szCs w:val="24"/>
                <w:lang w:val="ro-RO"/>
              </w:rPr>
            </w:pPr>
            <w:r w:rsidRPr="00830DBB">
              <w:rPr>
                <w:rFonts w:ascii="Arial" w:eastAsia="SimSun" w:hAnsi="Arial" w:cs="Arial"/>
                <w:color w:val="000000" w:themeColor="text1"/>
                <w:sz w:val="24"/>
                <w:szCs w:val="24"/>
                <w:lang w:val="ro-RO"/>
              </w:rPr>
              <w:t>2013</w:t>
            </w:r>
          </w:p>
        </w:tc>
        <w:tc>
          <w:tcPr>
            <w:tcW w:w="2835"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Alunecări active  - Loturi Chipereni, Cociuba, Muncelul, Imaş Puieşti</w:t>
            </w:r>
          </w:p>
        </w:tc>
        <w:tc>
          <w:tcPr>
            <w:tcW w:w="1276"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jc w:val="both"/>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73,3</w:t>
            </w:r>
          </w:p>
        </w:tc>
        <w:tc>
          <w:tcPr>
            <w:tcW w:w="4536"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 xml:space="preserve">Propunere lucrări de împădurire </w:t>
            </w:r>
          </w:p>
        </w:tc>
      </w:tr>
      <w:tr w:rsidR="00830DBB" w:rsidRPr="00830DBB" w:rsidTr="00080B9C">
        <w:trPr>
          <w:trHeight w:val="143"/>
        </w:trPr>
        <w:tc>
          <w:tcPr>
            <w:tcW w:w="567" w:type="dxa"/>
            <w:vMerge/>
            <w:tcBorders>
              <w:left w:val="single" w:sz="4" w:space="0" w:color="auto"/>
              <w:right w:val="single" w:sz="4" w:space="0" w:color="auto"/>
            </w:tcBorders>
            <w:vAlign w:val="center"/>
          </w:tcPr>
          <w:p w:rsidR="00830DBB" w:rsidRPr="00830DBB" w:rsidRDefault="00830DBB" w:rsidP="00830DBB">
            <w:pPr>
              <w:spacing w:after="0" w:line="240" w:lineRule="auto"/>
              <w:rPr>
                <w:rFonts w:ascii="Arial" w:eastAsia="SimSun" w:hAnsi="Arial" w:cs="Arial"/>
                <w:color w:val="000000" w:themeColor="text1"/>
                <w:sz w:val="24"/>
                <w:szCs w:val="24"/>
                <w:lang w:val="ro-RO"/>
              </w:rPr>
            </w:pPr>
          </w:p>
        </w:tc>
        <w:tc>
          <w:tcPr>
            <w:tcW w:w="851" w:type="dxa"/>
            <w:vMerge/>
            <w:tcBorders>
              <w:left w:val="single" w:sz="4" w:space="0" w:color="auto"/>
              <w:right w:val="single" w:sz="4" w:space="0" w:color="auto"/>
            </w:tcBorders>
          </w:tcPr>
          <w:p w:rsidR="00830DBB" w:rsidRPr="00830DBB" w:rsidRDefault="00830DBB" w:rsidP="00830DBB">
            <w:pPr>
              <w:spacing w:after="0" w:line="240" w:lineRule="auto"/>
              <w:jc w:val="both"/>
              <w:rPr>
                <w:rFonts w:ascii="Arial" w:eastAsia="SimSun" w:hAnsi="Arial" w:cs="Arial"/>
                <w:color w:val="000000" w:themeColor="text1"/>
                <w:sz w:val="24"/>
                <w:szCs w:val="24"/>
                <w:lang w:val="ro-RO"/>
              </w:rPr>
            </w:pPr>
          </w:p>
        </w:tc>
        <w:tc>
          <w:tcPr>
            <w:tcW w:w="2835"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Alunecări active – Fulgu, Lăleşti</w:t>
            </w:r>
          </w:p>
        </w:tc>
        <w:tc>
          <w:tcPr>
            <w:tcW w:w="1276"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jc w:val="both"/>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32,6</w:t>
            </w:r>
          </w:p>
        </w:tc>
        <w:tc>
          <w:tcPr>
            <w:tcW w:w="4536"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4"/>
                <w:szCs w:val="24"/>
                <w:lang w:val="en-GB"/>
              </w:rPr>
            </w:pPr>
            <w:r w:rsidRPr="00830DBB">
              <w:rPr>
                <w:rFonts w:ascii="Arial" w:eastAsia="SimSun" w:hAnsi="Arial" w:cs="Arial"/>
                <w:color w:val="000000" w:themeColor="text1"/>
                <w:sz w:val="20"/>
                <w:szCs w:val="20"/>
                <w:lang w:val="ro-RO"/>
              </w:rPr>
              <w:t>Propunere lucrări de împădurire</w:t>
            </w:r>
          </w:p>
        </w:tc>
      </w:tr>
      <w:tr w:rsidR="00830DBB" w:rsidRPr="00830DBB" w:rsidTr="00080B9C">
        <w:trPr>
          <w:trHeight w:val="143"/>
        </w:trPr>
        <w:tc>
          <w:tcPr>
            <w:tcW w:w="567" w:type="dxa"/>
            <w:vMerge/>
            <w:tcBorders>
              <w:left w:val="single" w:sz="4" w:space="0" w:color="auto"/>
              <w:right w:val="single" w:sz="4" w:space="0" w:color="auto"/>
            </w:tcBorders>
            <w:vAlign w:val="center"/>
          </w:tcPr>
          <w:p w:rsidR="00830DBB" w:rsidRPr="00830DBB" w:rsidRDefault="00830DBB" w:rsidP="00830DBB">
            <w:pPr>
              <w:spacing w:after="0" w:line="240" w:lineRule="auto"/>
              <w:rPr>
                <w:rFonts w:ascii="Arial" w:eastAsia="SimSun" w:hAnsi="Arial" w:cs="Arial"/>
                <w:color w:val="000000" w:themeColor="text1"/>
                <w:sz w:val="24"/>
                <w:szCs w:val="24"/>
                <w:lang w:val="ro-RO"/>
              </w:rPr>
            </w:pPr>
          </w:p>
        </w:tc>
        <w:tc>
          <w:tcPr>
            <w:tcW w:w="851" w:type="dxa"/>
            <w:vMerge/>
            <w:tcBorders>
              <w:left w:val="single" w:sz="4" w:space="0" w:color="auto"/>
              <w:right w:val="single" w:sz="4" w:space="0" w:color="auto"/>
            </w:tcBorders>
          </w:tcPr>
          <w:p w:rsidR="00830DBB" w:rsidRPr="00830DBB" w:rsidRDefault="00830DBB" w:rsidP="00830DBB">
            <w:pPr>
              <w:spacing w:after="0" w:line="240" w:lineRule="auto"/>
              <w:jc w:val="both"/>
              <w:rPr>
                <w:rFonts w:ascii="Arial" w:eastAsia="SimSun" w:hAnsi="Arial" w:cs="Arial"/>
                <w:color w:val="000000" w:themeColor="text1"/>
                <w:sz w:val="24"/>
                <w:szCs w:val="24"/>
                <w:lang w:val="ro-RO"/>
              </w:rPr>
            </w:pPr>
          </w:p>
        </w:tc>
        <w:tc>
          <w:tcPr>
            <w:tcW w:w="2835"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Alunecări active - Codăieşti</w:t>
            </w:r>
          </w:p>
        </w:tc>
        <w:tc>
          <w:tcPr>
            <w:tcW w:w="1276"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jc w:val="both"/>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12,0</w:t>
            </w:r>
          </w:p>
        </w:tc>
        <w:tc>
          <w:tcPr>
            <w:tcW w:w="4536"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4"/>
                <w:szCs w:val="24"/>
                <w:lang w:val="en-GB"/>
              </w:rPr>
            </w:pPr>
            <w:r w:rsidRPr="00830DBB">
              <w:rPr>
                <w:rFonts w:ascii="Arial" w:eastAsia="SimSun" w:hAnsi="Arial" w:cs="Arial"/>
                <w:color w:val="000000" w:themeColor="text1"/>
                <w:sz w:val="20"/>
                <w:szCs w:val="20"/>
                <w:lang w:val="ro-RO"/>
              </w:rPr>
              <w:t xml:space="preserve">Propunere lucrări pentru eliminarea excesului de umiditate prin lucrări de drenaj şi împădurire </w:t>
            </w:r>
          </w:p>
        </w:tc>
      </w:tr>
      <w:tr w:rsidR="00830DBB" w:rsidRPr="00830DBB" w:rsidTr="00080B9C">
        <w:trPr>
          <w:trHeight w:val="143"/>
        </w:trPr>
        <w:tc>
          <w:tcPr>
            <w:tcW w:w="567" w:type="dxa"/>
            <w:vMerge/>
            <w:tcBorders>
              <w:left w:val="single" w:sz="4" w:space="0" w:color="auto"/>
              <w:right w:val="single" w:sz="4" w:space="0" w:color="auto"/>
            </w:tcBorders>
            <w:vAlign w:val="center"/>
          </w:tcPr>
          <w:p w:rsidR="00830DBB" w:rsidRPr="00830DBB" w:rsidRDefault="00830DBB" w:rsidP="00830DBB">
            <w:pPr>
              <w:spacing w:after="0" w:line="240" w:lineRule="auto"/>
              <w:rPr>
                <w:rFonts w:ascii="Arial" w:eastAsia="SimSun" w:hAnsi="Arial" w:cs="Arial"/>
                <w:color w:val="000000" w:themeColor="text1"/>
                <w:sz w:val="24"/>
                <w:szCs w:val="24"/>
                <w:lang w:val="en-GB"/>
              </w:rPr>
            </w:pPr>
          </w:p>
        </w:tc>
        <w:tc>
          <w:tcPr>
            <w:tcW w:w="851" w:type="dxa"/>
            <w:vMerge w:val="restart"/>
            <w:tcBorders>
              <w:left w:val="single" w:sz="4" w:space="0" w:color="auto"/>
              <w:right w:val="single" w:sz="4" w:space="0" w:color="auto"/>
            </w:tcBorders>
          </w:tcPr>
          <w:p w:rsidR="00830DBB" w:rsidRPr="00830DBB" w:rsidRDefault="00830DBB" w:rsidP="00830DBB">
            <w:pPr>
              <w:spacing w:after="0" w:line="240" w:lineRule="auto"/>
              <w:jc w:val="both"/>
              <w:rPr>
                <w:rFonts w:ascii="Arial" w:eastAsia="SimSun" w:hAnsi="Arial" w:cs="Arial"/>
                <w:color w:val="000000" w:themeColor="text1"/>
                <w:sz w:val="24"/>
                <w:szCs w:val="24"/>
                <w:lang w:val="ro-RO"/>
              </w:rPr>
            </w:pPr>
          </w:p>
          <w:p w:rsidR="00830DBB" w:rsidRPr="00830DBB" w:rsidRDefault="00830DBB" w:rsidP="00830DBB">
            <w:pPr>
              <w:spacing w:after="0" w:line="240" w:lineRule="auto"/>
              <w:jc w:val="both"/>
              <w:rPr>
                <w:rFonts w:ascii="Arial" w:eastAsia="SimSun" w:hAnsi="Arial" w:cs="Arial"/>
                <w:color w:val="000000" w:themeColor="text1"/>
                <w:sz w:val="24"/>
                <w:szCs w:val="24"/>
                <w:lang w:val="ro-RO"/>
              </w:rPr>
            </w:pPr>
          </w:p>
          <w:p w:rsidR="00830DBB" w:rsidRPr="00830DBB" w:rsidRDefault="00830DBB" w:rsidP="00830DBB">
            <w:pPr>
              <w:spacing w:after="0" w:line="240" w:lineRule="auto"/>
              <w:jc w:val="both"/>
              <w:rPr>
                <w:rFonts w:ascii="Arial" w:eastAsia="SimSun" w:hAnsi="Arial" w:cs="Arial"/>
                <w:color w:val="000000" w:themeColor="text1"/>
                <w:sz w:val="24"/>
                <w:szCs w:val="24"/>
                <w:lang w:val="ro-RO"/>
              </w:rPr>
            </w:pPr>
            <w:r w:rsidRPr="00830DBB">
              <w:rPr>
                <w:rFonts w:ascii="Arial" w:eastAsia="SimSun" w:hAnsi="Arial" w:cs="Arial"/>
                <w:color w:val="000000" w:themeColor="text1"/>
                <w:sz w:val="24"/>
                <w:szCs w:val="24"/>
                <w:lang w:val="ro-RO"/>
              </w:rPr>
              <w:t>2014</w:t>
            </w:r>
          </w:p>
        </w:tc>
        <w:tc>
          <w:tcPr>
            <w:tcW w:w="2835"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Alunecări active  - com. Tătărăni, com. Dodeşti</w:t>
            </w:r>
          </w:p>
        </w:tc>
        <w:tc>
          <w:tcPr>
            <w:tcW w:w="1276"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jc w:val="both"/>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4,0</w:t>
            </w:r>
          </w:p>
          <w:p w:rsidR="00830DBB" w:rsidRPr="00830DBB" w:rsidRDefault="00830DBB" w:rsidP="00830DBB">
            <w:pPr>
              <w:spacing w:after="0" w:line="240" w:lineRule="auto"/>
              <w:jc w:val="both"/>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1,0</w:t>
            </w:r>
          </w:p>
        </w:tc>
        <w:tc>
          <w:tcPr>
            <w:tcW w:w="4536"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Propunere lucrări de nivelări, modelări şi lucrări pentru eliminarea excesului de umiditate prin lucrări de drenaj şi împăduriri</w:t>
            </w:r>
          </w:p>
        </w:tc>
      </w:tr>
      <w:tr w:rsidR="00830DBB" w:rsidRPr="00830DBB" w:rsidTr="00080B9C">
        <w:trPr>
          <w:trHeight w:val="143"/>
        </w:trPr>
        <w:tc>
          <w:tcPr>
            <w:tcW w:w="567" w:type="dxa"/>
            <w:vMerge/>
            <w:tcBorders>
              <w:left w:val="single" w:sz="4" w:space="0" w:color="auto"/>
              <w:right w:val="single" w:sz="4" w:space="0" w:color="auto"/>
            </w:tcBorders>
            <w:vAlign w:val="center"/>
          </w:tcPr>
          <w:p w:rsidR="00830DBB" w:rsidRPr="00830DBB" w:rsidRDefault="00830DBB" w:rsidP="00830DBB">
            <w:pPr>
              <w:spacing w:after="0" w:line="240" w:lineRule="auto"/>
              <w:rPr>
                <w:rFonts w:ascii="Arial" w:eastAsia="SimSun" w:hAnsi="Arial" w:cs="Arial"/>
                <w:color w:val="000000" w:themeColor="text1"/>
                <w:sz w:val="24"/>
                <w:szCs w:val="24"/>
                <w:lang w:val="en-GB"/>
              </w:rPr>
            </w:pPr>
          </w:p>
        </w:tc>
        <w:tc>
          <w:tcPr>
            <w:tcW w:w="851" w:type="dxa"/>
            <w:vMerge/>
            <w:tcBorders>
              <w:left w:val="single" w:sz="4" w:space="0" w:color="auto"/>
              <w:right w:val="single" w:sz="4" w:space="0" w:color="auto"/>
            </w:tcBorders>
          </w:tcPr>
          <w:p w:rsidR="00830DBB" w:rsidRPr="00830DBB" w:rsidRDefault="00830DBB" w:rsidP="00830DBB">
            <w:pPr>
              <w:spacing w:after="0" w:line="240" w:lineRule="auto"/>
              <w:jc w:val="both"/>
              <w:rPr>
                <w:rFonts w:ascii="Arial" w:eastAsia="SimSun" w:hAnsi="Arial" w:cs="Arial"/>
                <w:color w:val="000000" w:themeColor="text1"/>
                <w:sz w:val="24"/>
                <w:szCs w:val="24"/>
                <w:lang w:val="ro-RO"/>
              </w:rPr>
            </w:pPr>
          </w:p>
        </w:tc>
        <w:tc>
          <w:tcPr>
            <w:tcW w:w="2835"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 xml:space="preserve">Alunecări stabilizate –  com. Iana, Băcani, Soleşti, Codăeşti, Dăneşti, Dragomireşti </w:t>
            </w:r>
          </w:p>
        </w:tc>
        <w:tc>
          <w:tcPr>
            <w:tcW w:w="1276"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jc w:val="both"/>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6,0</w:t>
            </w:r>
          </w:p>
          <w:p w:rsidR="00830DBB" w:rsidRPr="00830DBB" w:rsidRDefault="00830DBB" w:rsidP="00830DBB">
            <w:pPr>
              <w:spacing w:after="0" w:line="240" w:lineRule="auto"/>
              <w:jc w:val="both"/>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12,0</w:t>
            </w:r>
          </w:p>
          <w:p w:rsidR="00830DBB" w:rsidRPr="00830DBB" w:rsidRDefault="00830DBB" w:rsidP="00830DBB">
            <w:pPr>
              <w:spacing w:after="0" w:line="240" w:lineRule="auto"/>
              <w:jc w:val="both"/>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8,0</w:t>
            </w:r>
          </w:p>
          <w:p w:rsidR="00830DBB" w:rsidRPr="00830DBB" w:rsidRDefault="00830DBB" w:rsidP="00830DBB">
            <w:pPr>
              <w:spacing w:after="0" w:line="240" w:lineRule="auto"/>
              <w:jc w:val="both"/>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10,0</w:t>
            </w:r>
          </w:p>
          <w:p w:rsidR="00830DBB" w:rsidRPr="00830DBB" w:rsidRDefault="00830DBB" w:rsidP="00830DBB">
            <w:pPr>
              <w:spacing w:after="0" w:line="240" w:lineRule="auto"/>
              <w:jc w:val="both"/>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2,0</w:t>
            </w:r>
          </w:p>
          <w:p w:rsidR="00830DBB" w:rsidRPr="00830DBB" w:rsidRDefault="00830DBB" w:rsidP="00830DBB">
            <w:pPr>
              <w:spacing w:after="0" w:line="240" w:lineRule="auto"/>
              <w:jc w:val="both"/>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3,0</w:t>
            </w:r>
          </w:p>
        </w:tc>
        <w:tc>
          <w:tcPr>
            <w:tcW w:w="4536"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4"/>
                <w:szCs w:val="24"/>
                <w:lang w:val="en-GB"/>
              </w:rPr>
            </w:pPr>
            <w:r w:rsidRPr="00830DBB">
              <w:rPr>
                <w:rFonts w:ascii="Arial" w:eastAsia="SimSun" w:hAnsi="Arial" w:cs="Arial"/>
                <w:color w:val="000000" w:themeColor="text1"/>
                <w:sz w:val="20"/>
                <w:szCs w:val="20"/>
                <w:lang w:val="ro-RO"/>
              </w:rPr>
              <w:t>Propunere lucrări pentru eliminarea excesului de umiditate prin lucrări de drenaj şi împăduriri</w:t>
            </w:r>
          </w:p>
        </w:tc>
      </w:tr>
      <w:tr w:rsidR="00830DBB" w:rsidRPr="00830DBB" w:rsidTr="00080B9C">
        <w:trPr>
          <w:trHeight w:val="143"/>
        </w:trPr>
        <w:tc>
          <w:tcPr>
            <w:tcW w:w="567" w:type="dxa"/>
            <w:vMerge/>
            <w:tcBorders>
              <w:left w:val="single" w:sz="4" w:space="0" w:color="auto"/>
              <w:right w:val="single" w:sz="4" w:space="0" w:color="auto"/>
            </w:tcBorders>
            <w:vAlign w:val="center"/>
          </w:tcPr>
          <w:p w:rsidR="00830DBB" w:rsidRPr="00830DBB" w:rsidRDefault="00830DBB" w:rsidP="00830DBB">
            <w:pPr>
              <w:spacing w:after="0" w:line="240" w:lineRule="auto"/>
              <w:rPr>
                <w:rFonts w:ascii="Arial" w:eastAsia="SimSun" w:hAnsi="Arial" w:cs="Arial"/>
                <w:color w:val="000000" w:themeColor="text1"/>
                <w:sz w:val="24"/>
                <w:szCs w:val="24"/>
                <w:lang w:val="en-GB"/>
              </w:rPr>
            </w:pPr>
          </w:p>
        </w:tc>
        <w:tc>
          <w:tcPr>
            <w:tcW w:w="851" w:type="dxa"/>
            <w:vMerge/>
            <w:tcBorders>
              <w:left w:val="single" w:sz="4" w:space="0" w:color="auto"/>
              <w:right w:val="single" w:sz="4" w:space="0" w:color="auto"/>
            </w:tcBorders>
          </w:tcPr>
          <w:p w:rsidR="00830DBB" w:rsidRPr="00830DBB" w:rsidRDefault="00830DBB" w:rsidP="00830DBB">
            <w:pPr>
              <w:spacing w:after="0" w:line="240" w:lineRule="auto"/>
              <w:jc w:val="both"/>
              <w:rPr>
                <w:rFonts w:ascii="Arial" w:eastAsia="SimSun" w:hAnsi="Arial" w:cs="Arial"/>
                <w:color w:val="000000" w:themeColor="text1"/>
                <w:sz w:val="24"/>
                <w:szCs w:val="24"/>
                <w:lang w:val="ro-RO"/>
              </w:rPr>
            </w:pPr>
          </w:p>
        </w:tc>
        <w:tc>
          <w:tcPr>
            <w:tcW w:w="2835"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Potenţial de alunecare – com. Puieşti, Codăeşti, mun. Vaslui</w:t>
            </w:r>
          </w:p>
        </w:tc>
        <w:tc>
          <w:tcPr>
            <w:tcW w:w="1276"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6,0</w:t>
            </w:r>
          </w:p>
          <w:p w:rsidR="00830DBB" w:rsidRPr="00830DBB" w:rsidRDefault="00830DBB" w:rsidP="00830DBB">
            <w:pPr>
              <w:spacing w:after="0" w:line="240" w:lineRule="auto"/>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2,0</w:t>
            </w:r>
          </w:p>
          <w:p w:rsidR="00830DBB" w:rsidRPr="00830DBB" w:rsidRDefault="00830DBB" w:rsidP="00830DBB">
            <w:pPr>
              <w:spacing w:after="0" w:line="240" w:lineRule="auto"/>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3,0</w:t>
            </w:r>
          </w:p>
        </w:tc>
        <w:tc>
          <w:tcPr>
            <w:tcW w:w="4536"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 xml:space="preserve">Propunere lucrări pentru eliminarea excesului de umiditate prin lucrări de drenaj şi împăduriri </w:t>
            </w:r>
          </w:p>
        </w:tc>
      </w:tr>
      <w:tr w:rsidR="00830DBB" w:rsidRPr="00830DBB" w:rsidTr="00080B9C">
        <w:trPr>
          <w:trHeight w:val="143"/>
        </w:trPr>
        <w:tc>
          <w:tcPr>
            <w:tcW w:w="567" w:type="dxa"/>
            <w:vMerge/>
            <w:tcBorders>
              <w:left w:val="single" w:sz="4" w:space="0" w:color="auto"/>
              <w:right w:val="single" w:sz="4" w:space="0" w:color="auto"/>
            </w:tcBorders>
            <w:vAlign w:val="center"/>
          </w:tcPr>
          <w:p w:rsidR="00830DBB" w:rsidRPr="00830DBB" w:rsidRDefault="00830DBB" w:rsidP="00830DBB">
            <w:pPr>
              <w:spacing w:after="0" w:line="240" w:lineRule="auto"/>
              <w:rPr>
                <w:rFonts w:ascii="Arial" w:eastAsia="SimSun" w:hAnsi="Arial" w:cs="Arial"/>
                <w:color w:val="000000" w:themeColor="text1"/>
                <w:sz w:val="24"/>
                <w:szCs w:val="24"/>
                <w:lang w:val="en-GB"/>
              </w:rPr>
            </w:pPr>
          </w:p>
        </w:tc>
        <w:tc>
          <w:tcPr>
            <w:tcW w:w="851" w:type="dxa"/>
            <w:vMerge w:val="restart"/>
            <w:tcBorders>
              <w:left w:val="single" w:sz="4" w:space="0" w:color="auto"/>
              <w:right w:val="single" w:sz="4" w:space="0" w:color="auto"/>
            </w:tcBorders>
          </w:tcPr>
          <w:p w:rsidR="00830DBB" w:rsidRPr="00830DBB" w:rsidRDefault="00830DBB" w:rsidP="00830DBB">
            <w:pPr>
              <w:spacing w:after="0" w:line="240" w:lineRule="auto"/>
              <w:jc w:val="both"/>
              <w:rPr>
                <w:rFonts w:ascii="Arial" w:eastAsia="SimSun" w:hAnsi="Arial" w:cs="Arial"/>
                <w:color w:val="000000" w:themeColor="text1"/>
                <w:sz w:val="24"/>
                <w:szCs w:val="24"/>
                <w:lang w:val="ro-RO"/>
              </w:rPr>
            </w:pPr>
          </w:p>
          <w:p w:rsidR="00830DBB" w:rsidRPr="00830DBB" w:rsidRDefault="00830DBB" w:rsidP="00830DBB">
            <w:pPr>
              <w:spacing w:after="0" w:line="240" w:lineRule="auto"/>
              <w:jc w:val="both"/>
              <w:rPr>
                <w:rFonts w:ascii="Arial" w:eastAsia="SimSun" w:hAnsi="Arial" w:cs="Arial"/>
                <w:color w:val="000000" w:themeColor="text1"/>
                <w:sz w:val="24"/>
                <w:szCs w:val="24"/>
                <w:lang w:val="ro-RO"/>
              </w:rPr>
            </w:pPr>
          </w:p>
          <w:p w:rsidR="00830DBB" w:rsidRPr="00830DBB" w:rsidRDefault="00830DBB" w:rsidP="00830DBB">
            <w:pPr>
              <w:spacing w:after="0" w:line="240" w:lineRule="auto"/>
              <w:jc w:val="both"/>
              <w:rPr>
                <w:rFonts w:ascii="Arial" w:eastAsia="SimSun" w:hAnsi="Arial" w:cs="Arial"/>
                <w:color w:val="000000" w:themeColor="text1"/>
                <w:sz w:val="24"/>
                <w:szCs w:val="24"/>
                <w:lang w:val="ro-RO"/>
              </w:rPr>
            </w:pPr>
            <w:r w:rsidRPr="00830DBB">
              <w:rPr>
                <w:rFonts w:ascii="Arial" w:eastAsia="SimSun" w:hAnsi="Arial" w:cs="Arial"/>
                <w:color w:val="000000" w:themeColor="text1"/>
                <w:sz w:val="24"/>
                <w:szCs w:val="24"/>
                <w:lang w:val="ro-RO"/>
              </w:rPr>
              <w:t>2015</w:t>
            </w:r>
          </w:p>
        </w:tc>
        <w:tc>
          <w:tcPr>
            <w:tcW w:w="2835"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Alunecări active – com. Tătărăni, com. Dodeşti</w:t>
            </w:r>
          </w:p>
        </w:tc>
        <w:tc>
          <w:tcPr>
            <w:tcW w:w="1276"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jc w:val="both"/>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4,0</w:t>
            </w:r>
          </w:p>
          <w:p w:rsidR="00830DBB" w:rsidRPr="00830DBB" w:rsidRDefault="00830DBB" w:rsidP="00830DBB">
            <w:pPr>
              <w:spacing w:after="0" w:line="240" w:lineRule="auto"/>
              <w:jc w:val="both"/>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1,0</w:t>
            </w:r>
          </w:p>
        </w:tc>
        <w:tc>
          <w:tcPr>
            <w:tcW w:w="4536"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Propunere lucrări de nivelări, modelări şi lucrări pentru eliminarea excesului de umiditate prin lucrări de drenaj şi împăduriri</w:t>
            </w:r>
          </w:p>
        </w:tc>
      </w:tr>
      <w:tr w:rsidR="00830DBB" w:rsidRPr="00830DBB" w:rsidTr="00080B9C">
        <w:trPr>
          <w:trHeight w:val="699"/>
        </w:trPr>
        <w:tc>
          <w:tcPr>
            <w:tcW w:w="567" w:type="dxa"/>
            <w:vMerge/>
            <w:tcBorders>
              <w:left w:val="single" w:sz="4" w:space="0" w:color="auto"/>
              <w:right w:val="single" w:sz="4" w:space="0" w:color="auto"/>
            </w:tcBorders>
            <w:vAlign w:val="center"/>
          </w:tcPr>
          <w:p w:rsidR="00830DBB" w:rsidRPr="00830DBB" w:rsidRDefault="00830DBB" w:rsidP="00830DBB">
            <w:pPr>
              <w:spacing w:after="0" w:line="240" w:lineRule="auto"/>
              <w:rPr>
                <w:rFonts w:ascii="Arial" w:eastAsia="SimSun" w:hAnsi="Arial" w:cs="Arial"/>
                <w:color w:val="000000" w:themeColor="text1"/>
                <w:sz w:val="24"/>
                <w:szCs w:val="24"/>
                <w:lang w:val="ro-RO"/>
              </w:rPr>
            </w:pPr>
          </w:p>
        </w:tc>
        <w:tc>
          <w:tcPr>
            <w:tcW w:w="851" w:type="dxa"/>
            <w:vMerge/>
            <w:tcBorders>
              <w:left w:val="single" w:sz="4" w:space="0" w:color="auto"/>
              <w:right w:val="single" w:sz="4" w:space="0" w:color="auto"/>
            </w:tcBorders>
          </w:tcPr>
          <w:p w:rsidR="00830DBB" w:rsidRPr="00830DBB" w:rsidRDefault="00830DBB" w:rsidP="00830DBB">
            <w:pPr>
              <w:spacing w:after="0" w:line="240" w:lineRule="auto"/>
              <w:jc w:val="both"/>
              <w:rPr>
                <w:rFonts w:ascii="Arial" w:eastAsia="SimSun" w:hAnsi="Arial" w:cs="Arial"/>
                <w:color w:val="000000" w:themeColor="text1"/>
                <w:sz w:val="24"/>
                <w:szCs w:val="24"/>
                <w:lang w:val="ro-RO"/>
              </w:rPr>
            </w:pPr>
          </w:p>
        </w:tc>
        <w:tc>
          <w:tcPr>
            <w:tcW w:w="2835"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Alunecări stabilizate –  com. Iana, Băcani, Soleşti, Dăneşti, Dragomireşti</w:t>
            </w:r>
          </w:p>
        </w:tc>
        <w:tc>
          <w:tcPr>
            <w:tcW w:w="1276"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jc w:val="both"/>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6,0</w:t>
            </w:r>
          </w:p>
          <w:p w:rsidR="00830DBB" w:rsidRPr="00830DBB" w:rsidRDefault="00830DBB" w:rsidP="00830DBB">
            <w:pPr>
              <w:spacing w:after="0" w:line="240" w:lineRule="auto"/>
              <w:jc w:val="both"/>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12,0</w:t>
            </w:r>
          </w:p>
          <w:p w:rsidR="00830DBB" w:rsidRPr="00830DBB" w:rsidRDefault="00830DBB" w:rsidP="00830DBB">
            <w:pPr>
              <w:spacing w:after="0" w:line="240" w:lineRule="auto"/>
              <w:jc w:val="both"/>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8,0</w:t>
            </w:r>
          </w:p>
          <w:p w:rsidR="00830DBB" w:rsidRPr="00830DBB" w:rsidRDefault="00830DBB" w:rsidP="00830DBB">
            <w:pPr>
              <w:spacing w:after="0" w:line="240" w:lineRule="auto"/>
              <w:jc w:val="both"/>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2,0</w:t>
            </w:r>
          </w:p>
          <w:p w:rsidR="00830DBB" w:rsidRPr="00830DBB" w:rsidRDefault="00830DBB" w:rsidP="00830DBB">
            <w:pPr>
              <w:spacing w:after="0" w:line="240" w:lineRule="auto"/>
              <w:jc w:val="both"/>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3,0</w:t>
            </w:r>
          </w:p>
        </w:tc>
        <w:tc>
          <w:tcPr>
            <w:tcW w:w="4536"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4"/>
                <w:szCs w:val="24"/>
                <w:lang w:val="en-GB"/>
              </w:rPr>
            </w:pPr>
            <w:r w:rsidRPr="00830DBB">
              <w:rPr>
                <w:rFonts w:ascii="Arial" w:eastAsia="SimSun" w:hAnsi="Arial" w:cs="Arial"/>
                <w:color w:val="000000" w:themeColor="text1"/>
                <w:sz w:val="20"/>
                <w:szCs w:val="20"/>
                <w:lang w:val="ro-RO"/>
              </w:rPr>
              <w:t>Propunere lucrări pentru eliminarea excesului de umiditate prin lucrări de drenaj şi împăduriri</w:t>
            </w:r>
          </w:p>
        </w:tc>
      </w:tr>
      <w:tr w:rsidR="00830DBB" w:rsidRPr="00830DBB" w:rsidTr="00080B9C">
        <w:trPr>
          <w:trHeight w:val="143"/>
        </w:trPr>
        <w:tc>
          <w:tcPr>
            <w:tcW w:w="567" w:type="dxa"/>
            <w:vMerge/>
            <w:tcBorders>
              <w:left w:val="single" w:sz="4" w:space="0" w:color="auto"/>
              <w:right w:val="single" w:sz="4" w:space="0" w:color="auto"/>
            </w:tcBorders>
            <w:vAlign w:val="center"/>
          </w:tcPr>
          <w:p w:rsidR="00830DBB" w:rsidRPr="00830DBB" w:rsidRDefault="00830DBB" w:rsidP="00830DBB">
            <w:pPr>
              <w:spacing w:after="0" w:line="240" w:lineRule="auto"/>
              <w:rPr>
                <w:rFonts w:ascii="Arial" w:eastAsia="SimSun" w:hAnsi="Arial" w:cs="Arial"/>
                <w:color w:val="000000" w:themeColor="text1"/>
                <w:sz w:val="24"/>
                <w:szCs w:val="24"/>
                <w:lang w:val="ro-RO"/>
              </w:rPr>
            </w:pPr>
          </w:p>
        </w:tc>
        <w:tc>
          <w:tcPr>
            <w:tcW w:w="851" w:type="dxa"/>
            <w:vMerge/>
            <w:tcBorders>
              <w:left w:val="single" w:sz="4" w:space="0" w:color="auto"/>
              <w:right w:val="single" w:sz="4" w:space="0" w:color="auto"/>
            </w:tcBorders>
          </w:tcPr>
          <w:p w:rsidR="00830DBB" w:rsidRPr="00830DBB" w:rsidRDefault="00830DBB" w:rsidP="00830DBB">
            <w:pPr>
              <w:spacing w:after="0" w:line="240" w:lineRule="auto"/>
              <w:jc w:val="both"/>
              <w:rPr>
                <w:rFonts w:ascii="Arial" w:eastAsia="SimSun" w:hAnsi="Arial" w:cs="Arial"/>
                <w:color w:val="000000" w:themeColor="text1"/>
                <w:sz w:val="24"/>
                <w:szCs w:val="24"/>
                <w:lang w:val="ro-RO"/>
              </w:rPr>
            </w:pPr>
          </w:p>
        </w:tc>
        <w:tc>
          <w:tcPr>
            <w:tcW w:w="2835"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Potenţial de alunecare – com. Puieşti,  mun. Vaslui</w:t>
            </w:r>
          </w:p>
        </w:tc>
        <w:tc>
          <w:tcPr>
            <w:tcW w:w="1276"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6,0</w:t>
            </w:r>
          </w:p>
          <w:p w:rsidR="00830DBB" w:rsidRPr="00830DBB" w:rsidRDefault="00830DBB" w:rsidP="00830DBB">
            <w:pPr>
              <w:spacing w:after="0" w:line="240" w:lineRule="auto"/>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3,0</w:t>
            </w:r>
          </w:p>
        </w:tc>
        <w:tc>
          <w:tcPr>
            <w:tcW w:w="4536"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Propunere lucrări pentru eliminarea excesului de umiditate prin lucrări de drenaj şi împăduriri</w:t>
            </w:r>
          </w:p>
        </w:tc>
      </w:tr>
    </w:tbl>
    <w:p w:rsidR="00830DBB" w:rsidRPr="00830DBB" w:rsidRDefault="00830DBB" w:rsidP="00830DBB">
      <w:pPr>
        <w:keepNext/>
        <w:spacing w:after="0" w:line="240" w:lineRule="auto"/>
        <w:outlineLvl w:val="0"/>
        <w:rPr>
          <w:rFonts w:ascii="Times New Roman" w:eastAsia="Times New Roman" w:hAnsi="Times New Roman" w:cs="Times New Roman"/>
          <w:bCs/>
          <w:color w:val="000000" w:themeColor="text1"/>
          <w:sz w:val="20"/>
          <w:szCs w:val="20"/>
          <w:lang w:eastAsia="ro-RO"/>
        </w:rPr>
      </w:pPr>
      <w:r w:rsidRPr="00830DBB">
        <w:rPr>
          <w:rFonts w:ascii="Times New Roman" w:eastAsia="Times New Roman" w:hAnsi="Times New Roman" w:cs="Times New Roman"/>
          <w:color w:val="000000" w:themeColor="text1"/>
          <w:lang w:eastAsia="ro-RO"/>
        </w:rPr>
        <w:t xml:space="preserve">(sursa: ANIF – </w:t>
      </w:r>
      <w:bookmarkStart w:id="1" w:name="f13"/>
      <w:r w:rsidRPr="00830DBB">
        <w:rPr>
          <w:rFonts w:ascii="Times New Roman" w:eastAsia="Times New Roman" w:hAnsi="Times New Roman" w:cs="Times New Roman"/>
          <w:bCs/>
          <w:color w:val="000000" w:themeColor="text1"/>
          <w:sz w:val="20"/>
          <w:szCs w:val="20"/>
          <w:lang w:eastAsia="ro-RO"/>
        </w:rPr>
        <w:t>Filiala teritorială MOLDOVA SUD</w:t>
      </w:r>
      <w:bookmarkEnd w:id="1"/>
      <w:r w:rsidRPr="00830DBB">
        <w:rPr>
          <w:rFonts w:ascii="Times New Roman" w:eastAsia="Times New Roman" w:hAnsi="Times New Roman" w:cs="Times New Roman"/>
          <w:color w:val="000000" w:themeColor="text1"/>
          <w:sz w:val="20"/>
          <w:szCs w:val="20"/>
          <w:lang w:eastAsia="ro-RO"/>
        </w:rPr>
        <w:t xml:space="preserve"> - Unitatea de administrare VASLUI)</w:t>
      </w:r>
    </w:p>
    <w:p w:rsidR="00830DBB" w:rsidRPr="00830DBB" w:rsidRDefault="00830DBB" w:rsidP="00830DBB">
      <w:pPr>
        <w:spacing w:after="0" w:line="240" w:lineRule="auto"/>
        <w:rPr>
          <w:rFonts w:ascii="Arial" w:eastAsia="SimSun" w:hAnsi="Arial" w:cs="Arial"/>
          <w:b/>
          <w:color w:val="FF0000"/>
          <w:sz w:val="24"/>
          <w:szCs w:val="24"/>
          <w:lang w:val="it-IT"/>
        </w:rPr>
      </w:pPr>
    </w:p>
    <w:p w:rsidR="00830DBB" w:rsidRPr="00830DBB" w:rsidRDefault="00830DBB" w:rsidP="00830DBB">
      <w:pPr>
        <w:spacing w:after="0" w:line="240" w:lineRule="auto"/>
        <w:jc w:val="both"/>
        <w:rPr>
          <w:rFonts w:ascii="Arial" w:eastAsia="SimSun" w:hAnsi="Arial" w:cs="Arial"/>
          <w:color w:val="000000" w:themeColor="text1"/>
          <w:sz w:val="24"/>
          <w:szCs w:val="24"/>
          <w:lang w:val="it-IT"/>
        </w:rPr>
      </w:pPr>
      <w:r w:rsidRPr="00830DBB">
        <w:rPr>
          <w:rFonts w:ascii="Arial" w:eastAsia="SimSun" w:hAnsi="Arial" w:cs="Arial"/>
          <w:color w:val="000000" w:themeColor="text1"/>
          <w:sz w:val="24"/>
          <w:szCs w:val="24"/>
          <w:lang w:val="en-GB"/>
        </w:rPr>
        <w:t>Tabelul III.</w:t>
      </w:r>
      <w:r w:rsidRPr="00830DBB">
        <w:rPr>
          <w:rFonts w:ascii="Arial" w:eastAsia="SimSun" w:hAnsi="Arial" w:cs="Arial"/>
          <w:color w:val="000000" w:themeColor="text1"/>
          <w:sz w:val="24"/>
          <w:szCs w:val="24"/>
          <w:lang w:val="ro-RO"/>
        </w:rPr>
        <w:t>6</w:t>
      </w:r>
      <w:r w:rsidRPr="00830DBB">
        <w:rPr>
          <w:rFonts w:ascii="Arial" w:eastAsia="SimSun" w:hAnsi="Arial" w:cs="Arial"/>
          <w:color w:val="000000" w:themeColor="text1"/>
          <w:sz w:val="24"/>
          <w:szCs w:val="24"/>
          <w:lang w:val="en-GB"/>
        </w:rPr>
        <w:t xml:space="preserve">. </w:t>
      </w:r>
      <w:r w:rsidRPr="00830DBB">
        <w:rPr>
          <w:rFonts w:ascii="Arial" w:eastAsia="SimSun" w:hAnsi="Arial" w:cs="Arial"/>
          <w:color w:val="000000" w:themeColor="text1"/>
          <w:sz w:val="24"/>
          <w:szCs w:val="24"/>
          <w:lang w:val="it-IT"/>
        </w:rPr>
        <w:t>Zone critice sub aspectul degradării solurilor la nivelul anului 2015</w:t>
      </w:r>
    </w:p>
    <w:tbl>
      <w:tblPr>
        <w:tblW w:w="9781" w:type="dxa"/>
        <w:tblInd w:w="250" w:type="dxa"/>
        <w:tblLayout w:type="fixed"/>
        <w:tblLook w:val="01E0" w:firstRow="1" w:lastRow="1" w:firstColumn="1" w:lastColumn="1" w:noHBand="0" w:noVBand="0"/>
      </w:tblPr>
      <w:tblGrid>
        <w:gridCol w:w="2892"/>
        <w:gridCol w:w="2313"/>
        <w:gridCol w:w="1302"/>
        <w:gridCol w:w="3274"/>
      </w:tblGrid>
      <w:tr w:rsidR="00830DBB" w:rsidRPr="00830DBB" w:rsidTr="00080B9C">
        <w:trPr>
          <w:trHeight w:val="692"/>
        </w:trPr>
        <w:tc>
          <w:tcPr>
            <w:tcW w:w="2892"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tabs>
                <w:tab w:val="center" w:pos="4153"/>
                <w:tab w:val="right" w:pos="8306"/>
              </w:tabs>
              <w:spacing w:after="0" w:line="240" w:lineRule="auto"/>
              <w:jc w:val="center"/>
              <w:rPr>
                <w:rFonts w:ascii="Arial" w:eastAsia="SimSun" w:hAnsi="Arial" w:cs="Arial"/>
                <w:b/>
                <w:color w:val="000000" w:themeColor="text1"/>
                <w:sz w:val="20"/>
                <w:szCs w:val="20"/>
                <w:lang w:val="en-GB"/>
              </w:rPr>
            </w:pPr>
            <w:r w:rsidRPr="00830DBB">
              <w:rPr>
                <w:rFonts w:ascii="Arial" w:eastAsia="SimSun" w:hAnsi="Arial" w:cs="Arial"/>
                <w:b/>
                <w:color w:val="000000" w:themeColor="text1"/>
                <w:sz w:val="20"/>
                <w:szCs w:val="20"/>
                <w:lang w:val="en-GB"/>
              </w:rPr>
              <w:t>Oraşul</w:t>
            </w:r>
          </w:p>
          <w:p w:rsidR="00830DBB" w:rsidRPr="00830DBB" w:rsidRDefault="00830DBB" w:rsidP="00830DBB">
            <w:pPr>
              <w:tabs>
                <w:tab w:val="center" w:pos="4153"/>
                <w:tab w:val="right" w:pos="8306"/>
              </w:tabs>
              <w:spacing w:after="0" w:line="240" w:lineRule="auto"/>
              <w:jc w:val="center"/>
              <w:rPr>
                <w:rFonts w:ascii="Arial" w:eastAsia="SimSun" w:hAnsi="Arial" w:cs="Arial"/>
                <w:b/>
                <w:color w:val="000000" w:themeColor="text1"/>
                <w:sz w:val="20"/>
                <w:szCs w:val="20"/>
                <w:lang w:val="en-GB"/>
              </w:rPr>
            </w:pPr>
            <w:r w:rsidRPr="00830DBB">
              <w:rPr>
                <w:rFonts w:ascii="Arial" w:eastAsia="SimSun" w:hAnsi="Arial" w:cs="Arial"/>
                <w:b/>
                <w:color w:val="000000" w:themeColor="text1"/>
                <w:sz w:val="20"/>
                <w:szCs w:val="20"/>
                <w:lang w:val="en-GB"/>
              </w:rPr>
              <w:t>Comuna/Localitatea</w:t>
            </w:r>
          </w:p>
        </w:tc>
        <w:tc>
          <w:tcPr>
            <w:tcW w:w="2313"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tabs>
                <w:tab w:val="center" w:pos="4153"/>
                <w:tab w:val="right" w:pos="8306"/>
              </w:tabs>
              <w:spacing w:after="0" w:line="240" w:lineRule="auto"/>
              <w:jc w:val="center"/>
              <w:rPr>
                <w:rFonts w:ascii="Arial" w:eastAsia="SimSun" w:hAnsi="Arial" w:cs="Arial"/>
                <w:b/>
                <w:color w:val="000000" w:themeColor="text1"/>
                <w:sz w:val="20"/>
                <w:szCs w:val="20"/>
                <w:lang w:val="en-GB"/>
              </w:rPr>
            </w:pPr>
            <w:r w:rsidRPr="00830DBB">
              <w:rPr>
                <w:rFonts w:ascii="Arial" w:eastAsia="SimSun" w:hAnsi="Arial" w:cs="Arial"/>
                <w:b/>
                <w:color w:val="000000" w:themeColor="text1"/>
                <w:sz w:val="20"/>
                <w:szCs w:val="20"/>
                <w:lang w:val="en-GB"/>
              </w:rPr>
              <w:t>Tipul de degradare</w:t>
            </w:r>
          </w:p>
        </w:tc>
        <w:tc>
          <w:tcPr>
            <w:tcW w:w="1302"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tabs>
                <w:tab w:val="center" w:pos="4153"/>
                <w:tab w:val="right" w:pos="8306"/>
              </w:tabs>
              <w:spacing w:after="0" w:line="240" w:lineRule="auto"/>
              <w:jc w:val="center"/>
              <w:rPr>
                <w:rFonts w:ascii="Arial" w:eastAsia="SimSun" w:hAnsi="Arial" w:cs="Arial"/>
                <w:b/>
                <w:color w:val="000000" w:themeColor="text1"/>
                <w:sz w:val="20"/>
                <w:szCs w:val="20"/>
                <w:lang w:val="en-GB"/>
              </w:rPr>
            </w:pPr>
            <w:r w:rsidRPr="00830DBB">
              <w:rPr>
                <w:rFonts w:ascii="Arial" w:eastAsia="SimSun" w:hAnsi="Arial" w:cs="Arial"/>
                <w:b/>
                <w:color w:val="000000" w:themeColor="text1"/>
                <w:sz w:val="20"/>
                <w:szCs w:val="20"/>
                <w:lang w:val="en-GB"/>
              </w:rPr>
              <w:t>Suprafaţa</w:t>
            </w:r>
          </w:p>
          <w:p w:rsidR="00830DBB" w:rsidRPr="00830DBB" w:rsidRDefault="00830DBB" w:rsidP="00830DBB">
            <w:pPr>
              <w:tabs>
                <w:tab w:val="center" w:pos="4153"/>
                <w:tab w:val="right" w:pos="8306"/>
              </w:tabs>
              <w:spacing w:after="0" w:line="240" w:lineRule="auto"/>
              <w:jc w:val="center"/>
              <w:rPr>
                <w:rFonts w:ascii="Arial" w:eastAsia="SimSun" w:hAnsi="Arial" w:cs="Arial"/>
                <w:b/>
                <w:color w:val="000000" w:themeColor="text1"/>
                <w:sz w:val="20"/>
                <w:szCs w:val="20"/>
                <w:lang w:val="en-GB"/>
              </w:rPr>
            </w:pPr>
            <w:r w:rsidRPr="00830DBB">
              <w:rPr>
                <w:rFonts w:ascii="Arial" w:eastAsia="SimSun" w:hAnsi="Arial" w:cs="Arial"/>
                <w:b/>
                <w:color w:val="000000" w:themeColor="text1"/>
                <w:sz w:val="20"/>
                <w:szCs w:val="20"/>
                <w:lang w:val="en-GB"/>
              </w:rPr>
              <w:t>(ha)</w:t>
            </w:r>
          </w:p>
        </w:tc>
        <w:tc>
          <w:tcPr>
            <w:tcW w:w="3274"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tabs>
                <w:tab w:val="center" w:pos="4153"/>
                <w:tab w:val="right" w:pos="8306"/>
              </w:tabs>
              <w:spacing w:after="0" w:line="240" w:lineRule="auto"/>
              <w:jc w:val="center"/>
              <w:rPr>
                <w:rFonts w:ascii="Arial" w:eastAsia="SimSun" w:hAnsi="Arial" w:cs="Arial"/>
                <w:b/>
                <w:color w:val="000000" w:themeColor="text1"/>
                <w:sz w:val="20"/>
                <w:szCs w:val="20"/>
                <w:lang w:val="it-IT"/>
              </w:rPr>
            </w:pPr>
            <w:r w:rsidRPr="00830DBB">
              <w:rPr>
                <w:rFonts w:ascii="Arial" w:eastAsia="SimSun" w:hAnsi="Arial" w:cs="Arial"/>
                <w:b/>
                <w:color w:val="000000" w:themeColor="text1"/>
                <w:sz w:val="20"/>
                <w:szCs w:val="20"/>
                <w:lang w:val="it-IT"/>
              </w:rPr>
              <w:t>Măsuri de prevenire şi remediere</w:t>
            </w:r>
          </w:p>
          <w:p w:rsidR="00830DBB" w:rsidRPr="00830DBB" w:rsidRDefault="00830DBB" w:rsidP="00830DBB">
            <w:pPr>
              <w:tabs>
                <w:tab w:val="center" w:pos="4153"/>
                <w:tab w:val="right" w:pos="8306"/>
              </w:tabs>
              <w:spacing w:after="0" w:line="240" w:lineRule="auto"/>
              <w:jc w:val="center"/>
              <w:rPr>
                <w:rFonts w:ascii="Arial" w:eastAsia="SimSun" w:hAnsi="Arial" w:cs="Arial"/>
                <w:b/>
                <w:color w:val="000000" w:themeColor="text1"/>
                <w:sz w:val="20"/>
                <w:szCs w:val="20"/>
                <w:lang w:val="it-IT"/>
              </w:rPr>
            </w:pPr>
            <w:r w:rsidRPr="00830DBB">
              <w:rPr>
                <w:rFonts w:ascii="Arial" w:eastAsia="SimSun" w:hAnsi="Arial" w:cs="Arial"/>
                <w:b/>
                <w:color w:val="000000" w:themeColor="text1"/>
                <w:sz w:val="20"/>
                <w:szCs w:val="20"/>
                <w:lang w:val="it-IT"/>
              </w:rPr>
              <w:t>necesare</w:t>
            </w:r>
          </w:p>
        </w:tc>
      </w:tr>
      <w:tr w:rsidR="00830DBB" w:rsidRPr="00830DBB" w:rsidTr="00080B9C">
        <w:trPr>
          <w:trHeight w:val="225"/>
        </w:trPr>
        <w:tc>
          <w:tcPr>
            <w:tcW w:w="9781" w:type="dxa"/>
            <w:gridSpan w:val="4"/>
            <w:tcBorders>
              <w:top w:val="single" w:sz="4" w:space="0" w:color="auto"/>
              <w:left w:val="single" w:sz="4" w:space="0" w:color="auto"/>
              <w:bottom w:val="single" w:sz="4" w:space="0" w:color="auto"/>
              <w:right w:val="single" w:sz="4" w:space="0" w:color="auto"/>
            </w:tcBorders>
          </w:tcPr>
          <w:p w:rsidR="00830DBB" w:rsidRPr="00830DBB" w:rsidRDefault="00830DBB" w:rsidP="00830DBB">
            <w:pPr>
              <w:tabs>
                <w:tab w:val="center" w:pos="4153"/>
                <w:tab w:val="right" w:pos="8306"/>
              </w:tabs>
              <w:spacing w:after="0" w:line="240" w:lineRule="auto"/>
              <w:jc w:val="center"/>
              <w:rPr>
                <w:rFonts w:ascii="Arial" w:eastAsia="SimSun" w:hAnsi="Arial" w:cs="Arial"/>
                <w:b/>
                <w:color w:val="000000" w:themeColor="text1"/>
                <w:sz w:val="20"/>
                <w:szCs w:val="20"/>
                <w:lang w:val="es-ES_tradnl"/>
              </w:rPr>
            </w:pPr>
            <w:r w:rsidRPr="00830DBB">
              <w:rPr>
                <w:rFonts w:ascii="Arial" w:eastAsia="SimSun" w:hAnsi="Arial" w:cs="Arial"/>
                <w:b/>
                <w:color w:val="000000" w:themeColor="text1"/>
                <w:sz w:val="20"/>
                <w:szCs w:val="20"/>
                <w:lang w:val="en-GB"/>
              </w:rPr>
              <w:t>Judeţul Vaslui</w:t>
            </w:r>
          </w:p>
        </w:tc>
      </w:tr>
      <w:tr w:rsidR="00830DBB" w:rsidRPr="00830DBB" w:rsidTr="00080B9C">
        <w:trPr>
          <w:trHeight w:val="452"/>
        </w:trPr>
        <w:tc>
          <w:tcPr>
            <w:tcW w:w="2892"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tabs>
                <w:tab w:val="center" w:pos="4153"/>
                <w:tab w:val="right" w:pos="8306"/>
              </w:tabs>
              <w:autoSpaceDE w:val="0"/>
              <w:autoSpaceDN w:val="0"/>
              <w:adjustRightInd w:val="0"/>
              <w:spacing w:after="0" w:line="240" w:lineRule="auto"/>
              <w:rPr>
                <w:rFonts w:ascii="Arial" w:eastAsia="Times New Roman" w:hAnsi="Arial" w:cs="Arial"/>
                <w:color w:val="000000" w:themeColor="text1"/>
                <w:sz w:val="20"/>
                <w:szCs w:val="20"/>
              </w:rPr>
            </w:pPr>
            <w:r w:rsidRPr="00830DBB">
              <w:rPr>
                <w:rFonts w:ascii="Arial" w:eastAsia="Times New Roman" w:hAnsi="Arial" w:cs="Arial"/>
                <w:color w:val="000000" w:themeColor="text1"/>
                <w:sz w:val="20"/>
                <w:szCs w:val="20"/>
              </w:rPr>
              <w:t>Comuna Bogdana</w:t>
            </w:r>
          </w:p>
        </w:tc>
        <w:tc>
          <w:tcPr>
            <w:tcW w:w="2313"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tabs>
                <w:tab w:val="center" w:pos="4153"/>
                <w:tab w:val="right" w:pos="8306"/>
              </w:tabs>
              <w:autoSpaceDE w:val="0"/>
              <w:autoSpaceDN w:val="0"/>
              <w:adjustRightInd w:val="0"/>
              <w:spacing w:after="0" w:line="240" w:lineRule="auto"/>
              <w:rPr>
                <w:rFonts w:ascii="Arial" w:eastAsia="Times New Roman" w:hAnsi="Arial" w:cs="Arial"/>
                <w:color w:val="000000" w:themeColor="text1"/>
                <w:sz w:val="20"/>
                <w:szCs w:val="20"/>
              </w:rPr>
            </w:pPr>
            <w:r w:rsidRPr="00830DBB">
              <w:rPr>
                <w:rFonts w:ascii="Arial" w:eastAsia="Times New Roman" w:hAnsi="Arial" w:cs="Arial"/>
                <w:color w:val="000000" w:themeColor="text1"/>
                <w:sz w:val="20"/>
                <w:szCs w:val="20"/>
              </w:rPr>
              <w:t>Eroziune de adâncime</w:t>
            </w:r>
          </w:p>
        </w:tc>
        <w:tc>
          <w:tcPr>
            <w:tcW w:w="1302"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tabs>
                <w:tab w:val="center" w:pos="4153"/>
                <w:tab w:val="right" w:pos="8306"/>
              </w:tabs>
              <w:autoSpaceDE w:val="0"/>
              <w:autoSpaceDN w:val="0"/>
              <w:adjustRightInd w:val="0"/>
              <w:spacing w:after="0" w:line="240" w:lineRule="auto"/>
              <w:rPr>
                <w:rFonts w:ascii="Arial" w:eastAsia="Times New Roman" w:hAnsi="Arial" w:cs="Arial"/>
                <w:color w:val="000000" w:themeColor="text1"/>
                <w:sz w:val="20"/>
                <w:szCs w:val="20"/>
              </w:rPr>
            </w:pPr>
            <w:r w:rsidRPr="00830DBB">
              <w:rPr>
                <w:rFonts w:ascii="Arial" w:eastAsia="Times New Roman" w:hAnsi="Arial" w:cs="Arial"/>
                <w:color w:val="000000" w:themeColor="text1"/>
                <w:sz w:val="20"/>
                <w:szCs w:val="20"/>
              </w:rPr>
              <w:t>3</w:t>
            </w:r>
          </w:p>
        </w:tc>
        <w:tc>
          <w:tcPr>
            <w:tcW w:w="3274"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tabs>
                <w:tab w:val="center" w:pos="4153"/>
                <w:tab w:val="right" w:pos="8306"/>
              </w:tabs>
              <w:autoSpaceDE w:val="0"/>
              <w:autoSpaceDN w:val="0"/>
              <w:adjustRightInd w:val="0"/>
              <w:spacing w:after="0" w:line="240" w:lineRule="auto"/>
              <w:rPr>
                <w:rFonts w:ascii="Arial" w:eastAsia="Times New Roman" w:hAnsi="Arial" w:cs="Arial"/>
                <w:color w:val="000000" w:themeColor="text1"/>
                <w:sz w:val="20"/>
                <w:szCs w:val="20"/>
              </w:rPr>
            </w:pPr>
            <w:r w:rsidRPr="00830DBB">
              <w:rPr>
                <w:rFonts w:ascii="Arial" w:eastAsia="Times New Roman" w:hAnsi="Arial" w:cs="Arial"/>
                <w:color w:val="000000" w:themeColor="text1"/>
                <w:sz w:val="20"/>
                <w:szCs w:val="20"/>
              </w:rPr>
              <w:t>Completări de goluri în plataţiile existente</w:t>
            </w:r>
          </w:p>
        </w:tc>
      </w:tr>
      <w:tr w:rsidR="00830DBB" w:rsidRPr="00830DBB" w:rsidTr="00080B9C">
        <w:trPr>
          <w:trHeight w:val="467"/>
        </w:trPr>
        <w:tc>
          <w:tcPr>
            <w:tcW w:w="2892"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Comuna Băcani</w:t>
            </w:r>
          </w:p>
        </w:tc>
        <w:tc>
          <w:tcPr>
            <w:tcW w:w="2313"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Eroziune de adâncime</w:t>
            </w:r>
          </w:p>
        </w:tc>
        <w:tc>
          <w:tcPr>
            <w:tcW w:w="1302"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tabs>
                <w:tab w:val="center" w:pos="4153"/>
                <w:tab w:val="right" w:pos="8306"/>
              </w:tabs>
              <w:autoSpaceDE w:val="0"/>
              <w:autoSpaceDN w:val="0"/>
              <w:adjustRightInd w:val="0"/>
              <w:spacing w:after="0" w:line="240" w:lineRule="auto"/>
              <w:jc w:val="center"/>
              <w:rPr>
                <w:rFonts w:ascii="Arial" w:eastAsia="Times New Roman" w:hAnsi="Arial" w:cs="Arial"/>
                <w:color w:val="000000" w:themeColor="text1"/>
                <w:sz w:val="20"/>
                <w:szCs w:val="20"/>
              </w:rPr>
            </w:pPr>
            <w:r w:rsidRPr="00830DBB">
              <w:rPr>
                <w:rFonts w:ascii="Arial" w:eastAsia="Times New Roman" w:hAnsi="Arial" w:cs="Arial"/>
                <w:color w:val="000000" w:themeColor="text1"/>
                <w:sz w:val="20"/>
                <w:szCs w:val="20"/>
              </w:rPr>
              <w:t>10</w:t>
            </w:r>
          </w:p>
        </w:tc>
        <w:tc>
          <w:tcPr>
            <w:tcW w:w="3274"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Completări de goluri în plataţiile existente</w:t>
            </w:r>
          </w:p>
        </w:tc>
      </w:tr>
      <w:tr w:rsidR="00830DBB" w:rsidRPr="00830DBB" w:rsidTr="00080B9C">
        <w:trPr>
          <w:trHeight w:val="467"/>
        </w:trPr>
        <w:tc>
          <w:tcPr>
            <w:tcW w:w="2892"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0"/>
                <w:szCs w:val="20"/>
                <w:lang w:val="it-IT"/>
              </w:rPr>
            </w:pPr>
            <w:r w:rsidRPr="00830DBB">
              <w:rPr>
                <w:rFonts w:ascii="Arial" w:eastAsia="SimSun" w:hAnsi="Arial" w:cs="Arial"/>
                <w:color w:val="000000" w:themeColor="text1"/>
                <w:sz w:val="20"/>
                <w:szCs w:val="20"/>
                <w:lang w:val="it-IT"/>
              </w:rPr>
              <w:t>Comuna Alexandru  Vlahuţă</w:t>
            </w:r>
          </w:p>
        </w:tc>
        <w:tc>
          <w:tcPr>
            <w:tcW w:w="2313"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Eroziune de adâncime</w:t>
            </w:r>
          </w:p>
        </w:tc>
        <w:tc>
          <w:tcPr>
            <w:tcW w:w="1302"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tabs>
                <w:tab w:val="center" w:pos="4153"/>
                <w:tab w:val="right" w:pos="8306"/>
              </w:tabs>
              <w:autoSpaceDE w:val="0"/>
              <w:autoSpaceDN w:val="0"/>
              <w:adjustRightInd w:val="0"/>
              <w:spacing w:after="0" w:line="240" w:lineRule="auto"/>
              <w:jc w:val="center"/>
              <w:rPr>
                <w:rFonts w:ascii="Arial" w:eastAsia="Times New Roman" w:hAnsi="Arial" w:cs="Arial"/>
                <w:color w:val="000000" w:themeColor="text1"/>
                <w:sz w:val="20"/>
                <w:szCs w:val="20"/>
                <w:lang w:val="it-IT"/>
              </w:rPr>
            </w:pPr>
            <w:r w:rsidRPr="00830DBB">
              <w:rPr>
                <w:rFonts w:ascii="Arial" w:eastAsia="Times New Roman" w:hAnsi="Arial" w:cs="Arial"/>
                <w:color w:val="000000" w:themeColor="text1"/>
                <w:sz w:val="20"/>
                <w:szCs w:val="20"/>
                <w:lang w:val="it-IT"/>
              </w:rPr>
              <w:t>5</w:t>
            </w:r>
          </w:p>
        </w:tc>
        <w:tc>
          <w:tcPr>
            <w:tcW w:w="3274"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Completări de goluri în plataţiile existente</w:t>
            </w:r>
          </w:p>
        </w:tc>
      </w:tr>
      <w:tr w:rsidR="00830DBB" w:rsidRPr="00830DBB" w:rsidTr="00080B9C">
        <w:trPr>
          <w:trHeight w:val="452"/>
        </w:trPr>
        <w:tc>
          <w:tcPr>
            <w:tcW w:w="2892"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0"/>
                <w:szCs w:val="20"/>
                <w:lang w:val="it-IT"/>
              </w:rPr>
            </w:pPr>
            <w:r w:rsidRPr="00830DBB">
              <w:rPr>
                <w:rFonts w:ascii="Arial" w:eastAsia="SimSun" w:hAnsi="Arial" w:cs="Arial"/>
                <w:color w:val="000000" w:themeColor="text1"/>
                <w:sz w:val="20"/>
                <w:szCs w:val="20"/>
                <w:lang w:val="it-IT"/>
              </w:rPr>
              <w:t>Comuna Iana</w:t>
            </w:r>
          </w:p>
        </w:tc>
        <w:tc>
          <w:tcPr>
            <w:tcW w:w="2313"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Eroziune de adâncime</w:t>
            </w:r>
          </w:p>
        </w:tc>
        <w:tc>
          <w:tcPr>
            <w:tcW w:w="1302"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tabs>
                <w:tab w:val="center" w:pos="4153"/>
                <w:tab w:val="right" w:pos="8306"/>
              </w:tabs>
              <w:autoSpaceDE w:val="0"/>
              <w:autoSpaceDN w:val="0"/>
              <w:adjustRightInd w:val="0"/>
              <w:spacing w:after="0" w:line="240" w:lineRule="auto"/>
              <w:jc w:val="center"/>
              <w:rPr>
                <w:rFonts w:ascii="Arial" w:eastAsia="Times New Roman" w:hAnsi="Arial" w:cs="Arial"/>
                <w:color w:val="000000" w:themeColor="text1"/>
                <w:sz w:val="20"/>
                <w:szCs w:val="20"/>
                <w:lang w:val="it-IT"/>
              </w:rPr>
            </w:pPr>
            <w:r w:rsidRPr="00830DBB">
              <w:rPr>
                <w:rFonts w:ascii="Arial" w:eastAsia="Times New Roman" w:hAnsi="Arial" w:cs="Arial"/>
                <w:color w:val="000000" w:themeColor="text1"/>
                <w:sz w:val="20"/>
                <w:szCs w:val="20"/>
                <w:lang w:val="it-IT"/>
              </w:rPr>
              <w:t>8</w:t>
            </w:r>
          </w:p>
        </w:tc>
        <w:tc>
          <w:tcPr>
            <w:tcW w:w="3274"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Completări de goluri în plataţiile existente</w:t>
            </w:r>
          </w:p>
        </w:tc>
      </w:tr>
      <w:tr w:rsidR="00830DBB" w:rsidRPr="00830DBB" w:rsidTr="00080B9C">
        <w:trPr>
          <w:trHeight w:val="467"/>
        </w:trPr>
        <w:tc>
          <w:tcPr>
            <w:tcW w:w="2892"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0"/>
                <w:szCs w:val="20"/>
                <w:lang w:val="it-IT"/>
              </w:rPr>
            </w:pPr>
            <w:r w:rsidRPr="00830DBB">
              <w:rPr>
                <w:rFonts w:ascii="Arial" w:eastAsia="SimSun" w:hAnsi="Arial" w:cs="Arial"/>
                <w:color w:val="000000" w:themeColor="text1"/>
                <w:sz w:val="20"/>
                <w:szCs w:val="20"/>
                <w:lang w:val="it-IT"/>
              </w:rPr>
              <w:lastRenderedPageBreak/>
              <w:t>Comuna Pogana, loc. Tomeşti</w:t>
            </w:r>
          </w:p>
        </w:tc>
        <w:tc>
          <w:tcPr>
            <w:tcW w:w="2313"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tabs>
                <w:tab w:val="center" w:pos="4153"/>
                <w:tab w:val="right" w:pos="8306"/>
              </w:tabs>
              <w:autoSpaceDE w:val="0"/>
              <w:autoSpaceDN w:val="0"/>
              <w:adjustRightInd w:val="0"/>
              <w:spacing w:after="0" w:line="240" w:lineRule="auto"/>
              <w:rPr>
                <w:rFonts w:ascii="Arial" w:eastAsia="Times New Roman" w:hAnsi="Arial" w:cs="Arial"/>
                <w:color w:val="000000" w:themeColor="text1"/>
                <w:sz w:val="20"/>
                <w:szCs w:val="20"/>
                <w:lang w:val="it-IT"/>
              </w:rPr>
            </w:pPr>
            <w:r w:rsidRPr="00830DBB">
              <w:rPr>
                <w:rFonts w:ascii="Arial" w:eastAsia="Times New Roman" w:hAnsi="Arial" w:cs="Arial"/>
                <w:color w:val="000000" w:themeColor="text1"/>
                <w:sz w:val="20"/>
                <w:szCs w:val="20"/>
                <w:lang w:val="it-IT"/>
              </w:rPr>
              <w:t>Şiroiri</w:t>
            </w:r>
          </w:p>
        </w:tc>
        <w:tc>
          <w:tcPr>
            <w:tcW w:w="1302"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tabs>
                <w:tab w:val="center" w:pos="4153"/>
                <w:tab w:val="right" w:pos="8306"/>
              </w:tabs>
              <w:autoSpaceDE w:val="0"/>
              <w:autoSpaceDN w:val="0"/>
              <w:adjustRightInd w:val="0"/>
              <w:spacing w:after="0" w:line="240" w:lineRule="auto"/>
              <w:jc w:val="center"/>
              <w:rPr>
                <w:rFonts w:ascii="Arial" w:eastAsia="Times New Roman" w:hAnsi="Arial" w:cs="Arial"/>
                <w:color w:val="000000" w:themeColor="text1"/>
                <w:sz w:val="20"/>
                <w:szCs w:val="20"/>
                <w:lang w:val="it-IT"/>
              </w:rPr>
            </w:pPr>
            <w:r w:rsidRPr="00830DBB">
              <w:rPr>
                <w:rFonts w:ascii="Arial" w:eastAsia="Times New Roman" w:hAnsi="Arial" w:cs="Arial"/>
                <w:color w:val="000000" w:themeColor="text1"/>
                <w:sz w:val="20"/>
                <w:szCs w:val="20"/>
                <w:lang w:val="it-IT"/>
              </w:rPr>
              <w:t>10</w:t>
            </w:r>
          </w:p>
        </w:tc>
        <w:tc>
          <w:tcPr>
            <w:tcW w:w="3274"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tabs>
                <w:tab w:val="center" w:pos="4153"/>
                <w:tab w:val="right" w:pos="8306"/>
              </w:tabs>
              <w:autoSpaceDE w:val="0"/>
              <w:autoSpaceDN w:val="0"/>
              <w:adjustRightInd w:val="0"/>
              <w:spacing w:after="0" w:line="240" w:lineRule="auto"/>
              <w:rPr>
                <w:rFonts w:ascii="Arial" w:eastAsia="Times New Roman" w:hAnsi="Arial" w:cs="Arial"/>
                <w:color w:val="000000" w:themeColor="text1"/>
                <w:sz w:val="20"/>
                <w:szCs w:val="20"/>
                <w:lang w:val="it-IT"/>
              </w:rPr>
            </w:pPr>
            <w:r w:rsidRPr="00830DBB">
              <w:rPr>
                <w:rFonts w:ascii="Arial" w:eastAsia="Times New Roman" w:hAnsi="Arial" w:cs="Arial"/>
                <w:color w:val="000000" w:themeColor="text1"/>
                <w:sz w:val="20"/>
                <w:szCs w:val="20"/>
                <w:lang w:val="it-IT"/>
              </w:rPr>
              <w:t>Plantaţii antierozionale</w:t>
            </w:r>
          </w:p>
        </w:tc>
      </w:tr>
      <w:tr w:rsidR="00830DBB" w:rsidRPr="00830DBB" w:rsidTr="00080B9C">
        <w:trPr>
          <w:trHeight w:val="452"/>
        </w:trPr>
        <w:tc>
          <w:tcPr>
            <w:tcW w:w="2892"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0"/>
                <w:szCs w:val="20"/>
                <w:lang w:val="it-IT"/>
              </w:rPr>
            </w:pPr>
            <w:r w:rsidRPr="00830DBB">
              <w:rPr>
                <w:rFonts w:ascii="Arial" w:eastAsia="SimSun" w:hAnsi="Arial" w:cs="Arial"/>
                <w:color w:val="000000" w:themeColor="text1"/>
                <w:sz w:val="20"/>
                <w:szCs w:val="20"/>
                <w:lang w:val="it-IT"/>
              </w:rPr>
              <w:t>Comuna Coroieşti, loc. Mireni</w:t>
            </w:r>
          </w:p>
        </w:tc>
        <w:tc>
          <w:tcPr>
            <w:tcW w:w="2313"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tabs>
                <w:tab w:val="center" w:pos="4153"/>
                <w:tab w:val="right" w:pos="8306"/>
              </w:tabs>
              <w:autoSpaceDE w:val="0"/>
              <w:autoSpaceDN w:val="0"/>
              <w:adjustRightInd w:val="0"/>
              <w:spacing w:after="0" w:line="240" w:lineRule="auto"/>
              <w:rPr>
                <w:rFonts w:ascii="Arial" w:eastAsia="Times New Roman" w:hAnsi="Arial" w:cs="Arial"/>
                <w:color w:val="000000" w:themeColor="text1"/>
                <w:sz w:val="20"/>
                <w:szCs w:val="20"/>
                <w:lang w:val="it-IT"/>
              </w:rPr>
            </w:pPr>
            <w:r w:rsidRPr="00830DBB">
              <w:rPr>
                <w:rFonts w:ascii="Arial" w:eastAsia="Times New Roman" w:hAnsi="Arial" w:cs="Arial"/>
                <w:color w:val="000000" w:themeColor="text1"/>
                <w:sz w:val="20"/>
                <w:szCs w:val="20"/>
                <w:lang w:val="it-IT"/>
              </w:rPr>
              <w:t>Şiroiri</w:t>
            </w:r>
          </w:p>
        </w:tc>
        <w:tc>
          <w:tcPr>
            <w:tcW w:w="1302"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tabs>
                <w:tab w:val="center" w:pos="4153"/>
                <w:tab w:val="right" w:pos="8306"/>
              </w:tabs>
              <w:autoSpaceDE w:val="0"/>
              <w:autoSpaceDN w:val="0"/>
              <w:adjustRightInd w:val="0"/>
              <w:spacing w:after="0" w:line="240" w:lineRule="auto"/>
              <w:jc w:val="center"/>
              <w:rPr>
                <w:rFonts w:ascii="Arial" w:eastAsia="Times New Roman" w:hAnsi="Arial" w:cs="Arial"/>
                <w:color w:val="000000" w:themeColor="text1"/>
                <w:sz w:val="20"/>
                <w:szCs w:val="20"/>
                <w:lang w:val="it-IT"/>
              </w:rPr>
            </w:pPr>
            <w:r w:rsidRPr="00830DBB">
              <w:rPr>
                <w:rFonts w:ascii="Arial" w:eastAsia="Times New Roman" w:hAnsi="Arial" w:cs="Arial"/>
                <w:color w:val="000000" w:themeColor="text1"/>
                <w:sz w:val="20"/>
                <w:szCs w:val="20"/>
                <w:lang w:val="it-IT"/>
              </w:rPr>
              <w:t>10</w:t>
            </w:r>
          </w:p>
        </w:tc>
        <w:tc>
          <w:tcPr>
            <w:tcW w:w="3274"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tabs>
                <w:tab w:val="center" w:pos="4153"/>
                <w:tab w:val="right" w:pos="8306"/>
              </w:tabs>
              <w:autoSpaceDE w:val="0"/>
              <w:autoSpaceDN w:val="0"/>
              <w:adjustRightInd w:val="0"/>
              <w:spacing w:after="0" w:line="240" w:lineRule="auto"/>
              <w:rPr>
                <w:rFonts w:ascii="Arial" w:eastAsia="Times New Roman" w:hAnsi="Arial" w:cs="Arial"/>
                <w:color w:val="000000" w:themeColor="text1"/>
                <w:sz w:val="20"/>
                <w:szCs w:val="20"/>
                <w:lang w:val="it-IT"/>
              </w:rPr>
            </w:pPr>
            <w:r w:rsidRPr="00830DBB">
              <w:rPr>
                <w:rFonts w:ascii="Arial" w:eastAsia="Times New Roman" w:hAnsi="Arial" w:cs="Arial"/>
                <w:color w:val="000000" w:themeColor="text1"/>
                <w:sz w:val="20"/>
                <w:szCs w:val="20"/>
                <w:lang w:val="it-IT"/>
              </w:rPr>
              <w:t>Plantaţii antierozionale</w:t>
            </w:r>
          </w:p>
        </w:tc>
      </w:tr>
      <w:tr w:rsidR="00830DBB" w:rsidRPr="00830DBB" w:rsidTr="00080B9C">
        <w:trPr>
          <w:trHeight w:val="467"/>
        </w:trPr>
        <w:tc>
          <w:tcPr>
            <w:tcW w:w="2892"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0"/>
                <w:szCs w:val="20"/>
                <w:lang w:val="it-IT"/>
              </w:rPr>
            </w:pPr>
            <w:r w:rsidRPr="00830DBB">
              <w:rPr>
                <w:rFonts w:ascii="Arial" w:eastAsia="SimSun" w:hAnsi="Arial" w:cs="Arial"/>
                <w:color w:val="000000" w:themeColor="text1"/>
                <w:sz w:val="20"/>
                <w:szCs w:val="20"/>
                <w:lang w:val="it-IT"/>
              </w:rPr>
              <w:t>Comuna Ghergheşti</w:t>
            </w:r>
          </w:p>
        </w:tc>
        <w:tc>
          <w:tcPr>
            <w:tcW w:w="2313"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Eroziune de adâncime</w:t>
            </w:r>
          </w:p>
        </w:tc>
        <w:tc>
          <w:tcPr>
            <w:tcW w:w="1302"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tabs>
                <w:tab w:val="center" w:pos="4153"/>
                <w:tab w:val="right" w:pos="8306"/>
              </w:tabs>
              <w:autoSpaceDE w:val="0"/>
              <w:autoSpaceDN w:val="0"/>
              <w:adjustRightInd w:val="0"/>
              <w:spacing w:after="0" w:line="240" w:lineRule="auto"/>
              <w:jc w:val="center"/>
              <w:rPr>
                <w:rFonts w:ascii="Arial" w:eastAsia="Times New Roman" w:hAnsi="Arial" w:cs="Arial"/>
                <w:color w:val="000000" w:themeColor="text1"/>
                <w:sz w:val="20"/>
                <w:szCs w:val="20"/>
                <w:lang w:val="it-IT"/>
              </w:rPr>
            </w:pPr>
            <w:r w:rsidRPr="00830DBB">
              <w:rPr>
                <w:rFonts w:ascii="Arial" w:eastAsia="Times New Roman" w:hAnsi="Arial" w:cs="Arial"/>
                <w:color w:val="000000" w:themeColor="text1"/>
                <w:sz w:val="20"/>
                <w:szCs w:val="20"/>
                <w:lang w:val="it-IT"/>
              </w:rPr>
              <w:t>18</w:t>
            </w:r>
          </w:p>
        </w:tc>
        <w:tc>
          <w:tcPr>
            <w:tcW w:w="3274"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tabs>
                <w:tab w:val="center" w:pos="4153"/>
                <w:tab w:val="right" w:pos="8306"/>
              </w:tabs>
              <w:autoSpaceDE w:val="0"/>
              <w:autoSpaceDN w:val="0"/>
              <w:adjustRightInd w:val="0"/>
              <w:spacing w:after="0" w:line="240" w:lineRule="auto"/>
              <w:rPr>
                <w:rFonts w:ascii="Arial" w:eastAsia="Times New Roman" w:hAnsi="Arial" w:cs="Arial"/>
                <w:color w:val="000000" w:themeColor="text1"/>
                <w:sz w:val="20"/>
                <w:szCs w:val="20"/>
                <w:lang w:val="it-IT"/>
              </w:rPr>
            </w:pPr>
            <w:r w:rsidRPr="00830DBB">
              <w:rPr>
                <w:rFonts w:ascii="Arial" w:eastAsia="Times New Roman" w:hAnsi="Arial" w:cs="Arial"/>
                <w:color w:val="000000" w:themeColor="text1"/>
                <w:sz w:val="20"/>
                <w:szCs w:val="20"/>
              </w:rPr>
              <w:t>Completări de goluri în plataţiile existente</w:t>
            </w:r>
          </w:p>
        </w:tc>
      </w:tr>
      <w:tr w:rsidR="00830DBB" w:rsidRPr="00830DBB" w:rsidTr="00080B9C">
        <w:trPr>
          <w:trHeight w:val="467"/>
        </w:trPr>
        <w:tc>
          <w:tcPr>
            <w:tcW w:w="2892"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0"/>
                <w:szCs w:val="20"/>
                <w:lang w:val="it-IT"/>
              </w:rPr>
            </w:pPr>
            <w:r w:rsidRPr="00830DBB">
              <w:rPr>
                <w:rFonts w:ascii="Arial" w:eastAsia="SimSun" w:hAnsi="Arial" w:cs="Arial"/>
                <w:color w:val="000000" w:themeColor="text1"/>
                <w:sz w:val="20"/>
                <w:szCs w:val="20"/>
                <w:lang w:val="it-IT"/>
              </w:rPr>
              <w:t xml:space="preserve">Comuna Banca, </w:t>
            </w:r>
            <w:r w:rsidRPr="00830DBB">
              <w:rPr>
                <w:rFonts w:ascii="Arial" w:eastAsia="SimSun" w:hAnsi="Arial" w:cs="Arial"/>
                <w:color w:val="000000" w:themeColor="text1"/>
                <w:sz w:val="20"/>
                <w:szCs w:val="20"/>
                <w:lang w:val="en-GB"/>
              </w:rPr>
              <w:t>loc. Stoiceşti, Ghermăneşti</w:t>
            </w:r>
          </w:p>
        </w:tc>
        <w:tc>
          <w:tcPr>
            <w:tcW w:w="2313"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Eroziune de adâncime</w:t>
            </w:r>
          </w:p>
        </w:tc>
        <w:tc>
          <w:tcPr>
            <w:tcW w:w="1302"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tabs>
                <w:tab w:val="center" w:pos="4153"/>
                <w:tab w:val="right" w:pos="8306"/>
              </w:tabs>
              <w:autoSpaceDE w:val="0"/>
              <w:autoSpaceDN w:val="0"/>
              <w:adjustRightInd w:val="0"/>
              <w:spacing w:after="0" w:line="240" w:lineRule="auto"/>
              <w:jc w:val="center"/>
              <w:rPr>
                <w:rFonts w:ascii="Arial" w:eastAsia="Times New Roman" w:hAnsi="Arial" w:cs="Arial"/>
                <w:color w:val="000000" w:themeColor="text1"/>
                <w:sz w:val="20"/>
                <w:szCs w:val="20"/>
                <w:lang w:val="it-IT"/>
              </w:rPr>
            </w:pPr>
            <w:r w:rsidRPr="00830DBB">
              <w:rPr>
                <w:rFonts w:ascii="Arial" w:eastAsia="Times New Roman" w:hAnsi="Arial" w:cs="Arial"/>
                <w:color w:val="000000" w:themeColor="text1"/>
                <w:sz w:val="20"/>
                <w:szCs w:val="20"/>
                <w:lang w:val="it-IT"/>
              </w:rPr>
              <w:t>8</w:t>
            </w:r>
          </w:p>
        </w:tc>
        <w:tc>
          <w:tcPr>
            <w:tcW w:w="3274"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tabs>
                <w:tab w:val="center" w:pos="4153"/>
                <w:tab w:val="right" w:pos="8306"/>
              </w:tabs>
              <w:autoSpaceDE w:val="0"/>
              <w:autoSpaceDN w:val="0"/>
              <w:adjustRightInd w:val="0"/>
              <w:spacing w:after="0" w:line="240" w:lineRule="auto"/>
              <w:rPr>
                <w:rFonts w:ascii="Arial" w:eastAsia="Times New Roman" w:hAnsi="Arial" w:cs="Arial"/>
                <w:color w:val="000000" w:themeColor="text1"/>
                <w:sz w:val="20"/>
                <w:szCs w:val="20"/>
                <w:lang w:val="it-IT"/>
              </w:rPr>
            </w:pPr>
            <w:r w:rsidRPr="00830DBB">
              <w:rPr>
                <w:rFonts w:ascii="Arial" w:eastAsia="Times New Roman" w:hAnsi="Arial" w:cs="Arial"/>
                <w:color w:val="000000" w:themeColor="text1"/>
                <w:sz w:val="20"/>
                <w:szCs w:val="20"/>
                <w:lang w:val="it-IT"/>
              </w:rPr>
              <w:t>Lucrări transversale (praguri şi traverse de beton)</w:t>
            </w:r>
          </w:p>
          <w:p w:rsidR="00830DBB" w:rsidRPr="00830DBB" w:rsidRDefault="00830DBB" w:rsidP="00830DBB">
            <w:pPr>
              <w:tabs>
                <w:tab w:val="center" w:pos="4153"/>
                <w:tab w:val="right" w:pos="8306"/>
              </w:tabs>
              <w:autoSpaceDE w:val="0"/>
              <w:autoSpaceDN w:val="0"/>
              <w:adjustRightInd w:val="0"/>
              <w:spacing w:after="0" w:line="240" w:lineRule="auto"/>
              <w:rPr>
                <w:rFonts w:ascii="Arial" w:eastAsia="Times New Roman" w:hAnsi="Arial" w:cs="Arial"/>
                <w:color w:val="000000" w:themeColor="text1"/>
                <w:sz w:val="20"/>
                <w:szCs w:val="20"/>
                <w:lang w:val="it-IT"/>
              </w:rPr>
            </w:pPr>
            <w:r w:rsidRPr="00830DBB">
              <w:rPr>
                <w:rFonts w:ascii="Arial" w:eastAsia="Times New Roman" w:hAnsi="Arial" w:cs="Arial"/>
                <w:color w:val="000000" w:themeColor="text1"/>
                <w:sz w:val="20"/>
                <w:szCs w:val="20"/>
                <w:lang w:val="it-IT"/>
              </w:rPr>
              <w:t>Plantaţii silvice antierozionale</w:t>
            </w:r>
          </w:p>
        </w:tc>
      </w:tr>
      <w:tr w:rsidR="00830DBB" w:rsidRPr="00830DBB" w:rsidTr="00080B9C">
        <w:trPr>
          <w:trHeight w:val="225"/>
        </w:trPr>
        <w:tc>
          <w:tcPr>
            <w:tcW w:w="2892"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0"/>
                <w:szCs w:val="20"/>
                <w:lang w:val="ro-RO"/>
              </w:rPr>
            </w:pPr>
            <w:r w:rsidRPr="00830DBB">
              <w:rPr>
                <w:rFonts w:ascii="Arial" w:eastAsia="SimSun" w:hAnsi="Arial" w:cs="Arial"/>
                <w:color w:val="000000" w:themeColor="text1"/>
                <w:sz w:val="20"/>
                <w:szCs w:val="20"/>
                <w:lang w:val="ro-RO"/>
              </w:rPr>
              <w:t>Comuna Perieni</w:t>
            </w:r>
          </w:p>
        </w:tc>
        <w:tc>
          <w:tcPr>
            <w:tcW w:w="2313"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tabs>
                <w:tab w:val="center" w:pos="4153"/>
                <w:tab w:val="right" w:pos="8306"/>
              </w:tabs>
              <w:autoSpaceDE w:val="0"/>
              <w:autoSpaceDN w:val="0"/>
              <w:adjustRightInd w:val="0"/>
              <w:spacing w:after="0" w:line="240" w:lineRule="auto"/>
              <w:rPr>
                <w:rFonts w:ascii="Arial" w:eastAsia="Times New Roman" w:hAnsi="Arial" w:cs="Arial"/>
                <w:color w:val="000000" w:themeColor="text1"/>
                <w:sz w:val="20"/>
                <w:szCs w:val="20"/>
                <w:lang w:val="it-IT"/>
              </w:rPr>
            </w:pPr>
            <w:r w:rsidRPr="00830DBB">
              <w:rPr>
                <w:rFonts w:ascii="Arial" w:eastAsia="Times New Roman" w:hAnsi="Arial" w:cs="Arial"/>
                <w:color w:val="000000" w:themeColor="text1"/>
                <w:sz w:val="20"/>
                <w:szCs w:val="20"/>
                <w:lang w:val="it-IT"/>
              </w:rPr>
              <w:t>Şiroiri</w:t>
            </w:r>
          </w:p>
        </w:tc>
        <w:tc>
          <w:tcPr>
            <w:tcW w:w="1302"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tabs>
                <w:tab w:val="center" w:pos="4153"/>
                <w:tab w:val="right" w:pos="8306"/>
              </w:tabs>
              <w:autoSpaceDE w:val="0"/>
              <w:autoSpaceDN w:val="0"/>
              <w:adjustRightInd w:val="0"/>
              <w:spacing w:after="0" w:line="240" w:lineRule="auto"/>
              <w:jc w:val="center"/>
              <w:rPr>
                <w:rFonts w:ascii="Arial" w:eastAsia="Times New Roman" w:hAnsi="Arial" w:cs="Arial"/>
                <w:color w:val="000000" w:themeColor="text1"/>
                <w:sz w:val="20"/>
                <w:szCs w:val="20"/>
                <w:lang w:val="it-IT"/>
              </w:rPr>
            </w:pPr>
            <w:r w:rsidRPr="00830DBB">
              <w:rPr>
                <w:rFonts w:ascii="Arial" w:eastAsia="Times New Roman" w:hAnsi="Arial" w:cs="Arial"/>
                <w:color w:val="000000" w:themeColor="text1"/>
                <w:sz w:val="20"/>
                <w:szCs w:val="20"/>
                <w:lang w:val="it-IT"/>
              </w:rPr>
              <w:t>5</w:t>
            </w:r>
          </w:p>
        </w:tc>
        <w:tc>
          <w:tcPr>
            <w:tcW w:w="3274"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tabs>
                <w:tab w:val="center" w:pos="4153"/>
                <w:tab w:val="right" w:pos="8306"/>
              </w:tabs>
              <w:autoSpaceDE w:val="0"/>
              <w:autoSpaceDN w:val="0"/>
              <w:adjustRightInd w:val="0"/>
              <w:spacing w:after="0" w:line="240" w:lineRule="auto"/>
              <w:rPr>
                <w:rFonts w:ascii="Arial" w:eastAsia="Times New Roman" w:hAnsi="Arial" w:cs="Arial"/>
                <w:color w:val="000000" w:themeColor="text1"/>
                <w:sz w:val="20"/>
                <w:szCs w:val="20"/>
                <w:lang w:val="it-IT"/>
              </w:rPr>
            </w:pPr>
            <w:r w:rsidRPr="00830DBB">
              <w:rPr>
                <w:rFonts w:ascii="Arial" w:eastAsia="Times New Roman" w:hAnsi="Arial" w:cs="Arial"/>
                <w:color w:val="000000" w:themeColor="text1"/>
                <w:sz w:val="20"/>
                <w:szCs w:val="20"/>
                <w:lang w:val="it-IT"/>
              </w:rPr>
              <w:t>Plantaţii</w:t>
            </w:r>
          </w:p>
        </w:tc>
      </w:tr>
      <w:tr w:rsidR="00830DBB" w:rsidRPr="00830DBB" w:rsidTr="00080B9C">
        <w:trPr>
          <w:trHeight w:val="677"/>
        </w:trPr>
        <w:tc>
          <w:tcPr>
            <w:tcW w:w="2892"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0"/>
                <w:szCs w:val="20"/>
                <w:lang w:val="it-IT"/>
              </w:rPr>
            </w:pPr>
            <w:r w:rsidRPr="00830DBB">
              <w:rPr>
                <w:rFonts w:ascii="Arial" w:eastAsia="SimSun" w:hAnsi="Arial" w:cs="Arial"/>
                <w:color w:val="000000" w:themeColor="text1"/>
                <w:sz w:val="20"/>
                <w:szCs w:val="20"/>
                <w:lang w:val="it-IT"/>
              </w:rPr>
              <w:t>Comuna Soleşti, loc. Soleşti</w:t>
            </w:r>
          </w:p>
        </w:tc>
        <w:tc>
          <w:tcPr>
            <w:tcW w:w="2313"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0"/>
                <w:szCs w:val="20"/>
                <w:lang w:val="pt-BR"/>
              </w:rPr>
            </w:pPr>
            <w:r w:rsidRPr="00830DBB">
              <w:rPr>
                <w:rFonts w:ascii="Arial" w:eastAsia="SimSun" w:hAnsi="Arial" w:cs="Arial"/>
                <w:color w:val="000000" w:themeColor="text1"/>
                <w:sz w:val="20"/>
                <w:szCs w:val="20"/>
                <w:lang w:val="pt-BR"/>
              </w:rPr>
              <w:t>Eroziune de suprafaţă</w:t>
            </w:r>
          </w:p>
        </w:tc>
        <w:tc>
          <w:tcPr>
            <w:tcW w:w="1302"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tabs>
                <w:tab w:val="center" w:pos="4153"/>
                <w:tab w:val="right" w:pos="8306"/>
              </w:tabs>
              <w:autoSpaceDE w:val="0"/>
              <w:autoSpaceDN w:val="0"/>
              <w:adjustRightInd w:val="0"/>
              <w:spacing w:after="0" w:line="240" w:lineRule="auto"/>
              <w:jc w:val="center"/>
              <w:rPr>
                <w:rFonts w:ascii="Arial" w:eastAsia="Times New Roman" w:hAnsi="Arial" w:cs="Arial"/>
                <w:color w:val="000000" w:themeColor="text1"/>
                <w:sz w:val="20"/>
                <w:szCs w:val="20"/>
                <w:lang w:val="pt-BR"/>
              </w:rPr>
            </w:pPr>
            <w:r w:rsidRPr="00830DBB">
              <w:rPr>
                <w:rFonts w:ascii="Arial" w:eastAsia="Times New Roman" w:hAnsi="Arial" w:cs="Arial"/>
                <w:color w:val="000000" w:themeColor="text1"/>
                <w:sz w:val="20"/>
                <w:szCs w:val="20"/>
                <w:lang w:val="pt-BR"/>
              </w:rPr>
              <w:t>2</w:t>
            </w:r>
          </w:p>
        </w:tc>
        <w:tc>
          <w:tcPr>
            <w:tcW w:w="3274"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tabs>
                <w:tab w:val="center" w:pos="4153"/>
                <w:tab w:val="right" w:pos="8306"/>
              </w:tabs>
              <w:autoSpaceDE w:val="0"/>
              <w:autoSpaceDN w:val="0"/>
              <w:adjustRightInd w:val="0"/>
              <w:spacing w:after="0" w:line="240" w:lineRule="auto"/>
              <w:rPr>
                <w:rFonts w:ascii="Arial" w:eastAsia="Times New Roman" w:hAnsi="Arial" w:cs="Arial"/>
                <w:color w:val="000000" w:themeColor="text1"/>
                <w:sz w:val="20"/>
                <w:szCs w:val="20"/>
                <w:lang w:val="it-IT"/>
              </w:rPr>
            </w:pPr>
            <w:r w:rsidRPr="00830DBB">
              <w:rPr>
                <w:rFonts w:ascii="Arial" w:eastAsia="Times New Roman" w:hAnsi="Arial" w:cs="Arial"/>
                <w:color w:val="000000" w:themeColor="text1"/>
                <w:sz w:val="20"/>
                <w:szCs w:val="20"/>
                <w:lang w:val="it-IT"/>
              </w:rPr>
              <w:t>Lucrări transversale (praguri şi traverse de beton)</w:t>
            </w:r>
          </w:p>
          <w:p w:rsidR="00830DBB" w:rsidRPr="00830DBB" w:rsidRDefault="00830DBB" w:rsidP="00830DBB">
            <w:pPr>
              <w:tabs>
                <w:tab w:val="center" w:pos="4153"/>
                <w:tab w:val="right" w:pos="8306"/>
              </w:tabs>
              <w:autoSpaceDE w:val="0"/>
              <w:autoSpaceDN w:val="0"/>
              <w:adjustRightInd w:val="0"/>
              <w:spacing w:after="0" w:line="240" w:lineRule="auto"/>
              <w:rPr>
                <w:rFonts w:ascii="Arial" w:eastAsia="Times New Roman" w:hAnsi="Arial" w:cs="Arial"/>
                <w:color w:val="000000" w:themeColor="text1"/>
                <w:sz w:val="20"/>
                <w:szCs w:val="20"/>
                <w:lang w:val="it-IT"/>
              </w:rPr>
            </w:pPr>
            <w:r w:rsidRPr="00830DBB">
              <w:rPr>
                <w:rFonts w:ascii="Arial" w:eastAsia="Times New Roman" w:hAnsi="Arial" w:cs="Arial"/>
                <w:color w:val="000000" w:themeColor="text1"/>
                <w:sz w:val="20"/>
                <w:szCs w:val="20"/>
                <w:lang w:val="it-IT"/>
              </w:rPr>
              <w:t>Plantaţii silvice antierozionale</w:t>
            </w:r>
          </w:p>
        </w:tc>
      </w:tr>
      <w:tr w:rsidR="00830DBB" w:rsidRPr="00830DBB" w:rsidTr="00080B9C">
        <w:trPr>
          <w:trHeight w:val="692"/>
        </w:trPr>
        <w:tc>
          <w:tcPr>
            <w:tcW w:w="2892"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0"/>
                <w:szCs w:val="20"/>
                <w:lang w:val="it-IT"/>
              </w:rPr>
            </w:pPr>
            <w:r w:rsidRPr="00830DBB">
              <w:rPr>
                <w:rFonts w:ascii="Arial" w:eastAsia="SimSun" w:hAnsi="Arial" w:cs="Arial"/>
                <w:color w:val="000000" w:themeColor="text1"/>
                <w:sz w:val="20"/>
                <w:szCs w:val="20"/>
                <w:lang w:val="it-IT"/>
              </w:rPr>
              <w:t>Comuna Codăeşti, loc. Codăeşti</w:t>
            </w:r>
          </w:p>
        </w:tc>
        <w:tc>
          <w:tcPr>
            <w:tcW w:w="2313"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0"/>
                <w:szCs w:val="20"/>
                <w:lang w:val="en-GB"/>
              </w:rPr>
            </w:pPr>
            <w:r w:rsidRPr="00830DBB">
              <w:rPr>
                <w:rFonts w:ascii="Arial" w:eastAsia="SimSun" w:hAnsi="Arial" w:cs="Arial"/>
                <w:color w:val="000000" w:themeColor="text1"/>
                <w:sz w:val="20"/>
                <w:szCs w:val="20"/>
                <w:lang w:val="en-GB"/>
              </w:rPr>
              <w:t>Eroziune de adâncime</w:t>
            </w:r>
          </w:p>
        </w:tc>
        <w:tc>
          <w:tcPr>
            <w:tcW w:w="1302"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tabs>
                <w:tab w:val="center" w:pos="4153"/>
                <w:tab w:val="right" w:pos="8306"/>
              </w:tabs>
              <w:autoSpaceDE w:val="0"/>
              <w:autoSpaceDN w:val="0"/>
              <w:adjustRightInd w:val="0"/>
              <w:spacing w:after="0" w:line="240" w:lineRule="auto"/>
              <w:jc w:val="center"/>
              <w:rPr>
                <w:rFonts w:ascii="Arial" w:eastAsia="Times New Roman" w:hAnsi="Arial" w:cs="Arial"/>
                <w:color w:val="000000" w:themeColor="text1"/>
                <w:sz w:val="20"/>
                <w:szCs w:val="20"/>
                <w:lang w:val="it-IT"/>
              </w:rPr>
            </w:pPr>
            <w:r w:rsidRPr="00830DBB">
              <w:rPr>
                <w:rFonts w:ascii="Arial" w:eastAsia="Times New Roman" w:hAnsi="Arial" w:cs="Arial"/>
                <w:color w:val="000000" w:themeColor="text1"/>
                <w:sz w:val="20"/>
                <w:szCs w:val="20"/>
                <w:lang w:val="it-IT"/>
              </w:rPr>
              <w:t>4</w:t>
            </w:r>
          </w:p>
        </w:tc>
        <w:tc>
          <w:tcPr>
            <w:tcW w:w="3274"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tabs>
                <w:tab w:val="center" w:pos="4153"/>
                <w:tab w:val="right" w:pos="8306"/>
              </w:tabs>
              <w:autoSpaceDE w:val="0"/>
              <w:autoSpaceDN w:val="0"/>
              <w:adjustRightInd w:val="0"/>
              <w:spacing w:after="0" w:line="240" w:lineRule="auto"/>
              <w:rPr>
                <w:rFonts w:ascii="Arial" w:eastAsia="Times New Roman" w:hAnsi="Arial" w:cs="Arial"/>
                <w:color w:val="000000" w:themeColor="text1"/>
                <w:sz w:val="20"/>
                <w:szCs w:val="20"/>
                <w:lang w:val="it-IT"/>
              </w:rPr>
            </w:pPr>
            <w:r w:rsidRPr="00830DBB">
              <w:rPr>
                <w:rFonts w:ascii="Arial" w:eastAsia="Times New Roman" w:hAnsi="Arial" w:cs="Arial"/>
                <w:color w:val="000000" w:themeColor="text1"/>
                <w:sz w:val="20"/>
                <w:szCs w:val="20"/>
                <w:lang w:val="it-IT"/>
              </w:rPr>
              <w:t>Lucrări transversale (praguri şi traverse de beton)</w:t>
            </w:r>
          </w:p>
          <w:p w:rsidR="00830DBB" w:rsidRPr="00830DBB" w:rsidRDefault="00830DBB" w:rsidP="00830DBB">
            <w:pPr>
              <w:tabs>
                <w:tab w:val="center" w:pos="4153"/>
                <w:tab w:val="right" w:pos="8306"/>
              </w:tabs>
              <w:autoSpaceDE w:val="0"/>
              <w:autoSpaceDN w:val="0"/>
              <w:adjustRightInd w:val="0"/>
              <w:spacing w:after="0" w:line="240" w:lineRule="auto"/>
              <w:rPr>
                <w:rFonts w:ascii="Arial" w:eastAsia="Times New Roman" w:hAnsi="Arial" w:cs="Arial"/>
                <w:color w:val="000000" w:themeColor="text1"/>
                <w:sz w:val="20"/>
                <w:szCs w:val="20"/>
                <w:lang w:val="it-IT"/>
              </w:rPr>
            </w:pPr>
            <w:r w:rsidRPr="00830DBB">
              <w:rPr>
                <w:rFonts w:ascii="Arial" w:eastAsia="Times New Roman" w:hAnsi="Arial" w:cs="Arial"/>
                <w:color w:val="000000" w:themeColor="text1"/>
                <w:sz w:val="20"/>
                <w:szCs w:val="20"/>
                <w:lang w:val="it-IT"/>
              </w:rPr>
              <w:t>Plantaţii silvice antierozionale</w:t>
            </w:r>
          </w:p>
        </w:tc>
      </w:tr>
      <w:tr w:rsidR="00830DBB" w:rsidRPr="00830DBB" w:rsidTr="00080B9C">
        <w:trPr>
          <w:trHeight w:val="452"/>
        </w:trPr>
        <w:tc>
          <w:tcPr>
            <w:tcW w:w="2892"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0"/>
                <w:szCs w:val="20"/>
                <w:lang w:val="it-IT"/>
              </w:rPr>
            </w:pPr>
            <w:r w:rsidRPr="00830DBB">
              <w:rPr>
                <w:rFonts w:ascii="Arial" w:eastAsia="SimSun" w:hAnsi="Arial" w:cs="Arial"/>
                <w:color w:val="000000" w:themeColor="text1"/>
                <w:sz w:val="20"/>
                <w:szCs w:val="20"/>
                <w:lang w:val="it-IT"/>
              </w:rPr>
              <w:t>Comuna Vinderei, loc. Valea Lungă</w:t>
            </w:r>
          </w:p>
        </w:tc>
        <w:tc>
          <w:tcPr>
            <w:tcW w:w="2313"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tabs>
                <w:tab w:val="center" w:pos="4153"/>
                <w:tab w:val="right" w:pos="8306"/>
              </w:tabs>
              <w:autoSpaceDE w:val="0"/>
              <w:autoSpaceDN w:val="0"/>
              <w:adjustRightInd w:val="0"/>
              <w:spacing w:after="0" w:line="240" w:lineRule="auto"/>
              <w:rPr>
                <w:rFonts w:ascii="Arial" w:eastAsia="Times New Roman" w:hAnsi="Arial" w:cs="Arial"/>
                <w:color w:val="000000" w:themeColor="text1"/>
                <w:sz w:val="20"/>
                <w:szCs w:val="20"/>
                <w:lang w:val="it-IT"/>
              </w:rPr>
            </w:pPr>
            <w:r w:rsidRPr="00830DBB">
              <w:rPr>
                <w:rFonts w:ascii="Arial" w:eastAsia="Times New Roman" w:hAnsi="Arial" w:cs="Arial"/>
                <w:color w:val="000000" w:themeColor="text1"/>
                <w:sz w:val="20"/>
                <w:szCs w:val="20"/>
                <w:lang w:val="it-IT"/>
              </w:rPr>
              <w:t>Şiroiri</w:t>
            </w:r>
          </w:p>
        </w:tc>
        <w:tc>
          <w:tcPr>
            <w:tcW w:w="1302"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tabs>
                <w:tab w:val="center" w:pos="4153"/>
                <w:tab w:val="right" w:pos="8306"/>
              </w:tabs>
              <w:autoSpaceDE w:val="0"/>
              <w:autoSpaceDN w:val="0"/>
              <w:adjustRightInd w:val="0"/>
              <w:spacing w:after="0" w:line="240" w:lineRule="auto"/>
              <w:jc w:val="center"/>
              <w:rPr>
                <w:rFonts w:ascii="Arial" w:eastAsia="Times New Roman" w:hAnsi="Arial" w:cs="Arial"/>
                <w:color w:val="000000" w:themeColor="text1"/>
                <w:sz w:val="20"/>
                <w:szCs w:val="20"/>
                <w:lang w:val="it-IT"/>
              </w:rPr>
            </w:pPr>
            <w:r w:rsidRPr="00830DBB">
              <w:rPr>
                <w:rFonts w:ascii="Arial" w:eastAsia="Times New Roman" w:hAnsi="Arial" w:cs="Arial"/>
                <w:color w:val="000000" w:themeColor="text1"/>
                <w:sz w:val="20"/>
                <w:szCs w:val="20"/>
                <w:lang w:val="it-IT"/>
              </w:rPr>
              <w:t>25</w:t>
            </w:r>
          </w:p>
        </w:tc>
        <w:tc>
          <w:tcPr>
            <w:tcW w:w="3274"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tabs>
                <w:tab w:val="center" w:pos="4153"/>
                <w:tab w:val="right" w:pos="8306"/>
              </w:tabs>
              <w:autoSpaceDE w:val="0"/>
              <w:autoSpaceDN w:val="0"/>
              <w:adjustRightInd w:val="0"/>
              <w:spacing w:after="0" w:line="240" w:lineRule="auto"/>
              <w:rPr>
                <w:rFonts w:ascii="Arial" w:eastAsia="Times New Roman" w:hAnsi="Arial" w:cs="Arial"/>
                <w:color w:val="000000" w:themeColor="text1"/>
                <w:sz w:val="20"/>
                <w:szCs w:val="20"/>
                <w:lang w:val="it-IT"/>
              </w:rPr>
            </w:pPr>
            <w:r w:rsidRPr="00830DBB">
              <w:rPr>
                <w:rFonts w:ascii="Arial" w:eastAsia="Times New Roman" w:hAnsi="Arial" w:cs="Arial"/>
                <w:color w:val="000000" w:themeColor="text1"/>
                <w:sz w:val="20"/>
                <w:szCs w:val="20"/>
                <w:lang w:val="it-IT"/>
              </w:rPr>
              <w:t>Plantaţii</w:t>
            </w:r>
          </w:p>
        </w:tc>
      </w:tr>
      <w:tr w:rsidR="00830DBB" w:rsidRPr="00830DBB" w:rsidTr="00080B9C">
        <w:trPr>
          <w:trHeight w:val="467"/>
        </w:trPr>
        <w:tc>
          <w:tcPr>
            <w:tcW w:w="2892"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spacing w:after="0" w:line="240" w:lineRule="auto"/>
              <w:rPr>
                <w:rFonts w:ascii="Arial" w:eastAsia="SimSun" w:hAnsi="Arial" w:cs="Arial"/>
                <w:color w:val="000000" w:themeColor="text1"/>
                <w:sz w:val="20"/>
                <w:szCs w:val="20"/>
                <w:lang w:val="it-IT"/>
              </w:rPr>
            </w:pPr>
            <w:r w:rsidRPr="00830DBB">
              <w:rPr>
                <w:rFonts w:ascii="Arial" w:eastAsia="SimSun" w:hAnsi="Arial" w:cs="Arial"/>
                <w:color w:val="000000" w:themeColor="text1"/>
                <w:sz w:val="20"/>
                <w:szCs w:val="20"/>
                <w:lang w:val="it-IT"/>
              </w:rPr>
              <w:t>Comuna Dragomireşti, loc. Belzeni</w:t>
            </w:r>
          </w:p>
        </w:tc>
        <w:tc>
          <w:tcPr>
            <w:tcW w:w="2313"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tabs>
                <w:tab w:val="center" w:pos="4153"/>
                <w:tab w:val="right" w:pos="8306"/>
              </w:tabs>
              <w:autoSpaceDE w:val="0"/>
              <w:autoSpaceDN w:val="0"/>
              <w:adjustRightInd w:val="0"/>
              <w:spacing w:after="0" w:line="240" w:lineRule="auto"/>
              <w:rPr>
                <w:rFonts w:ascii="Arial" w:eastAsia="Times New Roman" w:hAnsi="Arial" w:cs="Arial"/>
                <w:color w:val="000000" w:themeColor="text1"/>
                <w:sz w:val="20"/>
                <w:szCs w:val="20"/>
                <w:lang w:val="it-IT"/>
              </w:rPr>
            </w:pPr>
            <w:r w:rsidRPr="00830DBB">
              <w:rPr>
                <w:rFonts w:ascii="Arial" w:eastAsia="Times New Roman" w:hAnsi="Arial" w:cs="Arial"/>
                <w:color w:val="000000" w:themeColor="text1"/>
                <w:sz w:val="20"/>
                <w:szCs w:val="20"/>
              </w:rPr>
              <w:t>Eroziune de adâncime</w:t>
            </w:r>
          </w:p>
        </w:tc>
        <w:tc>
          <w:tcPr>
            <w:tcW w:w="1302"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tabs>
                <w:tab w:val="center" w:pos="4153"/>
                <w:tab w:val="right" w:pos="8306"/>
              </w:tabs>
              <w:autoSpaceDE w:val="0"/>
              <w:autoSpaceDN w:val="0"/>
              <w:adjustRightInd w:val="0"/>
              <w:spacing w:after="0" w:line="240" w:lineRule="auto"/>
              <w:jc w:val="center"/>
              <w:rPr>
                <w:rFonts w:ascii="Arial" w:eastAsia="Times New Roman" w:hAnsi="Arial" w:cs="Arial"/>
                <w:color w:val="000000" w:themeColor="text1"/>
                <w:sz w:val="20"/>
                <w:szCs w:val="20"/>
                <w:lang w:val="it-IT"/>
              </w:rPr>
            </w:pPr>
            <w:r w:rsidRPr="00830DBB">
              <w:rPr>
                <w:rFonts w:ascii="Arial" w:eastAsia="Times New Roman" w:hAnsi="Arial" w:cs="Arial"/>
                <w:color w:val="000000" w:themeColor="text1"/>
                <w:sz w:val="20"/>
                <w:szCs w:val="20"/>
                <w:lang w:val="it-IT"/>
              </w:rPr>
              <w:t>5</w:t>
            </w:r>
          </w:p>
        </w:tc>
        <w:tc>
          <w:tcPr>
            <w:tcW w:w="3274" w:type="dxa"/>
            <w:tcBorders>
              <w:top w:val="single" w:sz="4" w:space="0" w:color="auto"/>
              <w:left w:val="single" w:sz="4" w:space="0" w:color="auto"/>
              <w:bottom w:val="single" w:sz="4" w:space="0" w:color="auto"/>
              <w:right w:val="single" w:sz="4" w:space="0" w:color="auto"/>
            </w:tcBorders>
          </w:tcPr>
          <w:p w:rsidR="00830DBB" w:rsidRPr="00830DBB" w:rsidRDefault="00830DBB" w:rsidP="00830DBB">
            <w:pPr>
              <w:tabs>
                <w:tab w:val="center" w:pos="4153"/>
                <w:tab w:val="right" w:pos="8306"/>
              </w:tabs>
              <w:autoSpaceDE w:val="0"/>
              <w:autoSpaceDN w:val="0"/>
              <w:adjustRightInd w:val="0"/>
              <w:spacing w:after="0" w:line="240" w:lineRule="auto"/>
              <w:rPr>
                <w:rFonts w:ascii="Arial" w:eastAsia="Times New Roman" w:hAnsi="Arial" w:cs="Arial"/>
                <w:color w:val="000000" w:themeColor="text1"/>
                <w:sz w:val="20"/>
                <w:szCs w:val="20"/>
                <w:lang w:val="it-IT"/>
              </w:rPr>
            </w:pPr>
            <w:r w:rsidRPr="00830DBB">
              <w:rPr>
                <w:rFonts w:ascii="Arial" w:eastAsia="Times New Roman" w:hAnsi="Arial" w:cs="Arial"/>
                <w:color w:val="000000" w:themeColor="text1"/>
                <w:sz w:val="20"/>
                <w:szCs w:val="20"/>
                <w:lang w:val="it-IT"/>
              </w:rPr>
              <w:t>Plantaţii şi completări de goluri în plantaţii antierozionale</w:t>
            </w:r>
          </w:p>
        </w:tc>
      </w:tr>
    </w:tbl>
    <w:p w:rsidR="00830DBB" w:rsidRPr="00830DBB" w:rsidRDefault="00830DBB" w:rsidP="00830DBB">
      <w:pPr>
        <w:keepNext/>
        <w:spacing w:after="0" w:line="240" w:lineRule="auto"/>
        <w:outlineLvl w:val="0"/>
        <w:rPr>
          <w:rFonts w:ascii="Times New Roman" w:eastAsia="Times New Roman" w:hAnsi="Times New Roman" w:cs="Times New Roman"/>
          <w:bCs/>
          <w:color w:val="000000" w:themeColor="text1"/>
          <w:sz w:val="20"/>
          <w:szCs w:val="20"/>
          <w:lang w:eastAsia="ro-RO"/>
        </w:rPr>
      </w:pPr>
      <w:r w:rsidRPr="00830DBB">
        <w:rPr>
          <w:rFonts w:ascii="Times New Roman" w:eastAsia="Times New Roman" w:hAnsi="Times New Roman" w:cs="Times New Roman"/>
          <w:color w:val="000000" w:themeColor="text1"/>
          <w:lang w:eastAsia="ro-RO"/>
        </w:rPr>
        <w:t xml:space="preserve">(sursa: ANIF – </w:t>
      </w:r>
      <w:r w:rsidRPr="00830DBB">
        <w:rPr>
          <w:rFonts w:ascii="Times New Roman" w:eastAsia="Times New Roman" w:hAnsi="Times New Roman" w:cs="Times New Roman"/>
          <w:bCs/>
          <w:color w:val="000000" w:themeColor="text1"/>
          <w:sz w:val="20"/>
          <w:szCs w:val="20"/>
          <w:lang w:eastAsia="ro-RO"/>
        </w:rPr>
        <w:t>Filiala teritorială MOLDOVA SUD</w:t>
      </w:r>
      <w:r w:rsidRPr="00830DBB">
        <w:rPr>
          <w:rFonts w:ascii="Times New Roman" w:eastAsia="Times New Roman" w:hAnsi="Times New Roman" w:cs="Times New Roman"/>
          <w:color w:val="000000" w:themeColor="text1"/>
          <w:sz w:val="20"/>
          <w:szCs w:val="20"/>
          <w:lang w:eastAsia="ro-RO"/>
        </w:rPr>
        <w:t xml:space="preserve"> - Unitatea de administrare VASLUI)</w:t>
      </w:r>
    </w:p>
    <w:p w:rsidR="00830DBB" w:rsidRPr="00830DBB" w:rsidRDefault="00830DBB" w:rsidP="00830DBB">
      <w:pPr>
        <w:tabs>
          <w:tab w:val="center" w:pos="4703"/>
          <w:tab w:val="right" w:pos="9406"/>
        </w:tabs>
        <w:spacing w:after="0" w:line="264" w:lineRule="auto"/>
        <w:jc w:val="both"/>
        <w:rPr>
          <w:rFonts w:ascii="Arial" w:eastAsia="Times New Roman" w:hAnsi="Arial" w:cs="Arial"/>
          <w:b/>
          <w:color w:val="000000" w:themeColor="text1"/>
          <w:sz w:val="24"/>
          <w:szCs w:val="24"/>
          <w:lang w:val="en-GB"/>
        </w:rPr>
      </w:pPr>
    </w:p>
    <w:p w:rsidR="00830DBB" w:rsidRPr="00830DBB" w:rsidRDefault="00830DBB" w:rsidP="00830DBB">
      <w:pPr>
        <w:tabs>
          <w:tab w:val="center" w:pos="4703"/>
          <w:tab w:val="right" w:pos="9406"/>
        </w:tabs>
        <w:spacing w:after="0" w:line="264" w:lineRule="auto"/>
        <w:jc w:val="both"/>
        <w:rPr>
          <w:rFonts w:ascii="Arial" w:eastAsia="Times New Roman" w:hAnsi="Arial" w:cs="Arial"/>
          <w:color w:val="000000" w:themeColor="text1"/>
          <w:sz w:val="24"/>
          <w:szCs w:val="24"/>
          <w:lang w:val="ro-RO"/>
        </w:rPr>
      </w:pPr>
      <w:r w:rsidRPr="00830DBB">
        <w:rPr>
          <w:rFonts w:ascii="Arial" w:eastAsia="Times New Roman" w:hAnsi="Arial" w:cs="Arial"/>
          <w:color w:val="000000" w:themeColor="text1"/>
          <w:sz w:val="24"/>
          <w:szCs w:val="24"/>
          <w:lang w:val="en-GB"/>
        </w:rPr>
        <w:t>La nivelul judeţului Vaslui nu s-au identificat situri contaminate/potenţial contaminate.</w:t>
      </w:r>
    </w:p>
    <w:p w:rsidR="00830DBB" w:rsidRPr="00830DBB" w:rsidRDefault="00830DBB" w:rsidP="00830DBB">
      <w:pPr>
        <w:tabs>
          <w:tab w:val="center" w:pos="4703"/>
          <w:tab w:val="right" w:pos="9406"/>
        </w:tabs>
        <w:spacing w:after="0" w:line="264" w:lineRule="auto"/>
        <w:jc w:val="both"/>
        <w:rPr>
          <w:rFonts w:ascii="Arial" w:eastAsia="Times New Roman" w:hAnsi="Arial" w:cs="Arial"/>
          <w:b/>
          <w:color w:val="FF0000"/>
          <w:sz w:val="24"/>
          <w:szCs w:val="24"/>
          <w:lang w:val="ro-RO"/>
        </w:rPr>
      </w:pPr>
    </w:p>
    <w:p w:rsidR="00830DBB" w:rsidRPr="00830DBB" w:rsidRDefault="00830DBB" w:rsidP="00830DBB">
      <w:pPr>
        <w:spacing w:after="0" w:line="240" w:lineRule="auto"/>
        <w:rPr>
          <w:rFonts w:ascii="Arial" w:eastAsia="SimSun" w:hAnsi="Arial" w:cs="Arial"/>
          <w:b/>
          <w:sz w:val="24"/>
          <w:szCs w:val="24"/>
          <w:lang w:val="ro-RO"/>
        </w:rPr>
      </w:pPr>
      <w:r w:rsidRPr="00830DBB">
        <w:rPr>
          <w:rFonts w:ascii="Arial" w:eastAsia="SimSun" w:hAnsi="Arial" w:cs="Arial"/>
          <w:b/>
          <w:sz w:val="24"/>
          <w:szCs w:val="24"/>
          <w:lang w:val="ro-RO"/>
        </w:rPr>
        <w:t xml:space="preserve">III.3. Presiuni asupra stării de calitate a  solurilor   </w:t>
      </w:r>
    </w:p>
    <w:p w:rsidR="00830DBB" w:rsidRPr="00830DBB" w:rsidRDefault="00830DBB" w:rsidP="00830DBB">
      <w:pPr>
        <w:spacing w:after="0" w:line="240" w:lineRule="auto"/>
        <w:rPr>
          <w:rFonts w:ascii="Arial" w:eastAsia="SimSun" w:hAnsi="Arial" w:cs="Arial"/>
          <w:b/>
          <w:sz w:val="24"/>
          <w:szCs w:val="24"/>
          <w:lang w:val="ro-RO"/>
        </w:rPr>
      </w:pPr>
      <w:r w:rsidRPr="00830DBB">
        <w:rPr>
          <w:rFonts w:ascii="Arial" w:eastAsia="SimSun" w:hAnsi="Arial" w:cs="Arial"/>
          <w:b/>
          <w:sz w:val="24"/>
          <w:szCs w:val="24"/>
          <w:lang w:val="ro-RO"/>
        </w:rPr>
        <w:tab/>
      </w:r>
    </w:p>
    <w:p w:rsidR="00830DBB" w:rsidRPr="00830DBB" w:rsidRDefault="00830DBB" w:rsidP="00E264EC">
      <w:pPr>
        <w:autoSpaceDE w:val="0"/>
        <w:autoSpaceDN w:val="0"/>
        <w:adjustRightInd w:val="0"/>
        <w:spacing w:after="0" w:line="240" w:lineRule="auto"/>
        <w:ind w:firstLine="720"/>
        <w:jc w:val="both"/>
        <w:rPr>
          <w:rFonts w:ascii="Arial" w:eastAsia="Times New Roman" w:hAnsi="Arial" w:cs="Arial"/>
          <w:color w:val="FF0000"/>
          <w:sz w:val="24"/>
          <w:szCs w:val="24"/>
        </w:rPr>
      </w:pPr>
      <w:r w:rsidRPr="00830DBB">
        <w:rPr>
          <w:rFonts w:ascii="Arial" w:eastAsia="Times New Roman" w:hAnsi="Arial" w:cs="Arial"/>
          <w:color w:val="000000" w:themeColor="text1"/>
          <w:sz w:val="24"/>
          <w:szCs w:val="24"/>
        </w:rPr>
        <w:t xml:space="preserve">Întrucât noţiunea de îngraşăminte este uneori confundată cu cea de ioni nutritivi (din sol sau din plantă) trebuie să precizăm că îngraşamintele, în sens agrochimic, sunt </w:t>
      </w:r>
      <w:r w:rsidRPr="00830DBB">
        <w:rPr>
          <w:rFonts w:ascii="Arial" w:eastAsia="Times New Roman" w:hAnsi="Arial" w:cs="Arial"/>
          <w:iCs/>
          <w:color w:val="000000" w:themeColor="text1"/>
          <w:sz w:val="24"/>
          <w:szCs w:val="24"/>
        </w:rPr>
        <w:t>substan</w:t>
      </w:r>
      <w:r w:rsidRPr="00830DBB">
        <w:rPr>
          <w:rFonts w:ascii="Arial" w:eastAsia="Times New Roman" w:hAnsi="Arial" w:cs="Arial"/>
          <w:color w:val="000000" w:themeColor="text1"/>
          <w:sz w:val="24"/>
          <w:szCs w:val="24"/>
        </w:rPr>
        <w:t>ţ</w:t>
      </w:r>
      <w:r w:rsidRPr="00830DBB">
        <w:rPr>
          <w:rFonts w:ascii="Arial" w:eastAsia="Times New Roman" w:hAnsi="Arial" w:cs="Arial"/>
          <w:iCs/>
          <w:color w:val="000000" w:themeColor="text1"/>
          <w:sz w:val="24"/>
          <w:szCs w:val="24"/>
        </w:rPr>
        <w:t>ele minerale sau organice simple sau compuse, naturale sau ob</w:t>
      </w:r>
      <w:r w:rsidRPr="00830DBB">
        <w:rPr>
          <w:rFonts w:ascii="Arial" w:eastAsia="Times New Roman" w:hAnsi="Arial" w:cs="Arial"/>
          <w:color w:val="000000" w:themeColor="text1"/>
          <w:sz w:val="24"/>
          <w:szCs w:val="24"/>
        </w:rPr>
        <w:t>ţ</w:t>
      </w:r>
      <w:r w:rsidRPr="00830DBB">
        <w:rPr>
          <w:rFonts w:ascii="Arial" w:eastAsia="Times New Roman" w:hAnsi="Arial" w:cs="Arial"/>
          <w:iCs/>
          <w:color w:val="000000" w:themeColor="text1"/>
          <w:sz w:val="24"/>
          <w:szCs w:val="24"/>
        </w:rPr>
        <w:t>inute pe cale de sintez</w:t>
      </w:r>
      <w:r w:rsidRPr="00830DBB">
        <w:rPr>
          <w:rFonts w:ascii="Arial" w:eastAsia="Times New Roman" w:hAnsi="Arial" w:cs="Arial"/>
          <w:color w:val="000000" w:themeColor="text1"/>
          <w:sz w:val="24"/>
          <w:szCs w:val="24"/>
        </w:rPr>
        <w:t>ă</w:t>
      </w:r>
      <w:r w:rsidRPr="00830DBB">
        <w:rPr>
          <w:rFonts w:ascii="Arial" w:eastAsia="Times New Roman" w:hAnsi="Arial" w:cs="Arial"/>
          <w:iCs/>
          <w:color w:val="000000" w:themeColor="text1"/>
          <w:sz w:val="24"/>
          <w:szCs w:val="24"/>
        </w:rPr>
        <w:t>, care se aplic</w:t>
      </w:r>
      <w:r w:rsidRPr="00830DBB">
        <w:rPr>
          <w:rFonts w:ascii="Arial" w:eastAsia="Times New Roman" w:hAnsi="Arial" w:cs="Arial"/>
          <w:color w:val="000000" w:themeColor="text1"/>
          <w:sz w:val="24"/>
          <w:szCs w:val="24"/>
        </w:rPr>
        <w:t xml:space="preserve">ă </w:t>
      </w:r>
      <w:r w:rsidRPr="00830DBB">
        <w:rPr>
          <w:rFonts w:ascii="Arial" w:eastAsia="Times New Roman" w:hAnsi="Arial" w:cs="Arial"/>
          <w:iCs/>
          <w:color w:val="000000" w:themeColor="text1"/>
          <w:sz w:val="24"/>
          <w:szCs w:val="24"/>
        </w:rPr>
        <w:t>sub form</w:t>
      </w:r>
      <w:r w:rsidRPr="00830DBB">
        <w:rPr>
          <w:rFonts w:ascii="Arial" w:eastAsia="Times New Roman" w:hAnsi="Arial" w:cs="Arial"/>
          <w:color w:val="000000" w:themeColor="text1"/>
          <w:sz w:val="24"/>
          <w:szCs w:val="24"/>
        </w:rPr>
        <w:t xml:space="preserve">ă </w:t>
      </w:r>
      <w:r w:rsidRPr="00830DBB">
        <w:rPr>
          <w:rFonts w:ascii="Arial" w:eastAsia="Times New Roman" w:hAnsi="Arial" w:cs="Arial"/>
          <w:iCs/>
          <w:color w:val="000000" w:themeColor="text1"/>
          <w:sz w:val="24"/>
          <w:szCs w:val="24"/>
        </w:rPr>
        <w:t>solid</w:t>
      </w:r>
      <w:r w:rsidRPr="00830DBB">
        <w:rPr>
          <w:rFonts w:ascii="Arial" w:eastAsia="Times New Roman" w:hAnsi="Arial" w:cs="Arial"/>
          <w:color w:val="000000" w:themeColor="text1"/>
          <w:sz w:val="24"/>
          <w:szCs w:val="24"/>
        </w:rPr>
        <w:t xml:space="preserve">ă </w:t>
      </w:r>
      <w:r w:rsidRPr="00830DBB">
        <w:rPr>
          <w:rFonts w:ascii="Arial" w:eastAsia="Times New Roman" w:hAnsi="Arial" w:cs="Arial"/>
          <w:iCs/>
          <w:color w:val="000000" w:themeColor="text1"/>
          <w:sz w:val="24"/>
          <w:szCs w:val="24"/>
        </w:rPr>
        <w:t>sau lichid</w:t>
      </w:r>
      <w:r w:rsidRPr="00830DBB">
        <w:rPr>
          <w:rFonts w:ascii="Arial" w:eastAsia="Times New Roman" w:hAnsi="Arial" w:cs="Arial"/>
          <w:color w:val="000000" w:themeColor="text1"/>
          <w:sz w:val="24"/>
          <w:szCs w:val="24"/>
        </w:rPr>
        <w:t>ă</w:t>
      </w:r>
      <w:r w:rsidRPr="00830DBB">
        <w:rPr>
          <w:rFonts w:ascii="Arial" w:eastAsia="Times New Roman" w:hAnsi="Arial" w:cs="Arial"/>
          <w:iCs/>
          <w:color w:val="000000" w:themeColor="text1"/>
          <w:sz w:val="24"/>
          <w:szCs w:val="24"/>
        </w:rPr>
        <w:t>, în sol, la suprafa</w:t>
      </w:r>
      <w:r w:rsidRPr="00830DBB">
        <w:rPr>
          <w:rFonts w:ascii="Arial" w:eastAsia="Times New Roman" w:hAnsi="Arial" w:cs="Arial"/>
          <w:color w:val="000000" w:themeColor="text1"/>
          <w:sz w:val="24"/>
          <w:szCs w:val="24"/>
        </w:rPr>
        <w:t>ţ</w:t>
      </w:r>
      <w:r w:rsidRPr="00830DBB">
        <w:rPr>
          <w:rFonts w:ascii="Arial" w:eastAsia="Times New Roman" w:hAnsi="Arial" w:cs="Arial"/>
          <w:iCs/>
          <w:color w:val="000000" w:themeColor="text1"/>
          <w:sz w:val="24"/>
          <w:szCs w:val="24"/>
        </w:rPr>
        <w:t>a lui sau pe plant</w:t>
      </w:r>
      <w:r w:rsidRPr="00830DBB">
        <w:rPr>
          <w:rFonts w:ascii="Arial" w:eastAsia="Times New Roman" w:hAnsi="Arial" w:cs="Arial"/>
          <w:color w:val="000000" w:themeColor="text1"/>
          <w:sz w:val="24"/>
          <w:szCs w:val="24"/>
        </w:rPr>
        <w:t>ă</w:t>
      </w:r>
      <w:r w:rsidRPr="00830DBB">
        <w:rPr>
          <w:rFonts w:ascii="Arial" w:eastAsia="Times New Roman" w:hAnsi="Arial" w:cs="Arial"/>
          <w:iCs/>
          <w:color w:val="000000" w:themeColor="text1"/>
          <w:sz w:val="24"/>
          <w:szCs w:val="24"/>
        </w:rPr>
        <w:t xml:space="preserve">, pentru completarea necesarului de ioni nutritivi </w:t>
      </w:r>
      <w:r w:rsidRPr="00830DBB">
        <w:rPr>
          <w:rFonts w:ascii="Arial" w:eastAsia="Times New Roman" w:hAnsi="Arial" w:cs="Arial"/>
          <w:color w:val="000000" w:themeColor="text1"/>
          <w:sz w:val="24"/>
          <w:szCs w:val="24"/>
        </w:rPr>
        <w:t>ş</w:t>
      </w:r>
      <w:r w:rsidRPr="00830DBB">
        <w:rPr>
          <w:rFonts w:ascii="Arial" w:eastAsia="Times New Roman" w:hAnsi="Arial" w:cs="Arial"/>
          <w:iCs/>
          <w:color w:val="000000" w:themeColor="text1"/>
          <w:sz w:val="24"/>
          <w:szCs w:val="24"/>
        </w:rPr>
        <w:t>i pentru îmbun</w:t>
      </w:r>
      <w:r w:rsidRPr="00830DBB">
        <w:rPr>
          <w:rFonts w:ascii="Arial" w:eastAsia="Times New Roman" w:hAnsi="Arial" w:cs="Arial"/>
          <w:color w:val="000000" w:themeColor="text1"/>
          <w:sz w:val="24"/>
          <w:szCs w:val="24"/>
        </w:rPr>
        <w:t>a</w:t>
      </w:r>
      <w:r w:rsidRPr="00830DBB">
        <w:rPr>
          <w:rFonts w:ascii="Arial" w:eastAsia="Times New Roman" w:hAnsi="Arial" w:cs="Arial"/>
          <w:iCs/>
          <w:color w:val="000000" w:themeColor="text1"/>
          <w:sz w:val="24"/>
          <w:szCs w:val="24"/>
        </w:rPr>
        <w:t>t</w:t>
      </w:r>
      <w:r w:rsidRPr="00830DBB">
        <w:rPr>
          <w:rFonts w:ascii="Arial" w:eastAsia="Times New Roman" w:hAnsi="Arial" w:cs="Arial"/>
          <w:color w:val="000000" w:themeColor="text1"/>
          <w:sz w:val="24"/>
          <w:szCs w:val="24"/>
        </w:rPr>
        <w:t>ăţ</w:t>
      </w:r>
      <w:r w:rsidRPr="00830DBB">
        <w:rPr>
          <w:rFonts w:ascii="Arial" w:eastAsia="Times New Roman" w:hAnsi="Arial" w:cs="Arial"/>
          <w:iCs/>
          <w:color w:val="000000" w:themeColor="text1"/>
          <w:sz w:val="24"/>
          <w:szCs w:val="24"/>
        </w:rPr>
        <w:t>irea condi</w:t>
      </w:r>
      <w:r w:rsidRPr="00830DBB">
        <w:rPr>
          <w:rFonts w:ascii="Arial" w:eastAsia="Times New Roman" w:hAnsi="Arial" w:cs="Arial"/>
          <w:color w:val="000000" w:themeColor="text1"/>
          <w:sz w:val="24"/>
          <w:szCs w:val="24"/>
        </w:rPr>
        <w:t>ţ</w:t>
      </w:r>
      <w:r w:rsidRPr="00830DBB">
        <w:rPr>
          <w:rFonts w:ascii="Arial" w:eastAsia="Times New Roman" w:hAnsi="Arial" w:cs="Arial"/>
          <w:iCs/>
          <w:color w:val="000000" w:themeColor="text1"/>
          <w:sz w:val="24"/>
          <w:szCs w:val="24"/>
        </w:rPr>
        <w:t>iilor de cre</w:t>
      </w:r>
      <w:r w:rsidRPr="00830DBB">
        <w:rPr>
          <w:rFonts w:ascii="Arial" w:eastAsia="Times New Roman" w:hAnsi="Arial" w:cs="Arial"/>
          <w:color w:val="000000" w:themeColor="text1"/>
          <w:sz w:val="24"/>
          <w:szCs w:val="24"/>
        </w:rPr>
        <w:t>ş</w:t>
      </w:r>
      <w:r w:rsidRPr="00830DBB">
        <w:rPr>
          <w:rFonts w:ascii="Arial" w:eastAsia="Times New Roman" w:hAnsi="Arial" w:cs="Arial"/>
          <w:iCs/>
          <w:color w:val="000000" w:themeColor="text1"/>
          <w:sz w:val="24"/>
          <w:szCs w:val="24"/>
        </w:rPr>
        <w:t xml:space="preserve">tere </w:t>
      </w:r>
      <w:r w:rsidRPr="00830DBB">
        <w:rPr>
          <w:rFonts w:ascii="Arial" w:eastAsia="Times New Roman" w:hAnsi="Arial" w:cs="Arial"/>
          <w:color w:val="000000" w:themeColor="text1"/>
          <w:sz w:val="24"/>
          <w:szCs w:val="24"/>
        </w:rPr>
        <w:t>ş</w:t>
      </w:r>
      <w:r w:rsidRPr="00830DBB">
        <w:rPr>
          <w:rFonts w:ascii="Arial" w:eastAsia="Times New Roman" w:hAnsi="Arial" w:cs="Arial"/>
          <w:iCs/>
          <w:color w:val="000000" w:themeColor="text1"/>
          <w:sz w:val="24"/>
          <w:szCs w:val="24"/>
        </w:rPr>
        <w:t>i dezvoltare a plantelor agricole, a facilit</w:t>
      </w:r>
      <w:r w:rsidRPr="00830DBB">
        <w:rPr>
          <w:rFonts w:ascii="Arial" w:eastAsia="Times New Roman" w:hAnsi="Arial" w:cs="Arial"/>
          <w:color w:val="000000" w:themeColor="text1"/>
          <w:sz w:val="24"/>
          <w:szCs w:val="24"/>
        </w:rPr>
        <w:t>ă</w:t>
      </w:r>
      <w:r w:rsidRPr="00830DBB">
        <w:rPr>
          <w:rFonts w:ascii="Arial" w:eastAsia="Times New Roman" w:hAnsi="Arial" w:cs="Arial"/>
          <w:iCs/>
          <w:color w:val="000000" w:themeColor="text1"/>
          <w:sz w:val="24"/>
          <w:szCs w:val="24"/>
        </w:rPr>
        <w:t>rii descompunerii resturilor organice, a intensific</w:t>
      </w:r>
      <w:r w:rsidRPr="00830DBB">
        <w:rPr>
          <w:rFonts w:ascii="Arial" w:eastAsia="Times New Roman" w:hAnsi="Arial" w:cs="Arial"/>
          <w:color w:val="000000" w:themeColor="text1"/>
          <w:sz w:val="24"/>
          <w:szCs w:val="24"/>
        </w:rPr>
        <w:t>ă</w:t>
      </w:r>
      <w:r w:rsidRPr="00830DBB">
        <w:rPr>
          <w:rFonts w:ascii="Arial" w:eastAsia="Times New Roman" w:hAnsi="Arial" w:cs="Arial"/>
          <w:iCs/>
          <w:color w:val="000000" w:themeColor="text1"/>
          <w:sz w:val="24"/>
          <w:szCs w:val="24"/>
        </w:rPr>
        <w:t>rii activit</w:t>
      </w:r>
      <w:r w:rsidRPr="00830DBB">
        <w:rPr>
          <w:rFonts w:ascii="Arial" w:eastAsia="Times New Roman" w:hAnsi="Arial" w:cs="Arial"/>
          <w:color w:val="000000" w:themeColor="text1"/>
          <w:sz w:val="24"/>
          <w:szCs w:val="24"/>
        </w:rPr>
        <w:t>ăţ</w:t>
      </w:r>
      <w:r w:rsidRPr="00830DBB">
        <w:rPr>
          <w:rFonts w:ascii="Arial" w:eastAsia="Times New Roman" w:hAnsi="Arial" w:cs="Arial"/>
          <w:iCs/>
          <w:color w:val="000000" w:themeColor="text1"/>
          <w:sz w:val="24"/>
          <w:szCs w:val="24"/>
        </w:rPr>
        <w:t xml:space="preserve">ii microbiologice </w:t>
      </w:r>
      <w:r w:rsidRPr="00830DBB">
        <w:rPr>
          <w:rFonts w:ascii="Arial" w:eastAsia="Times New Roman" w:hAnsi="Arial" w:cs="Arial"/>
          <w:color w:val="000000" w:themeColor="text1"/>
          <w:sz w:val="24"/>
          <w:szCs w:val="24"/>
        </w:rPr>
        <w:t>ş</w:t>
      </w:r>
      <w:r w:rsidRPr="00830DBB">
        <w:rPr>
          <w:rFonts w:ascii="Arial" w:eastAsia="Times New Roman" w:hAnsi="Arial" w:cs="Arial"/>
          <w:iCs/>
          <w:color w:val="000000" w:themeColor="text1"/>
          <w:sz w:val="24"/>
          <w:szCs w:val="24"/>
        </w:rPr>
        <w:t>i a ridic</w:t>
      </w:r>
      <w:r w:rsidRPr="00830DBB">
        <w:rPr>
          <w:rFonts w:ascii="Arial" w:eastAsia="Times New Roman" w:hAnsi="Arial" w:cs="Arial"/>
          <w:color w:val="000000" w:themeColor="text1"/>
          <w:sz w:val="24"/>
          <w:szCs w:val="24"/>
        </w:rPr>
        <w:t>ă</w:t>
      </w:r>
      <w:r w:rsidRPr="00830DBB">
        <w:rPr>
          <w:rFonts w:ascii="Arial" w:eastAsia="Times New Roman" w:hAnsi="Arial" w:cs="Arial"/>
          <w:iCs/>
          <w:color w:val="000000" w:themeColor="text1"/>
          <w:sz w:val="24"/>
          <w:szCs w:val="24"/>
        </w:rPr>
        <w:t>rii st</w:t>
      </w:r>
      <w:r w:rsidRPr="00830DBB">
        <w:rPr>
          <w:rFonts w:ascii="Arial" w:eastAsia="Times New Roman" w:hAnsi="Arial" w:cs="Arial"/>
          <w:color w:val="000000" w:themeColor="text1"/>
          <w:sz w:val="24"/>
          <w:szCs w:val="24"/>
        </w:rPr>
        <w:t>ă</w:t>
      </w:r>
      <w:r w:rsidRPr="00830DBB">
        <w:rPr>
          <w:rFonts w:ascii="Arial" w:eastAsia="Times New Roman" w:hAnsi="Arial" w:cs="Arial"/>
          <w:iCs/>
          <w:color w:val="000000" w:themeColor="text1"/>
          <w:sz w:val="24"/>
          <w:szCs w:val="24"/>
        </w:rPr>
        <w:t>rii generale de fertilitate a solului, în scopul sporirii produc</w:t>
      </w:r>
      <w:r w:rsidRPr="00830DBB">
        <w:rPr>
          <w:rFonts w:ascii="Arial" w:eastAsia="Times New Roman" w:hAnsi="Arial" w:cs="Arial"/>
          <w:color w:val="000000" w:themeColor="text1"/>
          <w:sz w:val="24"/>
          <w:szCs w:val="24"/>
        </w:rPr>
        <w:t>ţ</w:t>
      </w:r>
      <w:r w:rsidRPr="00830DBB">
        <w:rPr>
          <w:rFonts w:ascii="Arial" w:eastAsia="Times New Roman" w:hAnsi="Arial" w:cs="Arial"/>
          <w:iCs/>
          <w:color w:val="000000" w:themeColor="text1"/>
          <w:sz w:val="24"/>
          <w:szCs w:val="24"/>
        </w:rPr>
        <w:t xml:space="preserve">iei vegetale din punct de vedere cantitativ </w:t>
      </w:r>
      <w:r w:rsidRPr="00830DBB">
        <w:rPr>
          <w:rFonts w:ascii="Arial" w:eastAsia="Times New Roman" w:hAnsi="Arial" w:cs="Arial"/>
          <w:color w:val="000000" w:themeColor="text1"/>
          <w:sz w:val="24"/>
          <w:szCs w:val="24"/>
        </w:rPr>
        <w:t>ş</w:t>
      </w:r>
      <w:r w:rsidRPr="00830DBB">
        <w:rPr>
          <w:rFonts w:ascii="Arial" w:eastAsia="Times New Roman" w:hAnsi="Arial" w:cs="Arial"/>
          <w:iCs/>
          <w:color w:val="000000" w:themeColor="text1"/>
          <w:sz w:val="24"/>
          <w:szCs w:val="24"/>
        </w:rPr>
        <w:t>i calitativ</w:t>
      </w:r>
      <w:r w:rsidRPr="00830DBB">
        <w:rPr>
          <w:rFonts w:ascii="Arial" w:eastAsia="Times New Roman" w:hAnsi="Arial" w:cs="Arial"/>
          <w:iCs/>
          <w:color w:val="FF0000"/>
          <w:sz w:val="24"/>
          <w:szCs w:val="24"/>
        </w:rPr>
        <w:t xml:space="preserve"> </w:t>
      </w:r>
      <w:r w:rsidRPr="00830DBB">
        <w:rPr>
          <w:rFonts w:ascii="Arial" w:eastAsia="Times New Roman" w:hAnsi="Arial" w:cs="Arial"/>
          <w:color w:val="000000" w:themeColor="text1"/>
          <w:sz w:val="24"/>
          <w:szCs w:val="24"/>
        </w:rPr>
        <w:t>ş</w:t>
      </w:r>
      <w:r w:rsidRPr="00830DBB">
        <w:rPr>
          <w:rFonts w:ascii="Arial" w:eastAsia="Times New Roman" w:hAnsi="Arial" w:cs="Arial"/>
          <w:iCs/>
          <w:color w:val="000000" w:themeColor="text1"/>
          <w:sz w:val="24"/>
          <w:szCs w:val="24"/>
        </w:rPr>
        <w:t>i cu o perturbare minim</w:t>
      </w:r>
      <w:r w:rsidRPr="00830DBB">
        <w:rPr>
          <w:rFonts w:ascii="Arial" w:eastAsia="Times New Roman" w:hAnsi="Arial" w:cs="Arial"/>
          <w:color w:val="000000" w:themeColor="text1"/>
          <w:sz w:val="24"/>
          <w:szCs w:val="24"/>
        </w:rPr>
        <w:t xml:space="preserve">ă </w:t>
      </w:r>
      <w:r w:rsidRPr="00830DBB">
        <w:rPr>
          <w:rFonts w:ascii="Arial" w:eastAsia="Times New Roman" w:hAnsi="Arial" w:cs="Arial"/>
          <w:iCs/>
          <w:color w:val="000000" w:themeColor="text1"/>
          <w:sz w:val="24"/>
          <w:szCs w:val="24"/>
        </w:rPr>
        <w:t>sau deloc a mediului ecologic.</w:t>
      </w:r>
      <w:r w:rsidRPr="00830DBB">
        <w:rPr>
          <w:rFonts w:ascii="Arial" w:eastAsia="SimSun" w:hAnsi="Arial" w:cs="Arial"/>
          <w:color w:val="000000" w:themeColor="text1"/>
          <w:sz w:val="20"/>
          <w:szCs w:val="20"/>
          <w:lang w:val="ro-RO"/>
        </w:rPr>
        <w:t xml:space="preserve">(Sursa: </w:t>
      </w:r>
      <w:r w:rsidRPr="00830DBB">
        <w:rPr>
          <w:rFonts w:ascii="Arial" w:eastAsia="Times New Roman" w:hAnsi="Arial" w:cs="Arial"/>
          <w:bCs/>
          <w:iCs/>
          <w:color w:val="000000" w:themeColor="text1"/>
          <w:sz w:val="20"/>
          <w:szCs w:val="20"/>
        </w:rPr>
        <w:t xml:space="preserve">Curs de Agrochimie, </w:t>
      </w:r>
      <w:r w:rsidRPr="00830DBB">
        <w:rPr>
          <w:rFonts w:ascii="Arial" w:eastAsia="Times New Roman" w:hAnsi="Arial" w:cs="Arial"/>
          <w:iCs/>
          <w:color w:val="000000" w:themeColor="text1"/>
          <w:sz w:val="20"/>
          <w:szCs w:val="20"/>
        </w:rPr>
        <w:t>Conf. dr.</w:t>
      </w:r>
      <w:r w:rsidRPr="00830DBB">
        <w:rPr>
          <w:rFonts w:ascii="Arial" w:eastAsia="Times New Roman" w:hAnsi="Arial" w:cs="Arial"/>
          <w:iCs/>
          <w:sz w:val="20"/>
          <w:szCs w:val="20"/>
        </w:rPr>
        <w:t xml:space="preserve"> Roxana Madjar, Prof. dr. Velicica Davidescu)</w:t>
      </w:r>
    </w:p>
    <w:p w:rsidR="00830DBB" w:rsidRPr="00830DBB" w:rsidRDefault="00830DBB" w:rsidP="00830DBB">
      <w:pPr>
        <w:tabs>
          <w:tab w:val="left" w:pos="1276"/>
        </w:tabs>
        <w:spacing w:after="0" w:line="240" w:lineRule="auto"/>
        <w:rPr>
          <w:rFonts w:ascii="Arial" w:eastAsia="SimSun" w:hAnsi="Arial" w:cs="Arial"/>
          <w:i/>
          <w:sz w:val="24"/>
          <w:szCs w:val="24"/>
          <w:lang w:val="ro-RO"/>
        </w:rPr>
      </w:pPr>
    </w:p>
    <w:p w:rsidR="00830DBB" w:rsidRPr="00830DBB" w:rsidRDefault="00830DBB" w:rsidP="00830DBB">
      <w:pPr>
        <w:tabs>
          <w:tab w:val="left" w:pos="1276"/>
        </w:tabs>
        <w:spacing w:after="0" w:line="240" w:lineRule="auto"/>
        <w:rPr>
          <w:rFonts w:ascii="Arial" w:eastAsia="SimSun" w:hAnsi="Arial" w:cs="Arial"/>
          <w:b/>
          <w:i/>
          <w:sz w:val="24"/>
          <w:szCs w:val="24"/>
          <w:lang w:val="ro-RO"/>
        </w:rPr>
      </w:pPr>
      <w:r w:rsidRPr="00830DBB">
        <w:rPr>
          <w:rFonts w:ascii="Arial" w:eastAsia="SimSun" w:hAnsi="Arial" w:cs="Arial"/>
          <w:b/>
          <w:i/>
          <w:sz w:val="24"/>
          <w:szCs w:val="24"/>
          <w:lang w:val="ro-RO"/>
        </w:rPr>
        <w:t xml:space="preserve">III.3.1. Utilizare şi consumul de îngrăşăminte </w:t>
      </w:r>
    </w:p>
    <w:p w:rsidR="00830DBB" w:rsidRPr="00830DBB" w:rsidRDefault="00830DBB" w:rsidP="00830DBB">
      <w:pPr>
        <w:tabs>
          <w:tab w:val="left" w:pos="1276"/>
        </w:tabs>
        <w:spacing w:after="0" w:line="240" w:lineRule="auto"/>
        <w:rPr>
          <w:rFonts w:ascii="Arial" w:eastAsia="SimSun" w:hAnsi="Arial" w:cs="Arial"/>
          <w:i/>
          <w:sz w:val="24"/>
          <w:szCs w:val="24"/>
          <w:lang w:val="ro-RO"/>
        </w:rPr>
      </w:pPr>
      <w:r w:rsidRPr="00830DBB">
        <w:rPr>
          <w:rFonts w:ascii="Arial" w:eastAsia="SimSun" w:hAnsi="Arial" w:cs="Arial"/>
          <w:i/>
          <w:sz w:val="24"/>
          <w:szCs w:val="24"/>
          <w:lang w:val="ro-RO"/>
        </w:rPr>
        <w:tab/>
      </w:r>
    </w:p>
    <w:p w:rsidR="00830DBB" w:rsidRPr="00830DBB" w:rsidRDefault="00830DBB" w:rsidP="00830DBB">
      <w:pPr>
        <w:tabs>
          <w:tab w:val="left" w:pos="1276"/>
        </w:tabs>
        <w:spacing w:after="0" w:line="240" w:lineRule="auto"/>
        <w:rPr>
          <w:rFonts w:ascii="Verdana" w:eastAsia="SimSun" w:hAnsi="Verdana" w:cs="Times New Roman"/>
          <w:b/>
          <w:bCs/>
          <w:color w:val="000000"/>
          <w:sz w:val="15"/>
          <w:szCs w:val="15"/>
          <w:lang w:val="en-GB"/>
        </w:rPr>
      </w:pPr>
    </w:p>
    <w:p w:rsidR="00830DBB" w:rsidRPr="00830DBB" w:rsidRDefault="00830DBB" w:rsidP="00830DBB">
      <w:pPr>
        <w:tabs>
          <w:tab w:val="left" w:pos="1276"/>
        </w:tabs>
        <w:spacing w:after="0" w:line="240" w:lineRule="auto"/>
        <w:rPr>
          <w:rFonts w:ascii="Arial" w:eastAsia="SimSun" w:hAnsi="Arial" w:cs="Arial"/>
          <w:color w:val="000000" w:themeColor="text1"/>
          <w:sz w:val="24"/>
          <w:szCs w:val="24"/>
          <w:lang w:val="ro-RO"/>
        </w:rPr>
      </w:pPr>
      <w:r w:rsidRPr="00830DBB">
        <w:rPr>
          <w:rFonts w:ascii="Arial" w:eastAsia="SimSun" w:hAnsi="Arial" w:cs="Arial"/>
          <w:color w:val="000000" w:themeColor="text1"/>
          <w:sz w:val="24"/>
          <w:szCs w:val="24"/>
          <w:lang w:val="en-GB"/>
        </w:rPr>
        <w:t xml:space="preserve">Tabelul III.7. </w:t>
      </w:r>
      <w:r w:rsidRPr="00830DBB">
        <w:rPr>
          <w:rFonts w:ascii="Arial" w:eastAsia="SimSun" w:hAnsi="Arial" w:cs="Arial"/>
          <w:bCs/>
          <w:color w:val="000000" w:themeColor="text1"/>
          <w:sz w:val="24"/>
          <w:szCs w:val="24"/>
          <w:lang w:val="en-GB"/>
        </w:rPr>
        <w:t xml:space="preserve">Cantitatea de îngraşăminte chimice şi naturale folosite în agricultură, </w:t>
      </w:r>
      <w:r w:rsidRPr="00830DBB">
        <w:rPr>
          <w:rFonts w:ascii="Arial" w:eastAsia="SimSun" w:hAnsi="Arial" w:cs="Arial"/>
          <w:color w:val="000000" w:themeColor="text1"/>
          <w:sz w:val="24"/>
          <w:szCs w:val="24"/>
          <w:lang w:val="ro-RO"/>
        </w:rPr>
        <w:t>în judeţul Vaslui, în perioada 2011-2015</w:t>
      </w:r>
    </w:p>
    <w:tbl>
      <w:tblPr>
        <w:tblW w:w="8522" w:type="dxa"/>
        <w:jc w:val="center"/>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1857"/>
        <w:gridCol w:w="2026"/>
        <w:gridCol w:w="1858"/>
        <w:gridCol w:w="1688"/>
      </w:tblGrid>
      <w:tr w:rsidR="00830DBB" w:rsidRPr="00830DBB" w:rsidTr="00080B9C">
        <w:trPr>
          <w:trHeight w:val="210"/>
          <w:jc w:val="center"/>
        </w:trPr>
        <w:tc>
          <w:tcPr>
            <w:tcW w:w="1093" w:type="dxa"/>
            <w:vMerge w:val="restart"/>
          </w:tcPr>
          <w:p w:rsidR="00830DBB" w:rsidRPr="00830DBB" w:rsidRDefault="00830DBB" w:rsidP="00830DBB">
            <w:pPr>
              <w:tabs>
                <w:tab w:val="left" w:pos="1276"/>
              </w:tabs>
              <w:spacing w:after="0" w:line="240" w:lineRule="auto"/>
              <w:jc w:val="center"/>
              <w:rPr>
                <w:rFonts w:ascii="Arial" w:eastAsia="SimSun" w:hAnsi="Arial" w:cs="Arial"/>
                <w:b/>
                <w:bCs/>
                <w:color w:val="000000" w:themeColor="text1"/>
                <w:sz w:val="24"/>
                <w:szCs w:val="24"/>
                <w:lang w:val="ro-RO"/>
              </w:rPr>
            </w:pPr>
            <w:r w:rsidRPr="00830DBB">
              <w:rPr>
                <w:rFonts w:ascii="Arial" w:eastAsia="SimSun" w:hAnsi="Arial" w:cs="Arial"/>
                <w:b/>
                <w:bCs/>
                <w:color w:val="000000" w:themeColor="text1"/>
                <w:lang w:val="ro-RO"/>
              </w:rPr>
              <w:t>Anul</w:t>
            </w:r>
          </w:p>
        </w:tc>
        <w:tc>
          <w:tcPr>
            <w:tcW w:w="1857" w:type="dxa"/>
          </w:tcPr>
          <w:p w:rsidR="00830DBB" w:rsidRPr="00830DBB" w:rsidRDefault="00830DBB" w:rsidP="00830DBB">
            <w:pPr>
              <w:tabs>
                <w:tab w:val="left" w:pos="1276"/>
              </w:tabs>
              <w:spacing w:after="0" w:line="240" w:lineRule="auto"/>
              <w:jc w:val="center"/>
              <w:rPr>
                <w:rFonts w:ascii="Arial" w:eastAsia="SimSun" w:hAnsi="Arial" w:cs="Arial"/>
                <w:b/>
                <w:bCs/>
                <w:color w:val="000000" w:themeColor="text1"/>
                <w:sz w:val="24"/>
                <w:szCs w:val="24"/>
                <w:lang w:val="en-GB"/>
              </w:rPr>
            </w:pPr>
            <w:r w:rsidRPr="00830DBB">
              <w:rPr>
                <w:rFonts w:ascii="Arial" w:eastAsia="SimSun" w:hAnsi="Arial" w:cs="Arial"/>
                <w:b/>
                <w:bCs/>
                <w:color w:val="000000" w:themeColor="text1"/>
                <w:lang w:val="en-GB"/>
              </w:rPr>
              <w:t>Azotoase</w:t>
            </w:r>
          </w:p>
        </w:tc>
        <w:tc>
          <w:tcPr>
            <w:tcW w:w="2026" w:type="dxa"/>
          </w:tcPr>
          <w:p w:rsidR="00830DBB" w:rsidRPr="00830DBB" w:rsidRDefault="00830DBB" w:rsidP="00830DBB">
            <w:pPr>
              <w:tabs>
                <w:tab w:val="left" w:pos="1276"/>
              </w:tabs>
              <w:spacing w:after="0" w:line="240" w:lineRule="auto"/>
              <w:jc w:val="center"/>
              <w:rPr>
                <w:rFonts w:ascii="Arial" w:eastAsia="SimSun" w:hAnsi="Arial" w:cs="Arial"/>
                <w:b/>
                <w:bCs/>
                <w:color w:val="000000" w:themeColor="text1"/>
                <w:sz w:val="24"/>
                <w:szCs w:val="24"/>
                <w:lang w:val="en-GB"/>
              </w:rPr>
            </w:pPr>
            <w:r w:rsidRPr="00830DBB">
              <w:rPr>
                <w:rFonts w:ascii="Arial" w:eastAsia="SimSun" w:hAnsi="Arial" w:cs="Arial"/>
                <w:b/>
                <w:bCs/>
                <w:color w:val="000000" w:themeColor="text1"/>
                <w:lang w:val="en-GB"/>
              </w:rPr>
              <w:t>Fosfatice</w:t>
            </w:r>
          </w:p>
        </w:tc>
        <w:tc>
          <w:tcPr>
            <w:tcW w:w="1858" w:type="dxa"/>
          </w:tcPr>
          <w:p w:rsidR="00830DBB" w:rsidRPr="00830DBB" w:rsidRDefault="00830DBB" w:rsidP="00830DBB">
            <w:pPr>
              <w:tabs>
                <w:tab w:val="left" w:pos="1276"/>
              </w:tabs>
              <w:spacing w:after="0" w:line="240" w:lineRule="auto"/>
              <w:jc w:val="center"/>
              <w:rPr>
                <w:rFonts w:ascii="Arial" w:eastAsia="SimSun" w:hAnsi="Arial" w:cs="Arial"/>
                <w:b/>
                <w:bCs/>
                <w:color w:val="000000" w:themeColor="text1"/>
                <w:sz w:val="24"/>
                <w:szCs w:val="24"/>
                <w:lang w:val="en-GB"/>
              </w:rPr>
            </w:pPr>
            <w:r w:rsidRPr="00830DBB">
              <w:rPr>
                <w:rFonts w:ascii="Arial" w:eastAsia="SimSun" w:hAnsi="Arial" w:cs="Arial"/>
                <w:b/>
                <w:bCs/>
                <w:color w:val="000000" w:themeColor="text1"/>
                <w:lang w:val="en-GB"/>
              </w:rPr>
              <w:t>Potasice</w:t>
            </w:r>
          </w:p>
        </w:tc>
        <w:tc>
          <w:tcPr>
            <w:tcW w:w="1688" w:type="dxa"/>
          </w:tcPr>
          <w:p w:rsidR="00830DBB" w:rsidRPr="00830DBB" w:rsidRDefault="00830DBB" w:rsidP="00830DBB">
            <w:pPr>
              <w:tabs>
                <w:tab w:val="left" w:pos="1276"/>
              </w:tabs>
              <w:spacing w:after="0" w:line="240" w:lineRule="auto"/>
              <w:jc w:val="center"/>
              <w:rPr>
                <w:rFonts w:ascii="Arial" w:eastAsia="SimSun" w:hAnsi="Arial" w:cs="Arial"/>
                <w:b/>
                <w:bCs/>
                <w:color w:val="000000" w:themeColor="text1"/>
                <w:sz w:val="24"/>
                <w:szCs w:val="24"/>
                <w:lang w:val="en-GB"/>
              </w:rPr>
            </w:pPr>
            <w:r w:rsidRPr="00830DBB">
              <w:rPr>
                <w:rFonts w:ascii="Arial" w:eastAsia="SimSun" w:hAnsi="Arial" w:cs="Arial"/>
                <w:b/>
                <w:bCs/>
                <w:color w:val="000000" w:themeColor="text1"/>
                <w:lang w:val="en-GB"/>
              </w:rPr>
              <w:t>Naturale</w:t>
            </w:r>
          </w:p>
        </w:tc>
      </w:tr>
      <w:tr w:rsidR="00830DBB" w:rsidRPr="00830DBB" w:rsidTr="00080B9C">
        <w:trPr>
          <w:trHeight w:val="108"/>
          <w:jc w:val="center"/>
        </w:trPr>
        <w:tc>
          <w:tcPr>
            <w:tcW w:w="1093" w:type="dxa"/>
            <w:vMerge/>
          </w:tcPr>
          <w:p w:rsidR="00830DBB" w:rsidRPr="00830DBB" w:rsidRDefault="00830DBB" w:rsidP="00830DBB">
            <w:pPr>
              <w:tabs>
                <w:tab w:val="left" w:pos="1276"/>
              </w:tabs>
              <w:spacing w:after="0" w:line="240" w:lineRule="auto"/>
              <w:jc w:val="center"/>
              <w:rPr>
                <w:rFonts w:ascii="Arial" w:eastAsia="SimSun" w:hAnsi="Arial" w:cs="Arial"/>
                <w:b/>
                <w:bCs/>
                <w:color w:val="000000" w:themeColor="text1"/>
                <w:sz w:val="24"/>
                <w:szCs w:val="24"/>
                <w:lang w:val="ro-RO"/>
              </w:rPr>
            </w:pPr>
          </w:p>
        </w:tc>
        <w:tc>
          <w:tcPr>
            <w:tcW w:w="7429" w:type="dxa"/>
            <w:gridSpan w:val="4"/>
          </w:tcPr>
          <w:p w:rsidR="00830DBB" w:rsidRPr="00830DBB" w:rsidRDefault="00830DBB" w:rsidP="00830DBB">
            <w:pPr>
              <w:tabs>
                <w:tab w:val="left" w:pos="1276"/>
              </w:tabs>
              <w:spacing w:after="0" w:line="240" w:lineRule="auto"/>
              <w:jc w:val="center"/>
              <w:rPr>
                <w:rFonts w:ascii="Arial" w:eastAsia="SimSun" w:hAnsi="Arial" w:cs="Arial"/>
                <w:b/>
                <w:bCs/>
                <w:color w:val="000000" w:themeColor="text1"/>
                <w:sz w:val="24"/>
                <w:szCs w:val="24"/>
                <w:lang w:val="en-GB"/>
              </w:rPr>
            </w:pPr>
            <w:r w:rsidRPr="00830DBB">
              <w:rPr>
                <w:rFonts w:ascii="Arial" w:eastAsia="SimSun" w:hAnsi="Arial" w:cs="Arial"/>
                <w:b/>
                <w:bCs/>
                <w:color w:val="000000" w:themeColor="text1"/>
                <w:lang w:val="en-GB"/>
              </w:rPr>
              <w:t>Îngraşăminte chimice şi naturale U.M. (tone substanţă activă)</w:t>
            </w:r>
          </w:p>
        </w:tc>
      </w:tr>
      <w:tr w:rsidR="00830DBB" w:rsidRPr="00830DBB" w:rsidTr="00080B9C">
        <w:trPr>
          <w:trHeight w:val="70"/>
          <w:jc w:val="center"/>
        </w:trPr>
        <w:tc>
          <w:tcPr>
            <w:tcW w:w="1093"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2011</w:t>
            </w:r>
          </w:p>
        </w:tc>
        <w:tc>
          <w:tcPr>
            <w:tcW w:w="1857"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8938</w:t>
            </w:r>
          </w:p>
        </w:tc>
        <w:tc>
          <w:tcPr>
            <w:tcW w:w="2026"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3136</w:t>
            </w:r>
          </w:p>
        </w:tc>
        <w:tc>
          <w:tcPr>
            <w:tcW w:w="1858"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575</w:t>
            </w:r>
          </w:p>
        </w:tc>
        <w:tc>
          <w:tcPr>
            <w:tcW w:w="1688"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81692</w:t>
            </w:r>
          </w:p>
        </w:tc>
      </w:tr>
      <w:tr w:rsidR="00830DBB" w:rsidRPr="00830DBB" w:rsidTr="00080B9C">
        <w:trPr>
          <w:trHeight w:val="70"/>
          <w:jc w:val="center"/>
        </w:trPr>
        <w:tc>
          <w:tcPr>
            <w:tcW w:w="1093"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2012</w:t>
            </w:r>
          </w:p>
        </w:tc>
        <w:tc>
          <w:tcPr>
            <w:tcW w:w="1857"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8321</w:t>
            </w:r>
          </w:p>
        </w:tc>
        <w:tc>
          <w:tcPr>
            <w:tcW w:w="2026"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3240</w:t>
            </w:r>
          </w:p>
        </w:tc>
        <w:tc>
          <w:tcPr>
            <w:tcW w:w="1858"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798</w:t>
            </w:r>
          </w:p>
        </w:tc>
        <w:tc>
          <w:tcPr>
            <w:tcW w:w="1688"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96013</w:t>
            </w:r>
          </w:p>
        </w:tc>
      </w:tr>
      <w:tr w:rsidR="00830DBB" w:rsidRPr="00830DBB" w:rsidTr="00080B9C">
        <w:trPr>
          <w:trHeight w:val="70"/>
          <w:jc w:val="center"/>
        </w:trPr>
        <w:tc>
          <w:tcPr>
            <w:tcW w:w="1093"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2013</w:t>
            </w:r>
          </w:p>
        </w:tc>
        <w:tc>
          <w:tcPr>
            <w:tcW w:w="1857"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10600</w:t>
            </w:r>
          </w:p>
        </w:tc>
        <w:tc>
          <w:tcPr>
            <w:tcW w:w="2026"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6675</w:t>
            </w:r>
          </w:p>
        </w:tc>
        <w:tc>
          <w:tcPr>
            <w:tcW w:w="1858"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567</w:t>
            </w:r>
          </w:p>
        </w:tc>
        <w:tc>
          <w:tcPr>
            <w:tcW w:w="1688"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105915</w:t>
            </w:r>
          </w:p>
        </w:tc>
      </w:tr>
      <w:tr w:rsidR="00830DBB" w:rsidRPr="00830DBB" w:rsidTr="00080B9C">
        <w:trPr>
          <w:trHeight w:val="70"/>
          <w:jc w:val="center"/>
        </w:trPr>
        <w:tc>
          <w:tcPr>
            <w:tcW w:w="1093"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2014</w:t>
            </w:r>
          </w:p>
        </w:tc>
        <w:tc>
          <w:tcPr>
            <w:tcW w:w="1857"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8606</w:t>
            </w:r>
          </w:p>
        </w:tc>
        <w:tc>
          <w:tcPr>
            <w:tcW w:w="2026"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6624</w:t>
            </w:r>
          </w:p>
        </w:tc>
        <w:tc>
          <w:tcPr>
            <w:tcW w:w="1858"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857</w:t>
            </w:r>
          </w:p>
        </w:tc>
        <w:tc>
          <w:tcPr>
            <w:tcW w:w="1688"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104230</w:t>
            </w:r>
          </w:p>
        </w:tc>
      </w:tr>
      <w:tr w:rsidR="00830DBB" w:rsidRPr="00830DBB" w:rsidTr="00080B9C">
        <w:trPr>
          <w:trHeight w:val="70"/>
          <w:jc w:val="center"/>
        </w:trPr>
        <w:tc>
          <w:tcPr>
            <w:tcW w:w="1093"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2015</w:t>
            </w:r>
          </w:p>
        </w:tc>
        <w:tc>
          <w:tcPr>
            <w:tcW w:w="1857"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10415</w:t>
            </w:r>
          </w:p>
        </w:tc>
        <w:tc>
          <w:tcPr>
            <w:tcW w:w="2026"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3472</w:t>
            </w:r>
          </w:p>
        </w:tc>
        <w:tc>
          <w:tcPr>
            <w:tcW w:w="1858"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1657</w:t>
            </w:r>
          </w:p>
        </w:tc>
        <w:tc>
          <w:tcPr>
            <w:tcW w:w="1688"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114205</w:t>
            </w:r>
          </w:p>
        </w:tc>
      </w:tr>
    </w:tbl>
    <w:p w:rsidR="00830DBB" w:rsidRPr="00830DBB" w:rsidRDefault="00830DBB" w:rsidP="00830DBB">
      <w:pPr>
        <w:tabs>
          <w:tab w:val="left" w:pos="1276"/>
        </w:tabs>
        <w:spacing w:after="0" w:line="240" w:lineRule="auto"/>
        <w:rPr>
          <w:rFonts w:ascii="Arial" w:eastAsia="SimSun" w:hAnsi="Arial" w:cs="Arial"/>
          <w:color w:val="000000" w:themeColor="text1"/>
          <w:sz w:val="20"/>
          <w:szCs w:val="20"/>
          <w:lang w:val="en-GB"/>
        </w:rPr>
      </w:pPr>
      <w:r w:rsidRPr="00830DBB">
        <w:rPr>
          <w:rFonts w:ascii="Arial" w:eastAsia="SimSun" w:hAnsi="Arial" w:cs="Arial"/>
          <w:bCs/>
          <w:color w:val="000000" w:themeColor="text1"/>
          <w:sz w:val="20"/>
          <w:szCs w:val="20"/>
          <w:lang w:val="en-GB"/>
        </w:rPr>
        <w:t>(Sursa: Direcţia pentru Agricultură a Judeţului Vaslui</w:t>
      </w:r>
      <w:r w:rsidRPr="00830DBB">
        <w:rPr>
          <w:rFonts w:ascii="Arial" w:eastAsia="SimSun" w:hAnsi="Arial" w:cs="Arial"/>
          <w:color w:val="000000" w:themeColor="text1"/>
          <w:sz w:val="20"/>
          <w:szCs w:val="20"/>
          <w:lang w:val="en-GB"/>
        </w:rPr>
        <w:t>)</w:t>
      </w:r>
    </w:p>
    <w:p w:rsidR="00830DBB" w:rsidRPr="00830DBB" w:rsidRDefault="00830DBB" w:rsidP="00830DBB">
      <w:pPr>
        <w:tabs>
          <w:tab w:val="left" w:pos="1276"/>
        </w:tabs>
        <w:spacing w:after="0" w:line="240" w:lineRule="auto"/>
        <w:rPr>
          <w:rFonts w:ascii="Arial" w:eastAsia="SimSun" w:hAnsi="Arial" w:cs="Arial"/>
          <w:color w:val="FF0000"/>
          <w:sz w:val="20"/>
          <w:szCs w:val="20"/>
          <w:lang w:val="en-GB"/>
        </w:rPr>
      </w:pPr>
    </w:p>
    <w:p w:rsidR="00830DBB" w:rsidRPr="00830DBB" w:rsidRDefault="00830DBB" w:rsidP="00830DBB">
      <w:pPr>
        <w:tabs>
          <w:tab w:val="left" w:pos="1276"/>
        </w:tabs>
        <w:spacing w:after="0" w:line="240" w:lineRule="auto"/>
        <w:jc w:val="both"/>
        <w:rPr>
          <w:rFonts w:ascii="Arial" w:eastAsia="SimSun" w:hAnsi="Arial" w:cs="Arial"/>
          <w:bCs/>
          <w:color w:val="000000" w:themeColor="text1"/>
          <w:sz w:val="24"/>
          <w:szCs w:val="24"/>
          <w:lang w:val="en-GB"/>
        </w:rPr>
      </w:pPr>
      <w:r w:rsidRPr="00830DBB">
        <w:rPr>
          <w:rFonts w:ascii="Arial" w:eastAsia="SimSun" w:hAnsi="Arial" w:cs="Arial"/>
          <w:color w:val="000000" w:themeColor="text1"/>
          <w:sz w:val="24"/>
          <w:szCs w:val="24"/>
          <w:lang w:val="ro-RO"/>
        </w:rPr>
        <w:t xml:space="preserve">Figura </w:t>
      </w:r>
      <w:r w:rsidRPr="00830DBB">
        <w:rPr>
          <w:rFonts w:ascii="Arial" w:eastAsia="SimSun" w:hAnsi="Arial" w:cs="Arial"/>
          <w:color w:val="000000" w:themeColor="text1"/>
          <w:sz w:val="24"/>
          <w:szCs w:val="24"/>
          <w:lang w:val="en-GB"/>
        </w:rPr>
        <w:t xml:space="preserve">III.4. </w:t>
      </w:r>
      <w:r w:rsidRPr="00830DBB">
        <w:rPr>
          <w:rFonts w:ascii="Arial" w:eastAsia="SimSun" w:hAnsi="Arial" w:cs="Arial"/>
          <w:bCs/>
          <w:color w:val="000000" w:themeColor="text1"/>
          <w:sz w:val="24"/>
          <w:szCs w:val="24"/>
          <w:lang w:val="en-GB"/>
        </w:rPr>
        <w:t xml:space="preserve">Evoluţia consumului de îngraşăminte chimice şi naturale folosite în agricultură, </w:t>
      </w:r>
      <w:r w:rsidRPr="00830DBB">
        <w:rPr>
          <w:rFonts w:ascii="Arial" w:eastAsia="SimSun" w:hAnsi="Arial" w:cs="Arial"/>
          <w:color w:val="000000" w:themeColor="text1"/>
          <w:sz w:val="24"/>
          <w:szCs w:val="24"/>
          <w:lang w:val="ro-RO"/>
        </w:rPr>
        <w:t>în judeţul Vaslui, în perioada 2011-2015</w:t>
      </w:r>
    </w:p>
    <w:p w:rsidR="00830DBB" w:rsidRPr="00830DBB" w:rsidRDefault="00830DBB" w:rsidP="00830DBB">
      <w:pPr>
        <w:tabs>
          <w:tab w:val="left" w:pos="1276"/>
        </w:tabs>
        <w:spacing w:after="0" w:line="240" w:lineRule="auto"/>
        <w:rPr>
          <w:rFonts w:ascii="Arial" w:eastAsia="SimSun" w:hAnsi="Arial" w:cs="Arial"/>
          <w:bCs/>
          <w:color w:val="000000"/>
          <w:sz w:val="24"/>
          <w:szCs w:val="24"/>
          <w:lang w:val="en-GB"/>
        </w:rPr>
      </w:pPr>
      <w:r w:rsidRPr="00830DBB">
        <w:rPr>
          <w:rFonts w:ascii="Arial" w:eastAsia="SimSun" w:hAnsi="Arial" w:cs="Arial"/>
          <w:bCs/>
          <w:noProof/>
          <w:color w:val="000000"/>
          <w:sz w:val="24"/>
          <w:szCs w:val="24"/>
        </w:rPr>
        <w:drawing>
          <wp:inline distT="0" distB="0" distL="0" distR="0" wp14:anchorId="0E7E58F1" wp14:editId="2026D2C5">
            <wp:extent cx="6019800" cy="2733675"/>
            <wp:effectExtent l="0" t="0" r="0" b="0"/>
            <wp:docPr id="210" name="Chart 2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830DBB" w:rsidRPr="00830DBB" w:rsidRDefault="00830DBB" w:rsidP="00830DBB">
      <w:pPr>
        <w:tabs>
          <w:tab w:val="left" w:pos="1276"/>
        </w:tabs>
        <w:spacing w:after="0" w:line="240" w:lineRule="auto"/>
        <w:rPr>
          <w:rFonts w:ascii="Arial" w:eastAsia="SimSun" w:hAnsi="Arial" w:cs="Arial"/>
          <w:b/>
          <w:bCs/>
          <w:color w:val="000000"/>
          <w:sz w:val="20"/>
          <w:szCs w:val="20"/>
          <w:lang w:val="en-GB"/>
        </w:rPr>
      </w:pPr>
    </w:p>
    <w:p w:rsidR="00830DBB" w:rsidRPr="00830DBB" w:rsidRDefault="00830DBB" w:rsidP="00830DBB">
      <w:pPr>
        <w:tabs>
          <w:tab w:val="left" w:pos="1276"/>
        </w:tabs>
        <w:spacing w:after="0" w:line="240" w:lineRule="auto"/>
        <w:rPr>
          <w:rFonts w:ascii="Arial" w:eastAsia="SimSun" w:hAnsi="Arial" w:cs="Arial"/>
          <w:color w:val="000000" w:themeColor="text1"/>
          <w:sz w:val="24"/>
          <w:szCs w:val="24"/>
          <w:lang w:val="ro-RO"/>
        </w:rPr>
      </w:pPr>
      <w:r w:rsidRPr="00830DBB">
        <w:rPr>
          <w:rFonts w:ascii="Arial" w:eastAsia="SimSun" w:hAnsi="Arial" w:cs="Arial"/>
          <w:sz w:val="24"/>
          <w:szCs w:val="24"/>
          <w:lang w:val="en-GB"/>
        </w:rPr>
        <w:t>Tabelul III.8</w:t>
      </w:r>
      <w:r w:rsidRPr="00830DBB">
        <w:rPr>
          <w:rFonts w:ascii="Arial" w:eastAsia="SimSun" w:hAnsi="Arial" w:cs="Arial"/>
          <w:color w:val="FF0000"/>
          <w:sz w:val="24"/>
          <w:szCs w:val="24"/>
          <w:lang w:val="en-GB"/>
        </w:rPr>
        <w:t>.</w:t>
      </w:r>
      <w:r w:rsidRPr="00830DBB">
        <w:rPr>
          <w:rFonts w:ascii="Arial" w:eastAsia="SimSun" w:hAnsi="Arial" w:cs="Arial"/>
          <w:color w:val="000000" w:themeColor="text1"/>
          <w:sz w:val="24"/>
          <w:szCs w:val="24"/>
          <w:lang w:val="en-GB"/>
        </w:rPr>
        <w:t xml:space="preserve"> </w:t>
      </w:r>
      <w:r w:rsidRPr="00830DBB">
        <w:rPr>
          <w:rFonts w:ascii="Arial" w:eastAsia="SimSun" w:hAnsi="Arial" w:cs="Arial"/>
          <w:bCs/>
          <w:color w:val="000000" w:themeColor="text1"/>
          <w:sz w:val="24"/>
          <w:szCs w:val="24"/>
          <w:lang w:val="en-GB"/>
        </w:rPr>
        <w:t xml:space="preserve">Suprafaţa terenurilor pe care s-au aplicat îngraşăminte chimice şi naturale, </w:t>
      </w:r>
      <w:r w:rsidRPr="00830DBB">
        <w:rPr>
          <w:rFonts w:ascii="Arial" w:eastAsia="SimSun" w:hAnsi="Arial" w:cs="Arial"/>
          <w:color w:val="000000" w:themeColor="text1"/>
          <w:sz w:val="24"/>
          <w:szCs w:val="24"/>
          <w:lang w:val="ro-RO"/>
        </w:rPr>
        <w:t>în judeţul Vaslui, în perioada 2011-2015</w:t>
      </w:r>
    </w:p>
    <w:tbl>
      <w:tblPr>
        <w:tblW w:w="8688" w:type="dxa"/>
        <w:jc w:val="center"/>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1893"/>
        <w:gridCol w:w="2065"/>
        <w:gridCol w:w="1894"/>
        <w:gridCol w:w="1721"/>
      </w:tblGrid>
      <w:tr w:rsidR="00830DBB" w:rsidRPr="00830DBB" w:rsidTr="00080B9C">
        <w:trPr>
          <w:trHeight w:val="210"/>
          <w:jc w:val="center"/>
        </w:trPr>
        <w:tc>
          <w:tcPr>
            <w:tcW w:w="1115" w:type="dxa"/>
            <w:vMerge w:val="restart"/>
          </w:tcPr>
          <w:p w:rsidR="00830DBB" w:rsidRPr="00830DBB" w:rsidRDefault="00830DBB" w:rsidP="00830DBB">
            <w:pPr>
              <w:tabs>
                <w:tab w:val="left" w:pos="1276"/>
              </w:tabs>
              <w:spacing w:after="0" w:line="240" w:lineRule="auto"/>
              <w:jc w:val="center"/>
              <w:rPr>
                <w:rFonts w:ascii="Arial" w:eastAsia="SimSun" w:hAnsi="Arial" w:cs="Arial"/>
                <w:b/>
                <w:bCs/>
                <w:color w:val="000000" w:themeColor="text1"/>
                <w:sz w:val="24"/>
                <w:szCs w:val="24"/>
                <w:lang w:val="ro-RO"/>
              </w:rPr>
            </w:pPr>
            <w:r w:rsidRPr="00830DBB">
              <w:rPr>
                <w:rFonts w:ascii="Arial" w:eastAsia="SimSun" w:hAnsi="Arial" w:cs="Arial"/>
                <w:b/>
                <w:bCs/>
                <w:color w:val="000000" w:themeColor="text1"/>
                <w:lang w:val="ro-RO"/>
              </w:rPr>
              <w:t>Anul</w:t>
            </w:r>
          </w:p>
        </w:tc>
        <w:tc>
          <w:tcPr>
            <w:tcW w:w="1893" w:type="dxa"/>
          </w:tcPr>
          <w:p w:rsidR="00830DBB" w:rsidRPr="00830DBB" w:rsidRDefault="00830DBB" w:rsidP="00830DBB">
            <w:pPr>
              <w:tabs>
                <w:tab w:val="left" w:pos="1276"/>
              </w:tabs>
              <w:spacing w:after="0" w:line="240" w:lineRule="auto"/>
              <w:jc w:val="center"/>
              <w:rPr>
                <w:rFonts w:ascii="Arial" w:eastAsia="SimSun" w:hAnsi="Arial" w:cs="Arial"/>
                <w:b/>
                <w:bCs/>
                <w:color w:val="000000" w:themeColor="text1"/>
                <w:sz w:val="24"/>
                <w:szCs w:val="24"/>
                <w:lang w:val="en-GB"/>
              </w:rPr>
            </w:pPr>
            <w:r w:rsidRPr="00830DBB">
              <w:rPr>
                <w:rFonts w:ascii="Arial" w:eastAsia="SimSun" w:hAnsi="Arial" w:cs="Arial"/>
                <w:b/>
                <w:bCs/>
                <w:color w:val="000000" w:themeColor="text1"/>
                <w:lang w:val="en-GB"/>
              </w:rPr>
              <w:t>Azotoase</w:t>
            </w:r>
          </w:p>
        </w:tc>
        <w:tc>
          <w:tcPr>
            <w:tcW w:w="2065" w:type="dxa"/>
          </w:tcPr>
          <w:p w:rsidR="00830DBB" w:rsidRPr="00830DBB" w:rsidRDefault="00830DBB" w:rsidP="00830DBB">
            <w:pPr>
              <w:tabs>
                <w:tab w:val="left" w:pos="1276"/>
              </w:tabs>
              <w:spacing w:after="0" w:line="240" w:lineRule="auto"/>
              <w:jc w:val="center"/>
              <w:rPr>
                <w:rFonts w:ascii="Arial" w:eastAsia="SimSun" w:hAnsi="Arial" w:cs="Arial"/>
                <w:b/>
                <w:bCs/>
                <w:color w:val="000000" w:themeColor="text1"/>
                <w:sz w:val="24"/>
                <w:szCs w:val="24"/>
                <w:lang w:val="en-GB"/>
              </w:rPr>
            </w:pPr>
            <w:r w:rsidRPr="00830DBB">
              <w:rPr>
                <w:rFonts w:ascii="Arial" w:eastAsia="SimSun" w:hAnsi="Arial" w:cs="Arial"/>
                <w:b/>
                <w:bCs/>
                <w:color w:val="000000" w:themeColor="text1"/>
                <w:lang w:val="en-GB"/>
              </w:rPr>
              <w:t>Fosfatice</w:t>
            </w:r>
          </w:p>
        </w:tc>
        <w:tc>
          <w:tcPr>
            <w:tcW w:w="1894" w:type="dxa"/>
          </w:tcPr>
          <w:p w:rsidR="00830DBB" w:rsidRPr="00830DBB" w:rsidRDefault="00830DBB" w:rsidP="00830DBB">
            <w:pPr>
              <w:tabs>
                <w:tab w:val="left" w:pos="1276"/>
              </w:tabs>
              <w:spacing w:after="0" w:line="240" w:lineRule="auto"/>
              <w:jc w:val="center"/>
              <w:rPr>
                <w:rFonts w:ascii="Arial" w:eastAsia="SimSun" w:hAnsi="Arial" w:cs="Arial"/>
                <w:b/>
                <w:bCs/>
                <w:color w:val="000000" w:themeColor="text1"/>
                <w:sz w:val="24"/>
                <w:szCs w:val="24"/>
                <w:lang w:val="en-GB"/>
              </w:rPr>
            </w:pPr>
            <w:r w:rsidRPr="00830DBB">
              <w:rPr>
                <w:rFonts w:ascii="Arial" w:eastAsia="SimSun" w:hAnsi="Arial" w:cs="Arial"/>
                <w:b/>
                <w:bCs/>
                <w:color w:val="000000" w:themeColor="text1"/>
                <w:lang w:val="en-GB"/>
              </w:rPr>
              <w:t>Potasice</w:t>
            </w:r>
          </w:p>
        </w:tc>
        <w:tc>
          <w:tcPr>
            <w:tcW w:w="1721" w:type="dxa"/>
          </w:tcPr>
          <w:p w:rsidR="00830DBB" w:rsidRPr="00830DBB" w:rsidRDefault="00830DBB" w:rsidP="00830DBB">
            <w:pPr>
              <w:tabs>
                <w:tab w:val="left" w:pos="1276"/>
              </w:tabs>
              <w:spacing w:after="0" w:line="240" w:lineRule="auto"/>
              <w:jc w:val="center"/>
              <w:rPr>
                <w:rFonts w:ascii="Arial" w:eastAsia="SimSun" w:hAnsi="Arial" w:cs="Arial"/>
                <w:b/>
                <w:bCs/>
                <w:color w:val="000000" w:themeColor="text1"/>
                <w:sz w:val="24"/>
                <w:szCs w:val="24"/>
                <w:lang w:val="en-GB"/>
              </w:rPr>
            </w:pPr>
            <w:r w:rsidRPr="00830DBB">
              <w:rPr>
                <w:rFonts w:ascii="Arial" w:eastAsia="SimSun" w:hAnsi="Arial" w:cs="Arial"/>
                <w:b/>
                <w:bCs/>
                <w:color w:val="000000" w:themeColor="text1"/>
                <w:lang w:val="en-GB"/>
              </w:rPr>
              <w:t>Naturale</w:t>
            </w:r>
          </w:p>
        </w:tc>
      </w:tr>
      <w:tr w:rsidR="00830DBB" w:rsidRPr="00830DBB" w:rsidTr="00080B9C">
        <w:trPr>
          <w:trHeight w:val="70"/>
          <w:jc w:val="center"/>
        </w:trPr>
        <w:tc>
          <w:tcPr>
            <w:tcW w:w="1115" w:type="dxa"/>
            <w:vMerge/>
            <w:tcBorders>
              <w:bottom w:val="single" w:sz="4" w:space="0" w:color="auto"/>
            </w:tcBorders>
          </w:tcPr>
          <w:p w:rsidR="00830DBB" w:rsidRPr="00830DBB" w:rsidRDefault="00830DBB" w:rsidP="00830DBB">
            <w:pPr>
              <w:tabs>
                <w:tab w:val="left" w:pos="1276"/>
              </w:tabs>
              <w:spacing w:after="0" w:line="240" w:lineRule="auto"/>
              <w:jc w:val="center"/>
              <w:rPr>
                <w:rFonts w:ascii="Arial" w:eastAsia="SimSun" w:hAnsi="Arial" w:cs="Arial"/>
                <w:b/>
                <w:bCs/>
                <w:color w:val="000000" w:themeColor="text1"/>
                <w:sz w:val="24"/>
                <w:szCs w:val="24"/>
                <w:lang w:val="ro-RO"/>
              </w:rPr>
            </w:pPr>
          </w:p>
        </w:tc>
        <w:tc>
          <w:tcPr>
            <w:tcW w:w="7573" w:type="dxa"/>
            <w:gridSpan w:val="4"/>
            <w:tcBorders>
              <w:bottom w:val="single" w:sz="4" w:space="0" w:color="auto"/>
            </w:tcBorders>
          </w:tcPr>
          <w:p w:rsidR="00830DBB" w:rsidRPr="00830DBB" w:rsidRDefault="00830DBB" w:rsidP="00830DBB">
            <w:pPr>
              <w:tabs>
                <w:tab w:val="left" w:pos="1276"/>
              </w:tabs>
              <w:spacing w:after="0" w:line="240" w:lineRule="auto"/>
              <w:jc w:val="center"/>
              <w:rPr>
                <w:rFonts w:ascii="Arial" w:eastAsia="SimSun" w:hAnsi="Arial" w:cs="Arial"/>
                <w:b/>
                <w:bCs/>
                <w:color w:val="000000" w:themeColor="text1"/>
                <w:sz w:val="24"/>
                <w:szCs w:val="24"/>
                <w:lang w:val="en-GB"/>
              </w:rPr>
            </w:pPr>
            <w:r w:rsidRPr="00830DBB">
              <w:rPr>
                <w:rFonts w:ascii="Arial" w:eastAsia="SimSun" w:hAnsi="Arial" w:cs="Arial"/>
                <w:b/>
                <w:bCs/>
                <w:color w:val="000000" w:themeColor="text1"/>
                <w:lang w:val="en-GB"/>
              </w:rPr>
              <w:t>Suprafaţa terenuri U.M. (ha)</w:t>
            </w:r>
          </w:p>
        </w:tc>
      </w:tr>
      <w:tr w:rsidR="00830DBB" w:rsidRPr="00830DBB" w:rsidTr="00080B9C">
        <w:trPr>
          <w:trHeight w:val="70"/>
          <w:jc w:val="center"/>
        </w:trPr>
        <w:tc>
          <w:tcPr>
            <w:tcW w:w="1115"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2011</w:t>
            </w:r>
          </w:p>
        </w:tc>
        <w:tc>
          <w:tcPr>
            <w:tcW w:w="1893"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173740</w:t>
            </w:r>
          </w:p>
        </w:tc>
        <w:tc>
          <w:tcPr>
            <w:tcW w:w="2065"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68905</w:t>
            </w:r>
          </w:p>
        </w:tc>
        <w:tc>
          <w:tcPr>
            <w:tcW w:w="1894"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18424</w:t>
            </w:r>
          </w:p>
        </w:tc>
        <w:tc>
          <w:tcPr>
            <w:tcW w:w="1721"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3925</w:t>
            </w:r>
          </w:p>
        </w:tc>
      </w:tr>
      <w:tr w:rsidR="00830DBB" w:rsidRPr="00830DBB" w:rsidTr="00080B9C">
        <w:trPr>
          <w:trHeight w:val="136"/>
          <w:jc w:val="center"/>
        </w:trPr>
        <w:tc>
          <w:tcPr>
            <w:tcW w:w="1115"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2012</w:t>
            </w:r>
          </w:p>
        </w:tc>
        <w:tc>
          <w:tcPr>
            <w:tcW w:w="1893"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143458</w:t>
            </w:r>
          </w:p>
        </w:tc>
        <w:tc>
          <w:tcPr>
            <w:tcW w:w="2065"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64807</w:t>
            </w:r>
          </w:p>
        </w:tc>
        <w:tc>
          <w:tcPr>
            <w:tcW w:w="1894"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18980</w:t>
            </w:r>
          </w:p>
        </w:tc>
        <w:tc>
          <w:tcPr>
            <w:tcW w:w="1721"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4616</w:t>
            </w:r>
          </w:p>
        </w:tc>
      </w:tr>
      <w:tr w:rsidR="00830DBB" w:rsidRPr="00830DBB" w:rsidTr="00080B9C">
        <w:trPr>
          <w:trHeight w:val="70"/>
          <w:jc w:val="center"/>
        </w:trPr>
        <w:tc>
          <w:tcPr>
            <w:tcW w:w="1115" w:type="dxa"/>
            <w:tcBorders>
              <w:bottom w:val="single" w:sz="4" w:space="0" w:color="auto"/>
            </w:tcBorders>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2013</w:t>
            </w:r>
          </w:p>
        </w:tc>
        <w:tc>
          <w:tcPr>
            <w:tcW w:w="1893" w:type="dxa"/>
            <w:tcBorders>
              <w:bottom w:val="single" w:sz="4" w:space="0" w:color="auto"/>
            </w:tcBorders>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142490</w:t>
            </w:r>
          </w:p>
        </w:tc>
        <w:tc>
          <w:tcPr>
            <w:tcW w:w="2065" w:type="dxa"/>
            <w:tcBorders>
              <w:bottom w:val="single" w:sz="4" w:space="0" w:color="auto"/>
            </w:tcBorders>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92088</w:t>
            </w:r>
          </w:p>
        </w:tc>
        <w:tc>
          <w:tcPr>
            <w:tcW w:w="1894" w:type="dxa"/>
            <w:tcBorders>
              <w:bottom w:val="single" w:sz="4" w:space="0" w:color="auto"/>
            </w:tcBorders>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16770</w:t>
            </w:r>
          </w:p>
        </w:tc>
        <w:tc>
          <w:tcPr>
            <w:tcW w:w="1721" w:type="dxa"/>
            <w:tcBorders>
              <w:bottom w:val="single" w:sz="4" w:space="0" w:color="auto"/>
            </w:tcBorders>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4087</w:t>
            </w:r>
          </w:p>
        </w:tc>
      </w:tr>
      <w:tr w:rsidR="00830DBB" w:rsidRPr="00830DBB" w:rsidTr="00080B9C">
        <w:trPr>
          <w:trHeight w:val="72"/>
          <w:jc w:val="center"/>
        </w:trPr>
        <w:tc>
          <w:tcPr>
            <w:tcW w:w="1115" w:type="dxa"/>
            <w:tcBorders>
              <w:bottom w:val="single" w:sz="4" w:space="0" w:color="auto"/>
            </w:tcBorders>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2014</w:t>
            </w:r>
          </w:p>
        </w:tc>
        <w:tc>
          <w:tcPr>
            <w:tcW w:w="1893" w:type="dxa"/>
            <w:tcBorders>
              <w:bottom w:val="single" w:sz="4" w:space="0" w:color="auto"/>
            </w:tcBorders>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164347</w:t>
            </w:r>
          </w:p>
        </w:tc>
        <w:tc>
          <w:tcPr>
            <w:tcW w:w="2065" w:type="dxa"/>
            <w:tcBorders>
              <w:bottom w:val="single" w:sz="4" w:space="0" w:color="auto"/>
            </w:tcBorders>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93389</w:t>
            </w:r>
          </w:p>
        </w:tc>
        <w:tc>
          <w:tcPr>
            <w:tcW w:w="1894" w:type="dxa"/>
            <w:tcBorders>
              <w:bottom w:val="single" w:sz="4" w:space="0" w:color="auto"/>
            </w:tcBorders>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21164</w:t>
            </w:r>
          </w:p>
        </w:tc>
        <w:tc>
          <w:tcPr>
            <w:tcW w:w="1721" w:type="dxa"/>
            <w:tcBorders>
              <w:bottom w:val="single" w:sz="4" w:space="0" w:color="auto"/>
            </w:tcBorders>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8143</w:t>
            </w:r>
          </w:p>
        </w:tc>
      </w:tr>
      <w:tr w:rsidR="00830DBB" w:rsidRPr="00830DBB" w:rsidTr="00080B9C">
        <w:trPr>
          <w:trHeight w:val="70"/>
          <w:jc w:val="center"/>
        </w:trPr>
        <w:tc>
          <w:tcPr>
            <w:tcW w:w="1115" w:type="dxa"/>
            <w:tcBorders>
              <w:bottom w:val="single" w:sz="4" w:space="0" w:color="auto"/>
            </w:tcBorders>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2015</w:t>
            </w:r>
          </w:p>
        </w:tc>
        <w:tc>
          <w:tcPr>
            <w:tcW w:w="1893" w:type="dxa"/>
            <w:tcBorders>
              <w:bottom w:val="single" w:sz="4" w:space="0" w:color="auto"/>
            </w:tcBorders>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165789</w:t>
            </w:r>
          </w:p>
        </w:tc>
        <w:tc>
          <w:tcPr>
            <w:tcW w:w="2065" w:type="dxa"/>
            <w:tcBorders>
              <w:bottom w:val="single" w:sz="4" w:space="0" w:color="auto"/>
            </w:tcBorders>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63333</w:t>
            </w:r>
          </w:p>
        </w:tc>
        <w:tc>
          <w:tcPr>
            <w:tcW w:w="1894" w:type="dxa"/>
            <w:tcBorders>
              <w:bottom w:val="single" w:sz="4" w:space="0" w:color="auto"/>
            </w:tcBorders>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45693</w:t>
            </w:r>
          </w:p>
        </w:tc>
        <w:tc>
          <w:tcPr>
            <w:tcW w:w="1721" w:type="dxa"/>
            <w:tcBorders>
              <w:bottom w:val="single" w:sz="4" w:space="0" w:color="auto"/>
            </w:tcBorders>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7583</w:t>
            </w:r>
          </w:p>
        </w:tc>
      </w:tr>
      <w:tr w:rsidR="00830DBB" w:rsidRPr="00830DBB" w:rsidTr="00080B9C">
        <w:trPr>
          <w:trHeight w:val="80"/>
          <w:jc w:val="center"/>
        </w:trPr>
        <w:tc>
          <w:tcPr>
            <w:tcW w:w="8688" w:type="dxa"/>
            <w:gridSpan w:val="5"/>
            <w:tcBorders>
              <w:top w:val="single" w:sz="4" w:space="0" w:color="auto"/>
              <w:left w:val="nil"/>
              <w:bottom w:val="nil"/>
              <w:right w:val="nil"/>
            </w:tcBorders>
          </w:tcPr>
          <w:p w:rsidR="00830DBB" w:rsidRPr="00830DBB" w:rsidRDefault="00830DBB" w:rsidP="00830DBB">
            <w:pPr>
              <w:tabs>
                <w:tab w:val="left" w:pos="1276"/>
              </w:tabs>
              <w:spacing w:after="0" w:line="240" w:lineRule="auto"/>
              <w:rPr>
                <w:rFonts w:ascii="Arial" w:eastAsia="SimSun" w:hAnsi="Arial" w:cs="Arial"/>
                <w:color w:val="000000" w:themeColor="text1"/>
                <w:sz w:val="20"/>
                <w:szCs w:val="20"/>
                <w:lang w:val="en-GB"/>
              </w:rPr>
            </w:pPr>
            <w:r w:rsidRPr="00830DBB">
              <w:rPr>
                <w:rFonts w:ascii="Arial" w:eastAsia="SimSun" w:hAnsi="Arial" w:cs="Arial"/>
                <w:bCs/>
                <w:color w:val="000000" w:themeColor="text1"/>
                <w:sz w:val="20"/>
                <w:szCs w:val="20"/>
                <w:lang w:val="en-GB"/>
              </w:rPr>
              <w:t>(Sursa: Direcţia pentru Agricultură a Judeţului Vaslui</w:t>
            </w:r>
            <w:r w:rsidRPr="00830DBB">
              <w:rPr>
                <w:rFonts w:ascii="Arial" w:eastAsia="SimSun" w:hAnsi="Arial" w:cs="Arial"/>
                <w:color w:val="000000" w:themeColor="text1"/>
                <w:sz w:val="20"/>
                <w:szCs w:val="20"/>
                <w:lang w:val="en-GB"/>
              </w:rPr>
              <w:t>)</w:t>
            </w:r>
          </w:p>
          <w:p w:rsidR="00830DBB" w:rsidRPr="00830DBB" w:rsidRDefault="00830DBB" w:rsidP="00830DBB">
            <w:pPr>
              <w:tabs>
                <w:tab w:val="left" w:pos="1276"/>
              </w:tabs>
              <w:spacing w:after="0" w:line="240" w:lineRule="auto"/>
              <w:rPr>
                <w:rFonts w:ascii="Arial" w:eastAsia="SimSun" w:hAnsi="Arial" w:cs="Arial"/>
                <w:bCs/>
                <w:color w:val="000000" w:themeColor="text1"/>
                <w:sz w:val="24"/>
                <w:szCs w:val="24"/>
                <w:lang w:val="en-GB"/>
              </w:rPr>
            </w:pPr>
          </w:p>
        </w:tc>
      </w:tr>
    </w:tbl>
    <w:p w:rsidR="00830DBB" w:rsidRPr="00830DBB" w:rsidRDefault="00830DBB" w:rsidP="00830DBB">
      <w:pPr>
        <w:tabs>
          <w:tab w:val="left" w:pos="1276"/>
        </w:tabs>
        <w:spacing w:after="0" w:line="240" w:lineRule="auto"/>
        <w:rPr>
          <w:rFonts w:ascii="Arial" w:eastAsia="SimSun" w:hAnsi="Arial" w:cs="Arial"/>
          <w:bCs/>
          <w:color w:val="000000" w:themeColor="text1"/>
          <w:sz w:val="24"/>
          <w:szCs w:val="24"/>
          <w:lang w:val="en-GB"/>
        </w:rPr>
      </w:pPr>
      <w:r w:rsidRPr="00830DBB">
        <w:rPr>
          <w:rFonts w:ascii="Arial" w:eastAsia="SimSun" w:hAnsi="Arial" w:cs="Arial"/>
          <w:color w:val="000000" w:themeColor="text1"/>
          <w:sz w:val="24"/>
          <w:szCs w:val="24"/>
          <w:lang w:val="ro-RO"/>
        </w:rPr>
        <w:t xml:space="preserve">Figura </w:t>
      </w:r>
      <w:r w:rsidRPr="00830DBB">
        <w:rPr>
          <w:rFonts w:ascii="Arial" w:eastAsia="SimSun" w:hAnsi="Arial" w:cs="Arial"/>
          <w:color w:val="000000" w:themeColor="text1"/>
          <w:sz w:val="24"/>
          <w:szCs w:val="24"/>
          <w:lang w:val="en-GB"/>
        </w:rPr>
        <w:t xml:space="preserve">III.5. </w:t>
      </w:r>
      <w:r w:rsidRPr="00830DBB">
        <w:rPr>
          <w:rFonts w:ascii="Arial" w:eastAsia="SimSun" w:hAnsi="Arial" w:cs="Arial"/>
          <w:bCs/>
          <w:color w:val="000000" w:themeColor="text1"/>
          <w:sz w:val="24"/>
          <w:szCs w:val="24"/>
          <w:lang w:val="en-GB"/>
        </w:rPr>
        <w:t xml:space="preserve">Evoluţia suprafeţei terenurilor pe care s-au aplicat îngraşăminte chimice şi naturale, </w:t>
      </w:r>
      <w:r w:rsidRPr="00830DBB">
        <w:rPr>
          <w:rFonts w:ascii="Arial" w:eastAsia="SimSun" w:hAnsi="Arial" w:cs="Arial"/>
          <w:color w:val="000000" w:themeColor="text1"/>
          <w:sz w:val="24"/>
          <w:szCs w:val="24"/>
          <w:lang w:val="ro-RO"/>
        </w:rPr>
        <w:t>în judeţul Vaslui, în perioada 2011-2015</w:t>
      </w:r>
    </w:p>
    <w:p w:rsidR="00830DBB" w:rsidRPr="00830DBB" w:rsidRDefault="00830DBB" w:rsidP="00830DBB">
      <w:pPr>
        <w:tabs>
          <w:tab w:val="left" w:pos="1276"/>
        </w:tabs>
        <w:spacing w:after="0" w:line="240" w:lineRule="auto"/>
        <w:rPr>
          <w:rFonts w:ascii="Arial" w:eastAsia="SimSun" w:hAnsi="Arial" w:cs="Arial"/>
          <w:color w:val="000000"/>
          <w:sz w:val="24"/>
          <w:szCs w:val="24"/>
          <w:lang w:val="ro-RO"/>
        </w:rPr>
      </w:pPr>
      <w:r w:rsidRPr="00830DBB">
        <w:rPr>
          <w:rFonts w:ascii="Arial" w:eastAsia="SimSun" w:hAnsi="Arial" w:cs="Arial"/>
          <w:noProof/>
          <w:color w:val="000000"/>
          <w:sz w:val="24"/>
          <w:szCs w:val="24"/>
        </w:rPr>
        <w:drawing>
          <wp:inline distT="0" distB="0" distL="0" distR="0" wp14:anchorId="307794D5" wp14:editId="769578BB">
            <wp:extent cx="5619750" cy="2600325"/>
            <wp:effectExtent l="0" t="0" r="0" b="0"/>
            <wp:docPr id="211" name="Chart 2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830DBB" w:rsidRPr="00830DBB" w:rsidRDefault="00830DBB" w:rsidP="00830DBB">
      <w:pPr>
        <w:tabs>
          <w:tab w:val="left" w:pos="1276"/>
        </w:tabs>
        <w:spacing w:after="0" w:line="240" w:lineRule="auto"/>
        <w:rPr>
          <w:rFonts w:ascii="Arial" w:eastAsia="SimSun" w:hAnsi="Arial" w:cs="Arial"/>
          <w:color w:val="000000" w:themeColor="text1"/>
          <w:sz w:val="24"/>
          <w:szCs w:val="24"/>
          <w:lang w:val="ro-RO"/>
        </w:rPr>
      </w:pPr>
      <w:r w:rsidRPr="00830DBB">
        <w:rPr>
          <w:rFonts w:ascii="Arial" w:eastAsia="SimSun" w:hAnsi="Arial" w:cs="Arial"/>
          <w:sz w:val="24"/>
          <w:szCs w:val="24"/>
          <w:lang w:val="ro-RO"/>
        </w:rPr>
        <w:lastRenderedPageBreak/>
        <w:t xml:space="preserve">Figura </w:t>
      </w:r>
      <w:r w:rsidRPr="00830DBB">
        <w:rPr>
          <w:rFonts w:ascii="Arial" w:eastAsia="SimSun" w:hAnsi="Arial" w:cs="Arial"/>
          <w:sz w:val="24"/>
          <w:szCs w:val="24"/>
          <w:lang w:val="en-GB"/>
        </w:rPr>
        <w:t>III.6.</w:t>
      </w:r>
      <w:r w:rsidRPr="00830DBB">
        <w:rPr>
          <w:rFonts w:ascii="Arial" w:eastAsia="SimSun" w:hAnsi="Arial" w:cs="Arial"/>
          <w:color w:val="000000" w:themeColor="text1"/>
          <w:sz w:val="24"/>
          <w:szCs w:val="24"/>
          <w:lang w:val="en-GB"/>
        </w:rPr>
        <w:t xml:space="preserve"> </w:t>
      </w:r>
      <w:r w:rsidRPr="00830DBB">
        <w:rPr>
          <w:rFonts w:ascii="Arial" w:eastAsia="SimSun" w:hAnsi="Arial" w:cs="Arial"/>
          <w:color w:val="000000" w:themeColor="text1"/>
          <w:sz w:val="24"/>
          <w:szCs w:val="24"/>
          <w:lang w:val="ro-RO"/>
        </w:rPr>
        <w:t>Ponderea suprafeţei de aplicare a îngrăsămintelor naturale faţă de suprafaţa cultivabilă, în judeţul Vaslui, în perioada 2011-2015</w:t>
      </w:r>
    </w:p>
    <w:p w:rsidR="00830DBB" w:rsidRPr="00830DBB" w:rsidRDefault="00830DBB" w:rsidP="00830DBB">
      <w:pPr>
        <w:tabs>
          <w:tab w:val="left" w:pos="1276"/>
        </w:tabs>
        <w:spacing w:after="0" w:line="240" w:lineRule="auto"/>
        <w:rPr>
          <w:rFonts w:ascii="Arial" w:eastAsia="SimSun" w:hAnsi="Arial" w:cs="Arial"/>
          <w:color w:val="000000"/>
          <w:sz w:val="24"/>
          <w:szCs w:val="24"/>
          <w:lang w:val="ro-RO"/>
        </w:rPr>
      </w:pPr>
      <w:r w:rsidRPr="00830DBB">
        <w:rPr>
          <w:rFonts w:ascii="Arial" w:eastAsia="SimSun" w:hAnsi="Arial" w:cs="Arial"/>
          <w:noProof/>
          <w:color w:val="FF0000"/>
          <w:sz w:val="24"/>
          <w:szCs w:val="24"/>
        </w:rPr>
        <w:drawing>
          <wp:inline distT="0" distB="0" distL="0" distR="0" wp14:anchorId="5DDFBD15" wp14:editId="6B65C83C">
            <wp:extent cx="5705475" cy="3457575"/>
            <wp:effectExtent l="0" t="0" r="0" b="0"/>
            <wp:docPr id="212" name="Chart 2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830DBB" w:rsidRPr="00830DBB" w:rsidRDefault="00830DBB" w:rsidP="00830DBB">
      <w:pPr>
        <w:autoSpaceDE w:val="0"/>
        <w:autoSpaceDN w:val="0"/>
        <w:adjustRightInd w:val="0"/>
        <w:spacing w:after="0" w:line="240" w:lineRule="auto"/>
        <w:jc w:val="both"/>
        <w:rPr>
          <w:rFonts w:ascii="Arial" w:eastAsia="Times New Roman" w:hAnsi="Arial" w:cs="Arial"/>
          <w:i/>
          <w:color w:val="000000" w:themeColor="text1"/>
          <w:sz w:val="24"/>
          <w:szCs w:val="24"/>
          <w:lang w:val="ro-RO"/>
        </w:rPr>
      </w:pPr>
      <w:r w:rsidRPr="00830DBB">
        <w:rPr>
          <w:rFonts w:ascii="Arial" w:eastAsia="Times New Roman" w:hAnsi="Arial" w:cs="Arial"/>
          <w:color w:val="000000" w:themeColor="text1"/>
          <w:sz w:val="24"/>
          <w:szCs w:val="24"/>
        </w:rPr>
        <w:t xml:space="preserve">La nivelul judeţului Vaslui, utilizarea îngrăşămintelor naturale în agricultură a prezentat o creştere majoră în perioada 2014 – 2015. </w:t>
      </w:r>
    </w:p>
    <w:p w:rsidR="00830DBB" w:rsidRPr="00830DBB" w:rsidRDefault="00830DBB" w:rsidP="00830DBB">
      <w:pPr>
        <w:tabs>
          <w:tab w:val="left" w:pos="1276"/>
        </w:tabs>
        <w:spacing w:after="0" w:line="240" w:lineRule="auto"/>
        <w:rPr>
          <w:rFonts w:ascii="Arial" w:eastAsia="SimSun" w:hAnsi="Arial" w:cs="Arial"/>
          <w:i/>
          <w:sz w:val="24"/>
          <w:szCs w:val="24"/>
          <w:lang w:val="ro-RO"/>
        </w:rPr>
      </w:pPr>
    </w:p>
    <w:p w:rsidR="00830DBB" w:rsidRPr="00830DBB" w:rsidRDefault="00830DBB" w:rsidP="00830DBB">
      <w:pPr>
        <w:tabs>
          <w:tab w:val="left" w:pos="1276"/>
        </w:tabs>
        <w:spacing w:after="0" w:line="240" w:lineRule="auto"/>
        <w:rPr>
          <w:rFonts w:ascii="Arial" w:eastAsia="SimSun" w:hAnsi="Arial" w:cs="Arial"/>
          <w:b/>
          <w:i/>
          <w:color w:val="000000" w:themeColor="text1"/>
          <w:sz w:val="24"/>
          <w:szCs w:val="24"/>
          <w:lang w:val="ro-RO"/>
        </w:rPr>
      </w:pPr>
      <w:r w:rsidRPr="00830DBB">
        <w:rPr>
          <w:rFonts w:ascii="Arial" w:eastAsia="SimSun" w:hAnsi="Arial" w:cs="Arial"/>
          <w:b/>
          <w:i/>
          <w:color w:val="000000" w:themeColor="text1"/>
          <w:sz w:val="24"/>
          <w:szCs w:val="24"/>
          <w:lang w:val="ro-RO"/>
        </w:rPr>
        <w:t xml:space="preserve">III.3.2. Consumul de produse de protecţia plantelor  </w:t>
      </w:r>
      <w:r w:rsidRPr="00830DBB">
        <w:rPr>
          <w:rFonts w:ascii="Arial" w:eastAsia="SimSun" w:hAnsi="Arial" w:cs="Arial"/>
          <w:b/>
          <w:i/>
          <w:color w:val="000000" w:themeColor="text1"/>
          <w:sz w:val="24"/>
          <w:szCs w:val="24"/>
          <w:lang w:val="ro-RO"/>
        </w:rPr>
        <w:tab/>
      </w:r>
    </w:p>
    <w:p w:rsidR="00830DBB" w:rsidRPr="00830DBB" w:rsidRDefault="00830DBB" w:rsidP="00830DBB">
      <w:pPr>
        <w:tabs>
          <w:tab w:val="left" w:pos="1276"/>
        </w:tabs>
        <w:spacing w:after="0" w:line="240" w:lineRule="auto"/>
        <w:rPr>
          <w:rFonts w:ascii="Arial" w:eastAsia="SimSun" w:hAnsi="Arial" w:cs="Arial"/>
          <w:i/>
          <w:color w:val="FF0000"/>
          <w:sz w:val="24"/>
          <w:szCs w:val="24"/>
          <w:lang w:val="ro-RO"/>
        </w:rPr>
      </w:pPr>
    </w:p>
    <w:p w:rsidR="00830DBB" w:rsidRPr="00830DBB" w:rsidRDefault="00830DBB" w:rsidP="00830DBB">
      <w:pPr>
        <w:autoSpaceDE w:val="0"/>
        <w:autoSpaceDN w:val="0"/>
        <w:adjustRightInd w:val="0"/>
        <w:spacing w:after="0" w:line="240" w:lineRule="auto"/>
        <w:jc w:val="both"/>
        <w:rPr>
          <w:rFonts w:ascii="Arial" w:eastAsia="Times New Roman" w:hAnsi="Arial" w:cs="Arial"/>
          <w:color w:val="000000" w:themeColor="text1"/>
          <w:sz w:val="24"/>
          <w:szCs w:val="24"/>
        </w:rPr>
      </w:pPr>
      <w:r w:rsidRPr="00830DBB">
        <w:rPr>
          <w:rFonts w:ascii="Arial" w:eastAsia="Times New Roman" w:hAnsi="Arial" w:cs="Arial"/>
          <w:color w:val="000000"/>
          <w:sz w:val="24"/>
          <w:szCs w:val="24"/>
        </w:rPr>
        <w:tab/>
      </w:r>
      <w:r w:rsidRPr="00830DBB">
        <w:rPr>
          <w:rFonts w:ascii="Arial" w:eastAsia="Times New Roman" w:hAnsi="Arial" w:cs="Arial"/>
          <w:color w:val="000000" w:themeColor="text1"/>
          <w:sz w:val="24"/>
          <w:szCs w:val="24"/>
        </w:rPr>
        <w:t xml:space="preserve"> </w:t>
      </w:r>
      <w:r w:rsidRPr="00830DBB">
        <w:rPr>
          <w:rFonts w:ascii="Arial" w:eastAsia="Times New Roman" w:hAnsi="Arial" w:cs="Arial"/>
          <w:bCs/>
          <w:color w:val="000000" w:themeColor="text1"/>
          <w:sz w:val="24"/>
          <w:szCs w:val="24"/>
        </w:rPr>
        <w:t>Pesticidele</w:t>
      </w:r>
      <w:r w:rsidRPr="00830DBB">
        <w:rPr>
          <w:rFonts w:ascii="Arial" w:eastAsia="Times New Roman" w:hAnsi="Arial" w:cs="Arial"/>
          <w:b/>
          <w:bCs/>
          <w:color w:val="000000" w:themeColor="text1"/>
          <w:sz w:val="24"/>
          <w:szCs w:val="24"/>
        </w:rPr>
        <w:t xml:space="preserve"> </w:t>
      </w:r>
      <w:r w:rsidRPr="00830DBB">
        <w:rPr>
          <w:rFonts w:ascii="Arial" w:eastAsia="Times New Roman" w:hAnsi="Arial" w:cs="Arial"/>
          <w:color w:val="000000" w:themeColor="text1"/>
          <w:sz w:val="24"/>
          <w:szCs w:val="24"/>
        </w:rPr>
        <w:t>sunt substanţe chimice folosite în agricultură pentru distrugerea dăunătorilor sau sunt regulatori de creştere. Au conţinuturi diferite de substanţă activă şi impurificatori, în funcţie de procesul tehnologic de obţinere. Acţiunea lor poluantă cuprinde toate mediile: aer, apă, sol, circulaţia lor efectuându-se prin intermediul vieţuitoarelor, apei şi aerului. Pesticidele acţionează în sol asupra microorganismelor, prin inhibarea unor enzime, scăderea populaţiei de micromicete (microciuperci parazite), diminuarea capacităţii de reţinere a azotului prin influenţarea microorganismelor nitri- şi denitrificatoare.</w:t>
      </w:r>
    </w:p>
    <w:p w:rsidR="00830DBB" w:rsidRPr="00830DBB" w:rsidRDefault="00830DBB" w:rsidP="00830DBB">
      <w:pPr>
        <w:tabs>
          <w:tab w:val="left" w:pos="1276"/>
        </w:tabs>
        <w:spacing w:after="0" w:line="240" w:lineRule="auto"/>
        <w:jc w:val="both"/>
        <w:rPr>
          <w:rFonts w:ascii="Arial" w:eastAsia="SimSun" w:hAnsi="Arial" w:cs="Arial"/>
          <w:i/>
          <w:color w:val="FF0000"/>
          <w:sz w:val="24"/>
          <w:szCs w:val="24"/>
          <w:lang w:val="ro-RO"/>
        </w:rPr>
      </w:pPr>
    </w:p>
    <w:p w:rsidR="00830DBB" w:rsidRPr="00830DBB" w:rsidRDefault="00830DBB" w:rsidP="00830DBB">
      <w:pPr>
        <w:tabs>
          <w:tab w:val="left" w:pos="1276"/>
        </w:tabs>
        <w:spacing w:after="0" w:line="240" w:lineRule="auto"/>
        <w:rPr>
          <w:rFonts w:ascii="Arial" w:eastAsia="SimSun" w:hAnsi="Arial" w:cs="Arial"/>
          <w:color w:val="000000" w:themeColor="text1"/>
          <w:sz w:val="24"/>
          <w:szCs w:val="24"/>
          <w:lang w:val="ro-RO"/>
        </w:rPr>
      </w:pPr>
      <w:r w:rsidRPr="00830DBB">
        <w:rPr>
          <w:rFonts w:ascii="Arial" w:eastAsia="SimSun" w:hAnsi="Arial" w:cs="Arial"/>
          <w:sz w:val="24"/>
          <w:szCs w:val="24"/>
          <w:lang w:val="en-GB"/>
        </w:rPr>
        <w:t>Tabelul III.9</w:t>
      </w:r>
      <w:r w:rsidRPr="00830DBB">
        <w:rPr>
          <w:rFonts w:ascii="Arial" w:eastAsia="SimSun" w:hAnsi="Arial" w:cs="Arial"/>
          <w:color w:val="FF0000"/>
          <w:sz w:val="24"/>
          <w:szCs w:val="24"/>
          <w:lang w:val="en-GB"/>
        </w:rPr>
        <w:t>.</w:t>
      </w:r>
      <w:r w:rsidRPr="00830DBB">
        <w:rPr>
          <w:rFonts w:ascii="Arial" w:eastAsia="SimSun" w:hAnsi="Arial" w:cs="Arial"/>
          <w:color w:val="000000" w:themeColor="text1"/>
          <w:sz w:val="24"/>
          <w:szCs w:val="24"/>
          <w:lang w:val="en-GB"/>
        </w:rPr>
        <w:t xml:space="preserve"> </w:t>
      </w:r>
      <w:r w:rsidRPr="00830DBB">
        <w:rPr>
          <w:rFonts w:ascii="Arial" w:eastAsia="SimSun" w:hAnsi="Arial" w:cs="Arial"/>
          <w:bCs/>
          <w:color w:val="000000" w:themeColor="text1"/>
          <w:sz w:val="24"/>
          <w:szCs w:val="24"/>
          <w:lang w:val="en-GB"/>
        </w:rPr>
        <w:t xml:space="preserve">Cantitatea de pesticide aplicate în agricultură, </w:t>
      </w:r>
      <w:r w:rsidRPr="00830DBB">
        <w:rPr>
          <w:rFonts w:ascii="Arial" w:eastAsia="SimSun" w:hAnsi="Arial" w:cs="Arial"/>
          <w:color w:val="000000" w:themeColor="text1"/>
          <w:sz w:val="24"/>
          <w:szCs w:val="24"/>
          <w:lang w:val="ro-RO"/>
        </w:rPr>
        <w:t>în judeţul Vaslui, în perioada 2011-2015</w:t>
      </w:r>
    </w:p>
    <w:tbl>
      <w:tblPr>
        <w:tblW w:w="891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2102"/>
        <w:gridCol w:w="2579"/>
        <w:gridCol w:w="2814"/>
      </w:tblGrid>
      <w:tr w:rsidR="00830DBB" w:rsidRPr="00830DBB" w:rsidTr="00080B9C">
        <w:trPr>
          <w:trHeight w:val="210"/>
        </w:trPr>
        <w:tc>
          <w:tcPr>
            <w:tcW w:w="1417" w:type="dxa"/>
            <w:vMerge w:val="restart"/>
          </w:tcPr>
          <w:p w:rsidR="00830DBB" w:rsidRPr="00830DBB" w:rsidRDefault="00830DBB" w:rsidP="00830DBB">
            <w:pPr>
              <w:tabs>
                <w:tab w:val="left" w:pos="1276"/>
              </w:tabs>
              <w:spacing w:after="0" w:line="240" w:lineRule="auto"/>
              <w:jc w:val="center"/>
              <w:rPr>
                <w:rFonts w:ascii="Arial" w:eastAsia="SimSun" w:hAnsi="Arial" w:cs="Arial"/>
                <w:b/>
                <w:bCs/>
                <w:color w:val="000000" w:themeColor="text1"/>
                <w:sz w:val="24"/>
                <w:szCs w:val="24"/>
                <w:lang w:val="ro-RO"/>
              </w:rPr>
            </w:pPr>
            <w:r w:rsidRPr="00830DBB">
              <w:rPr>
                <w:rFonts w:ascii="Arial" w:eastAsia="SimSun" w:hAnsi="Arial" w:cs="Arial"/>
                <w:b/>
                <w:bCs/>
                <w:color w:val="000000" w:themeColor="text1"/>
                <w:lang w:val="ro-RO"/>
              </w:rPr>
              <w:t>nul</w:t>
            </w:r>
          </w:p>
        </w:tc>
        <w:tc>
          <w:tcPr>
            <w:tcW w:w="2102" w:type="dxa"/>
          </w:tcPr>
          <w:p w:rsidR="00830DBB" w:rsidRPr="00830DBB" w:rsidRDefault="00830DBB" w:rsidP="00830DBB">
            <w:pPr>
              <w:tabs>
                <w:tab w:val="left" w:pos="1276"/>
              </w:tabs>
              <w:spacing w:after="0" w:line="240" w:lineRule="auto"/>
              <w:jc w:val="center"/>
              <w:rPr>
                <w:rFonts w:ascii="Arial" w:eastAsia="SimSun" w:hAnsi="Arial" w:cs="Arial"/>
                <w:b/>
                <w:bCs/>
                <w:color w:val="000000" w:themeColor="text1"/>
                <w:sz w:val="24"/>
                <w:szCs w:val="24"/>
                <w:lang w:val="ro-RO"/>
              </w:rPr>
            </w:pPr>
            <w:r w:rsidRPr="00830DBB">
              <w:rPr>
                <w:rFonts w:ascii="Arial" w:eastAsia="SimSun" w:hAnsi="Arial" w:cs="Arial"/>
                <w:b/>
                <w:bCs/>
                <w:color w:val="000000" w:themeColor="text1"/>
                <w:lang w:val="en-GB"/>
              </w:rPr>
              <w:t>Insecticide</w:t>
            </w:r>
          </w:p>
        </w:tc>
        <w:tc>
          <w:tcPr>
            <w:tcW w:w="2579" w:type="dxa"/>
          </w:tcPr>
          <w:p w:rsidR="00830DBB" w:rsidRPr="00830DBB" w:rsidRDefault="00830DBB" w:rsidP="00830DBB">
            <w:pPr>
              <w:tabs>
                <w:tab w:val="left" w:pos="1276"/>
              </w:tabs>
              <w:spacing w:after="0" w:line="240" w:lineRule="auto"/>
              <w:jc w:val="center"/>
              <w:rPr>
                <w:rFonts w:ascii="Arial" w:eastAsia="SimSun" w:hAnsi="Arial" w:cs="Arial"/>
                <w:b/>
                <w:bCs/>
                <w:color w:val="000000" w:themeColor="text1"/>
                <w:sz w:val="24"/>
                <w:szCs w:val="24"/>
                <w:lang w:val="en-GB"/>
              </w:rPr>
            </w:pPr>
            <w:r w:rsidRPr="00830DBB">
              <w:rPr>
                <w:rFonts w:ascii="Arial" w:eastAsia="SimSun" w:hAnsi="Arial" w:cs="Arial"/>
                <w:b/>
                <w:bCs/>
                <w:color w:val="000000" w:themeColor="text1"/>
                <w:lang w:val="en-GB"/>
              </w:rPr>
              <w:t>Fungicide</w:t>
            </w:r>
          </w:p>
        </w:tc>
        <w:tc>
          <w:tcPr>
            <w:tcW w:w="2814" w:type="dxa"/>
          </w:tcPr>
          <w:p w:rsidR="00830DBB" w:rsidRPr="00830DBB" w:rsidRDefault="00830DBB" w:rsidP="00830DBB">
            <w:pPr>
              <w:tabs>
                <w:tab w:val="left" w:pos="1276"/>
              </w:tabs>
              <w:spacing w:after="0" w:line="240" w:lineRule="auto"/>
              <w:jc w:val="center"/>
              <w:rPr>
                <w:rFonts w:ascii="Arial" w:eastAsia="SimSun" w:hAnsi="Arial" w:cs="Arial"/>
                <w:b/>
                <w:bCs/>
                <w:color w:val="000000" w:themeColor="text1"/>
                <w:sz w:val="24"/>
                <w:szCs w:val="24"/>
                <w:lang w:val="en-GB"/>
              </w:rPr>
            </w:pPr>
            <w:r w:rsidRPr="00830DBB">
              <w:rPr>
                <w:rFonts w:ascii="Arial" w:eastAsia="SimSun" w:hAnsi="Arial" w:cs="Arial"/>
                <w:b/>
                <w:bCs/>
                <w:color w:val="000000" w:themeColor="text1"/>
                <w:lang w:val="en-GB"/>
              </w:rPr>
              <w:t>Erbicide</w:t>
            </w:r>
          </w:p>
        </w:tc>
      </w:tr>
      <w:tr w:rsidR="00830DBB" w:rsidRPr="00830DBB" w:rsidTr="00080B9C">
        <w:trPr>
          <w:trHeight w:val="108"/>
        </w:trPr>
        <w:tc>
          <w:tcPr>
            <w:tcW w:w="1417" w:type="dxa"/>
            <w:vMerge/>
          </w:tcPr>
          <w:p w:rsidR="00830DBB" w:rsidRPr="00830DBB" w:rsidRDefault="00830DBB" w:rsidP="00830DBB">
            <w:pPr>
              <w:tabs>
                <w:tab w:val="left" w:pos="1276"/>
              </w:tabs>
              <w:spacing w:after="0" w:line="240" w:lineRule="auto"/>
              <w:jc w:val="center"/>
              <w:rPr>
                <w:rFonts w:ascii="Arial" w:eastAsia="SimSun" w:hAnsi="Arial" w:cs="Arial"/>
                <w:b/>
                <w:bCs/>
                <w:color w:val="000000" w:themeColor="text1"/>
                <w:sz w:val="24"/>
                <w:szCs w:val="24"/>
                <w:lang w:val="ro-RO"/>
              </w:rPr>
            </w:pPr>
          </w:p>
        </w:tc>
        <w:tc>
          <w:tcPr>
            <w:tcW w:w="7495" w:type="dxa"/>
            <w:gridSpan w:val="3"/>
          </w:tcPr>
          <w:p w:rsidR="00830DBB" w:rsidRPr="00830DBB" w:rsidRDefault="00830DBB" w:rsidP="00830DBB">
            <w:pPr>
              <w:tabs>
                <w:tab w:val="left" w:pos="1276"/>
              </w:tabs>
              <w:spacing w:after="0" w:line="240" w:lineRule="auto"/>
              <w:jc w:val="center"/>
              <w:rPr>
                <w:rFonts w:ascii="Arial" w:eastAsia="SimSun" w:hAnsi="Arial" w:cs="Arial"/>
                <w:b/>
                <w:bCs/>
                <w:color w:val="000000" w:themeColor="text1"/>
                <w:sz w:val="24"/>
                <w:szCs w:val="24"/>
                <w:lang w:val="en-GB"/>
              </w:rPr>
            </w:pPr>
            <w:r w:rsidRPr="00830DBB">
              <w:rPr>
                <w:rFonts w:ascii="Arial" w:eastAsia="SimSun" w:hAnsi="Arial" w:cs="Arial"/>
                <w:b/>
                <w:bCs/>
                <w:color w:val="000000" w:themeColor="text1"/>
                <w:lang w:val="en-GB"/>
              </w:rPr>
              <w:t>Produse pentru protecţia plantelor U.M. (kilograme substanţă activă)</w:t>
            </w:r>
          </w:p>
        </w:tc>
      </w:tr>
      <w:tr w:rsidR="00830DBB" w:rsidRPr="00830DBB" w:rsidTr="00080B9C">
        <w:trPr>
          <w:trHeight w:val="70"/>
        </w:trPr>
        <w:tc>
          <w:tcPr>
            <w:tcW w:w="1417"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2011</w:t>
            </w:r>
          </w:p>
        </w:tc>
        <w:tc>
          <w:tcPr>
            <w:tcW w:w="2102"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167234</w:t>
            </w:r>
          </w:p>
        </w:tc>
        <w:tc>
          <w:tcPr>
            <w:tcW w:w="2579"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103645</w:t>
            </w:r>
          </w:p>
        </w:tc>
        <w:tc>
          <w:tcPr>
            <w:tcW w:w="2814"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94256</w:t>
            </w:r>
          </w:p>
        </w:tc>
      </w:tr>
      <w:tr w:rsidR="00830DBB" w:rsidRPr="00830DBB" w:rsidTr="00080B9C">
        <w:trPr>
          <w:trHeight w:val="202"/>
        </w:trPr>
        <w:tc>
          <w:tcPr>
            <w:tcW w:w="1417"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2012</w:t>
            </w:r>
          </w:p>
        </w:tc>
        <w:tc>
          <w:tcPr>
            <w:tcW w:w="2102"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152469</w:t>
            </w:r>
          </w:p>
        </w:tc>
        <w:tc>
          <w:tcPr>
            <w:tcW w:w="2579"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118209</w:t>
            </w:r>
          </w:p>
        </w:tc>
        <w:tc>
          <w:tcPr>
            <w:tcW w:w="2814"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211947</w:t>
            </w:r>
          </w:p>
        </w:tc>
      </w:tr>
      <w:tr w:rsidR="00830DBB" w:rsidRPr="00830DBB" w:rsidTr="00080B9C">
        <w:trPr>
          <w:trHeight w:val="78"/>
        </w:trPr>
        <w:tc>
          <w:tcPr>
            <w:tcW w:w="1417"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2013</w:t>
            </w:r>
          </w:p>
        </w:tc>
        <w:tc>
          <w:tcPr>
            <w:tcW w:w="2102"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117555</w:t>
            </w:r>
          </w:p>
        </w:tc>
        <w:tc>
          <w:tcPr>
            <w:tcW w:w="2579"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164817</w:t>
            </w:r>
          </w:p>
        </w:tc>
        <w:tc>
          <w:tcPr>
            <w:tcW w:w="2814"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135930</w:t>
            </w:r>
          </w:p>
        </w:tc>
      </w:tr>
      <w:tr w:rsidR="00830DBB" w:rsidRPr="00830DBB" w:rsidTr="00080B9C">
        <w:trPr>
          <w:trHeight w:val="70"/>
        </w:trPr>
        <w:tc>
          <w:tcPr>
            <w:tcW w:w="1417"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2014</w:t>
            </w:r>
          </w:p>
        </w:tc>
        <w:tc>
          <w:tcPr>
            <w:tcW w:w="2102"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27117</w:t>
            </w:r>
          </w:p>
        </w:tc>
        <w:tc>
          <w:tcPr>
            <w:tcW w:w="2579"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88036</w:t>
            </w:r>
          </w:p>
        </w:tc>
        <w:tc>
          <w:tcPr>
            <w:tcW w:w="2814"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116145</w:t>
            </w:r>
          </w:p>
        </w:tc>
      </w:tr>
      <w:tr w:rsidR="00830DBB" w:rsidRPr="00830DBB" w:rsidTr="00080B9C">
        <w:trPr>
          <w:trHeight w:val="86"/>
        </w:trPr>
        <w:tc>
          <w:tcPr>
            <w:tcW w:w="1417"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2015</w:t>
            </w:r>
          </w:p>
        </w:tc>
        <w:tc>
          <w:tcPr>
            <w:tcW w:w="2102"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26489</w:t>
            </w:r>
          </w:p>
        </w:tc>
        <w:tc>
          <w:tcPr>
            <w:tcW w:w="2579"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96025</w:t>
            </w:r>
          </w:p>
        </w:tc>
        <w:tc>
          <w:tcPr>
            <w:tcW w:w="2814" w:type="dxa"/>
          </w:tcPr>
          <w:p w:rsidR="00830DBB" w:rsidRPr="00830DBB" w:rsidRDefault="00830DBB" w:rsidP="00830DBB">
            <w:pPr>
              <w:tabs>
                <w:tab w:val="left" w:pos="1276"/>
              </w:tabs>
              <w:spacing w:after="0" w:line="240" w:lineRule="auto"/>
              <w:jc w:val="center"/>
              <w:rPr>
                <w:rFonts w:ascii="Arial" w:eastAsia="SimSun" w:hAnsi="Arial" w:cs="Arial"/>
                <w:bCs/>
                <w:color w:val="000000" w:themeColor="text1"/>
                <w:sz w:val="24"/>
                <w:szCs w:val="24"/>
                <w:lang w:val="en-GB"/>
              </w:rPr>
            </w:pPr>
            <w:r w:rsidRPr="00830DBB">
              <w:rPr>
                <w:rFonts w:ascii="Arial" w:eastAsia="SimSun" w:hAnsi="Arial" w:cs="Arial"/>
                <w:bCs/>
                <w:color w:val="000000" w:themeColor="text1"/>
                <w:lang w:val="en-GB"/>
              </w:rPr>
              <w:t>140991</w:t>
            </w:r>
          </w:p>
        </w:tc>
      </w:tr>
    </w:tbl>
    <w:p w:rsidR="00830DBB" w:rsidRPr="00830DBB" w:rsidRDefault="00830DBB" w:rsidP="00830DBB">
      <w:pPr>
        <w:tabs>
          <w:tab w:val="left" w:pos="1276"/>
        </w:tabs>
        <w:spacing w:after="0" w:line="240" w:lineRule="auto"/>
        <w:rPr>
          <w:rFonts w:ascii="Arial" w:eastAsia="SimSun" w:hAnsi="Arial" w:cs="Arial"/>
          <w:color w:val="000000" w:themeColor="text1"/>
          <w:sz w:val="20"/>
          <w:szCs w:val="20"/>
          <w:lang w:val="en-GB"/>
        </w:rPr>
      </w:pPr>
      <w:r w:rsidRPr="00830DBB">
        <w:rPr>
          <w:rFonts w:ascii="Arial" w:eastAsia="SimSun" w:hAnsi="Arial" w:cs="Arial"/>
          <w:bCs/>
          <w:color w:val="000000" w:themeColor="text1"/>
          <w:sz w:val="20"/>
          <w:szCs w:val="20"/>
          <w:lang w:val="en-GB"/>
        </w:rPr>
        <w:t xml:space="preserve">     (Sursa: Direcţia pentru Agricultură a Judeţului Vaslui</w:t>
      </w:r>
      <w:r w:rsidRPr="00830DBB">
        <w:rPr>
          <w:rFonts w:ascii="Arial" w:eastAsia="SimSun" w:hAnsi="Arial" w:cs="Arial"/>
          <w:color w:val="000000" w:themeColor="text1"/>
          <w:sz w:val="20"/>
          <w:szCs w:val="20"/>
          <w:lang w:val="en-GB"/>
        </w:rPr>
        <w:t>)</w:t>
      </w:r>
    </w:p>
    <w:p w:rsidR="00830DBB" w:rsidRPr="00830DBB" w:rsidRDefault="00830DBB" w:rsidP="00830DBB">
      <w:pPr>
        <w:tabs>
          <w:tab w:val="left" w:pos="1276"/>
        </w:tabs>
        <w:spacing w:after="0" w:line="240" w:lineRule="auto"/>
        <w:rPr>
          <w:rFonts w:ascii="Arial" w:eastAsia="SimSun" w:hAnsi="Arial" w:cs="Arial"/>
          <w:color w:val="000000" w:themeColor="text1"/>
          <w:sz w:val="24"/>
          <w:szCs w:val="24"/>
          <w:lang w:val="ro-RO"/>
        </w:rPr>
      </w:pPr>
    </w:p>
    <w:p w:rsidR="00830DBB" w:rsidRPr="00830DBB" w:rsidRDefault="00830DBB" w:rsidP="00830DBB">
      <w:pPr>
        <w:tabs>
          <w:tab w:val="left" w:pos="1276"/>
        </w:tabs>
        <w:spacing w:after="0" w:line="240" w:lineRule="auto"/>
        <w:rPr>
          <w:rFonts w:ascii="Arial" w:eastAsia="SimSun" w:hAnsi="Arial" w:cs="Arial"/>
          <w:color w:val="000000" w:themeColor="text1"/>
          <w:sz w:val="24"/>
          <w:szCs w:val="24"/>
          <w:lang w:val="ro-RO"/>
        </w:rPr>
      </w:pPr>
      <w:r w:rsidRPr="00830DBB">
        <w:rPr>
          <w:rFonts w:ascii="Arial" w:eastAsia="SimSun" w:hAnsi="Arial" w:cs="Arial"/>
          <w:color w:val="000000" w:themeColor="text1"/>
          <w:sz w:val="24"/>
          <w:szCs w:val="24"/>
          <w:lang w:val="ro-RO"/>
        </w:rPr>
        <w:lastRenderedPageBreak/>
        <w:t xml:space="preserve">Figura </w:t>
      </w:r>
      <w:r w:rsidRPr="00830DBB">
        <w:rPr>
          <w:rFonts w:ascii="Arial" w:eastAsia="SimSun" w:hAnsi="Arial" w:cs="Arial"/>
          <w:color w:val="000000" w:themeColor="text1"/>
          <w:sz w:val="24"/>
          <w:szCs w:val="24"/>
          <w:lang w:val="en-GB"/>
        </w:rPr>
        <w:t xml:space="preserve">III.7. </w:t>
      </w:r>
      <w:r w:rsidRPr="00830DBB">
        <w:rPr>
          <w:rFonts w:ascii="Arial" w:eastAsia="SimSun" w:hAnsi="Arial" w:cs="Arial"/>
          <w:color w:val="000000" w:themeColor="text1"/>
          <w:sz w:val="24"/>
          <w:szCs w:val="24"/>
          <w:lang w:val="ro-RO"/>
        </w:rPr>
        <w:t>Variaţia anuală a consumului total de pesticide (kg/ha), în perioada 2011-2015</w:t>
      </w:r>
    </w:p>
    <w:p w:rsidR="00830DBB" w:rsidRPr="00830DBB" w:rsidRDefault="00830DBB" w:rsidP="00830DBB">
      <w:pPr>
        <w:tabs>
          <w:tab w:val="left" w:pos="1276"/>
        </w:tabs>
        <w:spacing w:after="0" w:line="240" w:lineRule="auto"/>
        <w:jc w:val="center"/>
        <w:rPr>
          <w:rFonts w:ascii="Arial" w:eastAsia="SimSun" w:hAnsi="Arial" w:cs="Arial"/>
          <w:color w:val="000000" w:themeColor="text1"/>
          <w:sz w:val="24"/>
          <w:szCs w:val="24"/>
          <w:lang w:val="ro-RO"/>
        </w:rPr>
      </w:pPr>
      <w:r w:rsidRPr="00830DBB">
        <w:rPr>
          <w:rFonts w:ascii="Arial" w:eastAsia="SimSun" w:hAnsi="Arial" w:cs="Arial"/>
          <w:noProof/>
          <w:color w:val="000000" w:themeColor="text1"/>
          <w:sz w:val="24"/>
          <w:szCs w:val="24"/>
        </w:rPr>
        <w:drawing>
          <wp:inline distT="0" distB="0" distL="0" distR="0" wp14:anchorId="2AD2E91C" wp14:editId="7845B248">
            <wp:extent cx="5829300" cy="2181225"/>
            <wp:effectExtent l="0" t="0" r="0" b="0"/>
            <wp:docPr id="213" name="Chart 2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830DBB" w:rsidRPr="00830DBB" w:rsidRDefault="00830DBB" w:rsidP="00830DBB">
      <w:pPr>
        <w:tabs>
          <w:tab w:val="left" w:pos="1276"/>
        </w:tabs>
        <w:spacing w:after="0" w:line="240" w:lineRule="auto"/>
        <w:rPr>
          <w:rFonts w:ascii="Arial" w:eastAsia="SimSun" w:hAnsi="Arial" w:cs="Arial"/>
          <w:color w:val="FF0000"/>
          <w:sz w:val="24"/>
          <w:szCs w:val="24"/>
          <w:lang w:val="ro-RO"/>
        </w:rPr>
      </w:pPr>
    </w:p>
    <w:p w:rsidR="00830DBB" w:rsidRPr="00830DBB" w:rsidRDefault="00830DBB" w:rsidP="00830DBB">
      <w:pPr>
        <w:tabs>
          <w:tab w:val="left" w:pos="1276"/>
        </w:tabs>
        <w:spacing w:after="0" w:line="240" w:lineRule="auto"/>
        <w:rPr>
          <w:rFonts w:ascii="Arial" w:eastAsia="SimSun" w:hAnsi="Arial" w:cs="Arial"/>
          <w:sz w:val="24"/>
          <w:szCs w:val="24"/>
          <w:lang w:val="ro-RO"/>
        </w:rPr>
      </w:pPr>
      <w:r w:rsidRPr="00830DBB">
        <w:rPr>
          <w:rFonts w:ascii="Arial" w:eastAsia="SimSun" w:hAnsi="Arial" w:cs="Arial"/>
          <w:sz w:val="24"/>
          <w:szCs w:val="24"/>
          <w:lang w:val="ro-RO"/>
        </w:rPr>
        <w:t xml:space="preserve">Figura </w:t>
      </w:r>
      <w:r w:rsidRPr="00830DBB">
        <w:rPr>
          <w:rFonts w:ascii="Arial" w:eastAsia="SimSun" w:hAnsi="Arial" w:cs="Arial"/>
          <w:sz w:val="24"/>
          <w:szCs w:val="24"/>
          <w:lang w:val="en-GB"/>
        </w:rPr>
        <w:t xml:space="preserve">III.8. </w:t>
      </w:r>
      <w:r w:rsidRPr="00830DBB">
        <w:rPr>
          <w:rFonts w:ascii="Arial" w:eastAsia="SimSun" w:hAnsi="Arial" w:cs="Arial"/>
          <w:sz w:val="24"/>
          <w:szCs w:val="24"/>
          <w:lang w:val="ro-RO"/>
        </w:rPr>
        <w:t>Variaţia anuală a consumului pe sorturi de pesticide (kg/ha), în perioada 2011-2015</w:t>
      </w:r>
    </w:p>
    <w:p w:rsidR="00830DBB" w:rsidRPr="00830DBB" w:rsidRDefault="00830DBB" w:rsidP="00830DBB">
      <w:pPr>
        <w:tabs>
          <w:tab w:val="left" w:pos="1276"/>
        </w:tabs>
        <w:spacing w:after="0" w:line="240" w:lineRule="auto"/>
        <w:rPr>
          <w:rFonts w:ascii="Arial" w:eastAsia="SimSun" w:hAnsi="Arial" w:cs="Arial"/>
          <w:color w:val="FF0000"/>
          <w:sz w:val="24"/>
          <w:szCs w:val="24"/>
          <w:lang w:val="ro-RO"/>
        </w:rPr>
      </w:pPr>
      <w:r w:rsidRPr="00830DBB">
        <w:rPr>
          <w:rFonts w:ascii="Arial" w:eastAsia="SimSun" w:hAnsi="Arial" w:cs="Arial"/>
          <w:noProof/>
          <w:color w:val="FF0000"/>
          <w:sz w:val="24"/>
          <w:szCs w:val="24"/>
        </w:rPr>
        <w:drawing>
          <wp:inline distT="0" distB="0" distL="0" distR="0" wp14:anchorId="18045B89" wp14:editId="7A385E3F">
            <wp:extent cx="5705475" cy="2124075"/>
            <wp:effectExtent l="0" t="0" r="0" b="0"/>
            <wp:docPr id="214" name="Chart 2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830DBB" w:rsidRPr="00830DBB" w:rsidRDefault="00830DBB" w:rsidP="00830DBB">
      <w:pPr>
        <w:tabs>
          <w:tab w:val="left" w:pos="1276"/>
        </w:tabs>
        <w:spacing w:after="0" w:line="240" w:lineRule="auto"/>
        <w:rPr>
          <w:rFonts w:ascii="Arial" w:eastAsia="SimSun" w:hAnsi="Arial" w:cs="Arial"/>
          <w:sz w:val="24"/>
          <w:szCs w:val="24"/>
          <w:lang w:val="ro-RO"/>
        </w:rPr>
      </w:pPr>
      <w:r w:rsidRPr="00830DBB">
        <w:rPr>
          <w:rFonts w:ascii="Arial" w:eastAsia="SimSun" w:hAnsi="Arial" w:cs="Arial"/>
          <w:sz w:val="24"/>
          <w:szCs w:val="24"/>
          <w:lang w:val="en-GB"/>
        </w:rPr>
        <w:t xml:space="preserve">Tabelul III.10. </w:t>
      </w:r>
      <w:r w:rsidRPr="00830DBB">
        <w:rPr>
          <w:rFonts w:ascii="Arial" w:eastAsia="SimSun" w:hAnsi="Arial" w:cs="Arial"/>
          <w:bCs/>
          <w:sz w:val="24"/>
          <w:szCs w:val="24"/>
          <w:lang w:val="en-GB"/>
        </w:rPr>
        <w:t xml:space="preserve">Suprafaţa terenurilor pe care s-au aplicat pesticide, </w:t>
      </w:r>
      <w:r w:rsidRPr="00830DBB">
        <w:rPr>
          <w:rFonts w:ascii="Arial" w:eastAsia="SimSun" w:hAnsi="Arial" w:cs="Arial"/>
          <w:sz w:val="24"/>
          <w:szCs w:val="24"/>
          <w:lang w:val="ro-RO"/>
        </w:rPr>
        <w:t>în judeţul Vaslui, în perioada 2010-2014</w:t>
      </w:r>
    </w:p>
    <w:tbl>
      <w:tblPr>
        <w:tblW w:w="825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5"/>
        <w:gridCol w:w="1865"/>
        <w:gridCol w:w="2295"/>
        <w:gridCol w:w="2230"/>
      </w:tblGrid>
      <w:tr w:rsidR="00830DBB" w:rsidRPr="00830DBB" w:rsidTr="00080B9C">
        <w:trPr>
          <w:trHeight w:val="270"/>
        </w:trPr>
        <w:tc>
          <w:tcPr>
            <w:tcW w:w="1865" w:type="dxa"/>
            <w:vMerge w:val="restart"/>
          </w:tcPr>
          <w:p w:rsidR="00830DBB" w:rsidRPr="00830DBB" w:rsidRDefault="00830DBB" w:rsidP="00830DBB">
            <w:pPr>
              <w:tabs>
                <w:tab w:val="left" w:pos="1276"/>
              </w:tabs>
              <w:spacing w:after="0" w:line="240" w:lineRule="auto"/>
              <w:jc w:val="center"/>
              <w:rPr>
                <w:rFonts w:ascii="Arial" w:eastAsia="SimSun" w:hAnsi="Arial" w:cs="Arial"/>
                <w:b/>
                <w:bCs/>
                <w:sz w:val="24"/>
                <w:szCs w:val="24"/>
                <w:lang w:val="ro-RO"/>
              </w:rPr>
            </w:pPr>
            <w:r w:rsidRPr="00830DBB">
              <w:rPr>
                <w:rFonts w:ascii="Arial" w:eastAsia="SimSun" w:hAnsi="Arial" w:cs="Arial"/>
                <w:b/>
                <w:bCs/>
                <w:lang w:val="ro-RO"/>
              </w:rPr>
              <w:t>Anul</w:t>
            </w:r>
          </w:p>
        </w:tc>
        <w:tc>
          <w:tcPr>
            <w:tcW w:w="1865" w:type="dxa"/>
          </w:tcPr>
          <w:p w:rsidR="00830DBB" w:rsidRPr="00830DBB" w:rsidRDefault="00830DBB" w:rsidP="00830DBB">
            <w:pPr>
              <w:tabs>
                <w:tab w:val="left" w:pos="1276"/>
              </w:tabs>
              <w:spacing w:after="0" w:line="240" w:lineRule="auto"/>
              <w:jc w:val="center"/>
              <w:rPr>
                <w:rFonts w:ascii="Arial" w:eastAsia="SimSun" w:hAnsi="Arial" w:cs="Arial"/>
                <w:b/>
                <w:bCs/>
                <w:sz w:val="24"/>
                <w:szCs w:val="24"/>
                <w:lang w:val="ro-RO"/>
              </w:rPr>
            </w:pPr>
            <w:r w:rsidRPr="00830DBB">
              <w:rPr>
                <w:rFonts w:ascii="Arial" w:eastAsia="SimSun" w:hAnsi="Arial" w:cs="Arial"/>
                <w:b/>
                <w:bCs/>
                <w:lang w:val="en-GB"/>
              </w:rPr>
              <w:t>Insecticide</w:t>
            </w:r>
          </w:p>
        </w:tc>
        <w:tc>
          <w:tcPr>
            <w:tcW w:w="2295" w:type="dxa"/>
          </w:tcPr>
          <w:p w:rsidR="00830DBB" w:rsidRPr="00830DBB" w:rsidRDefault="00830DBB" w:rsidP="00830DBB">
            <w:pPr>
              <w:tabs>
                <w:tab w:val="left" w:pos="1276"/>
              </w:tabs>
              <w:spacing w:after="0" w:line="240" w:lineRule="auto"/>
              <w:jc w:val="center"/>
              <w:rPr>
                <w:rFonts w:ascii="Arial" w:eastAsia="SimSun" w:hAnsi="Arial" w:cs="Arial"/>
                <w:b/>
                <w:bCs/>
                <w:sz w:val="24"/>
                <w:szCs w:val="24"/>
                <w:lang w:val="en-GB"/>
              </w:rPr>
            </w:pPr>
            <w:r w:rsidRPr="00830DBB">
              <w:rPr>
                <w:rFonts w:ascii="Arial" w:eastAsia="SimSun" w:hAnsi="Arial" w:cs="Arial"/>
                <w:b/>
                <w:bCs/>
                <w:lang w:val="en-GB"/>
              </w:rPr>
              <w:t>Fungicide</w:t>
            </w:r>
          </w:p>
        </w:tc>
        <w:tc>
          <w:tcPr>
            <w:tcW w:w="2230" w:type="dxa"/>
          </w:tcPr>
          <w:p w:rsidR="00830DBB" w:rsidRPr="00830DBB" w:rsidRDefault="00830DBB" w:rsidP="00830DBB">
            <w:pPr>
              <w:tabs>
                <w:tab w:val="left" w:pos="1276"/>
              </w:tabs>
              <w:spacing w:after="0" w:line="240" w:lineRule="auto"/>
              <w:jc w:val="center"/>
              <w:rPr>
                <w:rFonts w:ascii="Arial" w:eastAsia="SimSun" w:hAnsi="Arial" w:cs="Arial"/>
                <w:b/>
                <w:bCs/>
                <w:sz w:val="24"/>
                <w:szCs w:val="24"/>
                <w:lang w:val="en-GB"/>
              </w:rPr>
            </w:pPr>
            <w:r w:rsidRPr="00830DBB">
              <w:rPr>
                <w:rFonts w:ascii="Arial" w:eastAsia="SimSun" w:hAnsi="Arial" w:cs="Arial"/>
                <w:b/>
                <w:bCs/>
                <w:lang w:val="en-GB"/>
              </w:rPr>
              <w:t>Erbicide</w:t>
            </w:r>
          </w:p>
        </w:tc>
      </w:tr>
      <w:tr w:rsidR="00830DBB" w:rsidRPr="00830DBB" w:rsidTr="00080B9C">
        <w:trPr>
          <w:trHeight w:val="129"/>
        </w:trPr>
        <w:tc>
          <w:tcPr>
            <w:tcW w:w="1865" w:type="dxa"/>
            <w:vMerge/>
          </w:tcPr>
          <w:p w:rsidR="00830DBB" w:rsidRPr="00830DBB" w:rsidRDefault="00830DBB" w:rsidP="00830DBB">
            <w:pPr>
              <w:tabs>
                <w:tab w:val="left" w:pos="1276"/>
              </w:tabs>
              <w:spacing w:after="0" w:line="240" w:lineRule="auto"/>
              <w:jc w:val="center"/>
              <w:rPr>
                <w:rFonts w:ascii="Arial" w:eastAsia="SimSun" w:hAnsi="Arial" w:cs="Arial"/>
                <w:b/>
                <w:bCs/>
                <w:sz w:val="24"/>
                <w:szCs w:val="24"/>
                <w:lang w:val="ro-RO"/>
              </w:rPr>
            </w:pPr>
          </w:p>
        </w:tc>
        <w:tc>
          <w:tcPr>
            <w:tcW w:w="6390" w:type="dxa"/>
            <w:gridSpan w:val="3"/>
          </w:tcPr>
          <w:p w:rsidR="00830DBB" w:rsidRPr="00830DBB" w:rsidRDefault="00830DBB" w:rsidP="00830DBB">
            <w:pPr>
              <w:tabs>
                <w:tab w:val="left" w:pos="1276"/>
              </w:tabs>
              <w:spacing w:after="0" w:line="240" w:lineRule="auto"/>
              <w:jc w:val="center"/>
              <w:rPr>
                <w:rFonts w:ascii="Arial" w:eastAsia="SimSun" w:hAnsi="Arial" w:cs="Arial"/>
                <w:b/>
                <w:bCs/>
                <w:sz w:val="24"/>
                <w:szCs w:val="24"/>
                <w:lang w:val="en-GB"/>
              </w:rPr>
            </w:pPr>
            <w:r w:rsidRPr="00830DBB">
              <w:rPr>
                <w:rFonts w:ascii="Arial" w:eastAsia="SimSun" w:hAnsi="Arial" w:cs="Arial"/>
                <w:b/>
                <w:bCs/>
                <w:lang w:val="en-GB"/>
              </w:rPr>
              <w:t>Suprafaţa terenuri U.M. (ha)</w:t>
            </w:r>
          </w:p>
        </w:tc>
      </w:tr>
      <w:tr w:rsidR="00830DBB" w:rsidRPr="00830DBB" w:rsidTr="00080B9C">
        <w:trPr>
          <w:trHeight w:val="116"/>
        </w:trPr>
        <w:tc>
          <w:tcPr>
            <w:tcW w:w="1865" w:type="dxa"/>
          </w:tcPr>
          <w:p w:rsidR="00830DBB" w:rsidRPr="00830DBB" w:rsidRDefault="00830DBB" w:rsidP="00830DBB">
            <w:pPr>
              <w:tabs>
                <w:tab w:val="left" w:pos="1276"/>
              </w:tabs>
              <w:spacing w:after="0" w:line="240" w:lineRule="auto"/>
              <w:jc w:val="center"/>
              <w:rPr>
                <w:rFonts w:ascii="Arial" w:eastAsia="SimSun" w:hAnsi="Arial" w:cs="Arial"/>
                <w:bCs/>
                <w:sz w:val="24"/>
                <w:szCs w:val="24"/>
                <w:lang w:val="en-GB"/>
              </w:rPr>
            </w:pPr>
            <w:r w:rsidRPr="00830DBB">
              <w:rPr>
                <w:rFonts w:ascii="Arial" w:eastAsia="SimSun" w:hAnsi="Arial" w:cs="Arial"/>
                <w:bCs/>
                <w:lang w:val="en-GB"/>
              </w:rPr>
              <w:t>2011</w:t>
            </w:r>
          </w:p>
        </w:tc>
        <w:tc>
          <w:tcPr>
            <w:tcW w:w="1865" w:type="dxa"/>
          </w:tcPr>
          <w:p w:rsidR="00830DBB" w:rsidRPr="00830DBB" w:rsidRDefault="00830DBB" w:rsidP="00830DBB">
            <w:pPr>
              <w:tabs>
                <w:tab w:val="left" w:pos="1276"/>
              </w:tabs>
              <w:spacing w:after="0" w:line="240" w:lineRule="auto"/>
              <w:jc w:val="center"/>
              <w:rPr>
                <w:rFonts w:ascii="Arial" w:eastAsia="SimSun" w:hAnsi="Arial" w:cs="Arial"/>
                <w:bCs/>
                <w:sz w:val="24"/>
                <w:szCs w:val="24"/>
                <w:lang w:val="en-GB"/>
              </w:rPr>
            </w:pPr>
            <w:r w:rsidRPr="00830DBB">
              <w:rPr>
                <w:rFonts w:ascii="Arial" w:eastAsia="SimSun" w:hAnsi="Arial" w:cs="Arial"/>
                <w:bCs/>
                <w:lang w:val="en-GB"/>
              </w:rPr>
              <w:t>69736</w:t>
            </w:r>
          </w:p>
        </w:tc>
        <w:tc>
          <w:tcPr>
            <w:tcW w:w="2295" w:type="dxa"/>
          </w:tcPr>
          <w:p w:rsidR="00830DBB" w:rsidRPr="00830DBB" w:rsidRDefault="00830DBB" w:rsidP="00830DBB">
            <w:pPr>
              <w:tabs>
                <w:tab w:val="left" w:pos="1276"/>
              </w:tabs>
              <w:spacing w:after="0" w:line="240" w:lineRule="auto"/>
              <w:jc w:val="center"/>
              <w:rPr>
                <w:rFonts w:ascii="Arial" w:eastAsia="SimSun" w:hAnsi="Arial" w:cs="Arial"/>
                <w:bCs/>
                <w:sz w:val="24"/>
                <w:szCs w:val="24"/>
                <w:lang w:val="en-GB"/>
              </w:rPr>
            </w:pPr>
            <w:r w:rsidRPr="00830DBB">
              <w:rPr>
                <w:rFonts w:ascii="Arial" w:eastAsia="SimSun" w:hAnsi="Arial" w:cs="Arial"/>
                <w:bCs/>
                <w:lang w:val="en-GB"/>
              </w:rPr>
              <w:t>40920</w:t>
            </w:r>
          </w:p>
        </w:tc>
        <w:tc>
          <w:tcPr>
            <w:tcW w:w="2230" w:type="dxa"/>
          </w:tcPr>
          <w:p w:rsidR="00830DBB" w:rsidRPr="00830DBB" w:rsidRDefault="00830DBB" w:rsidP="00830DBB">
            <w:pPr>
              <w:tabs>
                <w:tab w:val="left" w:pos="1276"/>
              </w:tabs>
              <w:spacing w:after="0" w:line="240" w:lineRule="auto"/>
              <w:jc w:val="center"/>
              <w:rPr>
                <w:rFonts w:ascii="Arial" w:eastAsia="SimSun" w:hAnsi="Arial" w:cs="Arial"/>
                <w:bCs/>
                <w:sz w:val="24"/>
                <w:szCs w:val="24"/>
                <w:lang w:val="en-GB"/>
              </w:rPr>
            </w:pPr>
            <w:r w:rsidRPr="00830DBB">
              <w:rPr>
                <w:rFonts w:ascii="Arial" w:eastAsia="SimSun" w:hAnsi="Arial" w:cs="Arial"/>
                <w:bCs/>
                <w:lang w:val="en-GB"/>
              </w:rPr>
              <w:t>85235</w:t>
            </w:r>
          </w:p>
        </w:tc>
      </w:tr>
      <w:tr w:rsidR="00830DBB" w:rsidRPr="00830DBB" w:rsidTr="00080B9C">
        <w:trPr>
          <w:trHeight w:val="139"/>
        </w:trPr>
        <w:tc>
          <w:tcPr>
            <w:tcW w:w="1865" w:type="dxa"/>
          </w:tcPr>
          <w:p w:rsidR="00830DBB" w:rsidRPr="00830DBB" w:rsidRDefault="00830DBB" w:rsidP="00830DBB">
            <w:pPr>
              <w:tabs>
                <w:tab w:val="left" w:pos="1276"/>
              </w:tabs>
              <w:spacing w:after="0" w:line="240" w:lineRule="auto"/>
              <w:jc w:val="center"/>
              <w:rPr>
                <w:rFonts w:ascii="Arial" w:eastAsia="SimSun" w:hAnsi="Arial" w:cs="Arial"/>
                <w:bCs/>
                <w:sz w:val="24"/>
                <w:szCs w:val="24"/>
                <w:lang w:val="en-GB"/>
              </w:rPr>
            </w:pPr>
            <w:r w:rsidRPr="00830DBB">
              <w:rPr>
                <w:rFonts w:ascii="Arial" w:eastAsia="SimSun" w:hAnsi="Arial" w:cs="Arial"/>
                <w:bCs/>
                <w:lang w:val="en-GB"/>
              </w:rPr>
              <w:t>2012</w:t>
            </w:r>
          </w:p>
        </w:tc>
        <w:tc>
          <w:tcPr>
            <w:tcW w:w="1865" w:type="dxa"/>
          </w:tcPr>
          <w:p w:rsidR="00830DBB" w:rsidRPr="00830DBB" w:rsidRDefault="00830DBB" w:rsidP="00830DBB">
            <w:pPr>
              <w:tabs>
                <w:tab w:val="left" w:pos="1276"/>
              </w:tabs>
              <w:spacing w:after="0" w:line="240" w:lineRule="auto"/>
              <w:jc w:val="center"/>
              <w:rPr>
                <w:rFonts w:ascii="Arial" w:eastAsia="SimSun" w:hAnsi="Arial" w:cs="Arial"/>
                <w:bCs/>
                <w:sz w:val="24"/>
                <w:szCs w:val="24"/>
                <w:lang w:val="en-GB"/>
              </w:rPr>
            </w:pPr>
            <w:r w:rsidRPr="00830DBB">
              <w:rPr>
                <w:rFonts w:ascii="Arial" w:eastAsia="SimSun" w:hAnsi="Arial" w:cs="Arial"/>
                <w:bCs/>
                <w:lang w:val="en-GB"/>
              </w:rPr>
              <w:t>63539</w:t>
            </w:r>
          </w:p>
        </w:tc>
        <w:tc>
          <w:tcPr>
            <w:tcW w:w="2295" w:type="dxa"/>
          </w:tcPr>
          <w:p w:rsidR="00830DBB" w:rsidRPr="00830DBB" w:rsidRDefault="00830DBB" w:rsidP="00830DBB">
            <w:pPr>
              <w:tabs>
                <w:tab w:val="left" w:pos="1276"/>
              </w:tabs>
              <w:spacing w:after="0" w:line="240" w:lineRule="auto"/>
              <w:jc w:val="center"/>
              <w:rPr>
                <w:rFonts w:ascii="Arial" w:eastAsia="SimSun" w:hAnsi="Arial" w:cs="Arial"/>
                <w:bCs/>
                <w:sz w:val="24"/>
                <w:szCs w:val="24"/>
                <w:lang w:val="en-GB"/>
              </w:rPr>
            </w:pPr>
            <w:r w:rsidRPr="00830DBB">
              <w:rPr>
                <w:rFonts w:ascii="Arial" w:eastAsia="SimSun" w:hAnsi="Arial" w:cs="Arial"/>
                <w:bCs/>
                <w:lang w:val="en-GB"/>
              </w:rPr>
              <w:t>46723</w:t>
            </w:r>
          </w:p>
        </w:tc>
        <w:tc>
          <w:tcPr>
            <w:tcW w:w="2230" w:type="dxa"/>
          </w:tcPr>
          <w:p w:rsidR="00830DBB" w:rsidRPr="00830DBB" w:rsidRDefault="00830DBB" w:rsidP="00830DBB">
            <w:pPr>
              <w:tabs>
                <w:tab w:val="left" w:pos="1276"/>
              </w:tabs>
              <w:spacing w:after="0" w:line="240" w:lineRule="auto"/>
              <w:jc w:val="center"/>
              <w:rPr>
                <w:rFonts w:ascii="Arial" w:eastAsia="SimSun" w:hAnsi="Arial" w:cs="Arial"/>
                <w:bCs/>
                <w:sz w:val="24"/>
                <w:szCs w:val="24"/>
                <w:lang w:val="en-GB"/>
              </w:rPr>
            </w:pPr>
            <w:r w:rsidRPr="00830DBB">
              <w:rPr>
                <w:rFonts w:ascii="Arial" w:eastAsia="SimSun" w:hAnsi="Arial" w:cs="Arial"/>
                <w:bCs/>
                <w:lang w:val="en-GB"/>
              </w:rPr>
              <w:t>124250</w:t>
            </w:r>
          </w:p>
        </w:tc>
      </w:tr>
      <w:tr w:rsidR="00830DBB" w:rsidRPr="00830DBB" w:rsidTr="00080B9C">
        <w:trPr>
          <w:trHeight w:val="232"/>
        </w:trPr>
        <w:tc>
          <w:tcPr>
            <w:tcW w:w="1865" w:type="dxa"/>
          </w:tcPr>
          <w:p w:rsidR="00830DBB" w:rsidRPr="00830DBB" w:rsidRDefault="00830DBB" w:rsidP="00830DBB">
            <w:pPr>
              <w:tabs>
                <w:tab w:val="left" w:pos="1276"/>
              </w:tabs>
              <w:spacing w:after="0" w:line="240" w:lineRule="auto"/>
              <w:jc w:val="center"/>
              <w:rPr>
                <w:rFonts w:ascii="Arial" w:eastAsia="SimSun" w:hAnsi="Arial" w:cs="Arial"/>
                <w:bCs/>
                <w:sz w:val="24"/>
                <w:szCs w:val="24"/>
                <w:lang w:val="en-GB"/>
              </w:rPr>
            </w:pPr>
            <w:r w:rsidRPr="00830DBB">
              <w:rPr>
                <w:rFonts w:ascii="Arial" w:eastAsia="SimSun" w:hAnsi="Arial" w:cs="Arial"/>
                <w:bCs/>
                <w:lang w:val="en-GB"/>
              </w:rPr>
              <w:t>2013</w:t>
            </w:r>
          </w:p>
        </w:tc>
        <w:tc>
          <w:tcPr>
            <w:tcW w:w="1865" w:type="dxa"/>
          </w:tcPr>
          <w:p w:rsidR="00830DBB" w:rsidRPr="00830DBB" w:rsidRDefault="00830DBB" w:rsidP="00830DBB">
            <w:pPr>
              <w:tabs>
                <w:tab w:val="left" w:pos="1276"/>
              </w:tabs>
              <w:spacing w:after="0" w:line="240" w:lineRule="auto"/>
              <w:jc w:val="center"/>
              <w:rPr>
                <w:rFonts w:ascii="Arial" w:eastAsia="SimSun" w:hAnsi="Arial" w:cs="Arial"/>
                <w:bCs/>
                <w:sz w:val="24"/>
                <w:szCs w:val="24"/>
                <w:lang w:val="en-GB"/>
              </w:rPr>
            </w:pPr>
            <w:r w:rsidRPr="00830DBB">
              <w:rPr>
                <w:rFonts w:ascii="Arial" w:eastAsia="SimSun" w:hAnsi="Arial" w:cs="Arial"/>
                <w:bCs/>
                <w:lang w:val="en-GB"/>
              </w:rPr>
              <w:t>51111</w:t>
            </w:r>
          </w:p>
        </w:tc>
        <w:tc>
          <w:tcPr>
            <w:tcW w:w="2295" w:type="dxa"/>
          </w:tcPr>
          <w:p w:rsidR="00830DBB" w:rsidRPr="00830DBB" w:rsidRDefault="00830DBB" w:rsidP="00830DBB">
            <w:pPr>
              <w:tabs>
                <w:tab w:val="left" w:pos="1276"/>
              </w:tabs>
              <w:spacing w:after="0" w:line="240" w:lineRule="auto"/>
              <w:jc w:val="center"/>
              <w:rPr>
                <w:rFonts w:ascii="Arial" w:eastAsia="SimSun" w:hAnsi="Arial" w:cs="Arial"/>
                <w:bCs/>
                <w:sz w:val="24"/>
                <w:szCs w:val="24"/>
                <w:lang w:val="en-GB"/>
              </w:rPr>
            </w:pPr>
            <w:r w:rsidRPr="00830DBB">
              <w:rPr>
                <w:rFonts w:ascii="Arial" w:eastAsia="SimSun" w:hAnsi="Arial" w:cs="Arial"/>
                <w:bCs/>
                <w:lang w:val="en-GB"/>
              </w:rPr>
              <w:t>65927</w:t>
            </w:r>
          </w:p>
        </w:tc>
        <w:tc>
          <w:tcPr>
            <w:tcW w:w="2230" w:type="dxa"/>
          </w:tcPr>
          <w:p w:rsidR="00830DBB" w:rsidRPr="00830DBB" w:rsidRDefault="00830DBB" w:rsidP="00830DBB">
            <w:pPr>
              <w:tabs>
                <w:tab w:val="left" w:pos="1276"/>
              </w:tabs>
              <w:spacing w:after="0" w:line="240" w:lineRule="auto"/>
              <w:jc w:val="center"/>
              <w:rPr>
                <w:rFonts w:ascii="Arial" w:eastAsia="SimSun" w:hAnsi="Arial" w:cs="Arial"/>
                <w:bCs/>
                <w:sz w:val="24"/>
                <w:szCs w:val="24"/>
                <w:lang w:val="en-GB"/>
              </w:rPr>
            </w:pPr>
            <w:r w:rsidRPr="00830DBB">
              <w:rPr>
                <w:rFonts w:ascii="Arial" w:eastAsia="SimSun" w:hAnsi="Arial" w:cs="Arial"/>
                <w:bCs/>
                <w:lang w:val="en-GB"/>
              </w:rPr>
              <w:t>105295</w:t>
            </w:r>
          </w:p>
        </w:tc>
      </w:tr>
      <w:tr w:rsidR="00830DBB" w:rsidRPr="00830DBB" w:rsidTr="00080B9C">
        <w:trPr>
          <w:trHeight w:val="239"/>
        </w:trPr>
        <w:tc>
          <w:tcPr>
            <w:tcW w:w="1865" w:type="dxa"/>
          </w:tcPr>
          <w:p w:rsidR="00830DBB" w:rsidRPr="00830DBB" w:rsidRDefault="00830DBB" w:rsidP="00830DBB">
            <w:pPr>
              <w:tabs>
                <w:tab w:val="left" w:pos="1276"/>
              </w:tabs>
              <w:spacing w:after="0" w:line="240" w:lineRule="auto"/>
              <w:jc w:val="center"/>
              <w:rPr>
                <w:rFonts w:ascii="Arial" w:eastAsia="SimSun" w:hAnsi="Arial" w:cs="Arial"/>
                <w:bCs/>
                <w:sz w:val="24"/>
                <w:szCs w:val="24"/>
                <w:lang w:val="en-GB"/>
              </w:rPr>
            </w:pPr>
            <w:r w:rsidRPr="00830DBB">
              <w:rPr>
                <w:rFonts w:ascii="Arial" w:eastAsia="SimSun" w:hAnsi="Arial" w:cs="Arial"/>
                <w:bCs/>
                <w:lang w:val="en-GB"/>
              </w:rPr>
              <w:t>2014</w:t>
            </w:r>
          </w:p>
        </w:tc>
        <w:tc>
          <w:tcPr>
            <w:tcW w:w="1865" w:type="dxa"/>
          </w:tcPr>
          <w:p w:rsidR="00830DBB" w:rsidRPr="00830DBB" w:rsidRDefault="00830DBB" w:rsidP="00830DBB">
            <w:pPr>
              <w:tabs>
                <w:tab w:val="left" w:pos="1276"/>
              </w:tabs>
              <w:spacing w:after="0" w:line="240" w:lineRule="auto"/>
              <w:jc w:val="center"/>
              <w:rPr>
                <w:rFonts w:ascii="Arial" w:eastAsia="SimSun" w:hAnsi="Arial" w:cs="Arial"/>
                <w:bCs/>
                <w:sz w:val="24"/>
                <w:szCs w:val="24"/>
                <w:lang w:val="en-GB"/>
              </w:rPr>
            </w:pPr>
            <w:r w:rsidRPr="00830DBB">
              <w:rPr>
                <w:rFonts w:ascii="Arial" w:eastAsia="SimSun" w:hAnsi="Arial" w:cs="Arial"/>
                <w:bCs/>
                <w:lang w:val="en-GB"/>
              </w:rPr>
              <w:t>78604</w:t>
            </w:r>
          </w:p>
        </w:tc>
        <w:tc>
          <w:tcPr>
            <w:tcW w:w="2295" w:type="dxa"/>
          </w:tcPr>
          <w:p w:rsidR="00830DBB" w:rsidRPr="00830DBB" w:rsidRDefault="00830DBB" w:rsidP="00830DBB">
            <w:pPr>
              <w:tabs>
                <w:tab w:val="left" w:pos="1276"/>
              </w:tabs>
              <w:spacing w:after="0" w:line="240" w:lineRule="auto"/>
              <w:jc w:val="center"/>
              <w:rPr>
                <w:rFonts w:ascii="Arial" w:eastAsia="SimSun" w:hAnsi="Arial" w:cs="Arial"/>
                <w:bCs/>
                <w:sz w:val="24"/>
                <w:szCs w:val="24"/>
                <w:lang w:val="en-GB"/>
              </w:rPr>
            </w:pPr>
            <w:r w:rsidRPr="00830DBB">
              <w:rPr>
                <w:rFonts w:ascii="Arial" w:eastAsia="SimSun" w:hAnsi="Arial" w:cs="Arial"/>
                <w:bCs/>
                <w:lang w:val="en-GB"/>
              </w:rPr>
              <w:t>78604</w:t>
            </w:r>
          </w:p>
        </w:tc>
        <w:tc>
          <w:tcPr>
            <w:tcW w:w="2230" w:type="dxa"/>
          </w:tcPr>
          <w:p w:rsidR="00830DBB" w:rsidRPr="00830DBB" w:rsidRDefault="00830DBB" w:rsidP="00830DBB">
            <w:pPr>
              <w:tabs>
                <w:tab w:val="left" w:pos="1276"/>
              </w:tabs>
              <w:spacing w:after="0" w:line="240" w:lineRule="auto"/>
              <w:jc w:val="center"/>
              <w:rPr>
                <w:rFonts w:ascii="Arial" w:eastAsia="SimSun" w:hAnsi="Arial" w:cs="Arial"/>
                <w:bCs/>
                <w:sz w:val="24"/>
                <w:szCs w:val="24"/>
                <w:lang w:val="en-GB"/>
              </w:rPr>
            </w:pPr>
            <w:r w:rsidRPr="00830DBB">
              <w:rPr>
                <w:rFonts w:ascii="Arial" w:eastAsia="SimSun" w:hAnsi="Arial" w:cs="Arial"/>
                <w:bCs/>
                <w:lang w:val="en-GB"/>
              </w:rPr>
              <w:t>124846</w:t>
            </w:r>
          </w:p>
        </w:tc>
      </w:tr>
      <w:tr w:rsidR="00830DBB" w:rsidRPr="00830DBB" w:rsidTr="00080B9C">
        <w:trPr>
          <w:trHeight w:val="189"/>
        </w:trPr>
        <w:tc>
          <w:tcPr>
            <w:tcW w:w="1865" w:type="dxa"/>
          </w:tcPr>
          <w:p w:rsidR="00830DBB" w:rsidRPr="00830DBB" w:rsidRDefault="00830DBB" w:rsidP="00830DBB">
            <w:pPr>
              <w:tabs>
                <w:tab w:val="left" w:pos="1276"/>
              </w:tabs>
              <w:spacing w:after="0" w:line="240" w:lineRule="auto"/>
              <w:jc w:val="center"/>
              <w:rPr>
                <w:rFonts w:ascii="Arial" w:eastAsia="SimSun" w:hAnsi="Arial" w:cs="Arial"/>
                <w:bCs/>
                <w:sz w:val="24"/>
                <w:szCs w:val="24"/>
                <w:lang w:val="en-GB"/>
              </w:rPr>
            </w:pPr>
            <w:r w:rsidRPr="00830DBB">
              <w:rPr>
                <w:rFonts w:ascii="Arial" w:eastAsia="SimSun" w:hAnsi="Arial" w:cs="Arial"/>
                <w:bCs/>
                <w:lang w:val="en-GB"/>
              </w:rPr>
              <w:t>2015</w:t>
            </w:r>
          </w:p>
        </w:tc>
        <w:tc>
          <w:tcPr>
            <w:tcW w:w="1865" w:type="dxa"/>
          </w:tcPr>
          <w:p w:rsidR="00830DBB" w:rsidRPr="00830DBB" w:rsidRDefault="00830DBB" w:rsidP="00830DBB">
            <w:pPr>
              <w:tabs>
                <w:tab w:val="left" w:pos="1276"/>
              </w:tabs>
              <w:spacing w:after="0" w:line="240" w:lineRule="auto"/>
              <w:jc w:val="center"/>
              <w:rPr>
                <w:rFonts w:ascii="Arial" w:eastAsia="SimSun" w:hAnsi="Arial" w:cs="Arial"/>
                <w:bCs/>
                <w:sz w:val="24"/>
                <w:szCs w:val="24"/>
                <w:lang w:val="en-GB"/>
              </w:rPr>
            </w:pPr>
            <w:r w:rsidRPr="00830DBB">
              <w:rPr>
                <w:rFonts w:ascii="Arial" w:eastAsia="SimSun" w:hAnsi="Arial" w:cs="Arial"/>
                <w:bCs/>
                <w:lang w:val="en-GB"/>
              </w:rPr>
              <w:t>66224</w:t>
            </w:r>
          </w:p>
        </w:tc>
        <w:tc>
          <w:tcPr>
            <w:tcW w:w="2295" w:type="dxa"/>
          </w:tcPr>
          <w:p w:rsidR="00830DBB" w:rsidRPr="00830DBB" w:rsidRDefault="00830DBB" w:rsidP="00830DBB">
            <w:pPr>
              <w:tabs>
                <w:tab w:val="left" w:pos="1276"/>
              </w:tabs>
              <w:spacing w:after="0" w:line="240" w:lineRule="auto"/>
              <w:jc w:val="center"/>
              <w:rPr>
                <w:rFonts w:ascii="Arial" w:eastAsia="SimSun" w:hAnsi="Arial" w:cs="Arial"/>
                <w:bCs/>
                <w:sz w:val="24"/>
                <w:szCs w:val="24"/>
                <w:lang w:val="en-GB"/>
              </w:rPr>
            </w:pPr>
            <w:r w:rsidRPr="00830DBB">
              <w:rPr>
                <w:rFonts w:ascii="Arial" w:eastAsia="SimSun" w:hAnsi="Arial" w:cs="Arial"/>
                <w:bCs/>
                <w:lang w:val="en-GB"/>
              </w:rPr>
              <w:t>66224</w:t>
            </w:r>
          </w:p>
        </w:tc>
        <w:tc>
          <w:tcPr>
            <w:tcW w:w="2230" w:type="dxa"/>
          </w:tcPr>
          <w:p w:rsidR="00830DBB" w:rsidRPr="00830DBB" w:rsidRDefault="00830DBB" w:rsidP="00830DBB">
            <w:pPr>
              <w:tabs>
                <w:tab w:val="left" w:pos="1276"/>
              </w:tabs>
              <w:spacing w:after="0" w:line="240" w:lineRule="auto"/>
              <w:jc w:val="center"/>
              <w:rPr>
                <w:rFonts w:ascii="Arial" w:eastAsia="SimSun" w:hAnsi="Arial" w:cs="Arial"/>
                <w:bCs/>
                <w:sz w:val="24"/>
                <w:szCs w:val="24"/>
                <w:lang w:val="en-GB"/>
              </w:rPr>
            </w:pPr>
            <w:r w:rsidRPr="00830DBB">
              <w:rPr>
                <w:rFonts w:ascii="Arial" w:eastAsia="SimSun" w:hAnsi="Arial" w:cs="Arial"/>
                <w:bCs/>
                <w:lang w:val="en-GB"/>
              </w:rPr>
              <w:t>128304</w:t>
            </w:r>
          </w:p>
        </w:tc>
      </w:tr>
    </w:tbl>
    <w:p w:rsidR="00830DBB" w:rsidRDefault="00830DBB" w:rsidP="00830DBB">
      <w:pPr>
        <w:tabs>
          <w:tab w:val="left" w:pos="1276"/>
        </w:tabs>
        <w:spacing w:after="0" w:line="240" w:lineRule="auto"/>
        <w:rPr>
          <w:rFonts w:ascii="Arial" w:eastAsia="SimSun" w:hAnsi="Arial" w:cs="Arial"/>
          <w:sz w:val="20"/>
          <w:szCs w:val="20"/>
          <w:lang w:val="en-GB"/>
        </w:rPr>
      </w:pPr>
      <w:r w:rsidRPr="00830DBB">
        <w:rPr>
          <w:rFonts w:ascii="Arial" w:eastAsia="SimSun" w:hAnsi="Arial" w:cs="Arial"/>
          <w:bCs/>
          <w:sz w:val="20"/>
          <w:szCs w:val="20"/>
          <w:lang w:val="en-GB"/>
        </w:rPr>
        <w:t>(Sursa: Institutul Naţional de Statistică</w:t>
      </w:r>
      <w:r w:rsidRPr="00830DBB">
        <w:rPr>
          <w:rFonts w:ascii="Arial" w:eastAsia="SimSun" w:hAnsi="Arial" w:cs="Arial"/>
          <w:b/>
          <w:sz w:val="20"/>
          <w:szCs w:val="20"/>
          <w:lang w:val="en-GB"/>
        </w:rPr>
        <w:t xml:space="preserve"> - </w:t>
      </w:r>
      <w:r w:rsidRPr="00830DBB">
        <w:rPr>
          <w:rFonts w:ascii="Arial" w:eastAsia="SimSun" w:hAnsi="Arial" w:cs="Arial"/>
          <w:bCs/>
          <w:sz w:val="20"/>
          <w:szCs w:val="20"/>
          <w:lang w:val="en-GB"/>
        </w:rPr>
        <w:t>Baza de date TEMPO</w:t>
      </w:r>
      <w:r w:rsidRPr="00830DBB">
        <w:rPr>
          <w:rFonts w:ascii="Arial" w:eastAsia="SimSun" w:hAnsi="Arial" w:cs="Arial"/>
          <w:sz w:val="20"/>
          <w:szCs w:val="20"/>
          <w:lang w:val="en-GB"/>
        </w:rPr>
        <w:t xml:space="preserve"> Online </w:t>
      </w:r>
      <w:r w:rsidRPr="00830DBB">
        <w:rPr>
          <w:rFonts w:ascii="Arial" w:eastAsia="SimSun" w:hAnsi="Arial" w:cs="Arial"/>
          <w:sz w:val="20"/>
          <w:szCs w:val="20"/>
          <w:lang w:val="ro-RO"/>
        </w:rPr>
        <w:t>şi</w:t>
      </w:r>
      <w:r w:rsidRPr="00830DBB">
        <w:rPr>
          <w:rFonts w:ascii="Arial" w:eastAsia="SimSun" w:hAnsi="Arial" w:cs="Arial"/>
          <w:bCs/>
          <w:sz w:val="20"/>
          <w:szCs w:val="20"/>
          <w:lang w:val="en-GB"/>
        </w:rPr>
        <w:t xml:space="preserve"> Direcţia pentru Agricultură a Judeţului Vaslui</w:t>
      </w:r>
      <w:r w:rsidRPr="00830DBB">
        <w:rPr>
          <w:rFonts w:ascii="Arial" w:eastAsia="SimSun" w:hAnsi="Arial" w:cs="Arial"/>
          <w:sz w:val="20"/>
          <w:szCs w:val="20"/>
          <w:lang w:val="ro-RO"/>
        </w:rPr>
        <w:t xml:space="preserve"> </w:t>
      </w:r>
      <w:r w:rsidRPr="00830DBB">
        <w:rPr>
          <w:rFonts w:ascii="Arial" w:eastAsia="SimSun" w:hAnsi="Arial" w:cs="Arial"/>
          <w:sz w:val="20"/>
          <w:szCs w:val="20"/>
          <w:lang w:val="en-GB"/>
        </w:rPr>
        <w:t>)</w:t>
      </w:r>
    </w:p>
    <w:p w:rsidR="00830DBB" w:rsidRPr="00830DBB" w:rsidRDefault="00830DBB" w:rsidP="00830DBB">
      <w:pPr>
        <w:tabs>
          <w:tab w:val="left" w:pos="1276"/>
        </w:tabs>
        <w:spacing w:after="0" w:line="240" w:lineRule="auto"/>
        <w:rPr>
          <w:rFonts w:ascii="Arial" w:eastAsia="SimSun" w:hAnsi="Arial" w:cs="Arial"/>
          <w:bCs/>
          <w:sz w:val="20"/>
          <w:szCs w:val="20"/>
          <w:lang w:val="en-GB"/>
        </w:rPr>
      </w:pPr>
    </w:p>
    <w:p w:rsidR="00830DBB" w:rsidRPr="00830DBB" w:rsidRDefault="00830DBB" w:rsidP="00830DBB">
      <w:pPr>
        <w:tabs>
          <w:tab w:val="left" w:pos="1276"/>
        </w:tabs>
        <w:spacing w:after="0" w:line="240" w:lineRule="auto"/>
        <w:rPr>
          <w:rFonts w:ascii="Arial" w:eastAsia="SimSun" w:hAnsi="Arial" w:cs="Arial"/>
          <w:b/>
          <w:i/>
          <w:color w:val="000000" w:themeColor="text1"/>
          <w:sz w:val="24"/>
          <w:szCs w:val="24"/>
          <w:lang w:val="ro-RO"/>
        </w:rPr>
      </w:pPr>
      <w:r w:rsidRPr="00830DBB">
        <w:rPr>
          <w:rFonts w:ascii="Arial" w:eastAsia="SimSun" w:hAnsi="Arial" w:cs="Arial"/>
          <w:b/>
          <w:i/>
          <w:color w:val="000000" w:themeColor="text1"/>
          <w:sz w:val="24"/>
          <w:szCs w:val="24"/>
          <w:lang w:val="ro-RO"/>
        </w:rPr>
        <w:t xml:space="preserve">III.3.3. Evoluţia suprafeţelor de îmbunătățiri funciare </w:t>
      </w:r>
      <w:r w:rsidRPr="00830DBB">
        <w:rPr>
          <w:rFonts w:ascii="Arial" w:eastAsia="SimSun" w:hAnsi="Arial" w:cs="Arial"/>
          <w:b/>
          <w:i/>
          <w:color w:val="000000" w:themeColor="text1"/>
          <w:sz w:val="24"/>
          <w:szCs w:val="24"/>
          <w:lang w:val="ro-RO"/>
        </w:rPr>
        <w:tab/>
      </w:r>
    </w:p>
    <w:p w:rsidR="00830DBB" w:rsidRPr="00830DBB" w:rsidRDefault="00830DBB" w:rsidP="00830DBB">
      <w:pPr>
        <w:tabs>
          <w:tab w:val="left" w:pos="1276"/>
        </w:tabs>
        <w:spacing w:after="0" w:line="240" w:lineRule="auto"/>
        <w:rPr>
          <w:rFonts w:ascii="Arial" w:eastAsia="SimSun" w:hAnsi="Arial" w:cs="Arial"/>
          <w:b/>
          <w:i/>
          <w:color w:val="000000" w:themeColor="text1"/>
          <w:sz w:val="24"/>
          <w:szCs w:val="24"/>
          <w:lang w:val="ro-RO"/>
        </w:rPr>
      </w:pPr>
    </w:p>
    <w:p w:rsidR="00830DBB" w:rsidRPr="00830DBB" w:rsidRDefault="00830DBB" w:rsidP="00830DBB">
      <w:pPr>
        <w:tabs>
          <w:tab w:val="left" w:pos="1276"/>
        </w:tabs>
        <w:spacing w:after="0" w:line="240" w:lineRule="auto"/>
        <w:ind w:right="-563"/>
        <w:jc w:val="both"/>
        <w:rPr>
          <w:rFonts w:ascii="Arial" w:eastAsia="SimSun" w:hAnsi="Arial" w:cs="Arial"/>
          <w:color w:val="000000" w:themeColor="text1"/>
          <w:sz w:val="24"/>
          <w:szCs w:val="24"/>
          <w:lang w:val="en-GB"/>
        </w:rPr>
      </w:pPr>
      <w:r w:rsidRPr="00830DBB">
        <w:rPr>
          <w:rFonts w:ascii="Arial" w:eastAsia="SimSun" w:hAnsi="Arial" w:cs="Arial"/>
          <w:color w:val="000000" w:themeColor="text1"/>
          <w:sz w:val="24"/>
          <w:szCs w:val="24"/>
          <w:lang w:val="en-GB"/>
        </w:rPr>
        <w:t xml:space="preserve">             Amenajările de îmbunătăţiri funciare sunt administrate în cea mai mare parte de către A.N.I.F - </w:t>
      </w:r>
      <w:r w:rsidRPr="00830DBB">
        <w:rPr>
          <w:rFonts w:ascii="Arial" w:eastAsia="SimSun" w:hAnsi="Arial" w:cs="Arial"/>
          <w:bCs/>
          <w:color w:val="000000" w:themeColor="text1"/>
          <w:sz w:val="24"/>
          <w:szCs w:val="24"/>
          <w:lang w:val="en-GB"/>
        </w:rPr>
        <w:t xml:space="preserve"> Filiala teritorială MOLDOVA SUD</w:t>
      </w:r>
      <w:r w:rsidRPr="00830DBB">
        <w:rPr>
          <w:rFonts w:ascii="Arial" w:eastAsia="SimSun" w:hAnsi="Arial" w:cs="Arial"/>
          <w:color w:val="000000" w:themeColor="text1"/>
          <w:sz w:val="24"/>
          <w:szCs w:val="24"/>
          <w:lang w:val="en-GB"/>
        </w:rPr>
        <w:t xml:space="preserve"> - Unitatea de administrare VASLUI. În anul 2014, comparativ cu anul anterior, suprafața amenajată cu lucrări de irigații, de combaterea eroziunii solului și cu lucrări de desecare solului a rămas constantă.</w:t>
      </w:r>
    </w:p>
    <w:p w:rsidR="00830DBB" w:rsidRPr="00830DBB" w:rsidRDefault="00830DBB" w:rsidP="00830DBB">
      <w:pPr>
        <w:tabs>
          <w:tab w:val="left" w:pos="1276"/>
        </w:tabs>
        <w:spacing w:after="0" w:line="240" w:lineRule="auto"/>
        <w:jc w:val="both"/>
        <w:rPr>
          <w:rFonts w:ascii="Arial" w:eastAsia="SimSun" w:hAnsi="Arial" w:cs="Arial"/>
          <w:color w:val="000000" w:themeColor="text1"/>
          <w:sz w:val="24"/>
          <w:szCs w:val="24"/>
          <w:lang w:val="ro-RO"/>
        </w:rPr>
      </w:pPr>
      <w:r w:rsidRPr="00830DBB">
        <w:rPr>
          <w:rFonts w:ascii="Arial" w:eastAsia="SimSun" w:hAnsi="Arial" w:cs="Arial"/>
          <w:color w:val="000000" w:themeColor="text1"/>
          <w:sz w:val="24"/>
          <w:szCs w:val="24"/>
          <w:lang w:val="en-GB"/>
        </w:rPr>
        <w:lastRenderedPageBreak/>
        <w:t xml:space="preserve">Tabelul III.11. </w:t>
      </w:r>
      <w:r w:rsidRPr="00830DBB">
        <w:rPr>
          <w:rFonts w:ascii="Arial" w:eastAsia="SimSun" w:hAnsi="Arial" w:cs="Arial"/>
          <w:color w:val="000000" w:themeColor="text1"/>
          <w:sz w:val="24"/>
          <w:szCs w:val="24"/>
          <w:lang w:val="ro-RO"/>
        </w:rPr>
        <w:t>Suprafaţa amenajărilor de îmbunătăţiri funciare pe terenurile agricole, în judeţul Vaslui, în perioada 2011-2015</w:t>
      </w:r>
    </w:p>
    <w:tbl>
      <w:tblPr>
        <w:tblW w:w="9861"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2126"/>
        <w:gridCol w:w="2410"/>
        <w:gridCol w:w="2977"/>
        <w:gridCol w:w="1559"/>
      </w:tblGrid>
      <w:tr w:rsidR="00830DBB" w:rsidRPr="00830DBB" w:rsidTr="00080B9C">
        <w:tc>
          <w:tcPr>
            <w:tcW w:w="789" w:type="dxa"/>
          </w:tcPr>
          <w:p w:rsidR="00830DBB" w:rsidRPr="00830DBB" w:rsidRDefault="00830DBB" w:rsidP="00830DBB">
            <w:pPr>
              <w:spacing w:after="0" w:line="240" w:lineRule="auto"/>
              <w:jc w:val="center"/>
              <w:rPr>
                <w:rFonts w:ascii="Arial" w:eastAsia="SimSun" w:hAnsi="Arial" w:cs="Arial"/>
                <w:b/>
                <w:color w:val="000000" w:themeColor="text1"/>
                <w:sz w:val="24"/>
                <w:szCs w:val="24"/>
                <w:lang w:val="it-IT"/>
              </w:rPr>
            </w:pPr>
            <w:r w:rsidRPr="00830DBB">
              <w:rPr>
                <w:rFonts w:ascii="Arial" w:eastAsia="SimSun" w:hAnsi="Arial" w:cs="Arial"/>
                <w:b/>
                <w:color w:val="000000" w:themeColor="text1"/>
                <w:lang w:val="it-IT"/>
              </w:rPr>
              <w:t>Anul</w:t>
            </w:r>
          </w:p>
        </w:tc>
        <w:tc>
          <w:tcPr>
            <w:tcW w:w="2126" w:type="dxa"/>
          </w:tcPr>
          <w:p w:rsidR="00830DBB" w:rsidRPr="00830DBB" w:rsidRDefault="00830DBB" w:rsidP="00830DBB">
            <w:pPr>
              <w:spacing w:after="0" w:line="240" w:lineRule="auto"/>
              <w:jc w:val="center"/>
              <w:rPr>
                <w:rFonts w:ascii="Arial" w:eastAsia="SimSun" w:hAnsi="Arial" w:cs="Arial"/>
                <w:b/>
                <w:color w:val="000000" w:themeColor="text1"/>
                <w:sz w:val="24"/>
                <w:szCs w:val="24"/>
                <w:lang w:val="it-IT"/>
              </w:rPr>
            </w:pPr>
            <w:r w:rsidRPr="00830DBB">
              <w:rPr>
                <w:rFonts w:ascii="Arial" w:eastAsia="SimSun" w:hAnsi="Arial" w:cs="Arial"/>
                <w:b/>
                <w:color w:val="000000" w:themeColor="text1"/>
                <w:lang w:val="en-GB"/>
              </w:rPr>
              <w:t>Suprafaţa amenajată pentru irigaţii (ha)</w:t>
            </w:r>
          </w:p>
        </w:tc>
        <w:tc>
          <w:tcPr>
            <w:tcW w:w="2410" w:type="dxa"/>
          </w:tcPr>
          <w:p w:rsidR="00830DBB" w:rsidRPr="00830DBB" w:rsidRDefault="00830DBB" w:rsidP="00830DBB">
            <w:pPr>
              <w:spacing w:after="0" w:line="240" w:lineRule="auto"/>
              <w:jc w:val="center"/>
              <w:rPr>
                <w:rFonts w:ascii="Arial" w:eastAsia="SimSun" w:hAnsi="Arial" w:cs="Arial"/>
                <w:b/>
                <w:color w:val="000000" w:themeColor="text1"/>
                <w:sz w:val="24"/>
                <w:szCs w:val="24"/>
                <w:lang w:val="it-IT"/>
              </w:rPr>
            </w:pPr>
            <w:r w:rsidRPr="00830DBB">
              <w:rPr>
                <w:rFonts w:ascii="Arial" w:eastAsia="SimSun" w:hAnsi="Arial" w:cs="Arial"/>
                <w:b/>
                <w:color w:val="000000" w:themeColor="text1"/>
                <w:lang w:val="en-GB"/>
              </w:rPr>
              <w:t>Suprafaţa amenajată lucrări de desecare – drenaj (ha)</w:t>
            </w:r>
          </w:p>
        </w:tc>
        <w:tc>
          <w:tcPr>
            <w:tcW w:w="2977" w:type="dxa"/>
          </w:tcPr>
          <w:p w:rsidR="00830DBB" w:rsidRPr="00830DBB" w:rsidRDefault="00830DBB" w:rsidP="00830DBB">
            <w:pPr>
              <w:spacing w:after="0" w:line="240" w:lineRule="auto"/>
              <w:jc w:val="center"/>
              <w:rPr>
                <w:rFonts w:ascii="Arial" w:eastAsia="SimSun" w:hAnsi="Arial" w:cs="Arial"/>
                <w:b/>
                <w:color w:val="000000" w:themeColor="text1"/>
                <w:sz w:val="24"/>
                <w:szCs w:val="24"/>
                <w:lang w:val="it-IT"/>
              </w:rPr>
            </w:pPr>
            <w:r w:rsidRPr="00830DBB">
              <w:rPr>
                <w:rFonts w:ascii="Arial" w:eastAsia="SimSun" w:hAnsi="Arial" w:cs="Arial"/>
                <w:b/>
                <w:color w:val="000000" w:themeColor="text1"/>
                <w:lang w:val="en-GB"/>
              </w:rPr>
              <w:t>Suprafaţa amenajată lucrări de combatere a eroziunii solului (ha)</w:t>
            </w:r>
          </w:p>
        </w:tc>
        <w:tc>
          <w:tcPr>
            <w:tcW w:w="1559" w:type="dxa"/>
          </w:tcPr>
          <w:p w:rsidR="00830DBB" w:rsidRPr="00830DBB" w:rsidRDefault="00830DBB" w:rsidP="00830DBB">
            <w:pPr>
              <w:spacing w:after="0" w:line="240" w:lineRule="auto"/>
              <w:jc w:val="center"/>
              <w:rPr>
                <w:rFonts w:ascii="Arial" w:eastAsia="SimSun" w:hAnsi="Arial" w:cs="Arial"/>
                <w:b/>
                <w:color w:val="000000" w:themeColor="text1"/>
                <w:sz w:val="24"/>
                <w:szCs w:val="24"/>
                <w:lang w:val="it-IT"/>
              </w:rPr>
            </w:pPr>
            <w:r w:rsidRPr="00830DBB">
              <w:rPr>
                <w:rFonts w:ascii="Arial" w:eastAsia="SimSun" w:hAnsi="Arial" w:cs="Arial"/>
                <w:b/>
                <w:color w:val="000000" w:themeColor="text1"/>
                <w:lang w:val="en-GB"/>
              </w:rPr>
              <w:t>Suprafaţa amenajată totală (ha)</w:t>
            </w:r>
          </w:p>
        </w:tc>
      </w:tr>
      <w:tr w:rsidR="00830DBB" w:rsidRPr="00830DBB" w:rsidTr="00080B9C">
        <w:tc>
          <w:tcPr>
            <w:tcW w:w="789" w:type="dxa"/>
          </w:tcPr>
          <w:p w:rsidR="00830DBB" w:rsidRPr="00830DBB" w:rsidRDefault="00830DBB" w:rsidP="00830DBB">
            <w:pPr>
              <w:spacing w:after="0" w:line="240" w:lineRule="auto"/>
              <w:jc w:val="both"/>
              <w:rPr>
                <w:rFonts w:ascii="Arial" w:eastAsia="SimSun" w:hAnsi="Arial" w:cs="Arial"/>
                <w:color w:val="000000" w:themeColor="text1"/>
                <w:sz w:val="24"/>
                <w:szCs w:val="24"/>
                <w:lang w:val="it-IT"/>
              </w:rPr>
            </w:pPr>
            <w:r w:rsidRPr="00830DBB">
              <w:rPr>
                <w:rFonts w:ascii="Arial" w:eastAsia="SimSun" w:hAnsi="Arial" w:cs="Arial"/>
                <w:color w:val="000000" w:themeColor="text1"/>
                <w:lang w:val="it-IT"/>
              </w:rPr>
              <w:t>2011</w:t>
            </w:r>
          </w:p>
        </w:tc>
        <w:tc>
          <w:tcPr>
            <w:tcW w:w="2126" w:type="dxa"/>
          </w:tcPr>
          <w:p w:rsidR="00830DBB" w:rsidRPr="00830DBB" w:rsidRDefault="00830DBB" w:rsidP="00830DBB">
            <w:pPr>
              <w:spacing w:after="0" w:line="240" w:lineRule="auto"/>
              <w:jc w:val="center"/>
              <w:rPr>
                <w:rFonts w:ascii="Arial" w:eastAsia="SimSun" w:hAnsi="Arial" w:cs="Arial"/>
                <w:color w:val="000000" w:themeColor="text1"/>
                <w:sz w:val="24"/>
                <w:szCs w:val="24"/>
                <w:lang w:val="it-IT"/>
              </w:rPr>
            </w:pPr>
            <w:r w:rsidRPr="00830DBB">
              <w:rPr>
                <w:rFonts w:ascii="Arial" w:eastAsia="SimSun" w:hAnsi="Arial" w:cs="Arial"/>
                <w:color w:val="000000" w:themeColor="text1"/>
                <w:lang w:val="it-IT"/>
              </w:rPr>
              <w:t>29926</w:t>
            </w:r>
          </w:p>
        </w:tc>
        <w:tc>
          <w:tcPr>
            <w:tcW w:w="2410" w:type="dxa"/>
          </w:tcPr>
          <w:p w:rsidR="00830DBB" w:rsidRPr="00830DBB" w:rsidRDefault="00830DBB" w:rsidP="00830DBB">
            <w:pPr>
              <w:spacing w:after="0" w:line="240" w:lineRule="auto"/>
              <w:jc w:val="center"/>
              <w:rPr>
                <w:rFonts w:ascii="Arial" w:eastAsia="SimSun" w:hAnsi="Arial" w:cs="Arial"/>
                <w:color w:val="000000" w:themeColor="text1"/>
                <w:sz w:val="24"/>
                <w:szCs w:val="24"/>
                <w:lang w:val="it-IT"/>
              </w:rPr>
            </w:pPr>
            <w:r w:rsidRPr="00830DBB">
              <w:rPr>
                <w:rFonts w:ascii="Arial" w:eastAsia="SimSun" w:hAnsi="Arial" w:cs="Arial"/>
                <w:color w:val="000000" w:themeColor="text1"/>
                <w:lang w:val="it-IT"/>
              </w:rPr>
              <w:t>41653</w:t>
            </w:r>
          </w:p>
        </w:tc>
        <w:tc>
          <w:tcPr>
            <w:tcW w:w="2977" w:type="dxa"/>
          </w:tcPr>
          <w:p w:rsidR="00830DBB" w:rsidRPr="00830DBB" w:rsidRDefault="00830DBB" w:rsidP="00830DBB">
            <w:pPr>
              <w:spacing w:after="0" w:line="240" w:lineRule="auto"/>
              <w:jc w:val="center"/>
              <w:rPr>
                <w:rFonts w:ascii="Arial" w:eastAsia="SimSun" w:hAnsi="Arial" w:cs="Arial"/>
                <w:color w:val="000000" w:themeColor="text1"/>
                <w:sz w:val="24"/>
                <w:szCs w:val="24"/>
                <w:lang w:val="it-IT"/>
              </w:rPr>
            </w:pPr>
            <w:r w:rsidRPr="00830DBB">
              <w:rPr>
                <w:rFonts w:ascii="Arial" w:eastAsia="SimSun" w:hAnsi="Arial" w:cs="Arial"/>
                <w:color w:val="000000" w:themeColor="text1"/>
                <w:lang w:val="it-IT"/>
              </w:rPr>
              <w:t>195600</w:t>
            </w:r>
          </w:p>
        </w:tc>
        <w:tc>
          <w:tcPr>
            <w:tcW w:w="1559" w:type="dxa"/>
          </w:tcPr>
          <w:p w:rsidR="00830DBB" w:rsidRPr="00830DBB" w:rsidRDefault="00830DBB" w:rsidP="00830DBB">
            <w:pPr>
              <w:spacing w:after="0" w:line="240" w:lineRule="auto"/>
              <w:jc w:val="center"/>
              <w:rPr>
                <w:rFonts w:ascii="Arial" w:eastAsia="SimSun" w:hAnsi="Arial" w:cs="Arial"/>
                <w:color w:val="000000" w:themeColor="text1"/>
                <w:sz w:val="24"/>
                <w:szCs w:val="24"/>
                <w:lang w:val="it-IT"/>
              </w:rPr>
            </w:pPr>
            <w:r w:rsidRPr="00830DBB">
              <w:rPr>
                <w:rFonts w:ascii="Arial" w:eastAsia="SimSun" w:hAnsi="Arial" w:cs="Arial"/>
                <w:color w:val="000000" w:themeColor="text1"/>
                <w:lang w:val="it-IT"/>
              </w:rPr>
              <w:t>267179</w:t>
            </w:r>
          </w:p>
        </w:tc>
      </w:tr>
      <w:tr w:rsidR="00830DBB" w:rsidRPr="00830DBB" w:rsidTr="00080B9C">
        <w:tc>
          <w:tcPr>
            <w:tcW w:w="789" w:type="dxa"/>
          </w:tcPr>
          <w:p w:rsidR="00830DBB" w:rsidRPr="00830DBB" w:rsidRDefault="00830DBB" w:rsidP="00830DBB">
            <w:pPr>
              <w:spacing w:after="0" w:line="240" w:lineRule="auto"/>
              <w:jc w:val="both"/>
              <w:rPr>
                <w:rFonts w:ascii="Arial" w:eastAsia="SimSun" w:hAnsi="Arial" w:cs="Arial"/>
                <w:color w:val="000000" w:themeColor="text1"/>
                <w:sz w:val="24"/>
                <w:szCs w:val="24"/>
                <w:lang w:val="it-IT"/>
              </w:rPr>
            </w:pPr>
            <w:r w:rsidRPr="00830DBB">
              <w:rPr>
                <w:rFonts w:ascii="Arial" w:eastAsia="SimSun" w:hAnsi="Arial" w:cs="Arial"/>
                <w:color w:val="000000" w:themeColor="text1"/>
                <w:lang w:val="it-IT"/>
              </w:rPr>
              <w:t>2012</w:t>
            </w:r>
          </w:p>
        </w:tc>
        <w:tc>
          <w:tcPr>
            <w:tcW w:w="2126" w:type="dxa"/>
          </w:tcPr>
          <w:p w:rsidR="00830DBB" w:rsidRPr="00830DBB" w:rsidRDefault="00830DBB" w:rsidP="00830DBB">
            <w:pPr>
              <w:spacing w:after="0" w:line="240" w:lineRule="auto"/>
              <w:jc w:val="center"/>
              <w:rPr>
                <w:rFonts w:ascii="Arial" w:eastAsia="SimSun" w:hAnsi="Arial" w:cs="Arial"/>
                <w:color w:val="000000" w:themeColor="text1"/>
                <w:sz w:val="24"/>
                <w:szCs w:val="24"/>
                <w:lang w:val="it-IT"/>
              </w:rPr>
            </w:pPr>
            <w:r w:rsidRPr="00830DBB">
              <w:rPr>
                <w:rFonts w:ascii="Arial" w:eastAsia="SimSun" w:hAnsi="Arial" w:cs="Arial"/>
                <w:color w:val="000000" w:themeColor="text1"/>
                <w:lang w:val="it-IT"/>
              </w:rPr>
              <w:t>29926</w:t>
            </w:r>
          </w:p>
        </w:tc>
        <w:tc>
          <w:tcPr>
            <w:tcW w:w="2410" w:type="dxa"/>
          </w:tcPr>
          <w:p w:rsidR="00830DBB" w:rsidRPr="00830DBB" w:rsidRDefault="00830DBB" w:rsidP="00830DBB">
            <w:pPr>
              <w:spacing w:after="0" w:line="240" w:lineRule="auto"/>
              <w:jc w:val="center"/>
              <w:rPr>
                <w:rFonts w:ascii="Arial" w:eastAsia="SimSun" w:hAnsi="Arial" w:cs="Arial"/>
                <w:color w:val="000000" w:themeColor="text1"/>
                <w:sz w:val="24"/>
                <w:szCs w:val="24"/>
                <w:lang w:val="it-IT"/>
              </w:rPr>
            </w:pPr>
            <w:r w:rsidRPr="00830DBB">
              <w:rPr>
                <w:rFonts w:ascii="Arial" w:eastAsia="SimSun" w:hAnsi="Arial" w:cs="Arial"/>
                <w:color w:val="000000" w:themeColor="text1"/>
                <w:lang w:val="it-IT"/>
              </w:rPr>
              <w:t>41653</w:t>
            </w:r>
          </w:p>
        </w:tc>
        <w:tc>
          <w:tcPr>
            <w:tcW w:w="2977" w:type="dxa"/>
          </w:tcPr>
          <w:p w:rsidR="00830DBB" w:rsidRPr="00830DBB" w:rsidRDefault="00830DBB" w:rsidP="00830DBB">
            <w:pPr>
              <w:spacing w:after="0" w:line="240" w:lineRule="auto"/>
              <w:jc w:val="center"/>
              <w:rPr>
                <w:rFonts w:ascii="Arial" w:eastAsia="SimSun" w:hAnsi="Arial" w:cs="Arial"/>
                <w:color w:val="000000" w:themeColor="text1"/>
                <w:sz w:val="24"/>
                <w:szCs w:val="24"/>
                <w:lang w:val="it-IT"/>
              </w:rPr>
            </w:pPr>
            <w:r w:rsidRPr="00830DBB">
              <w:rPr>
                <w:rFonts w:ascii="Arial" w:eastAsia="SimSun" w:hAnsi="Arial" w:cs="Arial"/>
                <w:color w:val="000000" w:themeColor="text1"/>
                <w:lang w:val="it-IT"/>
              </w:rPr>
              <w:t>195600</w:t>
            </w:r>
          </w:p>
        </w:tc>
        <w:tc>
          <w:tcPr>
            <w:tcW w:w="1559" w:type="dxa"/>
          </w:tcPr>
          <w:p w:rsidR="00830DBB" w:rsidRPr="00830DBB" w:rsidRDefault="00830DBB" w:rsidP="00830DBB">
            <w:pPr>
              <w:spacing w:after="0" w:line="240" w:lineRule="auto"/>
              <w:jc w:val="center"/>
              <w:rPr>
                <w:rFonts w:ascii="Arial" w:eastAsia="SimSun" w:hAnsi="Arial" w:cs="Arial"/>
                <w:color w:val="000000" w:themeColor="text1"/>
                <w:sz w:val="24"/>
                <w:szCs w:val="24"/>
                <w:lang w:val="it-IT"/>
              </w:rPr>
            </w:pPr>
            <w:r w:rsidRPr="00830DBB">
              <w:rPr>
                <w:rFonts w:ascii="Arial" w:eastAsia="SimSun" w:hAnsi="Arial" w:cs="Arial"/>
                <w:color w:val="000000" w:themeColor="text1"/>
                <w:lang w:val="it-IT"/>
              </w:rPr>
              <w:t>267179</w:t>
            </w:r>
          </w:p>
        </w:tc>
      </w:tr>
      <w:tr w:rsidR="00830DBB" w:rsidRPr="00830DBB" w:rsidTr="00080B9C">
        <w:tc>
          <w:tcPr>
            <w:tcW w:w="789" w:type="dxa"/>
          </w:tcPr>
          <w:p w:rsidR="00830DBB" w:rsidRPr="00830DBB" w:rsidRDefault="00830DBB" w:rsidP="00830DBB">
            <w:pPr>
              <w:spacing w:after="0" w:line="240" w:lineRule="auto"/>
              <w:jc w:val="both"/>
              <w:rPr>
                <w:rFonts w:ascii="Arial" w:eastAsia="SimSun" w:hAnsi="Arial" w:cs="Arial"/>
                <w:color w:val="000000" w:themeColor="text1"/>
                <w:sz w:val="24"/>
                <w:szCs w:val="24"/>
                <w:lang w:val="it-IT"/>
              </w:rPr>
            </w:pPr>
            <w:r w:rsidRPr="00830DBB">
              <w:rPr>
                <w:rFonts w:ascii="Arial" w:eastAsia="SimSun" w:hAnsi="Arial" w:cs="Arial"/>
                <w:color w:val="000000" w:themeColor="text1"/>
                <w:lang w:val="it-IT"/>
              </w:rPr>
              <w:t>2013</w:t>
            </w:r>
          </w:p>
        </w:tc>
        <w:tc>
          <w:tcPr>
            <w:tcW w:w="2126" w:type="dxa"/>
          </w:tcPr>
          <w:p w:rsidR="00830DBB" w:rsidRPr="00830DBB" w:rsidRDefault="00830DBB" w:rsidP="00830DBB">
            <w:pPr>
              <w:spacing w:after="0" w:line="240" w:lineRule="auto"/>
              <w:jc w:val="center"/>
              <w:rPr>
                <w:rFonts w:ascii="Arial" w:eastAsia="SimSun" w:hAnsi="Arial" w:cs="Arial"/>
                <w:color w:val="000000" w:themeColor="text1"/>
                <w:sz w:val="24"/>
                <w:szCs w:val="24"/>
                <w:lang w:val="it-IT"/>
              </w:rPr>
            </w:pPr>
            <w:r w:rsidRPr="00830DBB">
              <w:rPr>
                <w:rFonts w:ascii="Arial" w:eastAsia="SimSun" w:hAnsi="Arial" w:cs="Arial"/>
                <w:color w:val="000000" w:themeColor="text1"/>
                <w:lang w:val="it-IT"/>
              </w:rPr>
              <w:t>29926</w:t>
            </w:r>
          </w:p>
        </w:tc>
        <w:tc>
          <w:tcPr>
            <w:tcW w:w="2410" w:type="dxa"/>
          </w:tcPr>
          <w:p w:rsidR="00830DBB" w:rsidRPr="00830DBB" w:rsidRDefault="00830DBB" w:rsidP="00830DBB">
            <w:pPr>
              <w:spacing w:after="0" w:line="240" w:lineRule="auto"/>
              <w:jc w:val="center"/>
              <w:rPr>
                <w:rFonts w:ascii="Arial" w:eastAsia="SimSun" w:hAnsi="Arial" w:cs="Arial"/>
                <w:color w:val="000000" w:themeColor="text1"/>
                <w:sz w:val="24"/>
                <w:szCs w:val="24"/>
                <w:lang w:val="it-IT"/>
              </w:rPr>
            </w:pPr>
            <w:r w:rsidRPr="00830DBB">
              <w:rPr>
                <w:rFonts w:ascii="Arial" w:eastAsia="SimSun" w:hAnsi="Arial" w:cs="Arial"/>
                <w:color w:val="000000" w:themeColor="text1"/>
                <w:lang w:val="it-IT"/>
              </w:rPr>
              <w:t>41653</w:t>
            </w:r>
          </w:p>
        </w:tc>
        <w:tc>
          <w:tcPr>
            <w:tcW w:w="2977" w:type="dxa"/>
          </w:tcPr>
          <w:p w:rsidR="00830DBB" w:rsidRPr="00830DBB" w:rsidRDefault="00830DBB" w:rsidP="00830DBB">
            <w:pPr>
              <w:spacing w:after="0" w:line="240" w:lineRule="auto"/>
              <w:jc w:val="center"/>
              <w:rPr>
                <w:rFonts w:ascii="Arial" w:eastAsia="SimSun" w:hAnsi="Arial" w:cs="Arial"/>
                <w:color w:val="000000" w:themeColor="text1"/>
                <w:sz w:val="24"/>
                <w:szCs w:val="24"/>
                <w:lang w:val="it-IT"/>
              </w:rPr>
            </w:pPr>
            <w:r w:rsidRPr="00830DBB">
              <w:rPr>
                <w:rFonts w:ascii="Arial" w:eastAsia="SimSun" w:hAnsi="Arial" w:cs="Arial"/>
                <w:color w:val="000000" w:themeColor="text1"/>
                <w:lang w:val="it-IT"/>
              </w:rPr>
              <w:t>195600</w:t>
            </w:r>
          </w:p>
        </w:tc>
        <w:tc>
          <w:tcPr>
            <w:tcW w:w="1559" w:type="dxa"/>
          </w:tcPr>
          <w:p w:rsidR="00830DBB" w:rsidRPr="00830DBB" w:rsidRDefault="00830DBB" w:rsidP="00830DBB">
            <w:pPr>
              <w:spacing w:after="0" w:line="240" w:lineRule="auto"/>
              <w:jc w:val="center"/>
              <w:rPr>
                <w:rFonts w:ascii="Arial" w:eastAsia="SimSun" w:hAnsi="Arial" w:cs="Arial"/>
                <w:color w:val="000000" w:themeColor="text1"/>
                <w:sz w:val="24"/>
                <w:szCs w:val="24"/>
                <w:lang w:val="it-IT"/>
              </w:rPr>
            </w:pPr>
            <w:r w:rsidRPr="00830DBB">
              <w:rPr>
                <w:rFonts w:ascii="Arial" w:eastAsia="SimSun" w:hAnsi="Arial" w:cs="Arial"/>
                <w:color w:val="000000" w:themeColor="text1"/>
                <w:lang w:val="it-IT"/>
              </w:rPr>
              <w:t>267179</w:t>
            </w:r>
          </w:p>
        </w:tc>
      </w:tr>
      <w:tr w:rsidR="00830DBB" w:rsidRPr="00830DBB" w:rsidTr="00080B9C">
        <w:tc>
          <w:tcPr>
            <w:tcW w:w="789" w:type="dxa"/>
          </w:tcPr>
          <w:p w:rsidR="00830DBB" w:rsidRPr="00830DBB" w:rsidRDefault="00830DBB" w:rsidP="00830DBB">
            <w:pPr>
              <w:spacing w:after="0" w:line="240" w:lineRule="auto"/>
              <w:jc w:val="both"/>
              <w:rPr>
                <w:rFonts w:ascii="Arial" w:eastAsia="SimSun" w:hAnsi="Arial" w:cs="Arial"/>
                <w:color w:val="000000" w:themeColor="text1"/>
                <w:sz w:val="24"/>
                <w:szCs w:val="24"/>
                <w:lang w:val="it-IT"/>
              </w:rPr>
            </w:pPr>
            <w:r w:rsidRPr="00830DBB">
              <w:rPr>
                <w:rFonts w:ascii="Arial" w:eastAsia="SimSun" w:hAnsi="Arial" w:cs="Arial"/>
                <w:color w:val="000000" w:themeColor="text1"/>
                <w:lang w:val="it-IT"/>
              </w:rPr>
              <w:t>2014</w:t>
            </w:r>
          </w:p>
        </w:tc>
        <w:tc>
          <w:tcPr>
            <w:tcW w:w="2126" w:type="dxa"/>
          </w:tcPr>
          <w:p w:rsidR="00830DBB" w:rsidRPr="00830DBB" w:rsidRDefault="00830DBB" w:rsidP="00830DBB">
            <w:pPr>
              <w:spacing w:after="0" w:line="240" w:lineRule="auto"/>
              <w:jc w:val="center"/>
              <w:rPr>
                <w:rFonts w:ascii="Arial" w:eastAsia="SimSun" w:hAnsi="Arial" w:cs="Arial"/>
                <w:color w:val="000000" w:themeColor="text1"/>
                <w:sz w:val="24"/>
                <w:szCs w:val="24"/>
                <w:lang w:val="it-IT"/>
              </w:rPr>
            </w:pPr>
            <w:r w:rsidRPr="00830DBB">
              <w:rPr>
                <w:rFonts w:ascii="Arial" w:eastAsia="SimSun" w:hAnsi="Arial" w:cs="Arial"/>
                <w:color w:val="000000" w:themeColor="text1"/>
                <w:lang w:val="it-IT"/>
              </w:rPr>
              <w:t>29926</w:t>
            </w:r>
          </w:p>
        </w:tc>
        <w:tc>
          <w:tcPr>
            <w:tcW w:w="2410" w:type="dxa"/>
          </w:tcPr>
          <w:p w:rsidR="00830DBB" w:rsidRPr="00830DBB" w:rsidRDefault="00830DBB" w:rsidP="00830DBB">
            <w:pPr>
              <w:spacing w:after="0" w:line="240" w:lineRule="auto"/>
              <w:jc w:val="center"/>
              <w:rPr>
                <w:rFonts w:ascii="Arial" w:eastAsia="SimSun" w:hAnsi="Arial" w:cs="Arial"/>
                <w:color w:val="000000" w:themeColor="text1"/>
                <w:sz w:val="24"/>
                <w:szCs w:val="24"/>
                <w:lang w:val="it-IT"/>
              </w:rPr>
            </w:pPr>
            <w:r w:rsidRPr="00830DBB">
              <w:rPr>
                <w:rFonts w:ascii="Arial" w:eastAsia="SimSun" w:hAnsi="Arial" w:cs="Arial"/>
                <w:color w:val="000000" w:themeColor="text1"/>
                <w:lang w:val="it-IT"/>
              </w:rPr>
              <w:t>41653</w:t>
            </w:r>
          </w:p>
        </w:tc>
        <w:tc>
          <w:tcPr>
            <w:tcW w:w="2977" w:type="dxa"/>
          </w:tcPr>
          <w:p w:rsidR="00830DBB" w:rsidRPr="00830DBB" w:rsidRDefault="00830DBB" w:rsidP="00830DBB">
            <w:pPr>
              <w:spacing w:after="0" w:line="240" w:lineRule="auto"/>
              <w:jc w:val="center"/>
              <w:rPr>
                <w:rFonts w:ascii="Arial" w:eastAsia="SimSun" w:hAnsi="Arial" w:cs="Arial"/>
                <w:color w:val="000000" w:themeColor="text1"/>
                <w:sz w:val="24"/>
                <w:szCs w:val="24"/>
                <w:lang w:val="it-IT"/>
              </w:rPr>
            </w:pPr>
            <w:r w:rsidRPr="00830DBB">
              <w:rPr>
                <w:rFonts w:ascii="Arial" w:eastAsia="SimSun" w:hAnsi="Arial" w:cs="Arial"/>
                <w:color w:val="000000" w:themeColor="text1"/>
                <w:lang w:val="it-IT"/>
              </w:rPr>
              <w:t>195600</w:t>
            </w:r>
          </w:p>
        </w:tc>
        <w:tc>
          <w:tcPr>
            <w:tcW w:w="1559" w:type="dxa"/>
          </w:tcPr>
          <w:p w:rsidR="00830DBB" w:rsidRPr="00830DBB" w:rsidRDefault="00830DBB" w:rsidP="00830DBB">
            <w:pPr>
              <w:spacing w:after="0" w:line="240" w:lineRule="auto"/>
              <w:jc w:val="center"/>
              <w:rPr>
                <w:rFonts w:ascii="Arial" w:eastAsia="SimSun" w:hAnsi="Arial" w:cs="Arial"/>
                <w:color w:val="000000" w:themeColor="text1"/>
                <w:sz w:val="24"/>
                <w:szCs w:val="24"/>
                <w:lang w:val="it-IT"/>
              </w:rPr>
            </w:pPr>
            <w:r w:rsidRPr="00830DBB">
              <w:rPr>
                <w:rFonts w:ascii="Arial" w:eastAsia="SimSun" w:hAnsi="Arial" w:cs="Arial"/>
                <w:color w:val="000000" w:themeColor="text1"/>
                <w:lang w:val="it-IT"/>
              </w:rPr>
              <w:t>267179</w:t>
            </w:r>
          </w:p>
        </w:tc>
      </w:tr>
      <w:tr w:rsidR="00830DBB" w:rsidRPr="00830DBB" w:rsidTr="00080B9C">
        <w:tc>
          <w:tcPr>
            <w:tcW w:w="789" w:type="dxa"/>
          </w:tcPr>
          <w:p w:rsidR="00830DBB" w:rsidRPr="00830DBB" w:rsidRDefault="00830DBB" w:rsidP="00830DBB">
            <w:pPr>
              <w:spacing w:after="0" w:line="240" w:lineRule="auto"/>
              <w:jc w:val="both"/>
              <w:rPr>
                <w:rFonts w:ascii="Arial" w:eastAsia="SimSun" w:hAnsi="Arial" w:cs="Arial"/>
                <w:color w:val="000000" w:themeColor="text1"/>
                <w:sz w:val="24"/>
                <w:szCs w:val="24"/>
                <w:lang w:val="it-IT"/>
              </w:rPr>
            </w:pPr>
            <w:r w:rsidRPr="00830DBB">
              <w:rPr>
                <w:rFonts w:ascii="Arial" w:eastAsia="SimSun" w:hAnsi="Arial" w:cs="Arial"/>
                <w:color w:val="000000" w:themeColor="text1"/>
                <w:lang w:val="it-IT"/>
              </w:rPr>
              <w:t>2015</w:t>
            </w:r>
          </w:p>
        </w:tc>
        <w:tc>
          <w:tcPr>
            <w:tcW w:w="2126" w:type="dxa"/>
          </w:tcPr>
          <w:p w:rsidR="00830DBB" w:rsidRPr="00830DBB" w:rsidRDefault="00830DBB" w:rsidP="00830DBB">
            <w:pPr>
              <w:spacing w:after="0" w:line="240" w:lineRule="auto"/>
              <w:jc w:val="center"/>
              <w:rPr>
                <w:rFonts w:ascii="Arial" w:eastAsia="SimSun" w:hAnsi="Arial" w:cs="Arial"/>
                <w:color w:val="000000" w:themeColor="text1"/>
                <w:sz w:val="24"/>
                <w:szCs w:val="24"/>
                <w:lang w:val="it-IT"/>
              </w:rPr>
            </w:pPr>
            <w:r w:rsidRPr="00830DBB">
              <w:rPr>
                <w:rFonts w:ascii="Arial" w:eastAsia="SimSun" w:hAnsi="Arial" w:cs="Arial"/>
                <w:color w:val="000000" w:themeColor="text1"/>
                <w:lang w:val="it-IT"/>
              </w:rPr>
              <w:t>29926</w:t>
            </w:r>
          </w:p>
        </w:tc>
        <w:tc>
          <w:tcPr>
            <w:tcW w:w="2410" w:type="dxa"/>
          </w:tcPr>
          <w:p w:rsidR="00830DBB" w:rsidRPr="00830DBB" w:rsidRDefault="00830DBB" w:rsidP="00830DBB">
            <w:pPr>
              <w:spacing w:after="0" w:line="240" w:lineRule="auto"/>
              <w:jc w:val="center"/>
              <w:rPr>
                <w:rFonts w:ascii="Arial" w:eastAsia="SimSun" w:hAnsi="Arial" w:cs="Arial"/>
                <w:color w:val="000000" w:themeColor="text1"/>
                <w:sz w:val="24"/>
                <w:szCs w:val="24"/>
                <w:lang w:val="it-IT"/>
              </w:rPr>
            </w:pPr>
            <w:r w:rsidRPr="00830DBB">
              <w:rPr>
                <w:rFonts w:ascii="Arial" w:eastAsia="SimSun" w:hAnsi="Arial" w:cs="Arial"/>
                <w:color w:val="000000" w:themeColor="text1"/>
                <w:lang w:val="it-IT"/>
              </w:rPr>
              <w:t>41653</w:t>
            </w:r>
          </w:p>
        </w:tc>
        <w:tc>
          <w:tcPr>
            <w:tcW w:w="2977" w:type="dxa"/>
          </w:tcPr>
          <w:p w:rsidR="00830DBB" w:rsidRPr="00830DBB" w:rsidRDefault="00830DBB" w:rsidP="00830DBB">
            <w:pPr>
              <w:spacing w:after="0" w:line="240" w:lineRule="auto"/>
              <w:jc w:val="center"/>
              <w:rPr>
                <w:rFonts w:ascii="Arial" w:eastAsia="SimSun" w:hAnsi="Arial" w:cs="Arial"/>
                <w:color w:val="000000" w:themeColor="text1"/>
                <w:sz w:val="24"/>
                <w:szCs w:val="24"/>
                <w:lang w:val="it-IT"/>
              </w:rPr>
            </w:pPr>
            <w:r w:rsidRPr="00830DBB">
              <w:rPr>
                <w:rFonts w:ascii="Arial" w:eastAsia="SimSun" w:hAnsi="Arial" w:cs="Arial"/>
                <w:color w:val="000000" w:themeColor="text1"/>
                <w:lang w:val="it-IT"/>
              </w:rPr>
              <w:t>195600</w:t>
            </w:r>
          </w:p>
        </w:tc>
        <w:tc>
          <w:tcPr>
            <w:tcW w:w="1559" w:type="dxa"/>
          </w:tcPr>
          <w:p w:rsidR="00830DBB" w:rsidRPr="00830DBB" w:rsidRDefault="00830DBB" w:rsidP="00830DBB">
            <w:pPr>
              <w:spacing w:after="0" w:line="240" w:lineRule="auto"/>
              <w:jc w:val="center"/>
              <w:rPr>
                <w:rFonts w:ascii="Arial" w:eastAsia="SimSun" w:hAnsi="Arial" w:cs="Arial"/>
                <w:color w:val="000000" w:themeColor="text1"/>
                <w:sz w:val="24"/>
                <w:szCs w:val="24"/>
                <w:lang w:val="it-IT"/>
              </w:rPr>
            </w:pPr>
            <w:r w:rsidRPr="00830DBB">
              <w:rPr>
                <w:rFonts w:ascii="Arial" w:eastAsia="SimSun" w:hAnsi="Arial" w:cs="Arial"/>
                <w:color w:val="000000" w:themeColor="text1"/>
                <w:lang w:val="it-IT"/>
              </w:rPr>
              <w:t>267179</w:t>
            </w:r>
          </w:p>
        </w:tc>
      </w:tr>
    </w:tbl>
    <w:p w:rsidR="00830DBB" w:rsidRPr="00830DBB" w:rsidRDefault="00830DBB" w:rsidP="00830DBB">
      <w:pPr>
        <w:keepNext/>
        <w:spacing w:after="0" w:line="240" w:lineRule="auto"/>
        <w:outlineLvl w:val="0"/>
        <w:rPr>
          <w:rFonts w:ascii="Times New Roman" w:eastAsia="Times New Roman" w:hAnsi="Times New Roman" w:cs="Times New Roman"/>
          <w:color w:val="000000" w:themeColor="text1"/>
          <w:sz w:val="20"/>
          <w:szCs w:val="20"/>
          <w:lang w:eastAsia="ro-RO"/>
        </w:rPr>
      </w:pPr>
      <w:r w:rsidRPr="00830DBB">
        <w:rPr>
          <w:rFonts w:ascii="Times New Roman" w:eastAsia="Times New Roman" w:hAnsi="Times New Roman" w:cs="Times New Roman"/>
          <w:color w:val="000000" w:themeColor="text1"/>
          <w:lang w:eastAsia="ro-RO"/>
        </w:rPr>
        <w:t xml:space="preserve">(sursa: ANIF – </w:t>
      </w:r>
      <w:r w:rsidRPr="00830DBB">
        <w:rPr>
          <w:rFonts w:ascii="Times New Roman" w:eastAsia="Times New Roman" w:hAnsi="Times New Roman" w:cs="Times New Roman"/>
          <w:bCs/>
          <w:color w:val="000000" w:themeColor="text1"/>
          <w:sz w:val="20"/>
          <w:szCs w:val="20"/>
          <w:lang w:eastAsia="ro-RO"/>
        </w:rPr>
        <w:t>Filiala teritorială MOLDOVA SUD</w:t>
      </w:r>
      <w:r w:rsidRPr="00830DBB">
        <w:rPr>
          <w:rFonts w:ascii="Times New Roman" w:eastAsia="Times New Roman" w:hAnsi="Times New Roman" w:cs="Times New Roman"/>
          <w:color w:val="000000" w:themeColor="text1"/>
          <w:sz w:val="20"/>
          <w:szCs w:val="20"/>
          <w:lang w:eastAsia="ro-RO"/>
        </w:rPr>
        <w:t xml:space="preserve"> - Unitatea de administrare VASLUI)</w:t>
      </w:r>
    </w:p>
    <w:p w:rsidR="00830DBB" w:rsidRPr="00830DBB" w:rsidRDefault="00830DBB" w:rsidP="00830DBB">
      <w:pPr>
        <w:spacing w:after="0" w:line="240" w:lineRule="auto"/>
        <w:rPr>
          <w:rFonts w:ascii="Times New Roman" w:eastAsia="SimSun" w:hAnsi="Times New Roman" w:cs="Times New Roman"/>
          <w:color w:val="FF0000"/>
          <w:sz w:val="24"/>
          <w:szCs w:val="24"/>
          <w:lang w:eastAsia="ro-RO"/>
        </w:rPr>
      </w:pPr>
    </w:p>
    <w:p w:rsidR="00830DBB" w:rsidRPr="00830DBB" w:rsidRDefault="00830DBB" w:rsidP="00830DBB">
      <w:pPr>
        <w:spacing w:after="0" w:line="240" w:lineRule="auto"/>
        <w:rPr>
          <w:rFonts w:ascii="Times New Roman" w:eastAsia="SimSun" w:hAnsi="Times New Roman" w:cs="Times New Roman"/>
          <w:color w:val="000000" w:themeColor="text1"/>
          <w:sz w:val="24"/>
          <w:szCs w:val="24"/>
          <w:lang w:eastAsia="ro-RO"/>
        </w:rPr>
      </w:pPr>
      <w:r w:rsidRPr="00830DBB">
        <w:rPr>
          <w:rFonts w:ascii="Arial" w:eastAsia="SimSun" w:hAnsi="Arial" w:cs="Arial"/>
          <w:color w:val="000000" w:themeColor="text1"/>
          <w:sz w:val="24"/>
          <w:szCs w:val="24"/>
          <w:lang w:val="ro-RO"/>
        </w:rPr>
        <w:t xml:space="preserve">Figura </w:t>
      </w:r>
      <w:r w:rsidRPr="00830DBB">
        <w:rPr>
          <w:rFonts w:ascii="Arial" w:eastAsia="SimSun" w:hAnsi="Arial" w:cs="Arial"/>
          <w:color w:val="000000" w:themeColor="text1"/>
          <w:sz w:val="24"/>
          <w:szCs w:val="24"/>
          <w:lang w:val="en-GB"/>
        </w:rPr>
        <w:t>III.9.</w:t>
      </w:r>
      <w:r w:rsidRPr="00830DBB">
        <w:rPr>
          <w:rFonts w:ascii="Arial" w:eastAsia="SimSun" w:hAnsi="Arial" w:cs="Arial"/>
          <w:color w:val="000000" w:themeColor="text1"/>
          <w:sz w:val="24"/>
          <w:szCs w:val="24"/>
          <w:lang w:val="ro-RO"/>
        </w:rPr>
        <w:t xml:space="preserve"> Evoluţia amenajărilor de îmbunătăţiri funciare pe terenurile agricole, în perioada 2011-2015</w:t>
      </w:r>
    </w:p>
    <w:p w:rsidR="00830DBB" w:rsidRPr="00830DBB" w:rsidRDefault="00830DBB" w:rsidP="00830DBB">
      <w:pPr>
        <w:tabs>
          <w:tab w:val="left" w:pos="1276"/>
        </w:tabs>
        <w:spacing w:after="0" w:line="240" w:lineRule="auto"/>
        <w:jc w:val="center"/>
        <w:rPr>
          <w:rFonts w:ascii="Arial" w:eastAsia="SimSun" w:hAnsi="Arial" w:cs="Arial"/>
          <w:sz w:val="24"/>
          <w:szCs w:val="24"/>
          <w:lang w:val="ro-RO"/>
        </w:rPr>
      </w:pPr>
      <w:r w:rsidRPr="00830DBB">
        <w:rPr>
          <w:rFonts w:ascii="Arial" w:eastAsia="SimSun" w:hAnsi="Arial" w:cs="Arial"/>
          <w:noProof/>
          <w:color w:val="FF0000"/>
          <w:sz w:val="24"/>
          <w:szCs w:val="24"/>
        </w:rPr>
        <w:drawing>
          <wp:inline distT="0" distB="0" distL="0" distR="0" wp14:anchorId="3B3DACE0" wp14:editId="481DE56A">
            <wp:extent cx="6019800" cy="2085975"/>
            <wp:effectExtent l="0" t="0" r="0" b="0"/>
            <wp:docPr id="215" name="Chart 2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830DBB" w:rsidRDefault="00830DBB" w:rsidP="00830DBB">
      <w:pPr>
        <w:tabs>
          <w:tab w:val="left" w:pos="1276"/>
        </w:tabs>
        <w:spacing w:after="0" w:line="240" w:lineRule="auto"/>
        <w:jc w:val="both"/>
        <w:rPr>
          <w:rFonts w:ascii="Arial" w:eastAsia="SimSun" w:hAnsi="Arial" w:cs="Arial"/>
          <w:b/>
          <w:sz w:val="24"/>
          <w:szCs w:val="24"/>
          <w:lang w:val="ro-RO"/>
        </w:rPr>
      </w:pPr>
      <w:r w:rsidRPr="00830DBB">
        <w:rPr>
          <w:rFonts w:ascii="Arial" w:eastAsia="SimSun" w:hAnsi="Arial" w:cs="Arial"/>
          <w:b/>
          <w:sz w:val="24"/>
          <w:szCs w:val="24"/>
          <w:lang w:val="ro-RO"/>
        </w:rPr>
        <w:t xml:space="preserve">             III.4. Prognoze și acțiuni întreprinse pentru ameliorarea stării de calitate a   solurilor </w:t>
      </w:r>
    </w:p>
    <w:p w:rsidR="00FA7096" w:rsidRPr="00830DBB" w:rsidRDefault="00FA7096" w:rsidP="00830DBB">
      <w:pPr>
        <w:tabs>
          <w:tab w:val="left" w:pos="1276"/>
        </w:tabs>
        <w:spacing w:after="0" w:line="240" w:lineRule="auto"/>
        <w:jc w:val="both"/>
        <w:rPr>
          <w:rFonts w:ascii="Arial" w:eastAsia="SimSun" w:hAnsi="Arial" w:cs="Arial"/>
          <w:b/>
          <w:sz w:val="24"/>
          <w:szCs w:val="24"/>
          <w:lang w:val="ro-RO"/>
        </w:rPr>
      </w:pPr>
    </w:p>
    <w:p w:rsidR="00830DBB" w:rsidRPr="00830DBB" w:rsidRDefault="00830DBB" w:rsidP="00830DBB">
      <w:pPr>
        <w:spacing w:after="0" w:line="240" w:lineRule="auto"/>
        <w:jc w:val="both"/>
        <w:rPr>
          <w:rFonts w:ascii="Arial" w:eastAsia="Times New Roman" w:hAnsi="Arial" w:cs="Arial"/>
          <w:color w:val="000000" w:themeColor="text1"/>
          <w:sz w:val="24"/>
          <w:szCs w:val="24"/>
          <w:lang w:val="en-GB"/>
        </w:rPr>
      </w:pPr>
      <w:r w:rsidRPr="00830DBB">
        <w:rPr>
          <w:rFonts w:ascii="Arial" w:eastAsia="Times New Roman" w:hAnsi="Arial" w:cs="Arial"/>
          <w:color w:val="000000" w:themeColor="text1"/>
          <w:sz w:val="24"/>
          <w:szCs w:val="24"/>
          <w:lang w:val="en-GB"/>
        </w:rPr>
        <w:t>Acţiunile întreprinse pentru reconstrucţia ecologică a terenurilor degradate şi pentru ameliorarea stării de calitate a solurilor sunt următoarele:</w:t>
      </w:r>
    </w:p>
    <w:p w:rsidR="00830DBB" w:rsidRPr="00830DBB" w:rsidRDefault="00830DBB" w:rsidP="00830DBB">
      <w:pPr>
        <w:spacing w:after="0" w:line="240" w:lineRule="auto"/>
        <w:jc w:val="both"/>
        <w:rPr>
          <w:rFonts w:ascii="Arial" w:eastAsia="Times New Roman" w:hAnsi="Arial" w:cs="Arial"/>
          <w:color w:val="000000" w:themeColor="text1"/>
          <w:sz w:val="24"/>
          <w:szCs w:val="24"/>
          <w:lang w:val="en-GB"/>
        </w:rPr>
      </w:pPr>
      <w:r w:rsidRPr="00830DBB">
        <w:rPr>
          <w:rFonts w:ascii="Arial" w:eastAsia="Times New Roman" w:hAnsi="Arial" w:cs="Arial"/>
          <w:color w:val="000000" w:themeColor="text1"/>
          <w:sz w:val="24"/>
          <w:szCs w:val="24"/>
          <w:lang w:val="en-GB"/>
        </w:rPr>
        <w:t>♦ Inventarierea terenurilor degradate şi stabilirea cauzei degradării.</w:t>
      </w:r>
    </w:p>
    <w:p w:rsidR="00830DBB" w:rsidRPr="00830DBB" w:rsidRDefault="00830DBB" w:rsidP="00830DBB">
      <w:pPr>
        <w:spacing w:after="0" w:line="240" w:lineRule="auto"/>
        <w:jc w:val="both"/>
        <w:rPr>
          <w:rFonts w:ascii="Arial" w:eastAsia="Times New Roman" w:hAnsi="Arial" w:cs="Arial"/>
          <w:color w:val="000000" w:themeColor="text1"/>
          <w:sz w:val="24"/>
          <w:szCs w:val="24"/>
          <w:lang w:val="en-GB"/>
        </w:rPr>
      </w:pPr>
      <w:r w:rsidRPr="00830DBB">
        <w:rPr>
          <w:rFonts w:ascii="Arial" w:eastAsia="Times New Roman" w:hAnsi="Arial" w:cs="Arial"/>
          <w:color w:val="000000" w:themeColor="text1"/>
          <w:sz w:val="24"/>
          <w:szCs w:val="24"/>
          <w:lang w:val="en-GB"/>
        </w:rPr>
        <w:t>♦ Constituirea perimetrelor de ameliorare in zonele cu soluri care necesită reconstrucţia ecologică.</w:t>
      </w:r>
    </w:p>
    <w:p w:rsidR="00830DBB" w:rsidRPr="00830DBB" w:rsidRDefault="00830DBB" w:rsidP="00830DBB">
      <w:pPr>
        <w:spacing w:after="0" w:line="240" w:lineRule="auto"/>
        <w:jc w:val="both"/>
        <w:rPr>
          <w:rFonts w:ascii="Arial" w:eastAsia="Times New Roman" w:hAnsi="Arial" w:cs="Arial"/>
          <w:color w:val="000000" w:themeColor="text1"/>
          <w:sz w:val="24"/>
          <w:szCs w:val="24"/>
          <w:lang w:val="en-GB"/>
        </w:rPr>
      </w:pPr>
      <w:r w:rsidRPr="00830DBB">
        <w:rPr>
          <w:rFonts w:ascii="Arial" w:eastAsia="Times New Roman" w:hAnsi="Arial" w:cs="Arial"/>
          <w:color w:val="000000" w:themeColor="text1"/>
          <w:sz w:val="24"/>
          <w:szCs w:val="24"/>
          <w:lang w:val="en-GB"/>
        </w:rPr>
        <w:t>♦ Stabilirea sistemelor de lucrări ale solurilor, structura culturilor şi fertilizarea, lucrări specifice procesului de conservare si ameliorare a fertilităţii solurilor.</w:t>
      </w:r>
    </w:p>
    <w:p w:rsidR="00830DBB" w:rsidRPr="00830DBB" w:rsidRDefault="00830DBB" w:rsidP="00830DBB">
      <w:pPr>
        <w:spacing w:after="0" w:line="240" w:lineRule="auto"/>
        <w:jc w:val="both"/>
        <w:rPr>
          <w:rFonts w:ascii="Arial" w:eastAsia="Times New Roman" w:hAnsi="Arial" w:cs="Arial"/>
          <w:color w:val="000000" w:themeColor="text1"/>
          <w:sz w:val="24"/>
          <w:szCs w:val="24"/>
          <w:lang w:val="en-GB"/>
        </w:rPr>
      </w:pPr>
      <w:r w:rsidRPr="00830DBB">
        <w:rPr>
          <w:rFonts w:ascii="Arial" w:eastAsia="Times New Roman" w:hAnsi="Arial" w:cs="Arial"/>
          <w:color w:val="000000" w:themeColor="text1"/>
          <w:sz w:val="24"/>
          <w:szCs w:val="24"/>
          <w:lang w:val="en-GB"/>
        </w:rPr>
        <w:t>♦ Continuarea lucrărilor de imbunătăţiri funciare menite să înlăture cauzele degradării cum ar fi: eroziunea, excesul de umiditate, alunecările de teren şi inundaţiile.</w:t>
      </w:r>
    </w:p>
    <w:p w:rsidR="00830DBB" w:rsidRPr="00830DBB" w:rsidRDefault="00830DBB" w:rsidP="00830DBB">
      <w:pPr>
        <w:spacing w:after="0" w:line="240" w:lineRule="auto"/>
        <w:jc w:val="both"/>
        <w:rPr>
          <w:rFonts w:ascii="Arial" w:eastAsia="Times New Roman" w:hAnsi="Arial" w:cs="Arial"/>
          <w:color w:val="000000" w:themeColor="text1"/>
          <w:sz w:val="24"/>
          <w:szCs w:val="24"/>
          <w:lang w:val="en-GB"/>
        </w:rPr>
      </w:pPr>
      <w:r w:rsidRPr="00830DBB">
        <w:rPr>
          <w:rFonts w:ascii="Arial" w:eastAsia="Times New Roman" w:hAnsi="Arial" w:cs="Arial"/>
          <w:color w:val="000000" w:themeColor="text1"/>
          <w:sz w:val="24"/>
          <w:szCs w:val="24"/>
          <w:lang w:val="en-GB"/>
        </w:rPr>
        <w:t>♦ Lucrări de imbunătăţiri funciare </w:t>
      </w:r>
    </w:p>
    <w:p w:rsidR="00830DBB" w:rsidRDefault="00830DBB" w:rsidP="00830DBB">
      <w:pPr>
        <w:autoSpaceDE w:val="0"/>
        <w:autoSpaceDN w:val="0"/>
        <w:adjustRightInd w:val="0"/>
        <w:spacing w:after="120" w:line="240" w:lineRule="auto"/>
        <w:jc w:val="both"/>
        <w:rPr>
          <w:rFonts w:ascii="Arial" w:eastAsia="SimSun" w:hAnsi="Arial" w:cs="Arial"/>
          <w:color w:val="000000" w:themeColor="text1"/>
          <w:sz w:val="24"/>
          <w:szCs w:val="24"/>
          <w:lang w:val="en-GB"/>
        </w:rPr>
      </w:pPr>
      <w:r w:rsidRPr="00830DBB">
        <w:rPr>
          <w:rFonts w:ascii="Arial" w:eastAsia="SimSun" w:hAnsi="Arial" w:cs="Arial"/>
          <w:color w:val="000000" w:themeColor="text1"/>
          <w:sz w:val="24"/>
          <w:szCs w:val="24"/>
          <w:lang w:val="en-GB"/>
        </w:rPr>
        <w:t xml:space="preserve">Problema principală care se ridică în zonele afectate de secetă constă în adoptarea a unei politici manageriale adaptate previziunilor privind seceta, astfel încât să se asigure măsuri pe termen scurt (compensarea deficitului de umiditate prin irigaţii, structura culturilor, adaptarea tehnologiilor de lucru a solului şi de fertilizare etc.) şi pe termen mediu şi lung (asigurarea rezervelor de apă în lacurile de acumulare, crearea perdelelor forestiere de protecţie etc.) </w:t>
      </w:r>
    </w:p>
    <w:p w:rsidR="007C45A1" w:rsidRDefault="007C45A1" w:rsidP="00080B9C">
      <w:pPr>
        <w:spacing w:after="0" w:line="360" w:lineRule="auto"/>
        <w:jc w:val="center"/>
        <w:rPr>
          <w:rFonts w:ascii="Arial" w:hAnsi="Arial" w:cs="Arial"/>
          <w:b/>
          <w:sz w:val="24"/>
          <w:szCs w:val="24"/>
          <w:lang w:val="ro-RO"/>
        </w:rPr>
      </w:pPr>
    </w:p>
    <w:p w:rsidR="007C45A1" w:rsidRDefault="007C45A1" w:rsidP="00080B9C">
      <w:pPr>
        <w:spacing w:after="0" w:line="360" w:lineRule="auto"/>
        <w:jc w:val="center"/>
        <w:rPr>
          <w:rFonts w:ascii="Arial" w:hAnsi="Arial" w:cs="Arial"/>
          <w:b/>
          <w:sz w:val="24"/>
          <w:szCs w:val="24"/>
          <w:lang w:val="ro-RO"/>
        </w:rPr>
      </w:pPr>
    </w:p>
    <w:p w:rsidR="00080B9C" w:rsidRPr="00080B9C" w:rsidRDefault="00080B9C" w:rsidP="00080B9C">
      <w:pPr>
        <w:spacing w:after="0" w:line="360" w:lineRule="auto"/>
        <w:jc w:val="center"/>
        <w:rPr>
          <w:rFonts w:ascii="Arial" w:hAnsi="Arial" w:cs="Arial"/>
          <w:b/>
          <w:sz w:val="24"/>
          <w:szCs w:val="24"/>
          <w:lang w:val="ro-RO"/>
        </w:rPr>
      </w:pPr>
      <w:r w:rsidRPr="00080B9C">
        <w:rPr>
          <w:rFonts w:ascii="Arial" w:hAnsi="Arial" w:cs="Arial"/>
          <w:b/>
          <w:sz w:val="24"/>
          <w:szCs w:val="24"/>
          <w:lang w:val="ro-RO"/>
        </w:rPr>
        <w:t>CAPITOLUL IV. UTILIZAREA TERENURILOR</w:t>
      </w:r>
    </w:p>
    <w:p w:rsidR="00080B9C" w:rsidRPr="00080B9C" w:rsidRDefault="00080B9C" w:rsidP="00080B9C">
      <w:pPr>
        <w:spacing w:after="0" w:line="240" w:lineRule="auto"/>
        <w:jc w:val="center"/>
        <w:rPr>
          <w:rFonts w:ascii="Arial" w:hAnsi="Arial" w:cs="Arial"/>
          <w:b/>
          <w:sz w:val="24"/>
          <w:szCs w:val="24"/>
          <w:lang w:val="ro-RO"/>
        </w:rPr>
      </w:pPr>
    </w:p>
    <w:p w:rsidR="00080B9C" w:rsidRPr="00080B9C" w:rsidRDefault="00080B9C" w:rsidP="00080B9C">
      <w:pPr>
        <w:spacing w:after="0" w:line="240" w:lineRule="auto"/>
        <w:ind w:firstLine="720"/>
        <w:rPr>
          <w:rFonts w:ascii="Arial" w:hAnsi="Arial" w:cs="Arial"/>
          <w:color w:val="000000" w:themeColor="text1"/>
          <w:sz w:val="24"/>
          <w:szCs w:val="24"/>
        </w:rPr>
      </w:pPr>
      <w:r w:rsidRPr="00080B9C">
        <w:rPr>
          <w:rFonts w:ascii="Arial" w:hAnsi="Arial" w:cs="Arial"/>
          <w:iCs/>
          <w:color w:val="000000" w:themeColor="text1"/>
          <w:sz w:val="24"/>
          <w:szCs w:val="24"/>
        </w:rPr>
        <w:t xml:space="preserve">Utilizarea terenului </w:t>
      </w:r>
      <w:r w:rsidRPr="00080B9C">
        <w:rPr>
          <w:rFonts w:ascii="Arial" w:hAnsi="Arial" w:cs="Arial"/>
          <w:color w:val="000000" w:themeColor="text1"/>
          <w:sz w:val="24"/>
          <w:szCs w:val="24"/>
        </w:rPr>
        <w:t>reprezintă un concept general prin care orice fel de activitate umană (agricolă sau neagricolă), permanentă sau ciclică, acţionează asupra unui teren sau ecosistem natural pentru un anumit scop.</w:t>
      </w:r>
    </w:p>
    <w:p w:rsidR="00080B9C" w:rsidRPr="00080B9C" w:rsidRDefault="00080B9C" w:rsidP="00080B9C">
      <w:pPr>
        <w:spacing w:after="0" w:line="240" w:lineRule="auto"/>
        <w:ind w:firstLine="720"/>
        <w:jc w:val="both"/>
        <w:rPr>
          <w:rFonts w:ascii="Arial" w:hAnsi="Arial" w:cs="Arial"/>
          <w:b/>
          <w:color w:val="000000" w:themeColor="text1"/>
          <w:sz w:val="20"/>
          <w:szCs w:val="20"/>
          <w:lang w:val="ro-RO"/>
        </w:rPr>
      </w:pPr>
      <w:r w:rsidRPr="00080B9C">
        <w:rPr>
          <w:rFonts w:ascii="Arial" w:hAnsi="Arial" w:cs="Arial"/>
          <w:iCs/>
          <w:color w:val="000000" w:themeColor="text1"/>
          <w:sz w:val="24"/>
          <w:szCs w:val="24"/>
        </w:rPr>
        <w:t>Utilizarea terenului impune determinarea cu precizie a însuşirilor solului şi a celorlalţi factori de vegetaţie, relief, climă, hidrologie care determină capacitatea agricolă sau silvică, cât şi vocaţia terenului de a fi folosit pentru alte activităţi, operaţiune ce poate fi realizată doar prin efectuarea de studii pedologice de teren şi analize de laborator, pe baza cărora să fie stabilite hărţi de soluri sau teritorii ecologice omogene, caracterizate prin note de bonitare şi caracteristici tehnologice pentru fiecare porţiune a teritoriului administrativ, după metodologii unitare</w:t>
      </w:r>
      <w:r w:rsidRPr="00080B9C">
        <w:rPr>
          <w:rFonts w:ascii="Arial" w:hAnsi="Arial" w:cs="Arial"/>
          <w:iCs/>
          <w:color w:val="000000" w:themeColor="text1"/>
          <w:sz w:val="20"/>
          <w:szCs w:val="20"/>
        </w:rPr>
        <w:t>. (Sursa: Facultatea de Agricultură Timişoara – Note de curs Evaluarea proprietăţilor imobiliare)</w:t>
      </w:r>
    </w:p>
    <w:p w:rsidR="00080B9C" w:rsidRPr="00080B9C" w:rsidRDefault="00080B9C" w:rsidP="00080B9C">
      <w:pPr>
        <w:spacing w:after="0" w:line="240" w:lineRule="auto"/>
        <w:ind w:firstLine="720"/>
        <w:rPr>
          <w:rFonts w:ascii="Arial" w:hAnsi="Arial" w:cs="Arial"/>
          <w:b/>
          <w:sz w:val="24"/>
          <w:szCs w:val="24"/>
          <w:lang w:val="ro-RO"/>
        </w:rPr>
      </w:pPr>
    </w:p>
    <w:p w:rsidR="00080B9C" w:rsidRPr="00080B9C" w:rsidRDefault="00080B9C" w:rsidP="00080B9C">
      <w:pPr>
        <w:autoSpaceDE w:val="0"/>
        <w:autoSpaceDN w:val="0"/>
        <w:adjustRightInd w:val="0"/>
        <w:spacing w:after="0" w:line="240" w:lineRule="auto"/>
        <w:rPr>
          <w:rFonts w:ascii="Arial" w:hAnsi="Arial" w:cs="Arial"/>
          <w:b/>
          <w:sz w:val="24"/>
          <w:szCs w:val="24"/>
          <w:lang w:val="ro-RO"/>
        </w:rPr>
      </w:pPr>
      <w:r w:rsidRPr="00080B9C">
        <w:rPr>
          <w:rFonts w:ascii="Times New Roman" w:hAnsi="Times New Roman" w:cs="Times New Roman"/>
          <w:color w:val="000000"/>
          <w:sz w:val="24"/>
          <w:szCs w:val="24"/>
        </w:rPr>
        <w:t xml:space="preserve"> </w:t>
      </w:r>
      <w:r w:rsidRPr="00080B9C">
        <w:rPr>
          <w:rFonts w:ascii="Arial" w:hAnsi="Arial" w:cs="Arial"/>
          <w:b/>
          <w:sz w:val="24"/>
          <w:szCs w:val="24"/>
          <w:lang w:val="ro-RO"/>
        </w:rPr>
        <w:t xml:space="preserve">IV.1. Stare şi tendinţe </w:t>
      </w:r>
    </w:p>
    <w:p w:rsidR="00080B9C" w:rsidRPr="00080B9C" w:rsidRDefault="00080B9C" w:rsidP="00080B9C">
      <w:pPr>
        <w:spacing w:after="0" w:line="240" w:lineRule="auto"/>
        <w:rPr>
          <w:rFonts w:ascii="Arial" w:hAnsi="Arial" w:cs="Arial"/>
          <w:i/>
          <w:color w:val="FF0000"/>
          <w:sz w:val="24"/>
          <w:szCs w:val="24"/>
          <w:lang w:val="ro-RO"/>
        </w:rPr>
      </w:pPr>
    </w:p>
    <w:p w:rsidR="00080B9C" w:rsidRPr="00080B9C" w:rsidRDefault="00080B9C" w:rsidP="00080B9C">
      <w:pPr>
        <w:spacing w:after="0" w:line="240" w:lineRule="auto"/>
        <w:rPr>
          <w:rFonts w:ascii="Arial" w:hAnsi="Arial" w:cs="Arial"/>
          <w:b/>
          <w:i/>
          <w:color w:val="000000" w:themeColor="text1"/>
          <w:sz w:val="24"/>
          <w:szCs w:val="24"/>
          <w:lang w:val="ro-RO"/>
        </w:rPr>
      </w:pPr>
      <w:r w:rsidRPr="00080B9C">
        <w:rPr>
          <w:rFonts w:ascii="Arial" w:hAnsi="Arial" w:cs="Arial"/>
          <w:b/>
          <w:i/>
          <w:color w:val="000000" w:themeColor="text1"/>
          <w:sz w:val="24"/>
          <w:szCs w:val="24"/>
          <w:lang w:val="ro-RO"/>
        </w:rPr>
        <w:t>IV.1.1. Repartiţia terenurilor pe categorii de acoperire/utilizare</w:t>
      </w:r>
    </w:p>
    <w:p w:rsidR="00080B9C" w:rsidRPr="00080B9C" w:rsidRDefault="00080B9C" w:rsidP="00080B9C">
      <w:pPr>
        <w:spacing w:after="0" w:line="240" w:lineRule="auto"/>
        <w:rPr>
          <w:rFonts w:ascii="Arial" w:hAnsi="Arial" w:cs="Arial"/>
          <w:i/>
          <w:color w:val="FF0000"/>
          <w:sz w:val="24"/>
          <w:szCs w:val="24"/>
          <w:lang w:val="ro-RO"/>
        </w:rPr>
      </w:pPr>
    </w:p>
    <w:p w:rsidR="00080B9C" w:rsidRPr="00080B9C" w:rsidRDefault="00080B9C" w:rsidP="00080B9C">
      <w:pPr>
        <w:spacing w:after="0" w:line="240" w:lineRule="auto"/>
        <w:rPr>
          <w:rFonts w:ascii="Arial" w:eastAsia="Times New Roman" w:hAnsi="Arial" w:cs="Arial"/>
          <w:color w:val="000000" w:themeColor="text1"/>
          <w:sz w:val="24"/>
          <w:szCs w:val="24"/>
        </w:rPr>
      </w:pPr>
      <w:r w:rsidRPr="00080B9C">
        <w:rPr>
          <w:rFonts w:ascii="Arial" w:hAnsi="Arial" w:cs="Arial"/>
          <w:i/>
          <w:color w:val="FF0000"/>
          <w:sz w:val="24"/>
          <w:szCs w:val="24"/>
          <w:lang w:val="ro-RO"/>
        </w:rPr>
        <w:t xml:space="preserve"> </w:t>
      </w:r>
      <w:r w:rsidRPr="00080B9C">
        <w:rPr>
          <w:rFonts w:ascii="Arial" w:hAnsi="Arial" w:cs="Arial"/>
          <w:i/>
          <w:color w:val="FF0000"/>
          <w:sz w:val="24"/>
          <w:szCs w:val="24"/>
          <w:lang w:val="ro-RO"/>
        </w:rPr>
        <w:tab/>
      </w:r>
      <w:r w:rsidRPr="00080B9C">
        <w:rPr>
          <w:rFonts w:ascii="Arial" w:eastAsia="Times New Roman" w:hAnsi="Arial" w:cs="Arial"/>
          <w:color w:val="000000" w:themeColor="text1"/>
          <w:sz w:val="24"/>
          <w:szCs w:val="24"/>
        </w:rPr>
        <w:t>Judeţul Vaslui dispune de resurse naturale extrem de limitate, acestea rezumându-se la:</w:t>
      </w:r>
    </w:p>
    <w:p w:rsidR="00080B9C" w:rsidRPr="00080B9C" w:rsidRDefault="00080B9C" w:rsidP="005910C7">
      <w:pPr>
        <w:numPr>
          <w:ilvl w:val="0"/>
          <w:numId w:val="12"/>
        </w:numPr>
        <w:autoSpaceDE w:val="0"/>
        <w:autoSpaceDN w:val="0"/>
        <w:adjustRightInd w:val="0"/>
        <w:spacing w:after="0" w:line="240" w:lineRule="auto"/>
        <w:jc w:val="both"/>
        <w:rPr>
          <w:rFonts w:ascii="Arial" w:eastAsia="Times New Roman" w:hAnsi="Arial" w:cs="Arial"/>
          <w:color w:val="000000" w:themeColor="text1"/>
          <w:sz w:val="24"/>
          <w:szCs w:val="24"/>
        </w:rPr>
      </w:pPr>
      <w:r w:rsidRPr="00080B9C">
        <w:rPr>
          <w:rFonts w:ascii="Arial" w:eastAsia="Times New Roman" w:hAnsi="Arial" w:cs="Arial"/>
          <w:i/>
          <w:color w:val="000000" w:themeColor="text1"/>
          <w:sz w:val="24"/>
          <w:szCs w:val="24"/>
        </w:rPr>
        <w:t>solul</w:t>
      </w:r>
      <w:r w:rsidRPr="00080B9C">
        <w:rPr>
          <w:rFonts w:ascii="Arial" w:eastAsia="Times New Roman" w:hAnsi="Arial" w:cs="Arial"/>
          <w:color w:val="000000" w:themeColor="text1"/>
          <w:sz w:val="24"/>
          <w:szCs w:val="24"/>
        </w:rPr>
        <w:t xml:space="preserve"> - favorabil agriculturii şi creşterii animalelor, este utilizat astfel: - suprafaţă arabilă: 73%; suprafaţă cultivată cu viţă de vie: 3%; suprafaţă cultivată cu livezi: 0,5%; suprafaţă acoperită cu păşuni</w:t>
      </w:r>
      <w:r w:rsidRPr="00080B9C">
        <w:rPr>
          <w:rFonts w:ascii="Arial" w:eastAsia="Times New Roman" w:hAnsi="Arial" w:cs="Arial"/>
          <w:color w:val="000000" w:themeColor="text1"/>
          <w:sz w:val="24"/>
          <w:szCs w:val="24"/>
          <w:lang w:val="ro-RO"/>
        </w:rPr>
        <w:t xml:space="preserve"> şi fâneţe</w:t>
      </w:r>
      <w:r w:rsidRPr="00080B9C">
        <w:rPr>
          <w:rFonts w:ascii="Arial" w:eastAsia="Times New Roman" w:hAnsi="Arial" w:cs="Arial"/>
          <w:color w:val="000000" w:themeColor="text1"/>
          <w:sz w:val="24"/>
          <w:szCs w:val="24"/>
        </w:rPr>
        <w:t>: 23,5%.</w:t>
      </w:r>
    </w:p>
    <w:p w:rsidR="00080B9C" w:rsidRPr="00E264EC" w:rsidRDefault="00080B9C" w:rsidP="00080B9C">
      <w:pPr>
        <w:numPr>
          <w:ilvl w:val="0"/>
          <w:numId w:val="12"/>
        </w:numPr>
        <w:autoSpaceDE w:val="0"/>
        <w:autoSpaceDN w:val="0"/>
        <w:adjustRightInd w:val="0"/>
        <w:spacing w:after="0" w:line="240" w:lineRule="auto"/>
        <w:jc w:val="both"/>
        <w:rPr>
          <w:rFonts w:ascii="Arial" w:eastAsia="Times New Roman" w:hAnsi="Arial" w:cs="Arial"/>
          <w:color w:val="000000" w:themeColor="text1"/>
          <w:sz w:val="24"/>
          <w:szCs w:val="24"/>
        </w:rPr>
      </w:pPr>
      <w:r w:rsidRPr="00080B9C">
        <w:rPr>
          <w:rFonts w:ascii="Arial" w:eastAsia="Times New Roman" w:hAnsi="Arial" w:cs="Arial"/>
          <w:i/>
          <w:color w:val="000000" w:themeColor="text1"/>
          <w:sz w:val="24"/>
          <w:szCs w:val="24"/>
        </w:rPr>
        <w:t>resursele subsolului</w:t>
      </w:r>
      <w:r w:rsidRPr="00080B9C">
        <w:rPr>
          <w:rFonts w:ascii="Arial" w:eastAsia="Times New Roman" w:hAnsi="Arial" w:cs="Arial"/>
          <w:color w:val="000000" w:themeColor="text1"/>
          <w:sz w:val="24"/>
          <w:szCs w:val="24"/>
        </w:rPr>
        <w:t xml:space="preserve"> - puţin variate fiind reprezentate aproape în totalitate de material de construcţie. Se exploatează mai mult pe plan local, gresii, calcare oalitice, nisip, argilă şi loess. În unele sate sunt folosite local ape minerale sulfuroase, bicarbonatate iodobromurată şi magneziano-sodice (Drânceni, Murgeni, Pungeşti, Dăneşti). Lipsa altor materii prime şi a resurselor de apă, constituie motivaţii importante ale dezvoltării lente şi târzii a aşezărilor urbane din judeţ.</w:t>
      </w:r>
      <w:r>
        <w:rPr>
          <w:rFonts w:ascii="Arial" w:eastAsia="Times New Roman" w:hAnsi="Arial" w:cs="Arial"/>
          <w:color w:val="000000" w:themeColor="text1"/>
          <w:sz w:val="24"/>
          <w:szCs w:val="24"/>
        </w:rPr>
        <w:t xml:space="preserve"> </w:t>
      </w:r>
      <w:r w:rsidRPr="00E264EC">
        <w:rPr>
          <w:rFonts w:ascii="Arial" w:hAnsi="Arial" w:cs="Arial"/>
          <w:color w:val="000000" w:themeColor="text1"/>
          <w:sz w:val="20"/>
          <w:szCs w:val="20"/>
        </w:rPr>
        <w:t xml:space="preserve">(Sursa: Instituţia Prefectului - </w:t>
      </w:r>
      <w:r w:rsidRPr="00E264EC">
        <w:rPr>
          <w:rFonts w:ascii="Arial" w:eastAsia="Times New Roman" w:hAnsi="Arial" w:cs="Arial"/>
          <w:bCs/>
          <w:color w:val="000000" w:themeColor="text1"/>
          <w:sz w:val="20"/>
          <w:szCs w:val="20"/>
        </w:rPr>
        <w:t>Raport privind starea socio-economică a judeţului Vaslui pentru anul 2013</w:t>
      </w:r>
      <w:r w:rsidRPr="00E264EC">
        <w:rPr>
          <w:rFonts w:ascii="Arial" w:hAnsi="Arial" w:cs="Arial"/>
          <w:color w:val="000000" w:themeColor="text1"/>
          <w:sz w:val="20"/>
          <w:szCs w:val="20"/>
        </w:rPr>
        <w:t>)</w:t>
      </w:r>
    </w:p>
    <w:p w:rsidR="00080B9C" w:rsidRPr="00080B9C" w:rsidRDefault="00080B9C" w:rsidP="00080B9C">
      <w:pPr>
        <w:autoSpaceDE w:val="0"/>
        <w:autoSpaceDN w:val="0"/>
        <w:adjustRightInd w:val="0"/>
        <w:ind w:firstLine="720"/>
        <w:jc w:val="both"/>
        <w:rPr>
          <w:rFonts w:ascii="Arial" w:eastAsia="Times New Roman" w:hAnsi="Arial" w:cs="Arial"/>
          <w:bCs/>
          <w:color w:val="000000" w:themeColor="text1"/>
          <w:sz w:val="24"/>
          <w:szCs w:val="24"/>
        </w:rPr>
      </w:pPr>
      <w:r w:rsidRPr="00080B9C">
        <w:rPr>
          <w:rFonts w:ascii="Arial" w:hAnsi="Arial" w:cs="Arial"/>
          <w:color w:val="000000" w:themeColor="text1"/>
          <w:sz w:val="24"/>
          <w:szCs w:val="24"/>
        </w:rPr>
        <w:t>În tabelul de mai jos este redată repartiţia terenurilor pe categorii de acoperire/utilizare, în judeţul Vaslui:</w:t>
      </w:r>
    </w:p>
    <w:p w:rsidR="00080B9C" w:rsidRPr="00080B9C" w:rsidRDefault="00080B9C" w:rsidP="00080B9C">
      <w:pPr>
        <w:tabs>
          <w:tab w:val="left" w:pos="1276"/>
        </w:tabs>
        <w:spacing w:after="0" w:line="240" w:lineRule="auto"/>
        <w:rPr>
          <w:rFonts w:ascii="Arial" w:hAnsi="Arial" w:cs="Arial"/>
          <w:color w:val="000000" w:themeColor="text1"/>
          <w:sz w:val="24"/>
          <w:szCs w:val="24"/>
          <w:lang w:val="ro-RO"/>
        </w:rPr>
      </w:pPr>
      <w:r w:rsidRPr="00080B9C">
        <w:rPr>
          <w:rFonts w:ascii="Arial" w:hAnsi="Arial" w:cs="Arial"/>
          <w:color w:val="000000" w:themeColor="text1"/>
          <w:sz w:val="24"/>
          <w:szCs w:val="24"/>
        </w:rPr>
        <w:t xml:space="preserve">Tabelul IV.1. </w:t>
      </w:r>
      <w:r w:rsidRPr="00080B9C">
        <w:rPr>
          <w:rFonts w:ascii="Arial" w:hAnsi="Arial" w:cs="Arial"/>
          <w:color w:val="000000" w:themeColor="text1"/>
          <w:sz w:val="24"/>
          <w:szCs w:val="24"/>
          <w:lang w:val="ro-RO"/>
        </w:rPr>
        <w:t>Repartiţia terenurilor pe categorii de acoperire/utilizare</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0"/>
        <w:gridCol w:w="1511"/>
        <w:gridCol w:w="1343"/>
      </w:tblGrid>
      <w:tr w:rsidR="00080B9C" w:rsidRPr="00080B9C" w:rsidTr="00080B9C">
        <w:trPr>
          <w:trHeight w:val="261"/>
        </w:trPr>
        <w:tc>
          <w:tcPr>
            <w:tcW w:w="7010" w:type="dxa"/>
            <w:vMerge w:val="restart"/>
          </w:tcPr>
          <w:p w:rsidR="00080B9C" w:rsidRPr="00080B9C" w:rsidRDefault="00080B9C" w:rsidP="00080B9C">
            <w:pPr>
              <w:tabs>
                <w:tab w:val="left" w:pos="1276"/>
              </w:tabs>
              <w:spacing w:after="0" w:line="240" w:lineRule="auto"/>
              <w:jc w:val="center"/>
              <w:rPr>
                <w:rFonts w:ascii="Arial" w:hAnsi="Arial" w:cs="Arial"/>
                <w:b/>
                <w:color w:val="000000" w:themeColor="text1"/>
                <w:sz w:val="24"/>
                <w:szCs w:val="24"/>
                <w:lang w:val="ro-RO"/>
              </w:rPr>
            </w:pPr>
            <w:r w:rsidRPr="00080B9C">
              <w:rPr>
                <w:rFonts w:ascii="Arial" w:hAnsi="Arial" w:cs="Arial"/>
                <w:b/>
                <w:color w:val="000000" w:themeColor="text1"/>
                <w:sz w:val="24"/>
                <w:szCs w:val="24"/>
                <w:lang w:val="ro-RO"/>
              </w:rPr>
              <w:t>Categoria acoperire/utilizare</w:t>
            </w:r>
          </w:p>
        </w:tc>
        <w:tc>
          <w:tcPr>
            <w:tcW w:w="2854" w:type="dxa"/>
            <w:gridSpan w:val="2"/>
          </w:tcPr>
          <w:p w:rsidR="00080B9C" w:rsidRPr="00080B9C" w:rsidRDefault="00080B9C" w:rsidP="00080B9C">
            <w:pPr>
              <w:tabs>
                <w:tab w:val="left" w:pos="1276"/>
              </w:tabs>
              <w:spacing w:after="0" w:line="240" w:lineRule="auto"/>
              <w:jc w:val="center"/>
              <w:rPr>
                <w:rFonts w:ascii="Arial" w:hAnsi="Arial" w:cs="Arial"/>
                <w:b/>
                <w:color w:val="000000" w:themeColor="text1"/>
                <w:sz w:val="24"/>
                <w:szCs w:val="24"/>
                <w:lang w:val="ro-RO"/>
              </w:rPr>
            </w:pPr>
            <w:r w:rsidRPr="00080B9C">
              <w:rPr>
                <w:rFonts w:ascii="Arial" w:hAnsi="Arial" w:cs="Arial"/>
                <w:b/>
                <w:color w:val="000000" w:themeColor="text1"/>
                <w:sz w:val="24"/>
                <w:szCs w:val="24"/>
                <w:lang w:val="ro-RO"/>
              </w:rPr>
              <w:t>Suprafaţa</w:t>
            </w:r>
          </w:p>
        </w:tc>
      </w:tr>
      <w:tr w:rsidR="00080B9C" w:rsidRPr="00080B9C" w:rsidTr="00080B9C">
        <w:trPr>
          <w:trHeight w:val="68"/>
        </w:trPr>
        <w:tc>
          <w:tcPr>
            <w:tcW w:w="7010" w:type="dxa"/>
            <w:vMerge/>
          </w:tcPr>
          <w:p w:rsidR="00080B9C" w:rsidRPr="00080B9C" w:rsidRDefault="00080B9C" w:rsidP="00080B9C">
            <w:pPr>
              <w:tabs>
                <w:tab w:val="left" w:pos="1276"/>
              </w:tabs>
              <w:spacing w:after="0" w:line="240" w:lineRule="auto"/>
              <w:jc w:val="center"/>
              <w:rPr>
                <w:rFonts w:ascii="Arial" w:hAnsi="Arial" w:cs="Arial"/>
                <w:b/>
                <w:color w:val="000000" w:themeColor="text1"/>
                <w:sz w:val="24"/>
                <w:szCs w:val="24"/>
                <w:lang w:val="ro-RO"/>
              </w:rPr>
            </w:pPr>
          </w:p>
        </w:tc>
        <w:tc>
          <w:tcPr>
            <w:tcW w:w="1511" w:type="dxa"/>
          </w:tcPr>
          <w:p w:rsidR="00080B9C" w:rsidRPr="00080B9C" w:rsidRDefault="00080B9C" w:rsidP="00080B9C">
            <w:pPr>
              <w:tabs>
                <w:tab w:val="left" w:pos="1276"/>
              </w:tabs>
              <w:spacing w:after="0" w:line="240" w:lineRule="auto"/>
              <w:jc w:val="center"/>
              <w:rPr>
                <w:rFonts w:ascii="Arial" w:hAnsi="Arial" w:cs="Arial"/>
                <w:b/>
                <w:color w:val="000000" w:themeColor="text1"/>
                <w:sz w:val="24"/>
                <w:szCs w:val="24"/>
                <w:lang w:val="ro-RO"/>
              </w:rPr>
            </w:pPr>
            <w:r w:rsidRPr="00080B9C">
              <w:rPr>
                <w:rFonts w:ascii="Arial" w:hAnsi="Arial" w:cs="Arial"/>
                <w:b/>
                <w:color w:val="000000" w:themeColor="text1"/>
                <w:sz w:val="24"/>
                <w:szCs w:val="24"/>
                <w:lang w:val="ro-RO"/>
              </w:rPr>
              <w:t>ha</w:t>
            </w:r>
          </w:p>
        </w:tc>
        <w:tc>
          <w:tcPr>
            <w:tcW w:w="1343" w:type="dxa"/>
          </w:tcPr>
          <w:p w:rsidR="00080B9C" w:rsidRPr="00080B9C" w:rsidRDefault="00080B9C" w:rsidP="00080B9C">
            <w:pPr>
              <w:tabs>
                <w:tab w:val="left" w:pos="1276"/>
              </w:tabs>
              <w:spacing w:after="0" w:line="240" w:lineRule="auto"/>
              <w:jc w:val="center"/>
              <w:rPr>
                <w:rFonts w:ascii="Arial" w:hAnsi="Arial" w:cs="Arial"/>
                <w:b/>
                <w:color w:val="000000" w:themeColor="text1"/>
                <w:sz w:val="24"/>
                <w:szCs w:val="24"/>
                <w:lang w:val="ro-RO"/>
              </w:rPr>
            </w:pPr>
            <w:r w:rsidRPr="00080B9C">
              <w:rPr>
                <w:rFonts w:ascii="Arial" w:hAnsi="Arial" w:cs="Arial"/>
                <w:b/>
                <w:color w:val="000000" w:themeColor="text1"/>
                <w:sz w:val="24"/>
                <w:szCs w:val="24"/>
                <w:lang w:val="ro-RO"/>
              </w:rPr>
              <w:t>%</w:t>
            </w:r>
          </w:p>
        </w:tc>
      </w:tr>
      <w:tr w:rsidR="00080B9C" w:rsidRPr="00080B9C" w:rsidTr="00080B9C">
        <w:trPr>
          <w:trHeight w:val="261"/>
        </w:trPr>
        <w:tc>
          <w:tcPr>
            <w:tcW w:w="7010" w:type="dxa"/>
          </w:tcPr>
          <w:p w:rsidR="00080B9C" w:rsidRPr="00080B9C" w:rsidRDefault="00080B9C" w:rsidP="00080B9C">
            <w:pPr>
              <w:tabs>
                <w:tab w:val="left" w:pos="1276"/>
              </w:tabs>
              <w:spacing w:after="0" w:line="240" w:lineRule="auto"/>
              <w:rPr>
                <w:rFonts w:ascii="Arial" w:hAnsi="Arial" w:cs="Arial"/>
                <w:b/>
                <w:i/>
                <w:color w:val="000000" w:themeColor="text1"/>
                <w:sz w:val="24"/>
                <w:szCs w:val="24"/>
                <w:lang w:val="ro-RO"/>
              </w:rPr>
            </w:pPr>
            <w:r w:rsidRPr="00080B9C">
              <w:rPr>
                <w:rFonts w:ascii="Arial" w:hAnsi="Arial" w:cs="Arial"/>
                <w:b/>
                <w:i/>
                <w:color w:val="000000" w:themeColor="text1"/>
                <w:sz w:val="24"/>
                <w:szCs w:val="24"/>
                <w:lang w:val="ro-RO"/>
              </w:rPr>
              <w:t>Terenuri agricole, din care:</w:t>
            </w:r>
          </w:p>
        </w:tc>
        <w:tc>
          <w:tcPr>
            <w:tcW w:w="1511" w:type="dxa"/>
          </w:tcPr>
          <w:p w:rsidR="00080B9C" w:rsidRPr="00080B9C" w:rsidRDefault="00080B9C" w:rsidP="00080B9C">
            <w:pPr>
              <w:tabs>
                <w:tab w:val="left" w:pos="1276"/>
              </w:tabs>
              <w:spacing w:after="0" w:line="240" w:lineRule="auto"/>
              <w:jc w:val="center"/>
              <w:rPr>
                <w:rFonts w:ascii="Arial" w:hAnsi="Arial" w:cs="Arial"/>
                <w:color w:val="000000" w:themeColor="text1"/>
                <w:sz w:val="24"/>
                <w:szCs w:val="24"/>
                <w:lang w:val="ro-RO"/>
              </w:rPr>
            </w:pPr>
            <w:r w:rsidRPr="00080B9C">
              <w:rPr>
                <w:rFonts w:ascii="Arial" w:hAnsi="Arial" w:cs="Arial"/>
                <w:color w:val="000000" w:themeColor="text1"/>
                <w:sz w:val="24"/>
                <w:szCs w:val="24"/>
                <w:lang w:val="ro-RO"/>
              </w:rPr>
              <w:t>401250</w:t>
            </w:r>
          </w:p>
        </w:tc>
        <w:tc>
          <w:tcPr>
            <w:tcW w:w="1343" w:type="dxa"/>
          </w:tcPr>
          <w:p w:rsidR="00080B9C" w:rsidRPr="00080B9C" w:rsidRDefault="00080B9C" w:rsidP="00080B9C">
            <w:pPr>
              <w:tabs>
                <w:tab w:val="left" w:pos="1276"/>
              </w:tabs>
              <w:spacing w:after="0" w:line="240" w:lineRule="auto"/>
              <w:jc w:val="center"/>
              <w:rPr>
                <w:rFonts w:ascii="Arial" w:hAnsi="Arial" w:cs="Arial"/>
                <w:color w:val="000000" w:themeColor="text1"/>
                <w:sz w:val="24"/>
                <w:szCs w:val="24"/>
                <w:lang w:val="ro-RO"/>
              </w:rPr>
            </w:pPr>
            <w:r w:rsidRPr="00080B9C">
              <w:rPr>
                <w:rFonts w:ascii="Arial" w:hAnsi="Arial" w:cs="Arial"/>
                <w:color w:val="000000" w:themeColor="text1"/>
                <w:sz w:val="24"/>
                <w:szCs w:val="24"/>
                <w:lang w:val="ro-RO"/>
              </w:rPr>
              <w:t>100</w:t>
            </w:r>
          </w:p>
        </w:tc>
      </w:tr>
      <w:tr w:rsidR="00080B9C" w:rsidRPr="00080B9C" w:rsidTr="00080B9C">
        <w:trPr>
          <w:trHeight w:val="275"/>
        </w:trPr>
        <w:tc>
          <w:tcPr>
            <w:tcW w:w="7010" w:type="dxa"/>
          </w:tcPr>
          <w:p w:rsidR="00080B9C" w:rsidRPr="00080B9C" w:rsidRDefault="00080B9C" w:rsidP="00080B9C">
            <w:pPr>
              <w:tabs>
                <w:tab w:val="left" w:pos="1276"/>
              </w:tabs>
              <w:spacing w:after="0" w:line="240" w:lineRule="auto"/>
              <w:rPr>
                <w:rFonts w:ascii="Arial" w:hAnsi="Arial" w:cs="Arial"/>
                <w:color w:val="000000" w:themeColor="text1"/>
                <w:sz w:val="24"/>
                <w:szCs w:val="24"/>
                <w:lang w:val="ro-RO"/>
              </w:rPr>
            </w:pPr>
            <w:r w:rsidRPr="00080B9C">
              <w:rPr>
                <w:rFonts w:ascii="Arial" w:hAnsi="Arial" w:cs="Arial"/>
                <w:color w:val="000000" w:themeColor="text1"/>
                <w:sz w:val="24"/>
                <w:szCs w:val="24"/>
                <w:lang w:val="ro-RO"/>
              </w:rPr>
              <w:t>Teren arabil</w:t>
            </w:r>
          </w:p>
        </w:tc>
        <w:tc>
          <w:tcPr>
            <w:tcW w:w="1511" w:type="dxa"/>
          </w:tcPr>
          <w:p w:rsidR="00080B9C" w:rsidRPr="00080B9C" w:rsidRDefault="00080B9C" w:rsidP="00080B9C">
            <w:pPr>
              <w:tabs>
                <w:tab w:val="left" w:pos="1276"/>
              </w:tabs>
              <w:spacing w:after="0" w:line="240" w:lineRule="auto"/>
              <w:jc w:val="center"/>
              <w:rPr>
                <w:rFonts w:ascii="Arial" w:hAnsi="Arial" w:cs="Arial"/>
                <w:color w:val="000000" w:themeColor="text1"/>
                <w:sz w:val="24"/>
                <w:szCs w:val="24"/>
                <w:lang w:val="ro-RO"/>
              </w:rPr>
            </w:pPr>
            <w:r w:rsidRPr="00080B9C">
              <w:rPr>
                <w:rFonts w:ascii="Arial" w:hAnsi="Arial" w:cs="Arial"/>
                <w:color w:val="000000" w:themeColor="text1"/>
                <w:sz w:val="24"/>
                <w:szCs w:val="24"/>
                <w:lang w:val="ro-RO"/>
              </w:rPr>
              <w:t>292458</w:t>
            </w:r>
          </w:p>
        </w:tc>
        <w:tc>
          <w:tcPr>
            <w:tcW w:w="1343" w:type="dxa"/>
          </w:tcPr>
          <w:p w:rsidR="00080B9C" w:rsidRPr="00080B9C" w:rsidRDefault="00080B9C" w:rsidP="00080B9C">
            <w:pPr>
              <w:tabs>
                <w:tab w:val="left" w:pos="1276"/>
              </w:tabs>
              <w:spacing w:after="0" w:line="240" w:lineRule="auto"/>
              <w:jc w:val="center"/>
              <w:rPr>
                <w:rFonts w:ascii="Arial" w:hAnsi="Arial" w:cs="Arial"/>
                <w:color w:val="000000" w:themeColor="text1"/>
                <w:sz w:val="24"/>
                <w:szCs w:val="24"/>
                <w:lang w:val="ro-RO"/>
              </w:rPr>
            </w:pPr>
            <w:r w:rsidRPr="00080B9C">
              <w:rPr>
                <w:rFonts w:ascii="Arial" w:hAnsi="Arial" w:cs="Arial"/>
                <w:color w:val="000000" w:themeColor="text1"/>
                <w:sz w:val="24"/>
                <w:szCs w:val="24"/>
                <w:lang w:val="ro-RO"/>
              </w:rPr>
              <w:t>72,89</w:t>
            </w:r>
          </w:p>
        </w:tc>
      </w:tr>
      <w:tr w:rsidR="00080B9C" w:rsidRPr="00080B9C" w:rsidTr="00080B9C">
        <w:trPr>
          <w:trHeight w:val="261"/>
        </w:trPr>
        <w:tc>
          <w:tcPr>
            <w:tcW w:w="7010" w:type="dxa"/>
          </w:tcPr>
          <w:p w:rsidR="00080B9C" w:rsidRPr="00080B9C" w:rsidRDefault="00080B9C" w:rsidP="00080B9C">
            <w:pPr>
              <w:tabs>
                <w:tab w:val="left" w:pos="1276"/>
              </w:tabs>
              <w:spacing w:after="0" w:line="240" w:lineRule="auto"/>
              <w:rPr>
                <w:rFonts w:ascii="Arial" w:hAnsi="Arial" w:cs="Arial"/>
                <w:color w:val="000000" w:themeColor="text1"/>
                <w:sz w:val="24"/>
                <w:szCs w:val="24"/>
                <w:lang w:val="ro-RO"/>
              </w:rPr>
            </w:pPr>
            <w:r w:rsidRPr="00080B9C">
              <w:rPr>
                <w:rFonts w:ascii="Arial" w:hAnsi="Arial" w:cs="Arial"/>
                <w:color w:val="000000" w:themeColor="text1"/>
                <w:sz w:val="24"/>
                <w:szCs w:val="24"/>
                <w:lang w:val="ro-RO"/>
              </w:rPr>
              <w:t>Păşuni</w:t>
            </w:r>
          </w:p>
        </w:tc>
        <w:tc>
          <w:tcPr>
            <w:tcW w:w="1511" w:type="dxa"/>
          </w:tcPr>
          <w:p w:rsidR="00080B9C" w:rsidRPr="00080B9C" w:rsidRDefault="00080B9C" w:rsidP="00080B9C">
            <w:pPr>
              <w:tabs>
                <w:tab w:val="left" w:pos="1276"/>
              </w:tabs>
              <w:spacing w:after="0" w:line="240" w:lineRule="auto"/>
              <w:jc w:val="center"/>
              <w:rPr>
                <w:rFonts w:ascii="Arial" w:hAnsi="Arial" w:cs="Arial"/>
                <w:color w:val="000000" w:themeColor="text1"/>
                <w:sz w:val="24"/>
                <w:szCs w:val="24"/>
                <w:lang w:val="ro-RO"/>
              </w:rPr>
            </w:pPr>
            <w:r w:rsidRPr="00080B9C">
              <w:rPr>
                <w:rFonts w:ascii="Arial" w:hAnsi="Arial" w:cs="Arial"/>
                <w:color w:val="000000" w:themeColor="text1"/>
                <w:sz w:val="24"/>
                <w:szCs w:val="24"/>
                <w:lang w:val="ro-RO"/>
              </w:rPr>
              <w:t>86287</w:t>
            </w:r>
          </w:p>
        </w:tc>
        <w:tc>
          <w:tcPr>
            <w:tcW w:w="1343" w:type="dxa"/>
          </w:tcPr>
          <w:p w:rsidR="00080B9C" w:rsidRPr="00080B9C" w:rsidRDefault="00080B9C" w:rsidP="00080B9C">
            <w:pPr>
              <w:tabs>
                <w:tab w:val="left" w:pos="1276"/>
              </w:tabs>
              <w:spacing w:after="0" w:line="240" w:lineRule="auto"/>
              <w:jc w:val="center"/>
              <w:rPr>
                <w:rFonts w:ascii="Arial" w:hAnsi="Arial" w:cs="Arial"/>
                <w:color w:val="000000" w:themeColor="text1"/>
                <w:sz w:val="24"/>
                <w:szCs w:val="24"/>
                <w:lang w:val="ro-RO"/>
              </w:rPr>
            </w:pPr>
            <w:r w:rsidRPr="00080B9C">
              <w:rPr>
                <w:rFonts w:ascii="Arial" w:hAnsi="Arial" w:cs="Arial"/>
                <w:color w:val="000000" w:themeColor="text1"/>
                <w:sz w:val="24"/>
                <w:szCs w:val="24"/>
                <w:lang w:val="ro-RO"/>
              </w:rPr>
              <w:t>21,5</w:t>
            </w:r>
          </w:p>
        </w:tc>
      </w:tr>
      <w:tr w:rsidR="00080B9C" w:rsidRPr="00080B9C" w:rsidTr="00080B9C">
        <w:trPr>
          <w:trHeight w:val="261"/>
        </w:trPr>
        <w:tc>
          <w:tcPr>
            <w:tcW w:w="7010" w:type="dxa"/>
          </w:tcPr>
          <w:p w:rsidR="00080B9C" w:rsidRPr="00080B9C" w:rsidRDefault="00080B9C" w:rsidP="00080B9C">
            <w:pPr>
              <w:tabs>
                <w:tab w:val="left" w:pos="1276"/>
              </w:tabs>
              <w:spacing w:after="0" w:line="240" w:lineRule="auto"/>
              <w:rPr>
                <w:rFonts w:ascii="Arial" w:hAnsi="Arial" w:cs="Arial"/>
                <w:color w:val="000000" w:themeColor="text1"/>
                <w:sz w:val="24"/>
                <w:szCs w:val="24"/>
                <w:lang w:val="ro-RO"/>
              </w:rPr>
            </w:pPr>
            <w:r w:rsidRPr="00080B9C">
              <w:rPr>
                <w:rFonts w:ascii="Arial" w:hAnsi="Arial" w:cs="Arial"/>
                <w:color w:val="000000" w:themeColor="text1"/>
                <w:sz w:val="24"/>
                <w:szCs w:val="24"/>
                <w:lang w:val="ro-RO"/>
              </w:rPr>
              <w:t>Fâneţe</w:t>
            </w:r>
          </w:p>
        </w:tc>
        <w:tc>
          <w:tcPr>
            <w:tcW w:w="1511" w:type="dxa"/>
          </w:tcPr>
          <w:p w:rsidR="00080B9C" w:rsidRPr="00080B9C" w:rsidRDefault="00080B9C" w:rsidP="00080B9C">
            <w:pPr>
              <w:tabs>
                <w:tab w:val="left" w:pos="1276"/>
              </w:tabs>
              <w:spacing w:after="0" w:line="240" w:lineRule="auto"/>
              <w:jc w:val="center"/>
              <w:rPr>
                <w:rFonts w:ascii="Arial" w:hAnsi="Arial" w:cs="Arial"/>
                <w:color w:val="000000" w:themeColor="text1"/>
                <w:sz w:val="24"/>
                <w:szCs w:val="24"/>
                <w:lang w:val="ro-RO"/>
              </w:rPr>
            </w:pPr>
            <w:r w:rsidRPr="00080B9C">
              <w:rPr>
                <w:rFonts w:ascii="Arial" w:hAnsi="Arial" w:cs="Arial"/>
                <w:color w:val="000000" w:themeColor="text1"/>
                <w:sz w:val="24"/>
                <w:szCs w:val="24"/>
                <w:lang w:val="ro-RO"/>
              </w:rPr>
              <w:t>7898</w:t>
            </w:r>
          </w:p>
        </w:tc>
        <w:tc>
          <w:tcPr>
            <w:tcW w:w="1343" w:type="dxa"/>
          </w:tcPr>
          <w:p w:rsidR="00080B9C" w:rsidRPr="00080B9C" w:rsidRDefault="00080B9C" w:rsidP="00080B9C">
            <w:pPr>
              <w:tabs>
                <w:tab w:val="left" w:pos="1276"/>
              </w:tabs>
              <w:spacing w:after="0" w:line="240" w:lineRule="auto"/>
              <w:jc w:val="center"/>
              <w:rPr>
                <w:rFonts w:ascii="Arial" w:hAnsi="Arial" w:cs="Arial"/>
                <w:color w:val="000000" w:themeColor="text1"/>
                <w:sz w:val="24"/>
                <w:szCs w:val="24"/>
                <w:lang w:val="ro-RO"/>
              </w:rPr>
            </w:pPr>
            <w:r w:rsidRPr="00080B9C">
              <w:rPr>
                <w:rFonts w:ascii="Arial" w:hAnsi="Arial" w:cs="Arial"/>
                <w:color w:val="000000" w:themeColor="text1"/>
                <w:sz w:val="24"/>
                <w:szCs w:val="24"/>
                <w:lang w:val="ro-RO"/>
              </w:rPr>
              <w:t>1,97</w:t>
            </w:r>
          </w:p>
        </w:tc>
      </w:tr>
      <w:tr w:rsidR="00080B9C" w:rsidRPr="00080B9C" w:rsidTr="00080B9C">
        <w:trPr>
          <w:trHeight w:val="261"/>
        </w:trPr>
        <w:tc>
          <w:tcPr>
            <w:tcW w:w="7010" w:type="dxa"/>
          </w:tcPr>
          <w:p w:rsidR="00080B9C" w:rsidRPr="00080B9C" w:rsidRDefault="00080B9C" w:rsidP="00080B9C">
            <w:pPr>
              <w:tabs>
                <w:tab w:val="left" w:pos="1276"/>
              </w:tabs>
              <w:spacing w:after="0" w:line="240" w:lineRule="auto"/>
              <w:rPr>
                <w:rFonts w:ascii="Arial" w:hAnsi="Arial" w:cs="Arial"/>
                <w:color w:val="000000" w:themeColor="text1"/>
                <w:sz w:val="24"/>
                <w:szCs w:val="24"/>
                <w:lang w:val="ro-RO"/>
              </w:rPr>
            </w:pPr>
            <w:r w:rsidRPr="00080B9C">
              <w:rPr>
                <w:rFonts w:ascii="Arial" w:hAnsi="Arial" w:cs="Arial"/>
                <w:color w:val="000000" w:themeColor="text1"/>
                <w:sz w:val="24"/>
                <w:szCs w:val="24"/>
                <w:lang w:val="ro-RO"/>
              </w:rPr>
              <w:t>Vii şi pepiniere viticole</w:t>
            </w:r>
          </w:p>
        </w:tc>
        <w:tc>
          <w:tcPr>
            <w:tcW w:w="1511" w:type="dxa"/>
          </w:tcPr>
          <w:p w:rsidR="00080B9C" w:rsidRPr="00080B9C" w:rsidRDefault="00080B9C" w:rsidP="00080B9C">
            <w:pPr>
              <w:tabs>
                <w:tab w:val="left" w:pos="1276"/>
              </w:tabs>
              <w:spacing w:after="0" w:line="240" w:lineRule="auto"/>
              <w:jc w:val="center"/>
              <w:rPr>
                <w:rFonts w:ascii="Arial" w:hAnsi="Arial" w:cs="Arial"/>
                <w:color w:val="000000" w:themeColor="text1"/>
                <w:sz w:val="24"/>
                <w:szCs w:val="24"/>
                <w:lang w:val="ro-RO"/>
              </w:rPr>
            </w:pPr>
            <w:r w:rsidRPr="00080B9C">
              <w:rPr>
                <w:rFonts w:ascii="Arial" w:hAnsi="Arial" w:cs="Arial"/>
                <w:color w:val="000000" w:themeColor="text1"/>
                <w:sz w:val="24"/>
                <w:szCs w:val="24"/>
                <w:lang w:val="ro-RO"/>
              </w:rPr>
              <w:t>11846</w:t>
            </w:r>
          </w:p>
        </w:tc>
        <w:tc>
          <w:tcPr>
            <w:tcW w:w="1343" w:type="dxa"/>
          </w:tcPr>
          <w:p w:rsidR="00080B9C" w:rsidRPr="00080B9C" w:rsidRDefault="00080B9C" w:rsidP="00080B9C">
            <w:pPr>
              <w:tabs>
                <w:tab w:val="left" w:pos="1276"/>
              </w:tabs>
              <w:spacing w:after="0" w:line="240" w:lineRule="auto"/>
              <w:jc w:val="center"/>
              <w:rPr>
                <w:rFonts w:ascii="Arial" w:hAnsi="Arial" w:cs="Arial"/>
                <w:color w:val="000000" w:themeColor="text1"/>
                <w:sz w:val="24"/>
                <w:szCs w:val="24"/>
                <w:lang w:val="ro-RO"/>
              </w:rPr>
            </w:pPr>
            <w:r w:rsidRPr="00080B9C">
              <w:rPr>
                <w:rFonts w:ascii="Arial" w:hAnsi="Arial" w:cs="Arial"/>
                <w:color w:val="000000" w:themeColor="text1"/>
                <w:sz w:val="24"/>
                <w:szCs w:val="24"/>
                <w:lang w:val="ro-RO"/>
              </w:rPr>
              <w:t>2,96</w:t>
            </w:r>
          </w:p>
        </w:tc>
      </w:tr>
      <w:tr w:rsidR="00080B9C" w:rsidRPr="00080B9C" w:rsidTr="00080B9C">
        <w:trPr>
          <w:trHeight w:val="261"/>
        </w:trPr>
        <w:tc>
          <w:tcPr>
            <w:tcW w:w="7010" w:type="dxa"/>
          </w:tcPr>
          <w:p w:rsidR="00080B9C" w:rsidRPr="00080B9C" w:rsidRDefault="00080B9C" w:rsidP="00080B9C">
            <w:pPr>
              <w:tabs>
                <w:tab w:val="left" w:pos="1276"/>
              </w:tabs>
              <w:spacing w:after="0" w:line="240" w:lineRule="auto"/>
              <w:rPr>
                <w:rFonts w:ascii="Arial" w:hAnsi="Arial" w:cs="Arial"/>
                <w:color w:val="000000" w:themeColor="text1"/>
                <w:sz w:val="24"/>
                <w:szCs w:val="24"/>
                <w:lang w:val="ro-RO"/>
              </w:rPr>
            </w:pPr>
            <w:r w:rsidRPr="00080B9C">
              <w:rPr>
                <w:rFonts w:ascii="Arial" w:hAnsi="Arial" w:cs="Arial"/>
                <w:color w:val="000000" w:themeColor="text1"/>
                <w:sz w:val="24"/>
                <w:szCs w:val="24"/>
                <w:lang w:val="ro-RO"/>
              </w:rPr>
              <w:t>Livezi şi pepiniere pomicole</w:t>
            </w:r>
          </w:p>
        </w:tc>
        <w:tc>
          <w:tcPr>
            <w:tcW w:w="1511" w:type="dxa"/>
          </w:tcPr>
          <w:p w:rsidR="00080B9C" w:rsidRPr="00080B9C" w:rsidRDefault="00080B9C" w:rsidP="00080B9C">
            <w:pPr>
              <w:tabs>
                <w:tab w:val="left" w:pos="1276"/>
              </w:tabs>
              <w:spacing w:after="0" w:line="240" w:lineRule="auto"/>
              <w:jc w:val="center"/>
              <w:rPr>
                <w:rFonts w:ascii="Arial" w:hAnsi="Arial" w:cs="Arial"/>
                <w:color w:val="000000" w:themeColor="text1"/>
                <w:sz w:val="24"/>
                <w:szCs w:val="24"/>
                <w:lang w:val="ro-RO"/>
              </w:rPr>
            </w:pPr>
            <w:r w:rsidRPr="00080B9C">
              <w:rPr>
                <w:rFonts w:ascii="Arial" w:hAnsi="Arial" w:cs="Arial"/>
                <w:color w:val="000000" w:themeColor="text1"/>
                <w:sz w:val="24"/>
                <w:szCs w:val="24"/>
                <w:lang w:val="ro-RO"/>
              </w:rPr>
              <w:t>2761</w:t>
            </w:r>
          </w:p>
        </w:tc>
        <w:tc>
          <w:tcPr>
            <w:tcW w:w="1343" w:type="dxa"/>
          </w:tcPr>
          <w:p w:rsidR="00080B9C" w:rsidRPr="00080B9C" w:rsidRDefault="00080B9C" w:rsidP="00080B9C">
            <w:pPr>
              <w:tabs>
                <w:tab w:val="left" w:pos="1276"/>
              </w:tabs>
              <w:spacing w:after="0" w:line="240" w:lineRule="auto"/>
              <w:jc w:val="center"/>
              <w:rPr>
                <w:rFonts w:ascii="Arial" w:hAnsi="Arial" w:cs="Arial"/>
                <w:color w:val="000000" w:themeColor="text1"/>
                <w:sz w:val="24"/>
                <w:szCs w:val="24"/>
                <w:lang w:val="ro-RO"/>
              </w:rPr>
            </w:pPr>
            <w:r w:rsidRPr="00080B9C">
              <w:rPr>
                <w:rFonts w:ascii="Arial" w:hAnsi="Arial" w:cs="Arial"/>
                <w:color w:val="000000" w:themeColor="text1"/>
                <w:sz w:val="24"/>
                <w:szCs w:val="24"/>
                <w:lang w:val="ro-RO"/>
              </w:rPr>
              <w:t>0,68</w:t>
            </w:r>
          </w:p>
        </w:tc>
      </w:tr>
      <w:tr w:rsidR="00080B9C" w:rsidRPr="00080B9C" w:rsidTr="00080B9C">
        <w:trPr>
          <w:trHeight w:val="261"/>
        </w:trPr>
        <w:tc>
          <w:tcPr>
            <w:tcW w:w="7010" w:type="dxa"/>
          </w:tcPr>
          <w:p w:rsidR="00080B9C" w:rsidRPr="00080B9C" w:rsidRDefault="00080B9C" w:rsidP="00080B9C">
            <w:pPr>
              <w:tabs>
                <w:tab w:val="left" w:pos="1276"/>
              </w:tabs>
              <w:spacing w:after="0" w:line="240" w:lineRule="auto"/>
              <w:rPr>
                <w:rFonts w:ascii="Arial" w:hAnsi="Arial" w:cs="Arial"/>
                <w:b/>
                <w:i/>
                <w:color w:val="000000" w:themeColor="text1"/>
                <w:sz w:val="24"/>
                <w:szCs w:val="24"/>
                <w:lang w:val="ro-RO"/>
              </w:rPr>
            </w:pPr>
            <w:r w:rsidRPr="00080B9C">
              <w:rPr>
                <w:rFonts w:ascii="Arial" w:hAnsi="Arial" w:cs="Arial"/>
                <w:b/>
                <w:i/>
                <w:color w:val="000000" w:themeColor="text1"/>
                <w:sz w:val="24"/>
                <w:szCs w:val="24"/>
                <w:lang w:val="ro-RO"/>
              </w:rPr>
              <w:t>Terenuri neagricole</w:t>
            </w:r>
          </w:p>
        </w:tc>
        <w:tc>
          <w:tcPr>
            <w:tcW w:w="1511" w:type="dxa"/>
          </w:tcPr>
          <w:p w:rsidR="00080B9C" w:rsidRPr="00080B9C" w:rsidRDefault="00080B9C" w:rsidP="00080B9C">
            <w:pPr>
              <w:tabs>
                <w:tab w:val="left" w:pos="1276"/>
              </w:tabs>
              <w:spacing w:after="0" w:line="240" w:lineRule="auto"/>
              <w:jc w:val="center"/>
              <w:rPr>
                <w:rFonts w:ascii="Arial" w:hAnsi="Arial" w:cs="Arial"/>
                <w:color w:val="000000" w:themeColor="text1"/>
                <w:sz w:val="24"/>
                <w:szCs w:val="24"/>
                <w:lang w:val="ro-RO"/>
              </w:rPr>
            </w:pPr>
            <w:r w:rsidRPr="00080B9C">
              <w:rPr>
                <w:rFonts w:ascii="Arial" w:hAnsi="Arial" w:cs="Arial"/>
                <w:color w:val="000000" w:themeColor="text1"/>
                <w:sz w:val="24"/>
                <w:szCs w:val="24"/>
                <w:lang w:val="ro-RO"/>
              </w:rPr>
              <w:t>130119*</w:t>
            </w:r>
          </w:p>
        </w:tc>
        <w:tc>
          <w:tcPr>
            <w:tcW w:w="1343" w:type="dxa"/>
          </w:tcPr>
          <w:p w:rsidR="00080B9C" w:rsidRPr="00080B9C" w:rsidRDefault="00080B9C" w:rsidP="00080B9C">
            <w:pPr>
              <w:tabs>
                <w:tab w:val="left" w:pos="1276"/>
              </w:tabs>
              <w:spacing w:after="0" w:line="240" w:lineRule="auto"/>
              <w:jc w:val="center"/>
              <w:rPr>
                <w:rFonts w:ascii="Arial" w:hAnsi="Arial" w:cs="Arial"/>
                <w:color w:val="000000" w:themeColor="text1"/>
                <w:sz w:val="24"/>
                <w:szCs w:val="24"/>
                <w:lang w:val="ro-RO"/>
              </w:rPr>
            </w:pPr>
          </w:p>
        </w:tc>
      </w:tr>
      <w:tr w:rsidR="00080B9C" w:rsidRPr="00080B9C" w:rsidTr="00080B9C">
        <w:trPr>
          <w:trHeight w:val="261"/>
        </w:trPr>
        <w:tc>
          <w:tcPr>
            <w:tcW w:w="7010" w:type="dxa"/>
          </w:tcPr>
          <w:p w:rsidR="00080B9C" w:rsidRPr="00080B9C" w:rsidRDefault="00080B9C" w:rsidP="00080B9C">
            <w:pPr>
              <w:tabs>
                <w:tab w:val="left" w:pos="1276"/>
              </w:tabs>
              <w:spacing w:after="0" w:line="240" w:lineRule="auto"/>
              <w:rPr>
                <w:rFonts w:ascii="Arial" w:hAnsi="Arial" w:cs="Arial"/>
                <w:color w:val="000000" w:themeColor="text1"/>
                <w:sz w:val="24"/>
                <w:szCs w:val="24"/>
                <w:lang w:val="ro-RO"/>
              </w:rPr>
            </w:pPr>
            <w:r w:rsidRPr="00080B9C">
              <w:rPr>
                <w:rFonts w:ascii="Arial" w:hAnsi="Arial" w:cs="Arial"/>
                <w:color w:val="000000" w:themeColor="text1"/>
                <w:sz w:val="24"/>
                <w:szCs w:val="24"/>
                <w:lang w:val="ro-RO"/>
              </w:rPr>
              <w:lastRenderedPageBreak/>
              <w:t>Păduri şi altă vegetaţie forestieră, din care:</w:t>
            </w:r>
          </w:p>
        </w:tc>
        <w:tc>
          <w:tcPr>
            <w:tcW w:w="1511" w:type="dxa"/>
          </w:tcPr>
          <w:p w:rsidR="00080B9C" w:rsidRPr="00080B9C" w:rsidRDefault="00080B9C" w:rsidP="00080B9C">
            <w:pPr>
              <w:tabs>
                <w:tab w:val="left" w:pos="1276"/>
              </w:tabs>
              <w:spacing w:after="0" w:line="240" w:lineRule="auto"/>
              <w:jc w:val="center"/>
              <w:rPr>
                <w:rFonts w:ascii="Arial" w:hAnsi="Arial" w:cs="Arial"/>
                <w:color w:val="000000" w:themeColor="text1"/>
                <w:sz w:val="24"/>
                <w:szCs w:val="24"/>
                <w:lang w:val="ro-RO"/>
              </w:rPr>
            </w:pPr>
            <w:r w:rsidRPr="00080B9C">
              <w:rPr>
                <w:rFonts w:ascii="Arial" w:hAnsi="Arial" w:cs="Arial"/>
                <w:color w:val="000000" w:themeColor="text1"/>
                <w:sz w:val="24"/>
                <w:szCs w:val="24"/>
                <w:lang w:val="ro-RO"/>
              </w:rPr>
              <w:t>104981*</w:t>
            </w:r>
          </w:p>
        </w:tc>
        <w:tc>
          <w:tcPr>
            <w:tcW w:w="1343" w:type="dxa"/>
          </w:tcPr>
          <w:p w:rsidR="00080B9C" w:rsidRPr="00080B9C" w:rsidRDefault="00080B9C" w:rsidP="00080B9C">
            <w:pPr>
              <w:tabs>
                <w:tab w:val="left" w:pos="1276"/>
              </w:tabs>
              <w:spacing w:after="0" w:line="240" w:lineRule="auto"/>
              <w:jc w:val="center"/>
              <w:rPr>
                <w:rFonts w:ascii="Arial" w:hAnsi="Arial" w:cs="Arial"/>
                <w:color w:val="000000" w:themeColor="text1"/>
                <w:sz w:val="24"/>
                <w:szCs w:val="24"/>
                <w:lang w:val="ro-RO"/>
              </w:rPr>
            </w:pPr>
          </w:p>
        </w:tc>
      </w:tr>
      <w:tr w:rsidR="00080B9C" w:rsidRPr="00080B9C" w:rsidTr="00080B9C">
        <w:trPr>
          <w:trHeight w:val="261"/>
        </w:trPr>
        <w:tc>
          <w:tcPr>
            <w:tcW w:w="7010" w:type="dxa"/>
          </w:tcPr>
          <w:p w:rsidR="00080B9C" w:rsidRPr="00080B9C" w:rsidRDefault="00080B9C" w:rsidP="00080B9C">
            <w:pPr>
              <w:tabs>
                <w:tab w:val="left" w:pos="1276"/>
              </w:tabs>
              <w:spacing w:after="0" w:line="240" w:lineRule="auto"/>
              <w:rPr>
                <w:rFonts w:ascii="Arial" w:hAnsi="Arial" w:cs="Arial"/>
                <w:color w:val="000000" w:themeColor="text1"/>
                <w:sz w:val="24"/>
                <w:szCs w:val="24"/>
                <w:lang w:val="ro-RO"/>
              </w:rPr>
            </w:pPr>
            <w:r w:rsidRPr="00080B9C">
              <w:rPr>
                <w:rFonts w:ascii="Arial" w:hAnsi="Arial" w:cs="Arial"/>
                <w:color w:val="000000" w:themeColor="text1"/>
                <w:sz w:val="24"/>
                <w:szCs w:val="24"/>
                <w:lang w:val="ro-RO"/>
              </w:rPr>
              <w:t>Păduri</w:t>
            </w:r>
          </w:p>
        </w:tc>
        <w:tc>
          <w:tcPr>
            <w:tcW w:w="1511" w:type="dxa"/>
          </w:tcPr>
          <w:p w:rsidR="00080B9C" w:rsidRPr="00080B9C" w:rsidRDefault="00080B9C" w:rsidP="00080B9C">
            <w:pPr>
              <w:tabs>
                <w:tab w:val="left" w:pos="1276"/>
              </w:tabs>
              <w:spacing w:after="0" w:line="240" w:lineRule="auto"/>
              <w:jc w:val="center"/>
              <w:rPr>
                <w:rFonts w:ascii="Arial" w:hAnsi="Arial" w:cs="Arial"/>
                <w:color w:val="000000" w:themeColor="text1"/>
                <w:sz w:val="24"/>
                <w:szCs w:val="24"/>
                <w:lang w:val="ro-RO"/>
              </w:rPr>
            </w:pPr>
            <w:r w:rsidRPr="00080B9C">
              <w:rPr>
                <w:rFonts w:ascii="Arial" w:hAnsi="Arial" w:cs="Arial"/>
                <w:color w:val="000000" w:themeColor="text1"/>
                <w:sz w:val="24"/>
                <w:szCs w:val="24"/>
                <w:lang w:val="ro-RO"/>
              </w:rPr>
              <w:t>80154*</w:t>
            </w:r>
          </w:p>
        </w:tc>
        <w:tc>
          <w:tcPr>
            <w:tcW w:w="1343" w:type="dxa"/>
          </w:tcPr>
          <w:p w:rsidR="00080B9C" w:rsidRPr="00080B9C" w:rsidRDefault="00080B9C" w:rsidP="00080B9C">
            <w:pPr>
              <w:tabs>
                <w:tab w:val="left" w:pos="1276"/>
              </w:tabs>
              <w:spacing w:after="0" w:line="240" w:lineRule="auto"/>
              <w:jc w:val="center"/>
              <w:rPr>
                <w:rFonts w:ascii="Arial" w:hAnsi="Arial" w:cs="Arial"/>
                <w:color w:val="000000" w:themeColor="text1"/>
                <w:sz w:val="24"/>
                <w:szCs w:val="24"/>
                <w:lang w:val="ro-RO"/>
              </w:rPr>
            </w:pPr>
          </w:p>
        </w:tc>
      </w:tr>
      <w:tr w:rsidR="00080B9C" w:rsidRPr="00080B9C" w:rsidTr="00080B9C">
        <w:trPr>
          <w:trHeight w:val="261"/>
        </w:trPr>
        <w:tc>
          <w:tcPr>
            <w:tcW w:w="7010" w:type="dxa"/>
          </w:tcPr>
          <w:p w:rsidR="00080B9C" w:rsidRPr="00080B9C" w:rsidRDefault="00080B9C" w:rsidP="00080B9C">
            <w:pPr>
              <w:tabs>
                <w:tab w:val="left" w:pos="1276"/>
              </w:tabs>
              <w:spacing w:after="0" w:line="240" w:lineRule="auto"/>
              <w:rPr>
                <w:rFonts w:ascii="Arial" w:hAnsi="Arial" w:cs="Arial"/>
                <w:color w:val="000000" w:themeColor="text1"/>
                <w:sz w:val="24"/>
                <w:szCs w:val="24"/>
                <w:lang w:val="ro-RO"/>
              </w:rPr>
            </w:pPr>
            <w:r w:rsidRPr="00080B9C">
              <w:rPr>
                <w:rFonts w:ascii="Arial" w:hAnsi="Arial" w:cs="Arial"/>
                <w:color w:val="000000" w:themeColor="text1"/>
                <w:sz w:val="24"/>
                <w:szCs w:val="24"/>
                <w:lang w:val="ro-RO"/>
              </w:rPr>
              <w:t>Ocupată cu ape şi bălţi</w:t>
            </w:r>
          </w:p>
        </w:tc>
        <w:tc>
          <w:tcPr>
            <w:tcW w:w="1511" w:type="dxa"/>
          </w:tcPr>
          <w:p w:rsidR="00080B9C" w:rsidRPr="00080B9C" w:rsidRDefault="00080B9C" w:rsidP="00080B9C">
            <w:pPr>
              <w:tabs>
                <w:tab w:val="left" w:pos="1276"/>
              </w:tabs>
              <w:spacing w:after="0" w:line="240" w:lineRule="auto"/>
              <w:jc w:val="center"/>
              <w:rPr>
                <w:rFonts w:ascii="Arial" w:hAnsi="Arial" w:cs="Arial"/>
                <w:color w:val="000000" w:themeColor="text1"/>
                <w:sz w:val="24"/>
                <w:szCs w:val="24"/>
                <w:lang w:val="ro-RO"/>
              </w:rPr>
            </w:pPr>
            <w:r w:rsidRPr="00080B9C">
              <w:rPr>
                <w:rFonts w:ascii="Arial" w:hAnsi="Arial" w:cs="Arial"/>
                <w:color w:val="000000" w:themeColor="text1"/>
                <w:sz w:val="24"/>
                <w:szCs w:val="24"/>
                <w:lang w:val="ro-RO"/>
              </w:rPr>
              <w:t>8251*</w:t>
            </w:r>
          </w:p>
        </w:tc>
        <w:tc>
          <w:tcPr>
            <w:tcW w:w="1343" w:type="dxa"/>
          </w:tcPr>
          <w:p w:rsidR="00080B9C" w:rsidRPr="00080B9C" w:rsidRDefault="00080B9C" w:rsidP="00080B9C">
            <w:pPr>
              <w:tabs>
                <w:tab w:val="left" w:pos="1276"/>
              </w:tabs>
              <w:spacing w:after="0" w:line="240" w:lineRule="auto"/>
              <w:jc w:val="center"/>
              <w:rPr>
                <w:rFonts w:ascii="Arial" w:hAnsi="Arial" w:cs="Arial"/>
                <w:color w:val="000000" w:themeColor="text1"/>
                <w:sz w:val="24"/>
                <w:szCs w:val="24"/>
                <w:lang w:val="ro-RO"/>
              </w:rPr>
            </w:pPr>
          </w:p>
        </w:tc>
      </w:tr>
      <w:tr w:rsidR="00080B9C" w:rsidRPr="00080B9C" w:rsidTr="00080B9C">
        <w:trPr>
          <w:trHeight w:val="261"/>
        </w:trPr>
        <w:tc>
          <w:tcPr>
            <w:tcW w:w="7010" w:type="dxa"/>
          </w:tcPr>
          <w:p w:rsidR="00080B9C" w:rsidRPr="00080B9C" w:rsidRDefault="00080B9C" w:rsidP="00080B9C">
            <w:pPr>
              <w:tabs>
                <w:tab w:val="left" w:pos="1276"/>
              </w:tabs>
              <w:spacing w:after="0" w:line="240" w:lineRule="auto"/>
              <w:rPr>
                <w:rFonts w:ascii="Arial" w:hAnsi="Arial" w:cs="Arial"/>
                <w:color w:val="000000" w:themeColor="text1"/>
                <w:sz w:val="24"/>
                <w:szCs w:val="24"/>
                <w:lang w:val="ro-RO"/>
              </w:rPr>
            </w:pPr>
            <w:r w:rsidRPr="00080B9C">
              <w:rPr>
                <w:rFonts w:ascii="Arial" w:hAnsi="Arial" w:cs="Arial"/>
                <w:color w:val="000000" w:themeColor="text1"/>
                <w:sz w:val="24"/>
                <w:szCs w:val="24"/>
                <w:lang w:val="ro-RO"/>
              </w:rPr>
              <w:t>Terenuri degradate şi neproductive</w:t>
            </w:r>
          </w:p>
        </w:tc>
        <w:tc>
          <w:tcPr>
            <w:tcW w:w="1511" w:type="dxa"/>
          </w:tcPr>
          <w:p w:rsidR="00080B9C" w:rsidRPr="00080B9C" w:rsidRDefault="00080B9C" w:rsidP="00080B9C">
            <w:pPr>
              <w:tabs>
                <w:tab w:val="left" w:pos="1276"/>
              </w:tabs>
              <w:spacing w:after="0" w:line="240" w:lineRule="auto"/>
              <w:jc w:val="center"/>
              <w:rPr>
                <w:rFonts w:ascii="Arial" w:hAnsi="Arial" w:cs="Arial"/>
                <w:color w:val="000000" w:themeColor="text1"/>
                <w:sz w:val="24"/>
                <w:szCs w:val="24"/>
                <w:lang w:val="ro-RO"/>
              </w:rPr>
            </w:pPr>
            <w:r w:rsidRPr="00080B9C">
              <w:rPr>
                <w:rFonts w:ascii="Arial" w:hAnsi="Arial" w:cs="Arial"/>
                <w:color w:val="000000" w:themeColor="text1"/>
                <w:sz w:val="24"/>
                <w:szCs w:val="24"/>
                <w:lang w:val="ro-RO"/>
              </w:rPr>
              <w:t>16576*</w:t>
            </w:r>
          </w:p>
        </w:tc>
        <w:tc>
          <w:tcPr>
            <w:tcW w:w="1343" w:type="dxa"/>
          </w:tcPr>
          <w:p w:rsidR="00080B9C" w:rsidRPr="00080B9C" w:rsidRDefault="00080B9C" w:rsidP="00080B9C">
            <w:pPr>
              <w:tabs>
                <w:tab w:val="left" w:pos="1276"/>
              </w:tabs>
              <w:spacing w:after="0" w:line="240" w:lineRule="auto"/>
              <w:jc w:val="center"/>
              <w:rPr>
                <w:rFonts w:ascii="Arial" w:hAnsi="Arial" w:cs="Arial"/>
                <w:color w:val="000000" w:themeColor="text1"/>
                <w:sz w:val="24"/>
                <w:szCs w:val="24"/>
                <w:lang w:val="ro-RO"/>
              </w:rPr>
            </w:pPr>
          </w:p>
        </w:tc>
      </w:tr>
      <w:tr w:rsidR="00080B9C" w:rsidRPr="00080B9C" w:rsidTr="00080B9C">
        <w:trPr>
          <w:trHeight w:val="261"/>
        </w:trPr>
        <w:tc>
          <w:tcPr>
            <w:tcW w:w="7010" w:type="dxa"/>
          </w:tcPr>
          <w:p w:rsidR="00080B9C" w:rsidRPr="00080B9C" w:rsidRDefault="00080B9C" w:rsidP="00080B9C">
            <w:pPr>
              <w:tabs>
                <w:tab w:val="left" w:pos="1276"/>
              </w:tabs>
              <w:spacing w:after="0" w:line="240" w:lineRule="auto"/>
              <w:rPr>
                <w:rFonts w:ascii="Arial" w:hAnsi="Arial" w:cs="Arial"/>
                <w:color w:val="000000" w:themeColor="text1"/>
                <w:sz w:val="24"/>
                <w:szCs w:val="24"/>
                <w:lang w:val="ro-RO"/>
              </w:rPr>
            </w:pPr>
            <w:r w:rsidRPr="00080B9C">
              <w:rPr>
                <w:rFonts w:ascii="Arial" w:hAnsi="Arial" w:cs="Arial"/>
                <w:color w:val="000000" w:themeColor="text1"/>
                <w:sz w:val="24"/>
                <w:szCs w:val="24"/>
                <w:lang w:val="ro-RO"/>
              </w:rPr>
              <w:t>Ocupată cu construcţii</w:t>
            </w:r>
          </w:p>
        </w:tc>
        <w:tc>
          <w:tcPr>
            <w:tcW w:w="1511" w:type="dxa"/>
          </w:tcPr>
          <w:p w:rsidR="00080B9C" w:rsidRPr="00080B9C" w:rsidRDefault="00080B9C" w:rsidP="00080B9C">
            <w:pPr>
              <w:tabs>
                <w:tab w:val="left" w:pos="1276"/>
              </w:tabs>
              <w:spacing w:after="0" w:line="240" w:lineRule="auto"/>
              <w:jc w:val="center"/>
              <w:rPr>
                <w:rFonts w:ascii="Arial" w:hAnsi="Arial" w:cs="Arial"/>
                <w:color w:val="000000" w:themeColor="text1"/>
                <w:sz w:val="24"/>
                <w:szCs w:val="24"/>
                <w:lang w:val="ro-RO"/>
              </w:rPr>
            </w:pPr>
            <w:r w:rsidRPr="00080B9C">
              <w:rPr>
                <w:rFonts w:ascii="Arial" w:hAnsi="Arial" w:cs="Arial"/>
                <w:color w:val="000000" w:themeColor="text1"/>
                <w:sz w:val="24"/>
                <w:szCs w:val="24"/>
                <w:lang w:val="ro-RO"/>
              </w:rPr>
              <w:t>15255*</w:t>
            </w:r>
          </w:p>
        </w:tc>
        <w:tc>
          <w:tcPr>
            <w:tcW w:w="1343" w:type="dxa"/>
          </w:tcPr>
          <w:p w:rsidR="00080B9C" w:rsidRPr="00080B9C" w:rsidRDefault="00080B9C" w:rsidP="00080B9C">
            <w:pPr>
              <w:tabs>
                <w:tab w:val="left" w:pos="1276"/>
              </w:tabs>
              <w:spacing w:after="0" w:line="240" w:lineRule="auto"/>
              <w:jc w:val="center"/>
              <w:rPr>
                <w:rFonts w:ascii="Arial" w:hAnsi="Arial" w:cs="Arial"/>
                <w:color w:val="000000" w:themeColor="text1"/>
                <w:sz w:val="24"/>
                <w:szCs w:val="24"/>
                <w:lang w:val="ro-RO"/>
              </w:rPr>
            </w:pPr>
          </w:p>
        </w:tc>
      </w:tr>
      <w:tr w:rsidR="00080B9C" w:rsidRPr="00080B9C" w:rsidTr="00080B9C">
        <w:trPr>
          <w:trHeight w:val="261"/>
        </w:trPr>
        <w:tc>
          <w:tcPr>
            <w:tcW w:w="7010" w:type="dxa"/>
          </w:tcPr>
          <w:p w:rsidR="00080B9C" w:rsidRPr="00080B9C" w:rsidRDefault="00080B9C" w:rsidP="00080B9C">
            <w:pPr>
              <w:tabs>
                <w:tab w:val="left" w:pos="1276"/>
              </w:tabs>
              <w:spacing w:after="0" w:line="240" w:lineRule="auto"/>
              <w:rPr>
                <w:rFonts w:ascii="Arial" w:hAnsi="Arial" w:cs="Arial"/>
                <w:color w:val="000000" w:themeColor="text1"/>
                <w:sz w:val="24"/>
                <w:szCs w:val="24"/>
                <w:lang w:val="ro-RO"/>
              </w:rPr>
            </w:pPr>
            <w:r w:rsidRPr="00080B9C">
              <w:rPr>
                <w:rFonts w:ascii="Arial" w:hAnsi="Arial" w:cs="Arial"/>
                <w:color w:val="000000" w:themeColor="text1"/>
                <w:sz w:val="24"/>
                <w:szCs w:val="24"/>
                <w:lang w:val="ro-RO"/>
              </w:rPr>
              <w:t>Căi de comunicaţii şi căi ferate</w:t>
            </w:r>
          </w:p>
        </w:tc>
        <w:tc>
          <w:tcPr>
            <w:tcW w:w="1511" w:type="dxa"/>
          </w:tcPr>
          <w:p w:rsidR="00080B9C" w:rsidRPr="00080B9C" w:rsidRDefault="00080B9C" w:rsidP="00080B9C">
            <w:pPr>
              <w:tabs>
                <w:tab w:val="left" w:pos="1276"/>
              </w:tabs>
              <w:spacing w:after="0" w:line="240" w:lineRule="auto"/>
              <w:jc w:val="center"/>
              <w:rPr>
                <w:rFonts w:ascii="Arial" w:hAnsi="Arial" w:cs="Arial"/>
                <w:color w:val="000000" w:themeColor="text1"/>
                <w:sz w:val="24"/>
                <w:szCs w:val="24"/>
                <w:lang w:val="ro-RO"/>
              </w:rPr>
            </w:pPr>
            <w:r w:rsidRPr="00080B9C">
              <w:rPr>
                <w:rFonts w:ascii="Arial" w:hAnsi="Arial" w:cs="Arial"/>
                <w:color w:val="000000" w:themeColor="text1"/>
                <w:sz w:val="24"/>
                <w:szCs w:val="24"/>
                <w:lang w:val="ro-RO"/>
              </w:rPr>
              <w:t>10883*</w:t>
            </w:r>
          </w:p>
        </w:tc>
        <w:tc>
          <w:tcPr>
            <w:tcW w:w="1343" w:type="dxa"/>
          </w:tcPr>
          <w:p w:rsidR="00080B9C" w:rsidRPr="00080B9C" w:rsidRDefault="00080B9C" w:rsidP="00080B9C">
            <w:pPr>
              <w:tabs>
                <w:tab w:val="left" w:pos="1276"/>
              </w:tabs>
              <w:spacing w:after="0" w:line="240" w:lineRule="auto"/>
              <w:jc w:val="center"/>
              <w:rPr>
                <w:rFonts w:ascii="Arial" w:hAnsi="Arial" w:cs="Arial"/>
                <w:color w:val="000000" w:themeColor="text1"/>
                <w:sz w:val="24"/>
                <w:szCs w:val="24"/>
                <w:lang w:val="ro-RO"/>
              </w:rPr>
            </w:pPr>
          </w:p>
        </w:tc>
      </w:tr>
      <w:tr w:rsidR="00080B9C" w:rsidRPr="00080B9C" w:rsidTr="00080B9C">
        <w:trPr>
          <w:trHeight w:val="275"/>
        </w:trPr>
        <w:tc>
          <w:tcPr>
            <w:tcW w:w="7010" w:type="dxa"/>
          </w:tcPr>
          <w:p w:rsidR="00080B9C" w:rsidRPr="00080B9C" w:rsidRDefault="00080B9C" w:rsidP="00080B9C">
            <w:pPr>
              <w:tabs>
                <w:tab w:val="left" w:pos="1276"/>
              </w:tabs>
              <w:spacing w:after="0" w:line="240" w:lineRule="auto"/>
              <w:rPr>
                <w:rFonts w:ascii="Arial" w:hAnsi="Arial" w:cs="Arial"/>
                <w:color w:val="000000" w:themeColor="text1"/>
                <w:sz w:val="24"/>
                <w:szCs w:val="24"/>
                <w:lang w:val="ro-RO"/>
              </w:rPr>
            </w:pPr>
            <w:r w:rsidRPr="00080B9C">
              <w:rPr>
                <w:rFonts w:ascii="Arial" w:hAnsi="Arial" w:cs="Arial"/>
                <w:color w:val="000000" w:themeColor="text1"/>
                <w:sz w:val="24"/>
                <w:szCs w:val="24"/>
                <w:lang w:val="ro-RO"/>
              </w:rPr>
              <w:t>Total</w:t>
            </w:r>
          </w:p>
        </w:tc>
        <w:tc>
          <w:tcPr>
            <w:tcW w:w="1511" w:type="dxa"/>
          </w:tcPr>
          <w:p w:rsidR="00080B9C" w:rsidRPr="00080B9C" w:rsidRDefault="00080B9C" w:rsidP="00080B9C">
            <w:pPr>
              <w:tabs>
                <w:tab w:val="left" w:pos="1276"/>
              </w:tabs>
              <w:spacing w:after="0" w:line="240" w:lineRule="auto"/>
              <w:jc w:val="center"/>
              <w:rPr>
                <w:rFonts w:ascii="Arial" w:hAnsi="Arial" w:cs="Arial"/>
                <w:color w:val="000000" w:themeColor="text1"/>
                <w:sz w:val="24"/>
                <w:szCs w:val="24"/>
                <w:lang w:val="ro-RO"/>
              </w:rPr>
            </w:pPr>
            <w:r w:rsidRPr="00080B9C">
              <w:rPr>
                <w:rFonts w:ascii="Arial" w:hAnsi="Arial" w:cs="Arial"/>
                <w:color w:val="000000" w:themeColor="text1"/>
                <w:sz w:val="24"/>
                <w:szCs w:val="24"/>
                <w:lang w:val="ro-RO"/>
              </w:rPr>
              <w:t>-</w:t>
            </w:r>
          </w:p>
        </w:tc>
        <w:tc>
          <w:tcPr>
            <w:tcW w:w="1343" w:type="dxa"/>
          </w:tcPr>
          <w:p w:rsidR="00080B9C" w:rsidRPr="00080B9C" w:rsidRDefault="00080B9C" w:rsidP="00080B9C">
            <w:pPr>
              <w:tabs>
                <w:tab w:val="left" w:pos="1276"/>
              </w:tabs>
              <w:spacing w:after="0" w:line="240" w:lineRule="auto"/>
              <w:jc w:val="center"/>
              <w:rPr>
                <w:rFonts w:ascii="Arial" w:hAnsi="Arial" w:cs="Arial"/>
                <w:color w:val="000000" w:themeColor="text1"/>
                <w:sz w:val="24"/>
                <w:szCs w:val="24"/>
                <w:lang w:val="ro-RO"/>
              </w:rPr>
            </w:pPr>
            <w:r w:rsidRPr="00080B9C">
              <w:rPr>
                <w:rFonts w:ascii="Arial" w:hAnsi="Arial" w:cs="Arial"/>
                <w:color w:val="000000" w:themeColor="text1"/>
                <w:sz w:val="24"/>
                <w:szCs w:val="24"/>
                <w:lang w:val="ro-RO"/>
              </w:rPr>
              <w:t>-</w:t>
            </w:r>
          </w:p>
        </w:tc>
      </w:tr>
    </w:tbl>
    <w:p w:rsidR="00080B9C" w:rsidRPr="00080B9C" w:rsidRDefault="00080B9C" w:rsidP="00E264EC">
      <w:pPr>
        <w:tabs>
          <w:tab w:val="left" w:pos="1276"/>
        </w:tabs>
        <w:spacing w:after="0" w:line="240" w:lineRule="auto"/>
        <w:rPr>
          <w:rFonts w:ascii="Arial" w:hAnsi="Arial" w:cs="Arial"/>
          <w:color w:val="000000" w:themeColor="text1"/>
          <w:sz w:val="20"/>
          <w:szCs w:val="20"/>
        </w:rPr>
      </w:pPr>
      <w:r w:rsidRPr="00080B9C">
        <w:rPr>
          <w:rFonts w:ascii="Arial" w:hAnsi="Arial" w:cs="Arial"/>
          <w:bCs/>
          <w:color w:val="000000" w:themeColor="text1"/>
          <w:sz w:val="20"/>
          <w:szCs w:val="20"/>
        </w:rPr>
        <w:t>(Sursa: * Institutul Naţional de Statistică</w:t>
      </w:r>
      <w:r w:rsidRPr="00080B9C">
        <w:rPr>
          <w:rFonts w:ascii="Arial" w:hAnsi="Arial" w:cs="Arial"/>
          <w:b/>
          <w:color w:val="000000" w:themeColor="text1"/>
          <w:sz w:val="20"/>
          <w:szCs w:val="20"/>
        </w:rPr>
        <w:t xml:space="preserve"> - </w:t>
      </w:r>
      <w:r w:rsidRPr="00080B9C">
        <w:rPr>
          <w:rFonts w:ascii="Arial" w:hAnsi="Arial" w:cs="Arial"/>
          <w:bCs/>
          <w:color w:val="000000" w:themeColor="text1"/>
          <w:sz w:val="20"/>
          <w:szCs w:val="20"/>
        </w:rPr>
        <w:t>Baza de date TEMPO</w:t>
      </w:r>
      <w:r w:rsidRPr="00080B9C">
        <w:rPr>
          <w:rFonts w:ascii="Arial" w:hAnsi="Arial" w:cs="Arial"/>
          <w:color w:val="000000" w:themeColor="text1"/>
          <w:sz w:val="20"/>
          <w:szCs w:val="20"/>
        </w:rPr>
        <w:t xml:space="preserve"> Online pentru informaţiile referitoare la terenurile neagricole – anul 2014; MADR – Direcţia pentru Agricultură Judeţeană Vaslui pentru informaţiile referitoare la terenurile agricole – anul 2015)</w:t>
      </w:r>
    </w:p>
    <w:p w:rsidR="00E264EC" w:rsidRDefault="00E264EC" w:rsidP="00080B9C">
      <w:pPr>
        <w:tabs>
          <w:tab w:val="left" w:pos="1276"/>
        </w:tabs>
        <w:rPr>
          <w:rFonts w:ascii="Arial" w:hAnsi="Arial" w:cs="Arial"/>
          <w:color w:val="000000" w:themeColor="text1"/>
          <w:sz w:val="24"/>
          <w:szCs w:val="24"/>
          <w:lang w:val="ro-RO"/>
        </w:rPr>
      </w:pPr>
    </w:p>
    <w:p w:rsidR="00080B9C" w:rsidRPr="00080B9C" w:rsidRDefault="00080B9C" w:rsidP="00080B9C">
      <w:pPr>
        <w:tabs>
          <w:tab w:val="left" w:pos="1276"/>
        </w:tabs>
        <w:rPr>
          <w:rFonts w:ascii="Arial" w:hAnsi="Arial" w:cs="Arial"/>
          <w:color w:val="000000" w:themeColor="text1"/>
          <w:sz w:val="24"/>
          <w:szCs w:val="24"/>
          <w:lang w:val="ro-RO"/>
        </w:rPr>
      </w:pPr>
      <w:r w:rsidRPr="00080B9C">
        <w:rPr>
          <w:rFonts w:ascii="Arial" w:hAnsi="Arial" w:cs="Arial"/>
          <w:color w:val="000000" w:themeColor="text1"/>
          <w:sz w:val="24"/>
          <w:szCs w:val="24"/>
          <w:lang w:val="ro-RO"/>
        </w:rPr>
        <w:t xml:space="preserve">Figura </w:t>
      </w:r>
      <w:r w:rsidRPr="00080B9C">
        <w:rPr>
          <w:rFonts w:ascii="Arial" w:hAnsi="Arial" w:cs="Arial"/>
          <w:color w:val="000000" w:themeColor="text1"/>
          <w:sz w:val="24"/>
          <w:szCs w:val="24"/>
        </w:rPr>
        <w:t xml:space="preserve">IV.1. </w:t>
      </w:r>
      <w:r w:rsidRPr="00080B9C">
        <w:rPr>
          <w:rFonts w:ascii="Arial" w:hAnsi="Arial" w:cs="Arial"/>
          <w:color w:val="000000" w:themeColor="text1"/>
          <w:sz w:val="24"/>
          <w:szCs w:val="24"/>
          <w:lang w:val="ro-RO"/>
        </w:rPr>
        <w:t>Repartiţia terenurilor agricole pe categorii de acoperire/utilizare, în anul 2015 ( % din suprafaţa agricolă a judeţului Vaslui)</w:t>
      </w:r>
    </w:p>
    <w:p w:rsidR="00080B9C" w:rsidRPr="00080B9C" w:rsidRDefault="00080B9C" w:rsidP="00080B9C">
      <w:pPr>
        <w:tabs>
          <w:tab w:val="left" w:pos="1276"/>
        </w:tabs>
        <w:rPr>
          <w:rFonts w:ascii="Arial" w:hAnsi="Arial" w:cs="Arial"/>
          <w:sz w:val="24"/>
          <w:szCs w:val="24"/>
          <w:lang w:val="ro-RO"/>
        </w:rPr>
      </w:pPr>
      <w:r w:rsidRPr="00080B9C">
        <w:rPr>
          <w:rFonts w:ascii="Arial" w:hAnsi="Arial" w:cs="Arial"/>
          <w:noProof/>
          <w:sz w:val="24"/>
          <w:szCs w:val="24"/>
        </w:rPr>
        <w:drawing>
          <wp:inline distT="0" distB="0" distL="0" distR="0" wp14:anchorId="5FAF17D7" wp14:editId="5B328E96">
            <wp:extent cx="6176513" cy="2967486"/>
            <wp:effectExtent l="0" t="0" r="0" b="0"/>
            <wp:docPr id="216" name="Chart 2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080B9C" w:rsidRPr="00080B9C" w:rsidRDefault="00080B9C" w:rsidP="00080B9C">
      <w:pPr>
        <w:tabs>
          <w:tab w:val="left" w:pos="1276"/>
        </w:tabs>
        <w:spacing w:after="0" w:line="240" w:lineRule="auto"/>
        <w:rPr>
          <w:rFonts w:ascii="Arial" w:hAnsi="Arial" w:cs="Arial"/>
          <w:sz w:val="24"/>
          <w:szCs w:val="24"/>
          <w:lang w:val="ro-RO"/>
        </w:rPr>
      </w:pPr>
    </w:p>
    <w:p w:rsidR="00080B9C" w:rsidRPr="00080B9C" w:rsidRDefault="00080B9C" w:rsidP="00080B9C">
      <w:pPr>
        <w:tabs>
          <w:tab w:val="left" w:pos="1276"/>
        </w:tabs>
        <w:spacing w:after="0" w:line="240" w:lineRule="auto"/>
        <w:rPr>
          <w:rFonts w:ascii="Arial" w:hAnsi="Arial" w:cs="Arial"/>
          <w:b/>
          <w:i/>
          <w:sz w:val="24"/>
          <w:szCs w:val="24"/>
          <w:lang w:val="ro-RO"/>
        </w:rPr>
      </w:pPr>
      <w:r w:rsidRPr="00080B9C">
        <w:rPr>
          <w:rFonts w:ascii="Arial" w:hAnsi="Arial" w:cs="Arial"/>
          <w:b/>
          <w:i/>
          <w:sz w:val="24"/>
          <w:szCs w:val="24"/>
          <w:lang w:val="ro-RO"/>
        </w:rPr>
        <w:t>IV.1.2.</w:t>
      </w:r>
      <w:r w:rsidRPr="00080B9C">
        <w:rPr>
          <w:rFonts w:ascii="Arial" w:hAnsi="Arial" w:cs="Arial"/>
          <w:b/>
          <w:sz w:val="24"/>
          <w:szCs w:val="24"/>
          <w:lang w:val="ro-RO"/>
        </w:rPr>
        <w:t xml:space="preserve"> </w:t>
      </w:r>
      <w:r w:rsidRPr="00080B9C">
        <w:rPr>
          <w:rFonts w:ascii="Arial" w:hAnsi="Arial" w:cs="Arial"/>
          <w:b/>
          <w:i/>
          <w:sz w:val="24"/>
          <w:szCs w:val="24"/>
          <w:lang w:val="ro-RO"/>
        </w:rPr>
        <w:t xml:space="preserve">Tendinţe privind schimbarea destinaţiei utilizării terenurilor </w:t>
      </w:r>
      <w:r w:rsidRPr="00080B9C">
        <w:rPr>
          <w:rFonts w:ascii="Arial" w:hAnsi="Arial" w:cs="Arial"/>
          <w:b/>
          <w:i/>
          <w:sz w:val="24"/>
          <w:szCs w:val="24"/>
          <w:lang w:val="ro-RO"/>
        </w:rPr>
        <w:tab/>
      </w:r>
    </w:p>
    <w:p w:rsidR="00080B9C" w:rsidRPr="00080B9C" w:rsidRDefault="00080B9C" w:rsidP="00080B9C">
      <w:pPr>
        <w:tabs>
          <w:tab w:val="left" w:pos="1276"/>
        </w:tabs>
        <w:spacing w:after="0" w:line="240" w:lineRule="auto"/>
        <w:rPr>
          <w:rFonts w:ascii="Arial" w:hAnsi="Arial" w:cs="Arial"/>
          <w:i/>
          <w:sz w:val="24"/>
          <w:szCs w:val="24"/>
          <w:lang w:val="ro-RO"/>
        </w:rPr>
      </w:pPr>
    </w:p>
    <w:p w:rsidR="00080B9C" w:rsidRPr="00080B9C" w:rsidRDefault="00080B9C" w:rsidP="00080B9C">
      <w:pPr>
        <w:autoSpaceDE w:val="0"/>
        <w:autoSpaceDN w:val="0"/>
        <w:adjustRightInd w:val="0"/>
        <w:spacing w:after="0" w:line="240" w:lineRule="auto"/>
        <w:jc w:val="both"/>
        <w:rPr>
          <w:rFonts w:ascii="Arial" w:hAnsi="Arial" w:cs="Arial"/>
          <w:color w:val="000000" w:themeColor="text1"/>
          <w:sz w:val="24"/>
          <w:szCs w:val="24"/>
        </w:rPr>
      </w:pPr>
      <w:r w:rsidRPr="00080B9C">
        <w:rPr>
          <w:rFonts w:ascii="Arial" w:hAnsi="Arial" w:cs="Arial"/>
          <w:color w:val="000000" w:themeColor="text1"/>
          <w:sz w:val="24"/>
          <w:szCs w:val="24"/>
        </w:rPr>
        <w:t xml:space="preserve">Terenurile sunt o resursă finită, iar modul în care sunt exploatate reprezintă unul dintre principalii factori determinanţi ai schimbărilor de mediu, cu impact semnificativ asupra calităţii vieţii şi a ecosistemelor, precum şi asupra gestionării infrastructurii. </w:t>
      </w:r>
    </w:p>
    <w:p w:rsidR="00080B9C" w:rsidRPr="00080B9C" w:rsidRDefault="00080B9C" w:rsidP="00080B9C">
      <w:pPr>
        <w:tabs>
          <w:tab w:val="left" w:pos="8070"/>
        </w:tabs>
        <w:autoSpaceDE w:val="0"/>
        <w:autoSpaceDN w:val="0"/>
        <w:adjustRightInd w:val="0"/>
        <w:spacing w:after="0" w:line="240" w:lineRule="auto"/>
        <w:jc w:val="both"/>
        <w:rPr>
          <w:rFonts w:ascii="Arial" w:hAnsi="Arial" w:cs="Arial"/>
          <w:color w:val="000000" w:themeColor="text1"/>
          <w:sz w:val="24"/>
          <w:szCs w:val="24"/>
        </w:rPr>
      </w:pPr>
      <w:r w:rsidRPr="00080B9C">
        <w:rPr>
          <w:rFonts w:ascii="Arial" w:hAnsi="Arial" w:cs="Arial"/>
          <w:color w:val="000000" w:themeColor="text1"/>
          <w:sz w:val="24"/>
          <w:szCs w:val="24"/>
        </w:rPr>
        <w:t xml:space="preserve">           Utilizarea terenurilor este determinată de o serie de factori importanţi: </w:t>
      </w:r>
      <w:r w:rsidRPr="00080B9C">
        <w:rPr>
          <w:rFonts w:ascii="Arial" w:hAnsi="Arial" w:cs="Arial"/>
          <w:color w:val="000000" w:themeColor="text1"/>
          <w:sz w:val="24"/>
          <w:szCs w:val="24"/>
        </w:rPr>
        <w:tab/>
      </w:r>
    </w:p>
    <w:p w:rsidR="00080B9C" w:rsidRPr="00080B9C" w:rsidRDefault="00080B9C" w:rsidP="005910C7">
      <w:pPr>
        <w:numPr>
          <w:ilvl w:val="0"/>
          <w:numId w:val="13"/>
        </w:numPr>
        <w:autoSpaceDE w:val="0"/>
        <w:autoSpaceDN w:val="0"/>
        <w:adjustRightInd w:val="0"/>
        <w:spacing w:after="0" w:line="240" w:lineRule="auto"/>
        <w:contextualSpacing/>
        <w:jc w:val="both"/>
        <w:rPr>
          <w:rFonts w:ascii="Arial" w:hAnsi="Arial" w:cs="Arial"/>
          <w:color w:val="000000" w:themeColor="text1"/>
          <w:sz w:val="24"/>
          <w:szCs w:val="24"/>
        </w:rPr>
      </w:pPr>
      <w:r w:rsidRPr="00080B9C">
        <w:rPr>
          <w:rFonts w:ascii="Arial" w:hAnsi="Arial" w:cs="Arial"/>
          <w:color w:val="000000" w:themeColor="text1"/>
          <w:sz w:val="24"/>
          <w:szCs w:val="24"/>
        </w:rPr>
        <w:t xml:space="preserve">creşterea cererii pentru spaţii de locuit/persoană; </w:t>
      </w:r>
    </w:p>
    <w:p w:rsidR="00080B9C" w:rsidRPr="00080B9C" w:rsidRDefault="00080B9C" w:rsidP="005910C7">
      <w:pPr>
        <w:numPr>
          <w:ilvl w:val="0"/>
          <w:numId w:val="13"/>
        </w:numPr>
        <w:autoSpaceDE w:val="0"/>
        <w:autoSpaceDN w:val="0"/>
        <w:adjustRightInd w:val="0"/>
        <w:spacing w:after="0" w:line="240" w:lineRule="auto"/>
        <w:contextualSpacing/>
        <w:jc w:val="both"/>
        <w:rPr>
          <w:rFonts w:ascii="Arial" w:hAnsi="Arial" w:cs="Arial"/>
          <w:color w:val="000000" w:themeColor="text1"/>
          <w:sz w:val="24"/>
          <w:szCs w:val="24"/>
        </w:rPr>
      </w:pPr>
      <w:r w:rsidRPr="00080B9C">
        <w:rPr>
          <w:rFonts w:ascii="Arial" w:hAnsi="Arial" w:cs="Arial"/>
          <w:color w:val="000000" w:themeColor="text1"/>
          <w:sz w:val="24"/>
          <w:szCs w:val="24"/>
        </w:rPr>
        <w:t xml:space="preserve"> legătura dintre activitatea economică, creşterea mobilităţii şi creşterea infrastructurii de transport care conduce la absorbţia de teren în zona urbană; </w:t>
      </w:r>
    </w:p>
    <w:p w:rsidR="00080B9C" w:rsidRPr="00080B9C" w:rsidRDefault="00080B9C" w:rsidP="005910C7">
      <w:pPr>
        <w:numPr>
          <w:ilvl w:val="0"/>
          <w:numId w:val="13"/>
        </w:numPr>
        <w:autoSpaceDE w:val="0"/>
        <w:autoSpaceDN w:val="0"/>
        <w:adjustRightInd w:val="0"/>
        <w:spacing w:after="0" w:line="240" w:lineRule="auto"/>
        <w:contextualSpacing/>
        <w:jc w:val="both"/>
        <w:rPr>
          <w:rFonts w:ascii="Arial" w:hAnsi="Arial" w:cs="Arial"/>
          <w:color w:val="000000" w:themeColor="text1"/>
          <w:sz w:val="24"/>
          <w:szCs w:val="24"/>
        </w:rPr>
      </w:pPr>
      <w:r w:rsidRPr="00080B9C">
        <w:rPr>
          <w:rFonts w:ascii="Arial" w:hAnsi="Arial" w:cs="Arial"/>
          <w:color w:val="000000" w:themeColor="text1"/>
          <w:sz w:val="24"/>
          <w:szCs w:val="24"/>
        </w:rPr>
        <w:t>creşterea cererii pentru spaţii de recreere şi petrecerea timpului liber.</w:t>
      </w:r>
    </w:p>
    <w:p w:rsidR="00080B9C" w:rsidRPr="00080B9C" w:rsidRDefault="00080B9C" w:rsidP="00080B9C">
      <w:pPr>
        <w:autoSpaceDE w:val="0"/>
        <w:autoSpaceDN w:val="0"/>
        <w:adjustRightInd w:val="0"/>
        <w:spacing w:after="0" w:line="240" w:lineRule="auto"/>
        <w:rPr>
          <w:rFonts w:ascii="Arial" w:eastAsia="Times New Roman" w:hAnsi="Arial" w:cs="Arial"/>
          <w:color w:val="000000"/>
          <w:sz w:val="24"/>
          <w:szCs w:val="24"/>
        </w:rPr>
      </w:pPr>
    </w:p>
    <w:p w:rsidR="00080B9C" w:rsidRPr="00080B9C" w:rsidRDefault="00080B9C" w:rsidP="00080B9C">
      <w:pPr>
        <w:spacing w:after="0" w:line="240" w:lineRule="auto"/>
        <w:rPr>
          <w:rFonts w:ascii="Arial" w:hAnsi="Arial" w:cs="Arial"/>
          <w:b/>
          <w:color w:val="000000" w:themeColor="text1"/>
          <w:sz w:val="24"/>
          <w:szCs w:val="24"/>
          <w:lang w:val="ro-RO"/>
        </w:rPr>
      </w:pPr>
      <w:r w:rsidRPr="00080B9C">
        <w:rPr>
          <w:rFonts w:ascii="Arial" w:hAnsi="Arial" w:cs="Arial"/>
          <w:b/>
          <w:color w:val="000000" w:themeColor="text1"/>
          <w:sz w:val="24"/>
          <w:szCs w:val="24"/>
          <w:lang w:val="ro-RO"/>
        </w:rPr>
        <w:t xml:space="preserve">IV.2. Impactul schimbării utilizării terenurilor asupra mediului </w:t>
      </w:r>
    </w:p>
    <w:p w:rsidR="00080B9C" w:rsidRPr="00080B9C" w:rsidRDefault="00080B9C" w:rsidP="00080B9C">
      <w:pPr>
        <w:spacing w:after="0" w:line="240" w:lineRule="auto"/>
        <w:rPr>
          <w:rFonts w:ascii="Arial" w:hAnsi="Arial" w:cs="Arial"/>
          <w:b/>
          <w:color w:val="000000" w:themeColor="text1"/>
          <w:sz w:val="24"/>
          <w:szCs w:val="24"/>
          <w:lang w:val="ro-RO"/>
        </w:rPr>
      </w:pPr>
    </w:p>
    <w:p w:rsidR="00080B9C" w:rsidRPr="00080B9C" w:rsidRDefault="00080B9C" w:rsidP="00080B9C">
      <w:pPr>
        <w:autoSpaceDE w:val="0"/>
        <w:autoSpaceDN w:val="0"/>
        <w:adjustRightInd w:val="0"/>
        <w:spacing w:after="0" w:line="240" w:lineRule="auto"/>
        <w:ind w:firstLine="720"/>
        <w:jc w:val="both"/>
        <w:rPr>
          <w:rFonts w:ascii="Arial" w:hAnsi="Arial" w:cs="Arial"/>
          <w:color w:val="000000" w:themeColor="text1"/>
          <w:sz w:val="24"/>
          <w:szCs w:val="24"/>
        </w:rPr>
      </w:pPr>
      <w:r w:rsidRPr="00080B9C">
        <w:rPr>
          <w:rFonts w:ascii="Arial" w:hAnsi="Arial" w:cs="Arial"/>
          <w:color w:val="000000" w:themeColor="text1"/>
          <w:sz w:val="24"/>
          <w:szCs w:val="24"/>
        </w:rPr>
        <w:lastRenderedPageBreak/>
        <w:t>Valorificarea de timpuriu a resurselor fondului funciar a cauzat modificări substanţiale în cadrul elementelor mediului natural, unele dintre aceste schimbări fiind ireversibile. Impactul urbanizării depinde de suprafaţa de teren ocupată şi de intensitatea de utilizare a terenurilor, gradul de impermeabilizare a solului şi densitatea populatiei. Ocuparea terenului prin extinderea urbană şi a infrastructurii respective este, în general, ireversibilă şi conduce la impermeabilizarea solului ca urmare a acoperirii terenurilor cu locuinţe, drumuri şi alte lucrări de construcţii. Ocuparea terenurilor urbane consumă cea mai mare parte din suprafaţa terenurilor agricole, şi reduce spaţiul pentru habitate şi ecosisteme care furnizează servicii importante, cum ar fi reglarea echilibrului apei şi protecţia împotriva inundaţiilor. Terenurile ocupate de suprafeţele construite şi infrastructura densă conectează aşezările umane şi fragmentează peisajele. Acest lucru fiind, de asemenea, o sursă importantă de poluare a apei, solului şi a aerului.</w:t>
      </w:r>
    </w:p>
    <w:p w:rsidR="00080B9C" w:rsidRPr="00080B9C" w:rsidRDefault="00080B9C" w:rsidP="00080B9C">
      <w:pPr>
        <w:autoSpaceDE w:val="0"/>
        <w:autoSpaceDN w:val="0"/>
        <w:adjustRightInd w:val="0"/>
        <w:spacing w:after="0" w:line="240" w:lineRule="auto"/>
        <w:ind w:firstLine="720"/>
        <w:jc w:val="both"/>
        <w:rPr>
          <w:rFonts w:ascii="Arial" w:hAnsi="Arial" w:cs="Arial"/>
          <w:color w:val="000000" w:themeColor="text1"/>
          <w:sz w:val="24"/>
          <w:szCs w:val="24"/>
        </w:rPr>
      </w:pPr>
    </w:p>
    <w:p w:rsidR="00080B9C" w:rsidRPr="00080B9C" w:rsidRDefault="00080B9C" w:rsidP="00080B9C">
      <w:pPr>
        <w:spacing w:after="0" w:line="360" w:lineRule="auto"/>
        <w:rPr>
          <w:rFonts w:ascii="Arial" w:hAnsi="Arial" w:cs="Arial"/>
          <w:b/>
          <w:i/>
          <w:color w:val="000000" w:themeColor="text1"/>
          <w:sz w:val="24"/>
          <w:szCs w:val="24"/>
          <w:lang w:val="ro-RO"/>
        </w:rPr>
      </w:pPr>
      <w:r w:rsidRPr="00080B9C">
        <w:rPr>
          <w:rFonts w:ascii="Arial" w:hAnsi="Arial" w:cs="Arial"/>
          <w:b/>
          <w:i/>
          <w:color w:val="000000" w:themeColor="text1"/>
          <w:sz w:val="24"/>
          <w:szCs w:val="24"/>
          <w:lang w:val="ro-RO"/>
        </w:rPr>
        <w:t xml:space="preserve">IV.2.1. Impactul schimbării utilizării terenurilor asupra terenurilor agricole </w:t>
      </w:r>
      <w:r w:rsidRPr="00080B9C">
        <w:rPr>
          <w:rFonts w:ascii="Arial" w:hAnsi="Arial" w:cs="Arial"/>
          <w:b/>
          <w:i/>
          <w:color w:val="000000" w:themeColor="text1"/>
          <w:sz w:val="24"/>
          <w:szCs w:val="24"/>
          <w:lang w:val="ro-RO"/>
        </w:rPr>
        <w:tab/>
      </w:r>
    </w:p>
    <w:p w:rsidR="00080B9C" w:rsidRPr="00080B9C" w:rsidRDefault="00080B9C" w:rsidP="00080B9C">
      <w:pPr>
        <w:spacing w:after="0" w:line="240" w:lineRule="auto"/>
        <w:ind w:firstLine="720"/>
        <w:jc w:val="both"/>
        <w:rPr>
          <w:rFonts w:ascii="Arial" w:hAnsi="Arial" w:cs="Arial"/>
          <w:color w:val="000000" w:themeColor="text1"/>
          <w:sz w:val="24"/>
          <w:szCs w:val="24"/>
        </w:rPr>
      </w:pPr>
      <w:r w:rsidRPr="00080B9C">
        <w:rPr>
          <w:rFonts w:ascii="Arial" w:hAnsi="Arial" w:cs="Arial"/>
          <w:color w:val="000000" w:themeColor="text1"/>
          <w:sz w:val="24"/>
          <w:szCs w:val="24"/>
        </w:rPr>
        <w:t>Prin activităţile sale legate de utilizarea terenurilor omul a amplificat procesele de denudare, a schimbat partial sau total învelişul vegetal natural şi a contribuit semnificativ la degradarea solurilor. Activităţile antropice care au condus la degradarea terenurilor sunt cele legate, în primul rând, de practicile agricole.</w:t>
      </w:r>
    </w:p>
    <w:p w:rsidR="00080B9C" w:rsidRPr="00080B9C" w:rsidRDefault="00080B9C" w:rsidP="00080B9C">
      <w:pPr>
        <w:spacing w:after="0" w:line="240" w:lineRule="auto"/>
        <w:ind w:firstLine="720"/>
        <w:jc w:val="both"/>
        <w:rPr>
          <w:rFonts w:ascii="Arial" w:hAnsi="Arial" w:cs="Arial"/>
          <w:i/>
          <w:sz w:val="24"/>
          <w:szCs w:val="24"/>
          <w:lang w:val="ro-RO"/>
        </w:rPr>
      </w:pPr>
    </w:p>
    <w:p w:rsidR="00080B9C" w:rsidRPr="00080B9C" w:rsidRDefault="00080B9C" w:rsidP="00080B9C">
      <w:pPr>
        <w:tabs>
          <w:tab w:val="left" w:pos="1276"/>
        </w:tabs>
        <w:spacing w:after="0" w:line="240" w:lineRule="auto"/>
        <w:rPr>
          <w:rFonts w:ascii="Arial" w:hAnsi="Arial" w:cs="Arial"/>
          <w:b/>
          <w:i/>
          <w:sz w:val="24"/>
          <w:szCs w:val="24"/>
          <w:lang w:val="ro-RO"/>
        </w:rPr>
      </w:pPr>
      <w:r w:rsidRPr="00080B9C">
        <w:rPr>
          <w:rFonts w:ascii="Arial" w:hAnsi="Arial" w:cs="Arial"/>
          <w:b/>
          <w:i/>
          <w:sz w:val="24"/>
          <w:szCs w:val="24"/>
          <w:lang w:val="ro-RO"/>
        </w:rPr>
        <w:t>IV.2.2.</w:t>
      </w:r>
      <w:r w:rsidRPr="00080B9C">
        <w:rPr>
          <w:rFonts w:ascii="Arial" w:hAnsi="Arial" w:cs="Arial"/>
          <w:b/>
          <w:sz w:val="24"/>
          <w:szCs w:val="24"/>
          <w:lang w:val="ro-RO"/>
        </w:rPr>
        <w:t xml:space="preserve"> </w:t>
      </w:r>
      <w:r w:rsidRPr="00080B9C">
        <w:rPr>
          <w:rFonts w:ascii="Arial" w:hAnsi="Arial" w:cs="Arial"/>
          <w:b/>
          <w:i/>
          <w:sz w:val="24"/>
          <w:szCs w:val="24"/>
          <w:lang w:val="ro-RO"/>
        </w:rPr>
        <w:t xml:space="preserve">Impactul schimbării utilizării terenurilor asupra habitatelor </w:t>
      </w:r>
    </w:p>
    <w:p w:rsidR="00080B9C" w:rsidRPr="00080B9C" w:rsidRDefault="00080B9C" w:rsidP="00080B9C">
      <w:pPr>
        <w:tabs>
          <w:tab w:val="left" w:pos="1276"/>
        </w:tabs>
        <w:spacing w:after="0" w:line="240" w:lineRule="auto"/>
        <w:rPr>
          <w:rFonts w:ascii="Arial" w:hAnsi="Arial" w:cs="Arial"/>
          <w:b/>
          <w:i/>
          <w:sz w:val="24"/>
          <w:szCs w:val="24"/>
          <w:lang w:val="ro-RO"/>
        </w:rPr>
      </w:pPr>
    </w:p>
    <w:p w:rsidR="00080B9C" w:rsidRPr="00080B9C" w:rsidRDefault="00080B9C" w:rsidP="00080B9C">
      <w:pPr>
        <w:autoSpaceDE w:val="0"/>
        <w:autoSpaceDN w:val="0"/>
        <w:adjustRightInd w:val="0"/>
        <w:spacing w:after="0" w:line="240" w:lineRule="auto"/>
        <w:jc w:val="both"/>
        <w:rPr>
          <w:rFonts w:ascii="Arial" w:hAnsi="Arial" w:cs="Arial"/>
          <w:color w:val="000000" w:themeColor="text1"/>
          <w:sz w:val="24"/>
          <w:szCs w:val="24"/>
        </w:rPr>
      </w:pPr>
      <w:r w:rsidRPr="00080B9C">
        <w:rPr>
          <w:rFonts w:ascii="Arial" w:hAnsi="Arial" w:cs="Arial"/>
          <w:i/>
          <w:color w:val="000000" w:themeColor="text1"/>
          <w:sz w:val="24"/>
          <w:szCs w:val="24"/>
          <w:lang w:val="ro-RO"/>
        </w:rPr>
        <w:tab/>
      </w:r>
      <w:r w:rsidRPr="00080B9C">
        <w:rPr>
          <w:rFonts w:ascii="Arial" w:hAnsi="Arial" w:cs="Arial"/>
          <w:color w:val="000000" w:themeColor="text1"/>
          <w:sz w:val="24"/>
          <w:szCs w:val="24"/>
          <w:lang w:val="ro-RO"/>
        </w:rPr>
        <w:t xml:space="preserve">Modificări importante </w:t>
      </w:r>
      <w:r w:rsidRPr="00080B9C">
        <w:rPr>
          <w:rFonts w:ascii="Arial" w:hAnsi="Arial" w:cs="Arial"/>
          <w:color w:val="000000" w:themeColor="text1"/>
          <w:sz w:val="24"/>
          <w:szCs w:val="24"/>
        </w:rPr>
        <w:t>ale utilizării terenurilor nu duc doar la pierderea și la degradarea habitatelor, ci cauzează și o fragmentare marcată a habitatelor existente, afectând grav capacitatea acestora de a oferi în continuare bunuri și servicii ecosistemice valoroase.</w:t>
      </w:r>
    </w:p>
    <w:p w:rsidR="00080B9C" w:rsidRPr="00080B9C" w:rsidRDefault="00080B9C" w:rsidP="00080B9C">
      <w:pPr>
        <w:autoSpaceDE w:val="0"/>
        <w:autoSpaceDN w:val="0"/>
        <w:adjustRightInd w:val="0"/>
        <w:spacing w:after="0" w:line="240" w:lineRule="auto"/>
        <w:jc w:val="both"/>
        <w:rPr>
          <w:rFonts w:ascii="Arial" w:hAnsi="Arial" w:cs="Arial"/>
          <w:color w:val="000000" w:themeColor="text1"/>
          <w:sz w:val="24"/>
          <w:szCs w:val="24"/>
        </w:rPr>
      </w:pPr>
    </w:p>
    <w:p w:rsidR="00080B9C" w:rsidRPr="00080B9C" w:rsidRDefault="00080B9C" w:rsidP="00080B9C">
      <w:pPr>
        <w:spacing w:after="0" w:line="240" w:lineRule="auto"/>
        <w:rPr>
          <w:rFonts w:ascii="Arial" w:hAnsi="Arial" w:cs="Arial"/>
          <w:b/>
          <w:sz w:val="24"/>
          <w:szCs w:val="24"/>
          <w:lang w:val="ro-RO"/>
        </w:rPr>
      </w:pPr>
      <w:r w:rsidRPr="00080B9C">
        <w:rPr>
          <w:rFonts w:ascii="Arial" w:hAnsi="Arial" w:cs="Arial"/>
          <w:b/>
          <w:sz w:val="24"/>
          <w:szCs w:val="24"/>
          <w:lang w:val="ro-RO"/>
        </w:rPr>
        <w:t xml:space="preserve">IV.3. Factorii determinanţi ai schimbării utilizării terenurilor </w:t>
      </w:r>
    </w:p>
    <w:p w:rsidR="00080B9C" w:rsidRPr="00080B9C" w:rsidRDefault="00080B9C" w:rsidP="00080B9C">
      <w:pPr>
        <w:spacing w:after="0" w:line="240" w:lineRule="auto"/>
        <w:rPr>
          <w:rFonts w:ascii="Arial" w:hAnsi="Arial" w:cs="Arial"/>
          <w:b/>
          <w:sz w:val="24"/>
          <w:szCs w:val="24"/>
          <w:lang w:val="ro-RO"/>
        </w:rPr>
      </w:pPr>
    </w:p>
    <w:p w:rsidR="00080B9C" w:rsidRPr="00080B9C" w:rsidRDefault="00080B9C" w:rsidP="00080B9C">
      <w:pPr>
        <w:spacing w:after="0" w:line="240" w:lineRule="auto"/>
        <w:ind w:firstLine="720"/>
        <w:jc w:val="both"/>
        <w:rPr>
          <w:rFonts w:ascii="Arial" w:hAnsi="Arial" w:cs="Arial"/>
          <w:color w:val="000000" w:themeColor="text1"/>
          <w:sz w:val="24"/>
          <w:szCs w:val="24"/>
        </w:rPr>
      </w:pPr>
      <w:r w:rsidRPr="00080B9C">
        <w:rPr>
          <w:rFonts w:ascii="Arial" w:hAnsi="Arial" w:cs="Arial"/>
          <w:color w:val="000000" w:themeColor="text1"/>
          <w:sz w:val="24"/>
          <w:szCs w:val="24"/>
        </w:rPr>
        <w:t>În multe cazuri, clima, tehnologia şi economia par a fi factorii determinanţi ai schimbării utilizării terenurilor la diferite scări spaţiale şi temporale. În acelaşi timp, transformarea terenurilor pare a fi un mecanism de feedback adaptabil pe care fermierii îl utilizează pentru a netezi impactul variaţiilor climatice, în special în perioadele extrem de uscate şi umede. Schimbările utilizării terenurilor sunt adesea asociate cu schimbarea în acoperirea terenurilor şi asociată cu emisiile de carbon. Rezervele de carbon din sol vor fi de asemenea afectate, cu toate că acest efect va depinde de tratamentul ulterior al terenului. În urma compensării, rezervele de carbon din biomasa de deasupra solului pot creşte din nou, în funcţie de tipul de acoperire al terenului asociat cu utilizarea de noi terenuri. Timpul necesar pentru acoperirea noilor terenuri poate fi de zeci de ani.</w:t>
      </w:r>
    </w:p>
    <w:p w:rsidR="00080B9C" w:rsidRPr="00080B9C" w:rsidRDefault="00080B9C" w:rsidP="00080B9C">
      <w:pPr>
        <w:spacing w:after="0" w:line="240" w:lineRule="auto"/>
        <w:ind w:firstLine="720"/>
        <w:jc w:val="both"/>
        <w:rPr>
          <w:rFonts w:ascii="Arial" w:hAnsi="Arial" w:cs="Arial"/>
          <w:b/>
          <w:sz w:val="24"/>
          <w:szCs w:val="24"/>
          <w:lang w:val="ro-RO"/>
        </w:rPr>
      </w:pPr>
    </w:p>
    <w:p w:rsidR="00080B9C" w:rsidRPr="00080B9C" w:rsidRDefault="00080B9C" w:rsidP="00080B9C">
      <w:pPr>
        <w:tabs>
          <w:tab w:val="left" w:pos="1276"/>
        </w:tabs>
        <w:spacing w:after="0" w:line="240" w:lineRule="auto"/>
        <w:rPr>
          <w:rFonts w:ascii="Arial" w:hAnsi="Arial" w:cs="Arial"/>
          <w:b/>
          <w:i/>
          <w:sz w:val="24"/>
          <w:szCs w:val="24"/>
          <w:lang w:val="ro-RO"/>
        </w:rPr>
      </w:pPr>
      <w:r w:rsidRPr="00080B9C">
        <w:rPr>
          <w:rFonts w:ascii="Arial" w:hAnsi="Arial" w:cs="Arial"/>
          <w:b/>
          <w:i/>
          <w:sz w:val="24"/>
          <w:szCs w:val="24"/>
          <w:lang w:val="ro-RO"/>
        </w:rPr>
        <w:t xml:space="preserve">IV.3.1. Modificarea densităţii populaţiei </w:t>
      </w:r>
      <w:r w:rsidRPr="00080B9C">
        <w:rPr>
          <w:rFonts w:ascii="Arial" w:hAnsi="Arial" w:cs="Arial"/>
          <w:b/>
          <w:i/>
          <w:sz w:val="24"/>
          <w:szCs w:val="24"/>
          <w:lang w:val="ro-RO"/>
        </w:rPr>
        <w:tab/>
      </w:r>
    </w:p>
    <w:p w:rsidR="00080B9C" w:rsidRPr="00080B9C" w:rsidRDefault="00080B9C" w:rsidP="00080B9C">
      <w:pPr>
        <w:tabs>
          <w:tab w:val="left" w:pos="1276"/>
        </w:tabs>
        <w:spacing w:after="0" w:line="240" w:lineRule="auto"/>
        <w:rPr>
          <w:rFonts w:ascii="Arial" w:hAnsi="Arial" w:cs="Arial"/>
          <w:b/>
          <w:i/>
          <w:sz w:val="24"/>
          <w:szCs w:val="24"/>
          <w:lang w:val="ro-RO"/>
        </w:rPr>
      </w:pPr>
    </w:p>
    <w:p w:rsidR="00080B9C" w:rsidRPr="00080B9C" w:rsidRDefault="00080B9C" w:rsidP="00080B9C">
      <w:pPr>
        <w:tabs>
          <w:tab w:val="left" w:pos="1276"/>
        </w:tabs>
        <w:spacing w:after="0" w:line="240" w:lineRule="auto"/>
        <w:jc w:val="both"/>
        <w:rPr>
          <w:rFonts w:ascii="Arial" w:hAnsi="Arial" w:cs="Arial"/>
          <w:color w:val="000000" w:themeColor="text1"/>
          <w:sz w:val="24"/>
          <w:szCs w:val="24"/>
        </w:rPr>
      </w:pPr>
      <w:r w:rsidRPr="00080B9C">
        <w:rPr>
          <w:rFonts w:ascii="Arial" w:hAnsi="Arial" w:cs="Arial"/>
          <w:color w:val="000000" w:themeColor="text1"/>
          <w:sz w:val="24"/>
          <w:szCs w:val="24"/>
        </w:rPr>
        <w:t xml:space="preserve">           O consecinţă directă a populaţiei diferitelor regiuni de pe Glob şi a diferenţierilor în răspândirea populaţiei o constituie </w:t>
      </w:r>
      <w:r w:rsidRPr="00080B9C">
        <w:rPr>
          <w:rFonts w:ascii="Arial" w:hAnsi="Arial" w:cs="Arial"/>
          <w:i/>
          <w:color w:val="000000" w:themeColor="text1"/>
          <w:sz w:val="24"/>
          <w:szCs w:val="24"/>
        </w:rPr>
        <w:t>densitatea populaţiei</w:t>
      </w:r>
      <w:r w:rsidRPr="00080B9C">
        <w:rPr>
          <w:rFonts w:ascii="Arial" w:hAnsi="Arial" w:cs="Arial"/>
          <w:color w:val="000000" w:themeColor="text1"/>
          <w:sz w:val="24"/>
          <w:szCs w:val="24"/>
        </w:rPr>
        <w:t xml:space="preserve"> care reprezintă raportul dintre numărul de locuitori şi suprafaţa teritoriului pe care aceştia o ocupă, respectiv locuitori pe km</w:t>
      </w:r>
      <w:r w:rsidRPr="00080B9C">
        <w:rPr>
          <w:rFonts w:ascii="Arial" w:hAnsi="Arial" w:cs="Arial"/>
          <w:color w:val="000000" w:themeColor="text1"/>
          <w:sz w:val="24"/>
          <w:szCs w:val="24"/>
          <w:vertAlign w:val="superscript"/>
        </w:rPr>
        <w:t>2</w:t>
      </w:r>
      <w:r w:rsidRPr="00080B9C">
        <w:rPr>
          <w:rFonts w:ascii="Arial" w:hAnsi="Arial" w:cs="Arial"/>
          <w:color w:val="000000" w:themeColor="text1"/>
          <w:sz w:val="24"/>
          <w:szCs w:val="24"/>
        </w:rPr>
        <w:t>.</w:t>
      </w:r>
      <w:r w:rsidRPr="00080B9C">
        <w:rPr>
          <w:rFonts w:ascii="Arial" w:hAnsi="Arial" w:cs="Arial"/>
          <w:b/>
          <w:bCs/>
          <w:color w:val="000000" w:themeColor="text1"/>
          <w:sz w:val="24"/>
          <w:szCs w:val="24"/>
        </w:rPr>
        <w:t xml:space="preserve"> </w:t>
      </w:r>
      <w:r w:rsidRPr="00080B9C">
        <w:rPr>
          <w:rFonts w:ascii="Arial" w:hAnsi="Arial" w:cs="Arial"/>
          <w:bCs/>
          <w:i/>
          <w:color w:val="000000" w:themeColor="text1"/>
          <w:sz w:val="24"/>
          <w:szCs w:val="24"/>
        </w:rPr>
        <w:t>D</w:t>
      </w:r>
      <w:r w:rsidRPr="00080B9C">
        <w:rPr>
          <w:rFonts w:ascii="Arial" w:hAnsi="Arial" w:cs="Arial"/>
          <w:i/>
          <w:iCs/>
          <w:color w:val="000000" w:themeColor="text1"/>
          <w:sz w:val="24"/>
          <w:szCs w:val="24"/>
        </w:rPr>
        <w:t>ensitatea medie sau densitatea generală </w:t>
      </w:r>
      <w:r w:rsidRPr="00080B9C">
        <w:rPr>
          <w:rFonts w:ascii="Arial" w:hAnsi="Arial" w:cs="Arial"/>
          <w:color w:val="000000" w:themeColor="text1"/>
          <w:sz w:val="24"/>
          <w:szCs w:val="24"/>
        </w:rPr>
        <w:t xml:space="preserve">a populaţiei exprimă </w:t>
      </w:r>
      <w:r w:rsidRPr="00080B9C">
        <w:rPr>
          <w:rFonts w:ascii="Arial" w:hAnsi="Arial" w:cs="Arial"/>
          <w:color w:val="000000" w:themeColor="text1"/>
          <w:sz w:val="24"/>
          <w:szCs w:val="24"/>
        </w:rPr>
        <w:lastRenderedPageBreak/>
        <w:t>raportul dintre numărul locuitorilor stabili dintr-un teritoriu şi suprafaţa teritoriului în cauză, fiind exprimată în locuitori pe km</w:t>
      </w:r>
      <w:r w:rsidRPr="00080B9C">
        <w:rPr>
          <w:rFonts w:ascii="Arial" w:hAnsi="Arial" w:cs="Arial"/>
          <w:color w:val="000000" w:themeColor="text1"/>
          <w:sz w:val="24"/>
          <w:szCs w:val="24"/>
          <w:vertAlign w:val="superscript"/>
        </w:rPr>
        <w:t>2</w:t>
      </w:r>
      <w:r w:rsidRPr="00080B9C">
        <w:rPr>
          <w:rFonts w:ascii="Arial" w:hAnsi="Arial" w:cs="Arial"/>
          <w:color w:val="000000" w:themeColor="text1"/>
          <w:sz w:val="24"/>
          <w:szCs w:val="24"/>
        </w:rPr>
        <w:t xml:space="preserve"> sau pe hectar.</w:t>
      </w:r>
    </w:p>
    <w:p w:rsidR="00080B9C" w:rsidRPr="00080B9C" w:rsidRDefault="00080B9C" w:rsidP="00080B9C">
      <w:pPr>
        <w:tabs>
          <w:tab w:val="left" w:pos="1276"/>
        </w:tabs>
        <w:spacing w:after="0" w:line="240" w:lineRule="auto"/>
        <w:jc w:val="both"/>
        <w:rPr>
          <w:rFonts w:ascii="Arial" w:hAnsi="Arial" w:cs="Arial"/>
          <w:color w:val="000000" w:themeColor="text1"/>
          <w:sz w:val="24"/>
          <w:szCs w:val="24"/>
        </w:rPr>
      </w:pPr>
      <w:r w:rsidRPr="00080B9C">
        <w:rPr>
          <w:rFonts w:ascii="Arial" w:hAnsi="Arial" w:cs="Arial"/>
          <w:color w:val="000000" w:themeColor="text1"/>
          <w:sz w:val="24"/>
          <w:szCs w:val="24"/>
          <w:lang w:val="ro-RO"/>
        </w:rPr>
        <w:t xml:space="preserve">Figura </w:t>
      </w:r>
      <w:r w:rsidRPr="00080B9C">
        <w:rPr>
          <w:rFonts w:ascii="Arial" w:hAnsi="Arial" w:cs="Arial"/>
          <w:color w:val="000000" w:themeColor="text1"/>
          <w:sz w:val="24"/>
          <w:szCs w:val="24"/>
        </w:rPr>
        <w:t>IV.2. Evoluţia densităţii populaţiei la nivelul judeţului Vaslui, în perioada 2011-2015</w:t>
      </w:r>
    </w:p>
    <w:p w:rsidR="00080B9C" w:rsidRPr="00080B9C" w:rsidRDefault="00080B9C" w:rsidP="00080B9C">
      <w:pPr>
        <w:tabs>
          <w:tab w:val="left" w:pos="1276"/>
        </w:tabs>
        <w:spacing w:after="0" w:line="240" w:lineRule="auto"/>
        <w:jc w:val="both"/>
        <w:rPr>
          <w:rFonts w:ascii="Arial" w:hAnsi="Arial" w:cs="Arial"/>
          <w:color w:val="000000" w:themeColor="text1"/>
          <w:sz w:val="24"/>
          <w:szCs w:val="24"/>
        </w:rPr>
      </w:pPr>
      <w:r w:rsidRPr="00080B9C">
        <w:rPr>
          <w:rFonts w:ascii="Arial" w:hAnsi="Arial" w:cs="Arial"/>
          <w:noProof/>
          <w:sz w:val="24"/>
          <w:szCs w:val="24"/>
          <w:bdr w:val="single" w:sz="4" w:space="0" w:color="auto"/>
        </w:rPr>
        <w:drawing>
          <wp:inline distT="0" distB="0" distL="0" distR="0" wp14:anchorId="7330CFB8" wp14:editId="329DC55F">
            <wp:extent cx="6134100" cy="2476500"/>
            <wp:effectExtent l="0" t="0" r="0" b="0"/>
            <wp:docPr id="217" name="Chart 2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080B9C" w:rsidRPr="00080B9C" w:rsidRDefault="00080B9C" w:rsidP="00080B9C">
      <w:pPr>
        <w:tabs>
          <w:tab w:val="left" w:pos="1276"/>
        </w:tabs>
        <w:spacing w:after="0" w:line="240" w:lineRule="auto"/>
        <w:jc w:val="both"/>
        <w:rPr>
          <w:rFonts w:ascii="Arial" w:hAnsi="Arial" w:cs="Arial"/>
          <w:color w:val="000000" w:themeColor="text1"/>
          <w:sz w:val="24"/>
          <w:szCs w:val="24"/>
        </w:rPr>
      </w:pPr>
    </w:p>
    <w:p w:rsidR="00080B9C" w:rsidRPr="00080B9C" w:rsidRDefault="00080B9C" w:rsidP="00080B9C">
      <w:pPr>
        <w:spacing w:after="0" w:line="240" w:lineRule="auto"/>
        <w:ind w:firstLine="720"/>
        <w:jc w:val="both"/>
        <w:rPr>
          <w:rFonts w:ascii="Arial" w:hAnsi="Arial" w:cs="Arial"/>
          <w:sz w:val="24"/>
          <w:szCs w:val="24"/>
          <w:lang w:val="ro-RO"/>
        </w:rPr>
      </w:pPr>
      <w:r w:rsidRPr="00080B9C">
        <w:rPr>
          <w:rFonts w:ascii="Arial" w:hAnsi="Arial" w:cs="Arial"/>
          <w:sz w:val="24"/>
          <w:szCs w:val="24"/>
          <w:lang w:val="ro-RO"/>
        </w:rPr>
        <w:t>Analiza densităţii populaţiei pentru perioada 2011-2015 a relevat o tendinţă de creştere discretă la nivelul judeţului Vaslui, proces antrenat de creşterea demografică în anii 2014 şi 2015. Dacă în anul 2011, densitatea populaţiei în judeţul Vaslui era de 84,50 loc./km</w:t>
      </w:r>
      <w:r w:rsidRPr="00080B9C">
        <w:rPr>
          <w:rFonts w:ascii="Arial" w:hAnsi="Arial" w:cs="Arial"/>
          <w:sz w:val="24"/>
          <w:szCs w:val="24"/>
          <w:vertAlign w:val="superscript"/>
          <w:lang w:val="ro-RO"/>
        </w:rPr>
        <w:t>2</w:t>
      </w:r>
      <w:r w:rsidRPr="00080B9C">
        <w:rPr>
          <w:rFonts w:ascii="Arial" w:hAnsi="Arial" w:cs="Arial"/>
          <w:sz w:val="24"/>
          <w:szCs w:val="24"/>
          <w:lang w:val="ro-RO"/>
        </w:rPr>
        <w:t>, în anul 2015 aceasta a înregistrat valoarea de 89,6 loc./km</w:t>
      </w:r>
      <w:r w:rsidRPr="00080B9C">
        <w:rPr>
          <w:rFonts w:ascii="Arial" w:hAnsi="Arial" w:cs="Arial"/>
          <w:sz w:val="24"/>
          <w:szCs w:val="24"/>
          <w:vertAlign w:val="superscript"/>
          <w:lang w:val="ro-RO"/>
        </w:rPr>
        <w:t>2</w:t>
      </w:r>
      <w:r w:rsidRPr="00080B9C">
        <w:rPr>
          <w:rFonts w:ascii="Arial" w:hAnsi="Arial" w:cs="Arial"/>
          <w:sz w:val="24"/>
          <w:szCs w:val="24"/>
          <w:lang w:val="ro-RO"/>
        </w:rPr>
        <w:t>, tendinţa generală este de creştere a densităţii populaţiei ca urmare a creşterii numărului de locuitori la nivelul judeţului Vaslui.</w:t>
      </w:r>
    </w:p>
    <w:p w:rsidR="00080B9C" w:rsidRPr="00080B9C" w:rsidRDefault="00080B9C" w:rsidP="00080B9C">
      <w:pPr>
        <w:tabs>
          <w:tab w:val="left" w:pos="1276"/>
        </w:tabs>
        <w:spacing w:after="0" w:line="240" w:lineRule="auto"/>
        <w:jc w:val="both"/>
        <w:rPr>
          <w:rFonts w:ascii="Arial" w:hAnsi="Arial" w:cs="Arial"/>
          <w:b/>
          <w:i/>
          <w:sz w:val="24"/>
          <w:szCs w:val="24"/>
          <w:lang w:val="ro-RO"/>
        </w:rPr>
      </w:pPr>
    </w:p>
    <w:p w:rsidR="00080B9C" w:rsidRPr="00080B9C" w:rsidRDefault="00080B9C" w:rsidP="00080B9C">
      <w:pPr>
        <w:tabs>
          <w:tab w:val="left" w:pos="1276"/>
        </w:tabs>
        <w:spacing w:after="0" w:line="240" w:lineRule="auto"/>
        <w:rPr>
          <w:rFonts w:ascii="Arial" w:hAnsi="Arial" w:cs="Arial"/>
          <w:b/>
          <w:i/>
          <w:color w:val="000000" w:themeColor="text1"/>
          <w:sz w:val="24"/>
          <w:szCs w:val="24"/>
          <w:lang w:val="ro-RO"/>
        </w:rPr>
      </w:pPr>
      <w:r w:rsidRPr="00080B9C">
        <w:rPr>
          <w:rFonts w:ascii="Arial" w:hAnsi="Arial" w:cs="Arial"/>
          <w:b/>
          <w:i/>
          <w:color w:val="000000" w:themeColor="text1"/>
          <w:sz w:val="24"/>
          <w:szCs w:val="24"/>
          <w:lang w:val="ro-RO"/>
        </w:rPr>
        <w:t xml:space="preserve">IV.3.2. Expansiunea urbană </w:t>
      </w:r>
      <w:r w:rsidRPr="00080B9C">
        <w:rPr>
          <w:rFonts w:ascii="Arial" w:hAnsi="Arial" w:cs="Arial"/>
          <w:b/>
          <w:i/>
          <w:color w:val="000000" w:themeColor="text1"/>
          <w:sz w:val="24"/>
          <w:szCs w:val="24"/>
          <w:lang w:val="ro-RO"/>
        </w:rPr>
        <w:tab/>
      </w:r>
    </w:p>
    <w:p w:rsidR="00080B9C" w:rsidRPr="00080B9C" w:rsidRDefault="00080B9C" w:rsidP="00080B9C">
      <w:pPr>
        <w:tabs>
          <w:tab w:val="left" w:pos="1276"/>
        </w:tabs>
        <w:spacing w:after="0" w:line="240" w:lineRule="auto"/>
        <w:rPr>
          <w:rFonts w:ascii="Arial" w:hAnsi="Arial" w:cs="Arial"/>
          <w:b/>
          <w:i/>
          <w:color w:val="000000" w:themeColor="text1"/>
          <w:sz w:val="24"/>
          <w:szCs w:val="24"/>
          <w:lang w:val="ro-RO"/>
        </w:rPr>
      </w:pPr>
    </w:p>
    <w:p w:rsidR="00080B9C" w:rsidRPr="00080B9C" w:rsidRDefault="00080B9C" w:rsidP="00080B9C">
      <w:pPr>
        <w:spacing w:after="0" w:line="240" w:lineRule="auto"/>
        <w:jc w:val="both"/>
        <w:rPr>
          <w:rFonts w:ascii="Arial" w:hAnsi="Arial" w:cs="Arial"/>
          <w:color w:val="000000" w:themeColor="text1"/>
          <w:sz w:val="20"/>
          <w:szCs w:val="20"/>
        </w:rPr>
      </w:pPr>
      <w:r w:rsidRPr="00080B9C">
        <w:rPr>
          <w:rFonts w:ascii="Arial" w:hAnsi="Arial" w:cs="Arial"/>
          <w:bCs/>
          <w:iCs/>
          <w:sz w:val="24"/>
          <w:szCs w:val="24"/>
        </w:rPr>
        <w:tab/>
      </w:r>
      <w:r w:rsidRPr="00080B9C">
        <w:rPr>
          <w:rFonts w:ascii="Arial" w:hAnsi="Arial" w:cs="Arial"/>
          <w:bCs/>
          <w:iCs/>
          <w:color w:val="000000" w:themeColor="text1"/>
          <w:sz w:val="24"/>
          <w:szCs w:val="24"/>
        </w:rPr>
        <w:t xml:space="preserve">Expansiunea urbană </w:t>
      </w:r>
      <w:r w:rsidRPr="00080B9C">
        <w:rPr>
          <w:rFonts w:ascii="Arial" w:hAnsi="Arial" w:cs="Arial"/>
          <w:color w:val="000000" w:themeColor="text1"/>
          <w:sz w:val="24"/>
          <w:szCs w:val="24"/>
        </w:rPr>
        <w:t xml:space="preserve">reprezintă un proces complex, logic și legic în evoluția mediilor urbane, subiect de studiu actual al geografiei umane dar și al geografiei mediului, deoarece complexitatea impactului pe care acest fenomen îl exercită asupra componentelor mediului și peisajelor se dovedesc a fi din ce în ce mai acute, având implicații asupra calității vieții locuitorilor, a costurilor confortului locuirii, a stării de sănătate a locuitorilor, a multiplicării conflictelor în utilizarea terenurilor. </w:t>
      </w:r>
      <w:r w:rsidRPr="00080B9C">
        <w:rPr>
          <w:rFonts w:ascii="Arial" w:hAnsi="Arial" w:cs="Arial"/>
          <w:bCs/>
          <w:iCs/>
          <w:color w:val="000000" w:themeColor="text1"/>
          <w:sz w:val="24"/>
          <w:szCs w:val="24"/>
        </w:rPr>
        <w:t xml:space="preserve">Expansiunea urbană </w:t>
      </w:r>
      <w:r w:rsidRPr="00080B9C">
        <w:rPr>
          <w:rFonts w:ascii="Arial" w:hAnsi="Arial" w:cs="Arial"/>
          <w:color w:val="000000" w:themeColor="text1"/>
          <w:sz w:val="24"/>
          <w:szCs w:val="24"/>
        </w:rPr>
        <w:t xml:space="preserve">poate genera disfuncționalități de mediu importante, care se traduc prin dezechilibre economice și sociale. </w:t>
      </w:r>
      <w:r w:rsidRPr="00080B9C">
        <w:rPr>
          <w:rFonts w:ascii="Arial" w:hAnsi="Arial" w:cs="Arial"/>
          <w:color w:val="000000" w:themeColor="text1"/>
          <w:sz w:val="20"/>
          <w:szCs w:val="20"/>
        </w:rPr>
        <w:t>(Sursa: Facultatea de Geografie Bucureşti – Efecte spaţiale şi peisagere ale expansiunii şi dinamicii urbane în România)</w:t>
      </w:r>
    </w:p>
    <w:p w:rsidR="00080B9C" w:rsidRPr="00080B9C" w:rsidRDefault="00080B9C" w:rsidP="00080B9C">
      <w:pPr>
        <w:autoSpaceDE w:val="0"/>
        <w:autoSpaceDN w:val="0"/>
        <w:adjustRightInd w:val="0"/>
        <w:spacing w:after="0" w:line="240" w:lineRule="auto"/>
        <w:rPr>
          <w:rFonts w:ascii="Arial" w:hAnsi="Arial" w:cs="Arial"/>
          <w:sz w:val="24"/>
          <w:szCs w:val="24"/>
          <w:lang w:val="ro-RO"/>
        </w:rPr>
      </w:pPr>
      <w:r w:rsidRPr="00080B9C">
        <w:rPr>
          <w:rFonts w:ascii="Times New Roman" w:hAnsi="Times New Roman" w:cs="Times New Roman"/>
          <w:color w:val="000000"/>
          <w:sz w:val="24"/>
          <w:szCs w:val="24"/>
        </w:rPr>
        <w:t xml:space="preserve"> </w:t>
      </w:r>
    </w:p>
    <w:p w:rsidR="00080B9C" w:rsidRPr="00080B9C" w:rsidRDefault="00080B9C" w:rsidP="00080B9C">
      <w:pPr>
        <w:rPr>
          <w:rFonts w:ascii="Arial" w:hAnsi="Arial" w:cs="Arial"/>
          <w:b/>
          <w:sz w:val="24"/>
          <w:szCs w:val="24"/>
          <w:lang w:val="ro-RO"/>
        </w:rPr>
      </w:pPr>
      <w:r w:rsidRPr="00080B9C">
        <w:rPr>
          <w:rFonts w:ascii="Arial" w:hAnsi="Arial" w:cs="Arial"/>
          <w:b/>
          <w:sz w:val="24"/>
          <w:szCs w:val="24"/>
          <w:lang w:val="ro-RO"/>
        </w:rPr>
        <w:t xml:space="preserve">IV.4. Prognoze și acțiuni întreprinse privind utilizarea terenurilor </w:t>
      </w:r>
    </w:p>
    <w:p w:rsidR="00080B9C" w:rsidRPr="00080B9C" w:rsidRDefault="00080B9C" w:rsidP="00E264EC">
      <w:pPr>
        <w:spacing w:after="0" w:line="240" w:lineRule="auto"/>
        <w:jc w:val="both"/>
        <w:rPr>
          <w:rFonts w:ascii="Arial" w:eastAsia="Times New Roman" w:hAnsi="Arial" w:cs="Arial"/>
          <w:sz w:val="24"/>
          <w:szCs w:val="24"/>
        </w:rPr>
      </w:pPr>
      <w:r w:rsidRPr="00080B9C">
        <w:rPr>
          <w:rFonts w:ascii="Arial" w:hAnsi="Arial" w:cs="Arial"/>
          <w:b/>
          <w:sz w:val="24"/>
          <w:szCs w:val="24"/>
          <w:lang w:val="ro-RO"/>
        </w:rPr>
        <w:tab/>
      </w:r>
      <w:r w:rsidRPr="00080B9C">
        <w:rPr>
          <w:rFonts w:ascii="Arial" w:eastAsia="Times New Roman" w:hAnsi="Arial" w:cs="Arial"/>
          <w:sz w:val="24"/>
          <w:szCs w:val="24"/>
        </w:rPr>
        <w:t>Planificarea şi gestionarea folosirii terenurilor sunt esenţiale pentru reconcilierea folosirii terenurilor cu preocupările de mediu. Aceasta este o provocare care implică diverse niveluri de politici şi diverse sectoare. Monitorizarea şi mediatizarea consecinţelor negative ale folosirii terenurilor asupra mediului, concomitent cu susţinerea producţiei de resurse esenţiale este o prioritate majoră pentru factorii de decizie din întreaga lume. Deciziile privind planificarea şi gestionarea utilizării terenurilor se iau de obicei la nivel local sau regional. Cu toate acestea, </w:t>
      </w:r>
      <w:hyperlink r:id="rId82" w:history="1">
        <w:r w:rsidRPr="00080B9C">
          <w:rPr>
            <w:rFonts w:ascii="Arial" w:eastAsia="Times New Roman" w:hAnsi="Arial" w:cs="Arial"/>
            <w:sz w:val="24"/>
            <w:szCs w:val="24"/>
          </w:rPr>
          <w:t>Comisia Europeană</w:t>
        </w:r>
      </w:hyperlink>
      <w:r w:rsidRPr="00080B9C">
        <w:rPr>
          <w:rFonts w:ascii="Arial" w:eastAsia="Times New Roman" w:hAnsi="Arial" w:cs="Arial"/>
          <w:sz w:val="24"/>
          <w:szCs w:val="24"/>
        </w:rPr>
        <w:t xml:space="preserve"> are un </w:t>
      </w:r>
      <w:r w:rsidRPr="00080B9C">
        <w:rPr>
          <w:rFonts w:ascii="Arial" w:eastAsia="Times New Roman" w:hAnsi="Arial" w:cs="Arial"/>
          <w:sz w:val="24"/>
          <w:szCs w:val="24"/>
        </w:rPr>
        <w:lastRenderedPageBreak/>
        <w:t>rol important în asigurarea faptului că toate statele membre iau în considerare preocupările de mediu în cadrul planurilor lor de dezvoltare a utilizării terenurilor şi că aplică practicile de management integrat al terenurilor.</w:t>
      </w:r>
    </w:p>
    <w:p w:rsidR="00080B9C" w:rsidRPr="00080B9C" w:rsidRDefault="00080B9C" w:rsidP="00080B9C">
      <w:pPr>
        <w:spacing w:after="0" w:line="240" w:lineRule="auto"/>
        <w:ind w:firstLine="720"/>
        <w:jc w:val="both"/>
        <w:rPr>
          <w:rFonts w:ascii="Arial" w:eastAsia="Times New Roman" w:hAnsi="Arial" w:cs="Arial"/>
          <w:sz w:val="24"/>
          <w:szCs w:val="24"/>
        </w:rPr>
      </w:pPr>
      <w:r w:rsidRPr="00080B9C">
        <w:rPr>
          <w:rFonts w:ascii="Arial" w:eastAsia="Times New Roman" w:hAnsi="Arial" w:cs="Arial"/>
          <w:sz w:val="24"/>
          <w:szCs w:val="24"/>
        </w:rPr>
        <w:t>Economiile europene depind de resursele naturale, inclusiv de materii prime şi spaţiu (resurse de teren). Foaia de parcurs pentru o Europă eficientă din punct de vedere al resurselor prezintă problema folosirii terenurilor şi a gestionării resurselor de teren ca pe un element esenţial în combaterea tendinţelor nesustenabile privind resursele. Politicile Uniunii Europene privind </w:t>
      </w:r>
      <w:hyperlink r:id="rId83" w:history="1">
        <w:r w:rsidRPr="00080B9C">
          <w:rPr>
            <w:rFonts w:ascii="Arial" w:eastAsia="Times New Roman" w:hAnsi="Arial" w:cs="Arial"/>
            <w:sz w:val="24"/>
            <w:szCs w:val="24"/>
          </w:rPr>
          <w:t>adaptarea la schimbările climatice</w:t>
        </w:r>
      </w:hyperlink>
      <w:r w:rsidRPr="00080B9C">
        <w:rPr>
          <w:rFonts w:ascii="Arial" w:eastAsia="Times New Roman" w:hAnsi="Arial" w:cs="Arial"/>
          <w:sz w:val="24"/>
          <w:szCs w:val="24"/>
        </w:rPr>
        <w:t xml:space="preserve"> sunt direct relevante pentru actualele şi viitoarele practici de folosire a terenurilor şi pentru sectoarele economice care depind de acestea. Folosirea terenurilor este, de asemenea, un aspect important luat în considerare în cadrul multor politici, cum ar fi coeziunea teritorială, urbanismul, agricultura, transportul şi protecţia naturii.</w:t>
      </w:r>
    </w:p>
    <w:p w:rsidR="00080B9C" w:rsidRPr="00080B9C" w:rsidRDefault="00080B9C" w:rsidP="00080B9C">
      <w:pPr>
        <w:spacing w:after="0" w:line="240" w:lineRule="auto"/>
        <w:ind w:firstLine="720"/>
        <w:jc w:val="both"/>
        <w:rPr>
          <w:rFonts w:ascii="Arial" w:hAnsi="Arial" w:cs="Arial"/>
          <w:color w:val="FF0000"/>
          <w:sz w:val="24"/>
          <w:szCs w:val="24"/>
          <w:lang w:val="ro-RO"/>
        </w:rPr>
      </w:pPr>
      <w:r w:rsidRPr="00080B9C">
        <w:rPr>
          <w:rFonts w:ascii="Arial" w:hAnsi="Arial" w:cs="Arial"/>
          <w:sz w:val="24"/>
          <w:szCs w:val="24"/>
        </w:rPr>
        <w:t>Ocuparea terenurilor este o schimbare pe termen lung, greu sau costisitor de inversat. Devine din ce în ce mai evident faptul că există contraponderi complexe între tiparele de utilizare a terenurilor, presiunile de mediu generate de această utilizare și nevoile sociale și economice. Concluziile Rio+20 (ONU, 2012a) fac apel la o lume neutră din punct de vedere al degradării terenurilor, în timp ce UE și-a stabilit drept obiectiv „zero ocupări nete de terenuri” până în 2050. Politica UE prevede, de asemenea, stabilirea de ținte pentru utilizarea durabilă a terenurilor și a solului (UE, 2013). Limitarea ocupării terenurilor este deja și un obiectiv important al politicii privind terenurile la nivel național și subnațional (ETC SIA, 2013). Comisia Europeană pregătește, în prezent, o comunicare privind terenurile în calitate de resursă. Aceasta a arătat că scopul este de a unifica astfel de angajamente referitoare la utilizarea terenurilor și amenajarea teritoriului într-o politică coerentă care să țină seama de competențele aferente ale Uniunii Europene și ale statelor membre.</w:t>
      </w:r>
    </w:p>
    <w:p w:rsidR="00080B9C" w:rsidRDefault="00080B9C" w:rsidP="00830DBB">
      <w:pPr>
        <w:autoSpaceDE w:val="0"/>
        <w:autoSpaceDN w:val="0"/>
        <w:adjustRightInd w:val="0"/>
        <w:spacing w:after="120" w:line="240" w:lineRule="auto"/>
        <w:jc w:val="both"/>
        <w:rPr>
          <w:rFonts w:ascii="Arial" w:eastAsia="SimSun" w:hAnsi="Arial" w:cs="Arial"/>
          <w:color w:val="000000" w:themeColor="text1"/>
          <w:sz w:val="24"/>
          <w:szCs w:val="24"/>
          <w:lang w:val="en-GB"/>
        </w:rPr>
      </w:pPr>
    </w:p>
    <w:p w:rsidR="00080B9C" w:rsidRDefault="00080B9C" w:rsidP="00830DBB">
      <w:pPr>
        <w:autoSpaceDE w:val="0"/>
        <w:autoSpaceDN w:val="0"/>
        <w:adjustRightInd w:val="0"/>
        <w:spacing w:after="120" w:line="240" w:lineRule="auto"/>
        <w:jc w:val="both"/>
        <w:rPr>
          <w:rFonts w:ascii="Arial" w:eastAsia="SimSun" w:hAnsi="Arial" w:cs="Arial"/>
          <w:color w:val="000000" w:themeColor="text1"/>
          <w:sz w:val="24"/>
          <w:szCs w:val="24"/>
          <w:lang w:val="en-GB"/>
        </w:rPr>
      </w:pPr>
    </w:p>
    <w:p w:rsidR="007C4251" w:rsidRDefault="007C4251" w:rsidP="00830DBB">
      <w:pPr>
        <w:autoSpaceDE w:val="0"/>
        <w:autoSpaceDN w:val="0"/>
        <w:adjustRightInd w:val="0"/>
        <w:spacing w:after="120" w:line="240" w:lineRule="auto"/>
        <w:jc w:val="both"/>
        <w:rPr>
          <w:rFonts w:ascii="Arial" w:eastAsia="SimSun" w:hAnsi="Arial" w:cs="Arial"/>
          <w:color w:val="000000" w:themeColor="text1"/>
          <w:sz w:val="24"/>
          <w:szCs w:val="24"/>
          <w:lang w:val="en-GB"/>
        </w:rPr>
      </w:pPr>
    </w:p>
    <w:p w:rsidR="007C4251" w:rsidRDefault="007C4251" w:rsidP="00830DBB">
      <w:pPr>
        <w:autoSpaceDE w:val="0"/>
        <w:autoSpaceDN w:val="0"/>
        <w:adjustRightInd w:val="0"/>
        <w:spacing w:after="120" w:line="240" w:lineRule="auto"/>
        <w:jc w:val="both"/>
        <w:rPr>
          <w:rFonts w:ascii="Arial" w:eastAsia="SimSun" w:hAnsi="Arial" w:cs="Arial"/>
          <w:color w:val="000000" w:themeColor="text1"/>
          <w:sz w:val="24"/>
          <w:szCs w:val="24"/>
          <w:lang w:val="en-GB"/>
        </w:rPr>
      </w:pPr>
    </w:p>
    <w:p w:rsidR="007C4251" w:rsidRDefault="007C4251" w:rsidP="00830DBB">
      <w:pPr>
        <w:autoSpaceDE w:val="0"/>
        <w:autoSpaceDN w:val="0"/>
        <w:adjustRightInd w:val="0"/>
        <w:spacing w:after="120" w:line="240" w:lineRule="auto"/>
        <w:jc w:val="both"/>
        <w:rPr>
          <w:rFonts w:ascii="Arial" w:eastAsia="SimSun" w:hAnsi="Arial" w:cs="Arial"/>
          <w:color w:val="000000" w:themeColor="text1"/>
          <w:sz w:val="24"/>
          <w:szCs w:val="24"/>
          <w:lang w:val="en-GB"/>
        </w:rPr>
      </w:pPr>
    </w:p>
    <w:p w:rsidR="007C4251" w:rsidRDefault="007C4251" w:rsidP="00830DBB">
      <w:pPr>
        <w:autoSpaceDE w:val="0"/>
        <w:autoSpaceDN w:val="0"/>
        <w:adjustRightInd w:val="0"/>
        <w:spacing w:after="120" w:line="240" w:lineRule="auto"/>
        <w:jc w:val="both"/>
        <w:rPr>
          <w:rFonts w:ascii="Arial" w:eastAsia="SimSun" w:hAnsi="Arial" w:cs="Arial"/>
          <w:color w:val="000000" w:themeColor="text1"/>
          <w:sz w:val="24"/>
          <w:szCs w:val="24"/>
          <w:lang w:val="en-GB"/>
        </w:rPr>
      </w:pPr>
    </w:p>
    <w:p w:rsidR="007C4251" w:rsidRDefault="007C4251" w:rsidP="00830DBB">
      <w:pPr>
        <w:autoSpaceDE w:val="0"/>
        <w:autoSpaceDN w:val="0"/>
        <w:adjustRightInd w:val="0"/>
        <w:spacing w:after="120" w:line="240" w:lineRule="auto"/>
        <w:jc w:val="both"/>
        <w:rPr>
          <w:rFonts w:ascii="Arial" w:eastAsia="SimSun" w:hAnsi="Arial" w:cs="Arial"/>
          <w:color w:val="000000" w:themeColor="text1"/>
          <w:sz w:val="24"/>
          <w:szCs w:val="24"/>
          <w:lang w:val="en-GB"/>
        </w:rPr>
      </w:pPr>
    </w:p>
    <w:p w:rsidR="007C4251" w:rsidRDefault="007C4251" w:rsidP="00830DBB">
      <w:pPr>
        <w:autoSpaceDE w:val="0"/>
        <w:autoSpaceDN w:val="0"/>
        <w:adjustRightInd w:val="0"/>
        <w:spacing w:after="120" w:line="240" w:lineRule="auto"/>
        <w:jc w:val="both"/>
        <w:rPr>
          <w:rFonts w:ascii="Arial" w:eastAsia="SimSun" w:hAnsi="Arial" w:cs="Arial"/>
          <w:color w:val="000000" w:themeColor="text1"/>
          <w:sz w:val="24"/>
          <w:szCs w:val="24"/>
          <w:lang w:val="en-GB"/>
        </w:rPr>
      </w:pPr>
    </w:p>
    <w:p w:rsidR="007C4251" w:rsidRDefault="007C4251" w:rsidP="00830DBB">
      <w:pPr>
        <w:autoSpaceDE w:val="0"/>
        <w:autoSpaceDN w:val="0"/>
        <w:adjustRightInd w:val="0"/>
        <w:spacing w:after="120" w:line="240" w:lineRule="auto"/>
        <w:jc w:val="both"/>
        <w:rPr>
          <w:rFonts w:ascii="Arial" w:eastAsia="SimSun" w:hAnsi="Arial" w:cs="Arial"/>
          <w:color w:val="000000" w:themeColor="text1"/>
          <w:sz w:val="24"/>
          <w:szCs w:val="24"/>
          <w:lang w:val="en-GB"/>
        </w:rPr>
      </w:pPr>
    </w:p>
    <w:p w:rsidR="007C4251" w:rsidRDefault="007C4251" w:rsidP="00830DBB">
      <w:pPr>
        <w:autoSpaceDE w:val="0"/>
        <w:autoSpaceDN w:val="0"/>
        <w:adjustRightInd w:val="0"/>
        <w:spacing w:after="120" w:line="240" w:lineRule="auto"/>
        <w:jc w:val="both"/>
        <w:rPr>
          <w:rFonts w:ascii="Arial" w:eastAsia="SimSun" w:hAnsi="Arial" w:cs="Arial"/>
          <w:color w:val="000000" w:themeColor="text1"/>
          <w:sz w:val="24"/>
          <w:szCs w:val="24"/>
          <w:lang w:val="en-GB"/>
        </w:rPr>
      </w:pPr>
    </w:p>
    <w:p w:rsidR="007C4251" w:rsidRDefault="007C4251" w:rsidP="00830DBB">
      <w:pPr>
        <w:autoSpaceDE w:val="0"/>
        <w:autoSpaceDN w:val="0"/>
        <w:adjustRightInd w:val="0"/>
        <w:spacing w:after="120" w:line="240" w:lineRule="auto"/>
        <w:jc w:val="both"/>
        <w:rPr>
          <w:rFonts w:ascii="Arial" w:eastAsia="SimSun" w:hAnsi="Arial" w:cs="Arial"/>
          <w:color w:val="000000" w:themeColor="text1"/>
          <w:sz w:val="24"/>
          <w:szCs w:val="24"/>
          <w:lang w:val="en-GB"/>
        </w:rPr>
      </w:pPr>
    </w:p>
    <w:p w:rsidR="007C4251" w:rsidRDefault="007C4251" w:rsidP="00830DBB">
      <w:pPr>
        <w:autoSpaceDE w:val="0"/>
        <w:autoSpaceDN w:val="0"/>
        <w:adjustRightInd w:val="0"/>
        <w:spacing w:after="120" w:line="240" w:lineRule="auto"/>
        <w:jc w:val="both"/>
        <w:rPr>
          <w:rFonts w:ascii="Arial" w:eastAsia="SimSun" w:hAnsi="Arial" w:cs="Arial"/>
          <w:color w:val="000000" w:themeColor="text1"/>
          <w:sz w:val="24"/>
          <w:szCs w:val="24"/>
          <w:lang w:val="en-GB"/>
        </w:rPr>
      </w:pPr>
    </w:p>
    <w:p w:rsidR="007C4251" w:rsidRDefault="007C4251" w:rsidP="00830DBB">
      <w:pPr>
        <w:autoSpaceDE w:val="0"/>
        <w:autoSpaceDN w:val="0"/>
        <w:adjustRightInd w:val="0"/>
        <w:spacing w:after="120" w:line="240" w:lineRule="auto"/>
        <w:jc w:val="both"/>
        <w:rPr>
          <w:rFonts w:ascii="Arial" w:eastAsia="SimSun" w:hAnsi="Arial" w:cs="Arial"/>
          <w:color w:val="000000" w:themeColor="text1"/>
          <w:sz w:val="24"/>
          <w:szCs w:val="24"/>
          <w:lang w:val="en-GB"/>
        </w:rPr>
      </w:pPr>
    </w:p>
    <w:p w:rsidR="007C4251" w:rsidRDefault="007C4251" w:rsidP="00830DBB">
      <w:pPr>
        <w:autoSpaceDE w:val="0"/>
        <w:autoSpaceDN w:val="0"/>
        <w:adjustRightInd w:val="0"/>
        <w:spacing w:after="120" w:line="240" w:lineRule="auto"/>
        <w:jc w:val="both"/>
        <w:rPr>
          <w:rFonts w:ascii="Arial" w:eastAsia="SimSun" w:hAnsi="Arial" w:cs="Arial"/>
          <w:color w:val="000000" w:themeColor="text1"/>
          <w:sz w:val="24"/>
          <w:szCs w:val="24"/>
          <w:lang w:val="en-GB"/>
        </w:rPr>
      </w:pPr>
    </w:p>
    <w:p w:rsidR="00BD3349" w:rsidRDefault="00BD3349" w:rsidP="00830DBB">
      <w:pPr>
        <w:autoSpaceDE w:val="0"/>
        <w:autoSpaceDN w:val="0"/>
        <w:adjustRightInd w:val="0"/>
        <w:spacing w:after="120" w:line="240" w:lineRule="auto"/>
        <w:jc w:val="both"/>
        <w:rPr>
          <w:rFonts w:ascii="Arial" w:eastAsia="SimSun" w:hAnsi="Arial" w:cs="Arial"/>
          <w:color w:val="000000" w:themeColor="text1"/>
          <w:sz w:val="24"/>
          <w:szCs w:val="24"/>
          <w:lang w:val="en-GB"/>
        </w:rPr>
      </w:pPr>
    </w:p>
    <w:p w:rsidR="007C4251" w:rsidRDefault="007C4251" w:rsidP="00830DBB">
      <w:pPr>
        <w:autoSpaceDE w:val="0"/>
        <w:autoSpaceDN w:val="0"/>
        <w:adjustRightInd w:val="0"/>
        <w:spacing w:after="120" w:line="240" w:lineRule="auto"/>
        <w:jc w:val="both"/>
        <w:rPr>
          <w:rFonts w:ascii="Arial" w:eastAsia="SimSun" w:hAnsi="Arial" w:cs="Arial"/>
          <w:color w:val="000000" w:themeColor="text1"/>
          <w:sz w:val="24"/>
          <w:szCs w:val="24"/>
          <w:lang w:val="en-GB"/>
        </w:rPr>
      </w:pPr>
    </w:p>
    <w:p w:rsidR="00BD3349" w:rsidRPr="00BD3349" w:rsidRDefault="00BD3349" w:rsidP="00BD3349">
      <w:pPr>
        <w:spacing w:after="0" w:line="240" w:lineRule="auto"/>
        <w:jc w:val="center"/>
        <w:rPr>
          <w:rFonts w:ascii="Arial" w:hAnsi="Arial" w:cs="Arial"/>
          <w:b/>
          <w:sz w:val="24"/>
          <w:szCs w:val="24"/>
          <w:lang w:val="ro-RO"/>
        </w:rPr>
      </w:pPr>
      <w:r w:rsidRPr="00BD3349">
        <w:rPr>
          <w:rFonts w:ascii="Arial" w:hAnsi="Arial" w:cs="Arial"/>
          <w:b/>
          <w:sz w:val="24"/>
          <w:szCs w:val="24"/>
          <w:lang w:val="ro-RO"/>
        </w:rPr>
        <w:t>CAPITOLUL V. PROTECŢIA NATURII ŞI BIODIVERSITATEA</w:t>
      </w:r>
    </w:p>
    <w:p w:rsidR="00BD3349" w:rsidRPr="00BD3349" w:rsidRDefault="00BD3349" w:rsidP="00BD3349">
      <w:pPr>
        <w:spacing w:after="0" w:line="240" w:lineRule="auto"/>
        <w:jc w:val="center"/>
        <w:rPr>
          <w:rFonts w:ascii="Arial" w:hAnsi="Arial" w:cs="Arial"/>
          <w:b/>
          <w:sz w:val="24"/>
          <w:szCs w:val="24"/>
          <w:lang w:val="ro-RO"/>
        </w:rPr>
      </w:pPr>
    </w:p>
    <w:p w:rsidR="00BD3349" w:rsidRPr="00BD3349" w:rsidRDefault="00BD3349" w:rsidP="00BD3349">
      <w:pPr>
        <w:spacing w:after="0" w:line="240" w:lineRule="auto"/>
        <w:ind w:firstLine="720"/>
        <w:jc w:val="both"/>
        <w:rPr>
          <w:rFonts w:ascii="Arial" w:hAnsi="Arial" w:cs="Arial"/>
          <w:b/>
          <w:sz w:val="20"/>
          <w:szCs w:val="20"/>
          <w:lang w:val="ro-RO"/>
        </w:rPr>
      </w:pPr>
      <w:r w:rsidRPr="00BD3349">
        <w:rPr>
          <w:rFonts w:ascii="Arial" w:hAnsi="Arial" w:cs="Arial"/>
          <w:sz w:val="24"/>
          <w:szCs w:val="24"/>
          <w:lang w:val="en-GB"/>
        </w:rPr>
        <w:t xml:space="preserve">Diversitatea speciilor sălbatice de animale şi plante formează ceea ce se numeşte „suportul vieţii”, deoarece asigură atât condiţiile necesare dezvoltării socio-economice a populaţiei – prin controlul climei, a calităţii aerului, apei şi a mediului înconjurător în general – cât şi resurse naturale cum sunt lemnul, vânatul, plantele medicinale sau comestibile etc. </w:t>
      </w:r>
      <w:r w:rsidRPr="00BD3349">
        <w:rPr>
          <w:rFonts w:ascii="Arial" w:hAnsi="Arial" w:cs="Arial"/>
          <w:sz w:val="20"/>
          <w:szCs w:val="20"/>
          <w:lang w:val="en-GB"/>
        </w:rPr>
        <w:t>(Sursa: Reţeaua Natura 2000 în regiunea Moldovei (România) - Emanuel Ştefan Baltag, Viorel Pocora)</w:t>
      </w:r>
    </w:p>
    <w:p w:rsidR="00BD3349" w:rsidRPr="00BD3349" w:rsidRDefault="00BD3349" w:rsidP="00BD3349">
      <w:pPr>
        <w:spacing w:after="0" w:line="240" w:lineRule="auto"/>
        <w:ind w:firstLine="720"/>
        <w:jc w:val="both"/>
        <w:rPr>
          <w:rFonts w:ascii="Arial" w:hAnsi="Arial" w:cs="Arial"/>
          <w:sz w:val="24"/>
          <w:szCs w:val="24"/>
          <w:lang w:val="ro-RO"/>
        </w:rPr>
      </w:pPr>
      <w:r w:rsidRPr="00BD3349">
        <w:rPr>
          <w:rFonts w:ascii="Arial" w:hAnsi="Arial" w:cs="Arial"/>
          <w:sz w:val="24"/>
          <w:szCs w:val="24"/>
          <w:lang w:val="ro-RO"/>
        </w:rPr>
        <w:t xml:space="preserve">Biodiversitatea judeţului Vaslui este caracterizată de existenţa a două bioregiuni: stepică şi continentală, realizându-se astfel o îmbinare armonioasă a păşunilor naturale cu pădurile specifice elementului central-european, prezentând influenţe floristice ale  stepei şi silvostepei. </w:t>
      </w:r>
    </w:p>
    <w:p w:rsidR="00BD3349" w:rsidRPr="00BD3349" w:rsidRDefault="00BD3349" w:rsidP="00BD3349">
      <w:pPr>
        <w:spacing w:after="0" w:line="240" w:lineRule="auto"/>
        <w:ind w:firstLine="720"/>
        <w:jc w:val="both"/>
        <w:rPr>
          <w:rFonts w:ascii="Arial" w:hAnsi="Arial" w:cs="Arial"/>
          <w:sz w:val="24"/>
          <w:szCs w:val="24"/>
          <w:lang w:val="ro-RO"/>
        </w:rPr>
      </w:pPr>
    </w:p>
    <w:p w:rsidR="00BD3349" w:rsidRPr="00BD3349" w:rsidRDefault="00BD3349" w:rsidP="00BD3349">
      <w:pPr>
        <w:spacing w:after="0" w:line="240" w:lineRule="auto"/>
        <w:jc w:val="both"/>
        <w:rPr>
          <w:rFonts w:ascii="Arial" w:hAnsi="Arial" w:cs="Arial"/>
          <w:sz w:val="24"/>
          <w:szCs w:val="24"/>
          <w:lang w:val="ro-RO"/>
        </w:rPr>
      </w:pPr>
      <w:r w:rsidRPr="00BD3349">
        <w:rPr>
          <w:rFonts w:ascii="Arial" w:hAnsi="Arial" w:cs="Arial"/>
          <w:sz w:val="24"/>
          <w:szCs w:val="24"/>
          <w:lang w:val="ro-RO"/>
        </w:rPr>
        <w:t xml:space="preserve">       Figura V.1. Distribuţia reţelei de arii naturale protejate din judeţul Vaslui</w:t>
      </w:r>
    </w:p>
    <w:p w:rsidR="00BD3349" w:rsidRPr="00BD3349" w:rsidRDefault="00BD3349" w:rsidP="00BD3349">
      <w:pPr>
        <w:jc w:val="center"/>
        <w:rPr>
          <w:rFonts w:ascii="Arial" w:hAnsi="Arial" w:cs="Arial"/>
          <w:sz w:val="24"/>
          <w:szCs w:val="24"/>
          <w:lang w:val="ro-RO"/>
        </w:rPr>
      </w:pPr>
      <w:r w:rsidRPr="00BD3349">
        <w:rPr>
          <w:rFonts w:ascii="Arial" w:hAnsi="Arial" w:cs="Arial"/>
          <w:noProof/>
          <w:sz w:val="24"/>
          <w:szCs w:val="24"/>
        </w:rPr>
        <w:drawing>
          <wp:inline distT="0" distB="0" distL="0" distR="0" wp14:anchorId="4FAAF880" wp14:editId="6D0C1A0B">
            <wp:extent cx="5133975" cy="4638675"/>
            <wp:effectExtent l="0" t="0" r="0" b="0"/>
            <wp:docPr id="218" name="Picture 218" descr="bioregi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oregiuni"/>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133975" cy="4638675"/>
                    </a:xfrm>
                    <a:prstGeom prst="rect">
                      <a:avLst/>
                    </a:prstGeom>
                    <a:noFill/>
                    <a:ln>
                      <a:noFill/>
                    </a:ln>
                  </pic:spPr>
                </pic:pic>
              </a:graphicData>
            </a:graphic>
          </wp:inline>
        </w:drawing>
      </w:r>
    </w:p>
    <w:p w:rsidR="00BD3349" w:rsidRPr="00BD3349" w:rsidRDefault="00BD3349" w:rsidP="00BD3349">
      <w:pPr>
        <w:spacing w:after="0" w:line="240" w:lineRule="auto"/>
        <w:ind w:firstLine="720"/>
        <w:jc w:val="both"/>
        <w:rPr>
          <w:rFonts w:ascii="Arial" w:hAnsi="Arial" w:cs="Arial"/>
          <w:sz w:val="24"/>
          <w:szCs w:val="24"/>
          <w:lang w:val="ro-RO"/>
        </w:rPr>
      </w:pPr>
      <w:r w:rsidRPr="00BD3349">
        <w:rPr>
          <w:rFonts w:ascii="Arial" w:hAnsi="Arial" w:cs="Arial"/>
          <w:sz w:val="24"/>
          <w:szCs w:val="24"/>
          <w:lang w:val="ro-RO"/>
        </w:rPr>
        <w:t xml:space="preserve">Pe dealuri impropii pentru agricultură şi pe terenurile unde pădurea a fost tăiată, întâlnim adesea elemente specifice habitatului de stepe ponto-sarmatice. În acest habitat, conform Directivei 92/43/EEC privind conservarea habitatelor naturale, a florei şi faunei sălbatice, sunt supuse sub regim de protecţie -conform anexei II, următoarele </w:t>
      </w:r>
      <w:r w:rsidRPr="00BD3349">
        <w:rPr>
          <w:rFonts w:ascii="Arial" w:hAnsi="Arial" w:cs="Arial"/>
          <w:sz w:val="24"/>
          <w:szCs w:val="24"/>
          <w:lang w:val="ro-RO"/>
        </w:rPr>
        <w:lastRenderedPageBreak/>
        <w:t>specii: popândăul (</w:t>
      </w:r>
      <w:r w:rsidRPr="00BD3349">
        <w:rPr>
          <w:rFonts w:ascii="Arial" w:hAnsi="Arial" w:cs="Arial"/>
          <w:i/>
          <w:sz w:val="24"/>
          <w:szCs w:val="24"/>
          <w:lang w:val="ro-RO"/>
        </w:rPr>
        <w:t>Spermophilus citellus</w:t>
      </w:r>
      <w:r w:rsidRPr="00BD3349">
        <w:rPr>
          <w:rFonts w:ascii="Arial" w:hAnsi="Arial" w:cs="Arial"/>
          <w:sz w:val="24"/>
          <w:szCs w:val="24"/>
          <w:lang w:val="ro-RO"/>
        </w:rPr>
        <w:t>), târtanul (</w:t>
      </w:r>
      <w:r w:rsidRPr="00BD3349">
        <w:rPr>
          <w:rFonts w:ascii="Arial" w:hAnsi="Arial" w:cs="Arial"/>
          <w:i/>
          <w:sz w:val="24"/>
          <w:szCs w:val="24"/>
          <w:lang w:val="ro-RO"/>
        </w:rPr>
        <w:t>Crambe tataria</w:t>
      </w:r>
      <w:r w:rsidRPr="00BD3349">
        <w:rPr>
          <w:rFonts w:ascii="Arial" w:hAnsi="Arial" w:cs="Arial"/>
          <w:sz w:val="24"/>
          <w:szCs w:val="24"/>
          <w:lang w:val="ro-RO"/>
        </w:rPr>
        <w:t xml:space="preserve">), iarba şarpelui ( </w:t>
      </w:r>
      <w:r w:rsidRPr="00BD3349">
        <w:rPr>
          <w:rFonts w:ascii="Arial" w:hAnsi="Arial" w:cs="Arial"/>
          <w:i/>
          <w:sz w:val="24"/>
          <w:szCs w:val="24"/>
          <w:lang w:val="ro-RO"/>
        </w:rPr>
        <w:t>Echium russicum</w:t>
      </w:r>
      <w:r w:rsidRPr="00BD3349">
        <w:rPr>
          <w:rFonts w:ascii="Arial" w:hAnsi="Arial" w:cs="Arial"/>
          <w:sz w:val="24"/>
          <w:szCs w:val="24"/>
          <w:lang w:val="ro-RO"/>
        </w:rPr>
        <w:t>) şi stânjenel (</w:t>
      </w:r>
      <w:r w:rsidRPr="00BD3349">
        <w:rPr>
          <w:rFonts w:ascii="Arial" w:hAnsi="Arial" w:cs="Arial"/>
          <w:i/>
          <w:sz w:val="24"/>
          <w:szCs w:val="24"/>
          <w:lang w:val="ro-RO"/>
        </w:rPr>
        <w:t>Iris aphylla ssp. hungarica</w:t>
      </w:r>
      <w:r w:rsidRPr="00BD3349">
        <w:rPr>
          <w:rFonts w:ascii="Arial" w:hAnsi="Arial" w:cs="Arial"/>
          <w:sz w:val="24"/>
          <w:szCs w:val="24"/>
          <w:lang w:val="ro-RO"/>
        </w:rPr>
        <w:t xml:space="preserve">). </w:t>
      </w:r>
    </w:p>
    <w:p w:rsidR="00BD3349" w:rsidRPr="00BD3349" w:rsidRDefault="00BD3349" w:rsidP="00BD3349">
      <w:pPr>
        <w:spacing w:after="0" w:line="240" w:lineRule="auto"/>
        <w:ind w:firstLine="720"/>
        <w:jc w:val="both"/>
        <w:rPr>
          <w:rFonts w:ascii="Arial" w:hAnsi="Arial" w:cs="Arial"/>
          <w:sz w:val="24"/>
          <w:szCs w:val="24"/>
          <w:lang w:val="ro-RO"/>
        </w:rPr>
      </w:pPr>
      <w:r w:rsidRPr="00BD3349">
        <w:rPr>
          <w:rFonts w:ascii="Arial" w:hAnsi="Arial" w:cs="Arial"/>
          <w:sz w:val="24"/>
          <w:szCs w:val="24"/>
          <w:lang w:val="ro-RO"/>
        </w:rPr>
        <w:t>Habitatul 40CO* - tufişuri de foioase ponto-sarmatice este elementul de tranzit din zona pajiştilor către zona pădurilor.</w:t>
      </w:r>
    </w:p>
    <w:p w:rsidR="00BD3349" w:rsidRDefault="00BD3349" w:rsidP="00BD3349">
      <w:pPr>
        <w:spacing w:after="0" w:line="240" w:lineRule="auto"/>
        <w:ind w:firstLine="720"/>
        <w:jc w:val="both"/>
        <w:rPr>
          <w:rFonts w:ascii="Arial" w:hAnsi="Arial" w:cs="Arial"/>
          <w:sz w:val="24"/>
          <w:szCs w:val="24"/>
          <w:lang w:val="ro-RO"/>
        </w:rPr>
      </w:pPr>
      <w:r w:rsidRPr="00BD3349">
        <w:rPr>
          <w:rFonts w:ascii="Arial" w:hAnsi="Arial" w:cs="Arial"/>
          <w:sz w:val="24"/>
          <w:szCs w:val="24"/>
          <w:lang w:val="ro-RO"/>
        </w:rPr>
        <w:t>În zonele forestiere din judeţul Vaslui putem întâlni habitate de pădure, ca: vegetaţie forestieră ponto-sarmatică cu stejar pufos - 91AA, păduri dacice de stejar şi carpen – 91YO, vegetaţie de silvostepă eurosiberiană – 91IO* şi păduri de fag de tip Asperulo – Fagetum - 9130.</w:t>
      </w:r>
    </w:p>
    <w:p w:rsidR="00BC1657" w:rsidRPr="00BD3349" w:rsidRDefault="00BC1657" w:rsidP="00BD3349">
      <w:pPr>
        <w:spacing w:after="0" w:line="240" w:lineRule="auto"/>
        <w:ind w:firstLine="720"/>
        <w:jc w:val="both"/>
        <w:rPr>
          <w:rFonts w:ascii="Arial" w:hAnsi="Arial" w:cs="Arial"/>
          <w:sz w:val="24"/>
          <w:szCs w:val="24"/>
          <w:lang w:val="ro-RO"/>
        </w:rPr>
      </w:pPr>
    </w:p>
    <w:p w:rsidR="00BD3349" w:rsidRPr="00BD3349" w:rsidRDefault="00BD3349" w:rsidP="00BD3349">
      <w:pPr>
        <w:rPr>
          <w:rFonts w:ascii="Arial" w:hAnsi="Arial" w:cs="Arial"/>
          <w:sz w:val="24"/>
          <w:szCs w:val="24"/>
          <w:lang w:val="ro-RO"/>
        </w:rPr>
      </w:pPr>
      <w:r w:rsidRPr="00BD3349">
        <w:rPr>
          <w:rFonts w:ascii="Arial" w:hAnsi="Arial" w:cs="Arial"/>
          <w:sz w:val="24"/>
          <w:szCs w:val="24"/>
          <w:lang w:val="es-ES"/>
        </w:rPr>
        <w:t>Figura  V.2. Repartiţia tipurilor de habitate la nivelul judeţului Vaslui</w:t>
      </w:r>
    </w:p>
    <w:p w:rsidR="00BD3349" w:rsidRPr="00BD3349" w:rsidRDefault="00BD3349" w:rsidP="00BD3349">
      <w:pPr>
        <w:jc w:val="center"/>
        <w:rPr>
          <w:rFonts w:ascii="Arial" w:hAnsi="Arial" w:cs="Arial"/>
          <w:sz w:val="24"/>
          <w:szCs w:val="24"/>
          <w:lang w:val="en-GB"/>
        </w:rPr>
      </w:pPr>
      <w:r w:rsidRPr="00BD3349">
        <w:rPr>
          <w:rFonts w:ascii="Arial" w:hAnsi="Arial" w:cs="Arial"/>
          <w:noProof/>
          <w:sz w:val="24"/>
          <w:szCs w:val="24"/>
        </w:rPr>
        <w:drawing>
          <wp:inline distT="0" distB="0" distL="0" distR="0" wp14:anchorId="04500625" wp14:editId="0D086D5F">
            <wp:extent cx="3943350" cy="2105025"/>
            <wp:effectExtent l="0" t="0" r="0" b="0"/>
            <wp:docPr id="219" name="Char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BD3349" w:rsidRPr="00BD3349" w:rsidRDefault="00BD3349" w:rsidP="00BD3349">
      <w:pPr>
        <w:spacing w:after="0" w:line="240" w:lineRule="auto"/>
        <w:ind w:firstLine="720"/>
        <w:jc w:val="both"/>
        <w:rPr>
          <w:rFonts w:ascii="Arial" w:hAnsi="Arial" w:cs="Arial"/>
          <w:sz w:val="24"/>
          <w:szCs w:val="24"/>
          <w:lang w:val="ro-RO"/>
        </w:rPr>
      </w:pPr>
      <w:r w:rsidRPr="00BD3349">
        <w:rPr>
          <w:rFonts w:ascii="Arial" w:hAnsi="Arial" w:cs="Arial"/>
          <w:sz w:val="24"/>
          <w:szCs w:val="24"/>
          <w:lang w:val="ro-RO"/>
        </w:rPr>
        <w:t>Habitatele de ape dulci sunt întâlnite în zona luncii râului Prut, râu ce formează graniţa de est a judeţului, pe o distanţă de cca. 150 km. În Lunca Prutului se întâlnesc bălţi, mlaştini şi lacuri în care vieţuieşte o lume acvatică foarte bogată, compusă din specii de peşti, mamifere şi păsări supuse protecţiei conform Directivei Consiliului 92/43/CEE.</w:t>
      </w:r>
    </w:p>
    <w:p w:rsidR="00BD3349" w:rsidRPr="00BD3349" w:rsidRDefault="00BD3349" w:rsidP="00BD3349">
      <w:pPr>
        <w:spacing w:after="0" w:line="240" w:lineRule="auto"/>
        <w:ind w:firstLine="720"/>
        <w:jc w:val="both"/>
        <w:rPr>
          <w:rFonts w:ascii="Arial" w:hAnsi="Arial" w:cs="Arial"/>
          <w:sz w:val="24"/>
          <w:szCs w:val="24"/>
          <w:lang w:val="ro-RO"/>
        </w:rPr>
      </w:pPr>
      <w:r w:rsidRPr="00BD3349">
        <w:rPr>
          <w:rFonts w:ascii="Arial" w:hAnsi="Arial" w:cs="Arial"/>
          <w:sz w:val="24"/>
          <w:szCs w:val="24"/>
          <w:lang w:val="ro-RO"/>
        </w:rPr>
        <w:t>Flora sălbatică a judeţului Vaslui este caracterizată de 5 specii protejate la nivel european,14 specii sunt endemite şi a căror conservare necesită un regim strict de protecţie: zăvascuţă (</w:t>
      </w:r>
      <w:r w:rsidRPr="00BD3349">
        <w:rPr>
          <w:rFonts w:ascii="Arial" w:hAnsi="Arial" w:cs="Arial"/>
          <w:i/>
          <w:sz w:val="24"/>
          <w:szCs w:val="24"/>
          <w:lang w:val="ro-RO"/>
        </w:rPr>
        <w:t>Astragalus manos pessulanus</w:t>
      </w:r>
      <w:r w:rsidRPr="00BD3349">
        <w:rPr>
          <w:rFonts w:ascii="Arial" w:hAnsi="Arial" w:cs="Arial"/>
          <w:sz w:val="24"/>
          <w:szCs w:val="24"/>
          <w:lang w:val="ro-RO"/>
        </w:rPr>
        <w:t xml:space="preserve">), laleaua galbenă ( </w:t>
      </w:r>
      <w:r w:rsidRPr="00BD3349">
        <w:rPr>
          <w:rFonts w:ascii="Arial" w:hAnsi="Arial" w:cs="Arial"/>
          <w:i/>
          <w:sz w:val="24"/>
          <w:szCs w:val="24"/>
          <w:lang w:val="ro-RO"/>
        </w:rPr>
        <w:t>Tulipa bierberstiana</w:t>
      </w:r>
      <w:r w:rsidRPr="00BD3349">
        <w:rPr>
          <w:rFonts w:ascii="Arial" w:hAnsi="Arial" w:cs="Arial"/>
          <w:sz w:val="24"/>
          <w:szCs w:val="24"/>
          <w:lang w:val="ro-RO"/>
        </w:rPr>
        <w:t xml:space="preserve">), salba moale pitică ( </w:t>
      </w:r>
      <w:r w:rsidRPr="00BD3349">
        <w:rPr>
          <w:rFonts w:ascii="Arial" w:hAnsi="Arial" w:cs="Arial"/>
          <w:i/>
          <w:sz w:val="24"/>
          <w:szCs w:val="24"/>
          <w:lang w:val="ro-RO"/>
        </w:rPr>
        <w:t>Evonymus nana</w:t>
      </w:r>
      <w:r w:rsidRPr="00BD3349">
        <w:rPr>
          <w:rFonts w:ascii="Arial" w:hAnsi="Arial" w:cs="Arial"/>
          <w:sz w:val="24"/>
          <w:szCs w:val="24"/>
          <w:lang w:val="ro-RO"/>
        </w:rPr>
        <w:t>), iarbă mare (</w:t>
      </w:r>
      <w:r w:rsidRPr="00BD3349">
        <w:rPr>
          <w:rFonts w:ascii="Arial" w:hAnsi="Arial" w:cs="Arial"/>
          <w:i/>
          <w:sz w:val="24"/>
          <w:szCs w:val="24"/>
          <w:lang w:val="ro-RO"/>
        </w:rPr>
        <w:t>Inula oculus christi</w:t>
      </w:r>
      <w:r w:rsidRPr="00BD3349">
        <w:rPr>
          <w:rFonts w:ascii="Arial" w:hAnsi="Arial" w:cs="Arial"/>
          <w:sz w:val="24"/>
          <w:szCs w:val="24"/>
          <w:lang w:val="ro-RO"/>
        </w:rPr>
        <w:t>), sadină (</w:t>
      </w:r>
      <w:r w:rsidRPr="00BD3349">
        <w:rPr>
          <w:rFonts w:ascii="Arial" w:hAnsi="Arial" w:cs="Arial"/>
          <w:i/>
          <w:sz w:val="24"/>
          <w:szCs w:val="24"/>
          <w:lang w:val="ro-RO"/>
        </w:rPr>
        <w:t>Chysopogon gryllus</w:t>
      </w:r>
      <w:r w:rsidRPr="00BD3349">
        <w:rPr>
          <w:rFonts w:ascii="Arial" w:hAnsi="Arial" w:cs="Arial"/>
          <w:sz w:val="24"/>
          <w:szCs w:val="24"/>
          <w:lang w:val="ro-RO"/>
        </w:rPr>
        <w:t>), sipică (</w:t>
      </w:r>
      <w:r w:rsidRPr="00BD3349">
        <w:rPr>
          <w:rFonts w:ascii="Arial" w:hAnsi="Arial" w:cs="Arial"/>
          <w:i/>
          <w:sz w:val="24"/>
          <w:szCs w:val="24"/>
          <w:lang w:val="ro-RO"/>
        </w:rPr>
        <w:t>Cephalaria uralensis</w:t>
      </w:r>
      <w:r w:rsidRPr="00BD3349">
        <w:rPr>
          <w:rFonts w:ascii="Arial" w:hAnsi="Arial" w:cs="Arial"/>
          <w:sz w:val="24"/>
          <w:szCs w:val="24"/>
          <w:lang w:val="ro-RO"/>
        </w:rPr>
        <w:t>), cârcel (</w:t>
      </w:r>
      <w:r w:rsidRPr="00BD3349">
        <w:rPr>
          <w:rFonts w:ascii="Arial" w:hAnsi="Arial" w:cs="Arial"/>
          <w:i/>
          <w:sz w:val="24"/>
          <w:szCs w:val="24"/>
          <w:lang w:val="ro-RO"/>
        </w:rPr>
        <w:t>Ephedra distachya</w:t>
      </w:r>
      <w:r w:rsidRPr="00BD3349">
        <w:rPr>
          <w:rFonts w:ascii="Arial" w:hAnsi="Arial" w:cs="Arial"/>
          <w:sz w:val="24"/>
          <w:szCs w:val="24"/>
          <w:lang w:val="ro-RO"/>
        </w:rPr>
        <w:t>), gârniţă (</w:t>
      </w:r>
      <w:r w:rsidRPr="00BD3349">
        <w:rPr>
          <w:rFonts w:ascii="Arial" w:hAnsi="Arial" w:cs="Arial"/>
          <w:i/>
          <w:sz w:val="24"/>
          <w:szCs w:val="24"/>
          <w:lang w:val="ro-RO"/>
        </w:rPr>
        <w:t>Quercus frainetto</w:t>
      </w:r>
      <w:r w:rsidRPr="00BD3349">
        <w:rPr>
          <w:rFonts w:ascii="Arial" w:hAnsi="Arial" w:cs="Arial"/>
          <w:sz w:val="24"/>
          <w:szCs w:val="24"/>
          <w:lang w:val="ro-RO"/>
        </w:rPr>
        <w:t>), stânjenel (</w:t>
      </w:r>
      <w:r w:rsidRPr="00BD3349">
        <w:rPr>
          <w:rFonts w:ascii="Arial" w:hAnsi="Arial" w:cs="Arial"/>
          <w:i/>
          <w:sz w:val="24"/>
          <w:szCs w:val="24"/>
          <w:lang w:val="ro-RO"/>
        </w:rPr>
        <w:t>Iris brandzae</w:t>
      </w:r>
      <w:r w:rsidRPr="00BD3349">
        <w:rPr>
          <w:rFonts w:ascii="Arial" w:hAnsi="Arial" w:cs="Arial"/>
          <w:sz w:val="24"/>
          <w:szCs w:val="24"/>
          <w:lang w:val="ro-RO"/>
        </w:rPr>
        <w:t>), barba boierului (</w:t>
      </w:r>
      <w:r w:rsidRPr="00BD3349">
        <w:rPr>
          <w:rFonts w:ascii="Arial" w:hAnsi="Arial" w:cs="Arial"/>
          <w:i/>
          <w:sz w:val="24"/>
          <w:szCs w:val="24"/>
          <w:lang w:val="ro-RO"/>
        </w:rPr>
        <w:t>Ajuga laxmanni</w:t>
      </w:r>
      <w:r w:rsidRPr="00BD3349">
        <w:rPr>
          <w:rFonts w:ascii="Arial" w:hAnsi="Arial" w:cs="Arial"/>
          <w:sz w:val="24"/>
          <w:szCs w:val="24"/>
          <w:lang w:val="ro-RO"/>
        </w:rPr>
        <w:t>), tufa lemnoasă (</w:t>
      </w:r>
      <w:r w:rsidRPr="00BD3349">
        <w:rPr>
          <w:rFonts w:ascii="Arial" w:hAnsi="Arial" w:cs="Arial"/>
          <w:i/>
          <w:sz w:val="24"/>
          <w:szCs w:val="24"/>
          <w:lang w:val="ro-RO"/>
        </w:rPr>
        <w:t>Caragana frutex</w:t>
      </w:r>
      <w:r w:rsidRPr="00BD3349">
        <w:rPr>
          <w:rFonts w:ascii="Arial" w:hAnsi="Arial" w:cs="Arial"/>
          <w:sz w:val="24"/>
          <w:szCs w:val="24"/>
          <w:lang w:val="ro-RO"/>
        </w:rPr>
        <w:t>), laleaua piestriţă (</w:t>
      </w:r>
      <w:r w:rsidRPr="00BD3349">
        <w:rPr>
          <w:rFonts w:ascii="Arial" w:hAnsi="Arial" w:cs="Arial"/>
          <w:i/>
          <w:sz w:val="24"/>
          <w:szCs w:val="24"/>
          <w:lang w:val="ro-RO"/>
        </w:rPr>
        <w:t>Fritillaria meleagris</w:t>
      </w:r>
      <w:r w:rsidRPr="00BD3349">
        <w:rPr>
          <w:rFonts w:ascii="Arial" w:hAnsi="Arial" w:cs="Arial"/>
          <w:sz w:val="24"/>
          <w:szCs w:val="24"/>
          <w:lang w:val="ro-RO"/>
        </w:rPr>
        <w:t>), ruscuţă (</w:t>
      </w:r>
      <w:r w:rsidRPr="00BD3349">
        <w:rPr>
          <w:rFonts w:ascii="Arial" w:hAnsi="Arial" w:cs="Arial"/>
          <w:i/>
          <w:sz w:val="24"/>
          <w:szCs w:val="24"/>
          <w:lang w:val="ro-RO"/>
        </w:rPr>
        <w:t>Adonis hibrida</w:t>
      </w:r>
      <w:r w:rsidRPr="00BD3349">
        <w:rPr>
          <w:rFonts w:ascii="Arial" w:hAnsi="Arial" w:cs="Arial"/>
          <w:sz w:val="24"/>
          <w:szCs w:val="24"/>
          <w:lang w:val="ro-RO"/>
        </w:rPr>
        <w:t>) şi sânzâiene (</w:t>
      </w:r>
      <w:r w:rsidRPr="00BD3349">
        <w:rPr>
          <w:rFonts w:ascii="Arial" w:hAnsi="Arial" w:cs="Arial"/>
          <w:i/>
          <w:sz w:val="24"/>
          <w:szCs w:val="24"/>
          <w:lang w:val="ro-RO"/>
        </w:rPr>
        <w:t>Asperula moldavica</w:t>
      </w:r>
      <w:r w:rsidRPr="00BD3349">
        <w:rPr>
          <w:rFonts w:ascii="Arial" w:hAnsi="Arial" w:cs="Arial"/>
          <w:sz w:val="24"/>
          <w:szCs w:val="24"/>
          <w:lang w:val="ro-RO"/>
        </w:rPr>
        <w:t>).</w:t>
      </w:r>
    </w:p>
    <w:p w:rsidR="00BD3349" w:rsidRPr="00BD3349" w:rsidRDefault="00BD3349" w:rsidP="00BD3349">
      <w:pPr>
        <w:spacing w:after="0" w:line="240" w:lineRule="auto"/>
        <w:ind w:firstLine="720"/>
        <w:jc w:val="both"/>
        <w:rPr>
          <w:rFonts w:ascii="Arial" w:hAnsi="Arial" w:cs="Arial"/>
          <w:sz w:val="24"/>
          <w:szCs w:val="24"/>
          <w:lang w:val="ro-RO"/>
        </w:rPr>
      </w:pPr>
      <w:r w:rsidRPr="00BD3349">
        <w:rPr>
          <w:rFonts w:ascii="Arial" w:hAnsi="Arial" w:cs="Arial"/>
          <w:sz w:val="24"/>
          <w:szCs w:val="24"/>
          <w:lang w:val="ro-RO"/>
        </w:rPr>
        <w:t>Deasemenea, în judeţul Vaslui întâlnim 71 specii de animale protejate la nivel european, din care: 5 specii de mamifere, 52 specii de păsări,10 specii de peşti şi1 specie de nevertebrate. Cele mai multe specii de animale protejate prin Directivele Consiliului 92/43/CEE şi 2009/147/EC se găsesc în lunca râului Prut. Dintre acestea, amintim popândăul (</w:t>
      </w:r>
      <w:r w:rsidRPr="00BD3349">
        <w:rPr>
          <w:rFonts w:ascii="Arial" w:hAnsi="Arial" w:cs="Arial"/>
          <w:i/>
          <w:sz w:val="24"/>
          <w:szCs w:val="24"/>
          <w:lang w:val="ro-RO"/>
        </w:rPr>
        <w:t>Spermophilus citellus</w:t>
      </w:r>
      <w:r w:rsidRPr="00BD3349">
        <w:rPr>
          <w:rFonts w:ascii="Arial" w:hAnsi="Arial" w:cs="Arial"/>
          <w:sz w:val="24"/>
          <w:szCs w:val="24"/>
          <w:lang w:val="ro-RO"/>
        </w:rPr>
        <w:t>), vidra (</w:t>
      </w:r>
      <w:r w:rsidRPr="00BD3349">
        <w:rPr>
          <w:rFonts w:ascii="Arial" w:hAnsi="Arial" w:cs="Arial"/>
          <w:i/>
          <w:sz w:val="24"/>
          <w:szCs w:val="24"/>
          <w:lang w:val="ro-RO"/>
        </w:rPr>
        <w:t>Lutra lutra</w:t>
      </w:r>
      <w:r w:rsidRPr="00BD3349">
        <w:rPr>
          <w:rFonts w:ascii="Arial" w:hAnsi="Arial" w:cs="Arial"/>
          <w:sz w:val="24"/>
          <w:szCs w:val="24"/>
          <w:lang w:val="ro-RO"/>
        </w:rPr>
        <w:t>), în apele râurilor mai mici se întâlnesc peşti de talie mică: petroc (</w:t>
      </w:r>
      <w:r w:rsidRPr="00BD3349">
        <w:rPr>
          <w:rFonts w:ascii="Arial" w:hAnsi="Arial" w:cs="Arial"/>
          <w:i/>
          <w:sz w:val="24"/>
          <w:szCs w:val="24"/>
          <w:lang w:val="ro-RO"/>
        </w:rPr>
        <w:t>Gobio kessleri</w:t>
      </w:r>
      <w:r w:rsidRPr="00BD3349">
        <w:rPr>
          <w:rFonts w:ascii="Arial" w:hAnsi="Arial" w:cs="Arial"/>
          <w:sz w:val="24"/>
          <w:szCs w:val="24"/>
          <w:lang w:val="ro-RO"/>
        </w:rPr>
        <w:t>), boarca (</w:t>
      </w:r>
      <w:r w:rsidRPr="00BD3349">
        <w:rPr>
          <w:rFonts w:ascii="Arial" w:hAnsi="Arial" w:cs="Arial"/>
          <w:i/>
          <w:sz w:val="24"/>
          <w:szCs w:val="24"/>
          <w:lang w:val="ro-RO"/>
        </w:rPr>
        <w:t>Rhodeus sericeus amanes</w:t>
      </w:r>
      <w:r w:rsidRPr="00BD3349">
        <w:rPr>
          <w:rFonts w:ascii="Arial" w:hAnsi="Arial" w:cs="Arial"/>
          <w:sz w:val="24"/>
          <w:szCs w:val="24"/>
          <w:lang w:val="ro-RO"/>
        </w:rPr>
        <w:t>), pietrar (</w:t>
      </w:r>
      <w:r w:rsidRPr="00BD3349">
        <w:rPr>
          <w:rFonts w:ascii="Arial" w:hAnsi="Arial" w:cs="Arial"/>
          <w:i/>
          <w:sz w:val="24"/>
          <w:szCs w:val="24"/>
          <w:lang w:val="ro-RO"/>
        </w:rPr>
        <w:t>Zingel zingel</w:t>
      </w:r>
      <w:r w:rsidRPr="00BD3349">
        <w:rPr>
          <w:rFonts w:ascii="Arial" w:hAnsi="Arial" w:cs="Arial"/>
          <w:sz w:val="24"/>
          <w:szCs w:val="24"/>
          <w:lang w:val="ro-RO"/>
        </w:rPr>
        <w:t>), fusar (</w:t>
      </w:r>
      <w:r w:rsidRPr="00BD3349">
        <w:rPr>
          <w:rFonts w:ascii="Arial" w:hAnsi="Arial" w:cs="Arial"/>
          <w:i/>
          <w:sz w:val="24"/>
          <w:szCs w:val="24"/>
          <w:lang w:val="ro-RO"/>
        </w:rPr>
        <w:t>Zingel streber</w:t>
      </w:r>
      <w:r w:rsidRPr="00BD3349">
        <w:rPr>
          <w:rFonts w:ascii="Arial" w:hAnsi="Arial" w:cs="Arial"/>
          <w:sz w:val="24"/>
          <w:szCs w:val="24"/>
          <w:lang w:val="ro-RO"/>
        </w:rPr>
        <w:t>), sabiţa (</w:t>
      </w:r>
      <w:r w:rsidRPr="00BD3349">
        <w:rPr>
          <w:rFonts w:ascii="Arial" w:hAnsi="Arial" w:cs="Arial"/>
          <w:i/>
          <w:sz w:val="24"/>
          <w:szCs w:val="24"/>
          <w:lang w:val="ro-RO"/>
        </w:rPr>
        <w:t>Pelecus cultranus</w:t>
      </w:r>
      <w:r w:rsidRPr="00BD3349">
        <w:rPr>
          <w:rFonts w:ascii="Arial" w:hAnsi="Arial" w:cs="Arial"/>
          <w:sz w:val="24"/>
          <w:szCs w:val="24"/>
          <w:lang w:val="ro-RO"/>
        </w:rPr>
        <w:t>), avat (</w:t>
      </w:r>
      <w:r w:rsidRPr="00BD3349">
        <w:rPr>
          <w:rFonts w:ascii="Arial" w:hAnsi="Arial" w:cs="Arial"/>
          <w:i/>
          <w:sz w:val="24"/>
          <w:szCs w:val="24"/>
          <w:lang w:val="ro-RO"/>
        </w:rPr>
        <w:t>Aspius aspius</w:t>
      </w:r>
      <w:r w:rsidRPr="00BD3349">
        <w:rPr>
          <w:rFonts w:ascii="Arial" w:hAnsi="Arial" w:cs="Arial"/>
          <w:sz w:val="24"/>
          <w:szCs w:val="24"/>
          <w:lang w:val="ro-RO"/>
        </w:rPr>
        <w:t>), vârlar (</w:t>
      </w:r>
      <w:r w:rsidRPr="00BD3349">
        <w:rPr>
          <w:rFonts w:ascii="Arial" w:hAnsi="Arial" w:cs="Arial"/>
          <w:i/>
          <w:sz w:val="24"/>
          <w:szCs w:val="24"/>
          <w:lang w:val="ro-RO"/>
        </w:rPr>
        <w:t>Misgurnus fossilis</w:t>
      </w:r>
      <w:r w:rsidRPr="00BD3349">
        <w:rPr>
          <w:rFonts w:ascii="Arial" w:hAnsi="Arial" w:cs="Arial"/>
          <w:sz w:val="24"/>
          <w:szCs w:val="24"/>
          <w:lang w:val="ro-RO"/>
        </w:rPr>
        <w:t>), zvârluga (</w:t>
      </w:r>
      <w:r w:rsidRPr="00BD3349">
        <w:rPr>
          <w:rFonts w:ascii="Arial" w:hAnsi="Arial" w:cs="Arial"/>
          <w:i/>
          <w:sz w:val="24"/>
          <w:szCs w:val="24"/>
          <w:lang w:val="ro-RO"/>
        </w:rPr>
        <w:t>Cobitis taenia</w:t>
      </w:r>
      <w:r w:rsidRPr="00BD3349">
        <w:rPr>
          <w:rFonts w:ascii="Arial" w:hAnsi="Arial" w:cs="Arial"/>
          <w:sz w:val="24"/>
          <w:szCs w:val="24"/>
          <w:lang w:val="ro-RO"/>
        </w:rPr>
        <w:t>) şi ţipar (</w:t>
      </w:r>
      <w:r w:rsidRPr="00BD3349">
        <w:rPr>
          <w:rFonts w:ascii="Arial" w:hAnsi="Arial" w:cs="Arial"/>
          <w:i/>
          <w:sz w:val="24"/>
          <w:szCs w:val="24"/>
          <w:lang w:val="ro-RO"/>
        </w:rPr>
        <w:t>Misgurnus fossilis</w:t>
      </w:r>
      <w:r w:rsidRPr="00BD3349">
        <w:rPr>
          <w:rFonts w:ascii="Arial" w:hAnsi="Arial" w:cs="Arial"/>
          <w:sz w:val="24"/>
          <w:szCs w:val="24"/>
          <w:lang w:val="ro-RO"/>
        </w:rPr>
        <w:t>), dar şi un număr de 26 specii de păsări conform anexei I al Directivei Consiliului 2009/147/EC.</w:t>
      </w:r>
    </w:p>
    <w:p w:rsidR="00BD3349" w:rsidRPr="00BD3349" w:rsidRDefault="00BD3349" w:rsidP="00BD3349">
      <w:pPr>
        <w:spacing w:after="0" w:line="240" w:lineRule="auto"/>
        <w:rPr>
          <w:rFonts w:ascii="Arial" w:hAnsi="Arial" w:cs="Arial"/>
          <w:b/>
          <w:sz w:val="24"/>
          <w:szCs w:val="24"/>
          <w:lang w:val="ro-RO"/>
        </w:rPr>
      </w:pPr>
      <w:r w:rsidRPr="00BD3349">
        <w:rPr>
          <w:rFonts w:ascii="Arial" w:hAnsi="Arial" w:cs="Arial"/>
          <w:b/>
          <w:sz w:val="24"/>
          <w:szCs w:val="24"/>
          <w:lang w:val="ro-RO"/>
        </w:rPr>
        <w:lastRenderedPageBreak/>
        <w:t xml:space="preserve">V.1. Ameninţări pentru biodiversitate şi presiuni exercitate asupra biodiversităţii </w:t>
      </w:r>
      <w:r w:rsidRPr="00BD3349">
        <w:rPr>
          <w:rFonts w:ascii="Arial" w:hAnsi="Arial" w:cs="Arial"/>
          <w:b/>
          <w:sz w:val="24"/>
          <w:szCs w:val="24"/>
          <w:lang w:val="ro-RO"/>
        </w:rPr>
        <w:tab/>
      </w:r>
    </w:p>
    <w:p w:rsidR="00BC1657" w:rsidRDefault="00BC1657" w:rsidP="00BD3349">
      <w:pPr>
        <w:spacing w:after="0" w:line="240" w:lineRule="auto"/>
        <w:rPr>
          <w:rFonts w:ascii="Arial" w:hAnsi="Arial" w:cs="Arial"/>
          <w:b/>
          <w:i/>
          <w:sz w:val="24"/>
          <w:szCs w:val="24"/>
          <w:lang w:val="ro-RO"/>
        </w:rPr>
      </w:pPr>
    </w:p>
    <w:p w:rsidR="00BD3349" w:rsidRPr="00BD3349" w:rsidRDefault="00BD3349" w:rsidP="00BD3349">
      <w:pPr>
        <w:spacing w:after="0" w:line="240" w:lineRule="auto"/>
        <w:rPr>
          <w:rFonts w:ascii="Arial" w:hAnsi="Arial" w:cs="Arial"/>
          <w:b/>
          <w:i/>
          <w:sz w:val="24"/>
          <w:szCs w:val="24"/>
          <w:lang w:val="ro-RO"/>
        </w:rPr>
      </w:pPr>
      <w:r w:rsidRPr="00BD3349">
        <w:rPr>
          <w:rFonts w:ascii="Arial" w:hAnsi="Arial" w:cs="Arial"/>
          <w:b/>
          <w:i/>
          <w:sz w:val="24"/>
          <w:szCs w:val="24"/>
          <w:lang w:val="ro-RO"/>
        </w:rPr>
        <w:t xml:space="preserve">V.1.1. Speciile invazive </w:t>
      </w:r>
      <w:r w:rsidRPr="00BD3349">
        <w:rPr>
          <w:rFonts w:ascii="Arial" w:hAnsi="Arial" w:cs="Arial"/>
          <w:b/>
          <w:i/>
          <w:sz w:val="24"/>
          <w:szCs w:val="24"/>
          <w:lang w:val="ro-RO"/>
        </w:rPr>
        <w:tab/>
      </w:r>
    </w:p>
    <w:p w:rsidR="00BD3349" w:rsidRPr="00BD3349" w:rsidRDefault="00BD3349" w:rsidP="00BD3349">
      <w:pPr>
        <w:spacing w:after="0" w:line="240" w:lineRule="auto"/>
        <w:rPr>
          <w:rFonts w:ascii="Arial" w:hAnsi="Arial" w:cs="Arial"/>
          <w:b/>
          <w:i/>
          <w:sz w:val="24"/>
          <w:szCs w:val="24"/>
          <w:lang w:val="ro-RO"/>
        </w:rPr>
      </w:pPr>
    </w:p>
    <w:p w:rsidR="00BD3349" w:rsidRPr="00BD3349" w:rsidRDefault="00BD3349" w:rsidP="00BD3349">
      <w:pPr>
        <w:spacing w:after="0" w:line="240" w:lineRule="auto"/>
        <w:jc w:val="both"/>
        <w:rPr>
          <w:rFonts w:ascii="Arial" w:hAnsi="Arial" w:cs="Arial"/>
          <w:sz w:val="24"/>
          <w:szCs w:val="24"/>
          <w:lang w:val="en-GB"/>
        </w:rPr>
      </w:pPr>
      <w:r w:rsidRPr="00BD3349">
        <w:rPr>
          <w:rFonts w:ascii="Arial" w:hAnsi="Arial" w:cs="Arial"/>
          <w:sz w:val="24"/>
          <w:szCs w:val="24"/>
          <w:lang w:val="en-GB"/>
        </w:rPr>
        <w:tab/>
        <w:t>Speciile invazive sunt specii ale căror populaţii au capacitatea de a pătrunde masiv în areale întinse, prin creşterea exagerată a numărului de indivizi. Ele produc dezechilibre ecologice în ecosistemele invadate, fiind favorizate printre altele şi de absenţa unor paraziţi, dăunători sau prădători capabili sa le limiteze rata de înmulţire. Cele mai periculoase sunt speciile cu capacitate mare de adaptare, cicluri reproductive scurte şi frecvente, cu număr mare de descendenţi la fiecare reproducere.</w:t>
      </w:r>
    </w:p>
    <w:p w:rsidR="00BD3349" w:rsidRPr="00BD3349" w:rsidRDefault="00BD3349" w:rsidP="00BD3349">
      <w:pPr>
        <w:spacing w:after="0" w:line="240" w:lineRule="auto"/>
        <w:ind w:firstLine="720"/>
        <w:jc w:val="both"/>
        <w:rPr>
          <w:rFonts w:ascii="Arial" w:hAnsi="Arial" w:cs="Arial"/>
          <w:sz w:val="24"/>
          <w:szCs w:val="24"/>
          <w:lang w:val="en-GB"/>
        </w:rPr>
      </w:pPr>
      <w:r w:rsidRPr="00BD3349">
        <w:rPr>
          <w:rFonts w:ascii="Arial" w:hAnsi="Arial" w:cs="Arial"/>
          <w:sz w:val="24"/>
          <w:szCs w:val="24"/>
          <w:lang w:val="en-GB"/>
        </w:rPr>
        <w:t xml:space="preserve">A.P.M. Vaslui nu deţine date din studii realizate referitor la speciile invazive din judeţul Vaslui din care să rezulte date certe despre existenţa acestor specii. </w:t>
      </w:r>
    </w:p>
    <w:p w:rsidR="00BD3349" w:rsidRPr="00BD3349" w:rsidRDefault="00BD3349" w:rsidP="00BD3349">
      <w:pPr>
        <w:spacing w:after="0" w:line="240" w:lineRule="auto"/>
        <w:rPr>
          <w:rFonts w:ascii="Arial" w:hAnsi="Arial" w:cs="Arial"/>
          <w:b/>
          <w:i/>
          <w:sz w:val="24"/>
          <w:szCs w:val="24"/>
          <w:lang w:val="ro-RO"/>
        </w:rPr>
      </w:pPr>
    </w:p>
    <w:p w:rsidR="00BD3349" w:rsidRDefault="00BD3349" w:rsidP="00BD3349">
      <w:pPr>
        <w:spacing w:after="0" w:line="240" w:lineRule="auto"/>
        <w:rPr>
          <w:rFonts w:ascii="Arial" w:hAnsi="Arial" w:cs="Arial"/>
          <w:b/>
          <w:i/>
          <w:sz w:val="24"/>
          <w:szCs w:val="24"/>
          <w:lang w:val="ro-RO"/>
        </w:rPr>
      </w:pPr>
      <w:r w:rsidRPr="00BD3349">
        <w:rPr>
          <w:rFonts w:ascii="Arial" w:hAnsi="Arial" w:cs="Arial"/>
          <w:b/>
          <w:i/>
          <w:sz w:val="24"/>
          <w:szCs w:val="24"/>
          <w:lang w:val="ro-RO"/>
        </w:rPr>
        <w:t xml:space="preserve"> V.1.2. Poluarea şi încărcarea cu nutrienţi </w:t>
      </w:r>
    </w:p>
    <w:p w:rsidR="00BC1657" w:rsidRPr="00BD3349" w:rsidRDefault="00BC1657" w:rsidP="00BD3349">
      <w:pPr>
        <w:spacing w:after="0" w:line="240" w:lineRule="auto"/>
        <w:rPr>
          <w:rFonts w:ascii="Arial" w:hAnsi="Arial" w:cs="Arial"/>
          <w:b/>
          <w:i/>
          <w:sz w:val="24"/>
          <w:szCs w:val="24"/>
          <w:lang w:val="ro-RO"/>
        </w:rPr>
      </w:pPr>
    </w:p>
    <w:p w:rsidR="00BD3349" w:rsidRPr="00BD3349" w:rsidRDefault="00BD3349" w:rsidP="00BD3349">
      <w:pPr>
        <w:spacing w:after="0" w:line="240" w:lineRule="auto"/>
        <w:ind w:firstLine="720"/>
        <w:contextualSpacing/>
        <w:jc w:val="both"/>
        <w:rPr>
          <w:rFonts w:ascii="Arial" w:hAnsi="Arial" w:cs="Arial"/>
          <w:sz w:val="24"/>
          <w:szCs w:val="24"/>
        </w:rPr>
      </w:pPr>
      <w:r w:rsidRPr="00BD3349">
        <w:rPr>
          <w:rFonts w:ascii="Arial" w:hAnsi="Arial" w:cs="Arial"/>
          <w:sz w:val="24"/>
          <w:szCs w:val="24"/>
        </w:rPr>
        <w:t xml:space="preserve">Biodiversitatea - varietatea ecosistemelor, speciilor și genelor - reprezintă capitalul natural al lumii, fiind parte integrantă din dezvoltarea durabilă prin faptul că oferă bunuri și servicii vitale, precum hrana, sechestrarea carbonului și redistribuirea apei, care stau la baza prosperităţii economice, a bunăstării sociale și a calităţii vieţii. În ceea ce privește nutrienții, aceștea sunt reţinuți la nivelul diferitelor comparțimente: ţesuturi vegetale, biomasa microorganismelor, detritus, sediment, apă întersțițială etc.. </w:t>
      </w:r>
    </w:p>
    <w:p w:rsidR="00BD3349" w:rsidRPr="00BD3349" w:rsidRDefault="00BD3349" w:rsidP="00BD3349">
      <w:pPr>
        <w:spacing w:after="0" w:line="240" w:lineRule="auto"/>
        <w:ind w:firstLine="720"/>
        <w:contextualSpacing/>
        <w:jc w:val="both"/>
        <w:rPr>
          <w:rFonts w:ascii="Arial" w:hAnsi="Arial" w:cs="Arial"/>
          <w:sz w:val="24"/>
          <w:szCs w:val="24"/>
        </w:rPr>
      </w:pPr>
      <w:r w:rsidRPr="00BD3349">
        <w:rPr>
          <w:rFonts w:ascii="Arial" w:hAnsi="Arial" w:cs="Arial"/>
          <w:sz w:val="24"/>
          <w:szCs w:val="24"/>
        </w:rPr>
        <w:t>Toate formele de poluare ameninţă biodiversitatea, dar mai ales încărcarea cu nutrienţi (azot şi fosfor), care reprezintă o cauză majoră şi în continuă creştere a pierderii de biodiversitate şi a degradării ecosistemelor.</w:t>
      </w:r>
    </w:p>
    <w:p w:rsidR="00BD3349" w:rsidRPr="00BD3349" w:rsidRDefault="00BD3349" w:rsidP="00BD3349">
      <w:pPr>
        <w:spacing w:after="0" w:line="240" w:lineRule="auto"/>
        <w:ind w:firstLine="720"/>
        <w:contextualSpacing/>
        <w:jc w:val="both"/>
        <w:rPr>
          <w:rFonts w:ascii="Arial" w:hAnsi="Arial" w:cs="Arial"/>
          <w:sz w:val="24"/>
          <w:szCs w:val="24"/>
        </w:rPr>
      </w:pPr>
      <w:r w:rsidRPr="00BD3349">
        <w:rPr>
          <w:rFonts w:ascii="Arial" w:hAnsi="Arial" w:cs="Arial"/>
          <w:sz w:val="24"/>
          <w:szCs w:val="24"/>
        </w:rPr>
        <w:t>Concentrația speciilor de azot și fosfor retinuți depinde și de tipul de vegetație, de condițiile sezoniere și de capacitatea de suport a acestora. S-a demonstrat însă că, cu cât cantitatea de inputuri de nutrienți crește, cu atât gradul de retenție a acestora scade. Concentrația de nutrienți care intră și ies afecteaza sistemele ecologice respective.</w:t>
      </w:r>
    </w:p>
    <w:p w:rsidR="00BD3349" w:rsidRPr="00BD3349" w:rsidRDefault="00BD3349" w:rsidP="00BD3349">
      <w:pPr>
        <w:jc w:val="both"/>
        <w:rPr>
          <w:rFonts w:ascii="Arial" w:hAnsi="Arial" w:cs="Arial"/>
          <w:sz w:val="24"/>
          <w:szCs w:val="24"/>
        </w:rPr>
      </w:pPr>
      <w:r w:rsidRPr="00BD3349">
        <w:rPr>
          <w:rFonts w:ascii="Arial" w:hAnsi="Arial" w:cs="Arial"/>
          <w:bCs/>
          <w:sz w:val="24"/>
          <w:szCs w:val="24"/>
        </w:rPr>
        <w:t xml:space="preserve">Figura </w:t>
      </w:r>
      <w:r w:rsidRPr="00BD3349">
        <w:rPr>
          <w:rFonts w:ascii="Arial" w:hAnsi="Arial" w:cs="Arial"/>
          <w:sz w:val="24"/>
          <w:szCs w:val="24"/>
          <w:lang w:val="ro-RO"/>
        </w:rPr>
        <w:t>V</w:t>
      </w:r>
      <w:r w:rsidRPr="00BD3349">
        <w:rPr>
          <w:rFonts w:ascii="Arial" w:hAnsi="Arial" w:cs="Arial"/>
          <w:bCs/>
          <w:sz w:val="24"/>
          <w:szCs w:val="24"/>
        </w:rPr>
        <w:t xml:space="preserve">.3. </w:t>
      </w:r>
      <w:r w:rsidRPr="00BD3349">
        <w:rPr>
          <w:rFonts w:ascii="Arial" w:hAnsi="Arial" w:cs="Arial"/>
          <w:sz w:val="24"/>
          <w:szCs w:val="24"/>
        </w:rPr>
        <w:t>Evoluția indicatorilor azotați şi ortofosfați solubili în cursurile de apă, la nivel judeţului Vaslui, în perioada anilor 2011-2015</w:t>
      </w:r>
    </w:p>
    <w:p w:rsidR="00BD3349" w:rsidRPr="00BD3349" w:rsidRDefault="00BD3349" w:rsidP="00BD3349">
      <w:pPr>
        <w:jc w:val="both"/>
        <w:rPr>
          <w:rFonts w:ascii="Arial" w:hAnsi="Arial" w:cs="Arial"/>
          <w:sz w:val="24"/>
          <w:szCs w:val="24"/>
          <w:highlight w:val="yellow"/>
        </w:rPr>
      </w:pPr>
      <w:r w:rsidRPr="00BD3349">
        <w:rPr>
          <w:rFonts w:ascii="Times New Roman" w:eastAsia="SimSun" w:hAnsi="Times New Roman" w:cs="Times New Roman"/>
          <w:b/>
          <w:bCs/>
          <w:noProof/>
          <w:sz w:val="20"/>
          <w:szCs w:val="20"/>
        </w:rPr>
        <w:drawing>
          <wp:inline distT="0" distB="0" distL="0" distR="0" wp14:anchorId="17588445" wp14:editId="39D70BBB">
            <wp:extent cx="5943600" cy="1962150"/>
            <wp:effectExtent l="0" t="0" r="0" b="0"/>
            <wp:docPr id="220" name="Chart 2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BD3349" w:rsidRPr="00BD3349" w:rsidRDefault="00BD3349" w:rsidP="00BD3349">
      <w:pPr>
        <w:spacing w:after="0" w:line="240" w:lineRule="auto"/>
        <w:jc w:val="both"/>
        <w:rPr>
          <w:rFonts w:ascii="Arial" w:eastAsia="Times New Roman" w:hAnsi="Arial" w:cs="Arial"/>
          <w:sz w:val="24"/>
          <w:szCs w:val="24"/>
          <w:lang w:val="ro-RO"/>
        </w:rPr>
      </w:pPr>
      <w:r w:rsidRPr="00BD3349">
        <w:rPr>
          <w:rFonts w:ascii="Arial" w:eastAsia="Times New Roman" w:hAnsi="Arial" w:cs="Arial"/>
          <w:sz w:val="24"/>
          <w:szCs w:val="24"/>
          <w:lang w:val="ro-RO"/>
        </w:rPr>
        <w:t xml:space="preserve">* Date şi informaţii despre tendinţele concentraţiilor de </w:t>
      </w:r>
      <w:r w:rsidRPr="00BD3349">
        <w:rPr>
          <w:rFonts w:ascii="Arial" w:eastAsia="SimSun" w:hAnsi="Arial" w:cs="Arial"/>
          <w:sz w:val="24"/>
          <w:szCs w:val="24"/>
          <w:lang w:val="en-GB"/>
        </w:rPr>
        <w:t>NO3</w:t>
      </w:r>
      <w:r w:rsidRPr="00BD3349">
        <w:rPr>
          <w:rFonts w:ascii="Arial" w:eastAsia="SimSun" w:hAnsi="Arial" w:cs="Arial"/>
          <w:sz w:val="24"/>
          <w:szCs w:val="24"/>
          <w:vertAlign w:val="superscript"/>
          <w:lang w:val="en-GB"/>
        </w:rPr>
        <w:t>-</w:t>
      </w:r>
      <w:r w:rsidRPr="00BD3349">
        <w:rPr>
          <w:rFonts w:ascii="Arial" w:eastAsia="Times New Roman" w:hAnsi="Arial" w:cs="Arial"/>
          <w:sz w:val="24"/>
          <w:szCs w:val="24"/>
          <w:lang w:val="ro-RO"/>
        </w:rPr>
        <w:t xml:space="preserve"> şi de </w:t>
      </w:r>
      <w:r w:rsidRPr="00BD3349">
        <w:rPr>
          <w:rFonts w:ascii="Arial" w:eastAsia="SimSun" w:hAnsi="Arial" w:cs="Arial"/>
          <w:sz w:val="24"/>
          <w:szCs w:val="24"/>
          <w:lang w:val="en-GB"/>
        </w:rPr>
        <w:t>PO4</w:t>
      </w:r>
      <w:r w:rsidRPr="00BD3349">
        <w:rPr>
          <w:rFonts w:ascii="Arial" w:eastAsia="SimSun" w:hAnsi="Arial" w:cs="Arial"/>
          <w:sz w:val="24"/>
          <w:szCs w:val="24"/>
          <w:vertAlign w:val="superscript"/>
          <w:lang w:val="en-GB"/>
        </w:rPr>
        <w:t>3-</w:t>
      </w:r>
      <w:r w:rsidRPr="00BD3349">
        <w:rPr>
          <w:rFonts w:ascii="Arial" w:eastAsia="Times New Roman" w:hAnsi="Arial" w:cs="Arial"/>
          <w:sz w:val="24"/>
          <w:szCs w:val="24"/>
          <w:lang w:val="ro-RO"/>
        </w:rPr>
        <w:t xml:space="preserve"> în corpurile de apă monitorizate la nivelul bazinelor hidrografice Prut şi Bârlad nu au fost puse la dispoziţia APM Vaslui.</w:t>
      </w:r>
    </w:p>
    <w:p w:rsidR="00BD3349" w:rsidRPr="00BD3349" w:rsidRDefault="00BD3349" w:rsidP="00BD3349">
      <w:pPr>
        <w:jc w:val="both"/>
        <w:rPr>
          <w:rFonts w:ascii="Arial" w:hAnsi="Arial" w:cs="Arial"/>
          <w:sz w:val="24"/>
          <w:szCs w:val="24"/>
        </w:rPr>
      </w:pPr>
      <w:r w:rsidRPr="00BD3349">
        <w:rPr>
          <w:rFonts w:ascii="Arial" w:hAnsi="Arial" w:cs="Arial"/>
          <w:bCs/>
          <w:sz w:val="24"/>
          <w:szCs w:val="24"/>
        </w:rPr>
        <w:lastRenderedPageBreak/>
        <w:t xml:space="preserve">Figura </w:t>
      </w:r>
      <w:r w:rsidRPr="00BD3349">
        <w:rPr>
          <w:rFonts w:ascii="Arial" w:hAnsi="Arial" w:cs="Arial"/>
          <w:sz w:val="24"/>
          <w:szCs w:val="24"/>
          <w:lang w:val="ro-RO"/>
        </w:rPr>
        <w:t>V</w:t>
      </w:r>
      <w:r w:rsidRPr="00BD3349">
        <w:rPr>
          <w:rFonts w:ascii="Arial" w:hAnsi="Arial" w:cs="Arial"/>
          <w:bCs/>
          <w:sz w:val="24"/>
          <w:szCs w:val="24"/>
        </w:rPr>
        <w:t>.4.</w:t>
      </w:r>
      <w:r w:rsidRPr="00BD3349">
        <w:rPr>
          <w:rFonts w:ascii="Arial" w:hAnsi="Arial" w:cs="Arial"/>
          <w:b/>
          <w:bCs/>
          <w:sz w:val="24"/>
          <w:szCs w:val="24"/>
        </w:rPr>
        <w:t xml:space="preserve"> </w:t>
      </w:r>
      <w:r w:rsidRPr="00BD3349">
        <w:rPr>
          <w:rFonts w:ascii="Arial" w:hAnsi="Arial" w:cs="Arial"/>
          <w:sz w:val="24"/>
          <w:szCs w:val="24"/>
        </w:rPr>
        <w:t xml:space="preserve"> Evoluția indicatorilor fosfor total și azotaţi în lacuri, la nivel judeţului Vaslui, în perioada anilor 2011-2015</w:t>
      </w:r>
    </w:p>
    <w:p w:rsidR="00BD3349" w:rsidRPr="00BD3349" w:rsidRDefault="00BD3349" w:rsidP="00BD3349">
      <w:pPr>
        <w:jc w:val="center"/>
        <w:rPr>
          <w:rFonts w:ascii="Arial" w:hAnsi="Arial" w:cs="Arial"/>
          <w:highlight w:val="yellow"/>
          <w:lang w:val="it-IT"/>
        </w:rPr>
      </w:pPr>
      <w:r w:rsidRPr="00BD3349">
        <w:rPr>
          <w:rFonts w:ascii="Arial" w:eastAsia="SimSun" w:hAnsi="Arial" w:cs="Arial"/>
          <w:noProof/>
          <w:sz w:val="24"/>
          <w:szCs w:val="24"/>
        </w:rPr>
        <w:drawing>
          <wp:inline distT="0" distB="0" distL="0" distR="0" wp14:anchorId="09E9D569" wp14:editId="6AACD3C4">
            <wp:extent cx="5943600" cy="2686050"/>
            <wp:effectExtent l="0" t="0" r="0" b="0"/>
            <wp:docPr id="221" name="Chart 2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BD3349" w:rsidRPr="00BD3349" w:rsidRDefault="00BD3349" w:rsidP="00BD3349">
      <w:pPr>
        <w:spacing w:after="0" w:line="240" w:lineRule="auto"/>
        <w:jc w:val="both"/>
        <w:rPr>
          <w:rFonts w:ascii="Arial" w:eastAsia="Times New Roman" w:hAnsi="Arial" w:cs="Arial"/>
          <w:sz w:val="24"/>
          <w:szCs w:val="24"/>
          <w:lang w:val="ro-RO"/>
        </w:rPr>
      </w:pPr>
      <w:r w:rsidRPr="00BD3349">
        <w:rPr>
          <w:rFonts w:ascii="Arial" w:eastAsia="Times New Roman" w:hAnsi="Arial" w:cs="Arial"/>
          <w:sz w:val="24"/>
          <w:szCs w:val="24"/>
          <w:lang w:val="ro-RO"/>
        </w:rPr>
        <w:t xml:space="preserve">* Date şi informaţii despre tendinţele concentraţiilor de </w:t>
      </w:r>
      <w:r w:rsidRPr="00BD3349">
        <w:rPr>
          <w:rFonts w:ascii="Arial" w:eastAsia="SimSun" w:hAnsi="Arial" w:cs="Arial"/>
          <w:sz w:val="24"/>
          <w:szCs w:val="24"/>
          <w:lang w:val="en-GB"/>
        </w:rPr>
        <w:t>PT</w:t>
      </w:r>
      <w:r w:rsidRPr="00BD3349">
        <w:rPr>
          <w:rFonts w:ascii="Arial" w:eastAsia="Times New Roman" w:hAnsi="Arial" w:cs="Arial"/>
          <w:sz w:val="24"/>
          <w:szCs w:val="24"/>
          <w:lang w:val="ro-RO"/>
        </w:rPr>
        <w:t xml:space="preserve"> şi de </w:t>
      </w:r>
      <w:r w:rsidRPr="00BD3349">
        <w:rPr>
          <w:rFonts w:ascii="Arial" w:eastAsia="SimSun" w:hAnsi="Arial" w:cs="Arial"/>
          <w:sz w:val="24"/>
          <w:szCs w:val="24"/>
          <w:lang w:val="en-GB"/>
        </w:rPr>
        <w:t>NO3</w:t>
      </w:r>
      <w:r w:rsidRPr="00BD3349">
        <w:rPr>
          <w:rFonts w:ascii="Arial" w:eastAsia="SimSun" w:hAnsi="Arial" w:cs="Arial"/>
          <w:sz w:val="24"/>
          <w:szCs w:val="24"/>
          <w:vertAlign w:val="superscript"/>
          <w:lang w:val="en-GB"/>
        </w:rPr>
        <w:t>-</w:t>
      </w:r>
      <w:r w:rsidRPr="00BD3349">
        <w:rPr>
          <w:rFonts w:ascii="Arial" w:eastAsia="Times New Roman" w:hAnsi="Arial" w:cs="Arial"/>
          <w:sz w:val="24"/>
          <w:szCs w:val="24"/>
          <w:lang w:val="ro-RO"/>
        </w:rPr>
        <w:t xml:space="preserve"> determinate în lacurile  monitorizate la nivelul bazinelor hidrografice Prut şi Bârlad nu au fost puse la dispoziţia APM Vaslui, pentru anul 2015.</w:t>
      </w:r>
    </w:p>
    <w:p w:rsidR="00BD3349" w:rsidRPr="00BD3349" w:rsidRDefault="00BD3349" w:rsidP="00BD3349">
      <w:pPr>
        <w:spacing w:after="0" w:line="240" w:lineRule="auto"/>
        <w:jc w:val="both"/>
        <w:rPr>
          <w:rFonts w:ascii="Arial" w:hAnsi="Arial" w:cs="Arial"/>
          <w:bCs/>
          <w:sz w:val="24"/>
          <w:szCs w:val="24"/>
          <w:highlight w:val="yellow"/>
        </w:rPr>
      </w:pPr>
    </w:p>
    <w:p w:rsidR="00BD3349" w:rsidRPr="00BD3349" w:rsidRDefault="00BD3349" w:rsidP="00BD3349">
      <w:pPr>
        <w:spacing w:after="0" w:line="240" w:lineRule="auto"/>
        <w:jc w:val="both"/>
        <w:rPr>
          <w:rFonts w:ascii="Arial" w:hAnsi="Arial" w:cs="Arial"/>
          <w:sz w:val="24"/>
          <w:szCs w:val="24"/>
        </w:rPr>
      </w:pPr>
      <w:r w:rsidRPr="00BD3349">
        <w:rPr>
          <w:rFonts w:ascii="Arial" w:hAnsi="Arial" w:cs="Arial"/>
          <w:bCs/>
          <w:sz w:val="24"/>
          <w:szCs w:val="24"/>
        </w:rPr>
        <w:t xml:space="preserve">Figura V.5. </w:t>
      </w:r>
      <w:r w:rsidRPr="00BD3349">
        <w:rPr>
          <w:rFonts w:ascii="Arial" w:hAnsi="Arial" w:cs="Arial"/>
          <w:sz w:val="24"/>
          <w:szCs w:val="24"/>
        </w:rPr>
        <w:t>Evoluția indicatorului azotaţi în apele subterane, din judeţul Vaslui, în perioada anilor 2011-2015</w:t>
      </w:r>
    </w:p>
    <w:p w:rsidR="00BD3349" w:rsidRPr="00BD3349" w:rsidRDefault="00BD3349" w:rsidP="00BD3349">
      <w:pPr>
        <w:spacing w:after="0" w:line="240" w:lineRule="auto"/>
        <w:jc w:val="both"/>
        <w:rPr>
          <w:rFonts w:ascii="Arial" w:hAnsi="Arial" w:cs="Arial"/>
          <w:sz w:val="24"/>
          <w:szCs w:val="24"/>
          <w:highlight w:val="yellow"/>
        </w:rPr>
      </w:pPr>
      <w:r w:rsidRPr="00BD3349">
        <w:rPr>
          <w:rFonts w:ascii="Arial" w:eastAsia="SimSun" w:hAnsi="Arial" w:cs="Arial"/>
          <w:noProof/>
          <w:sz w:val="24"/>
          <w:szCs w:val="24"/>
        </w:rPr>
        <w:drawing>
          <wp:inline distT="0" distB="0" distL="0" distR="0" wp14:anchorId="0344F002" wp14:editId="06B81C20">
            <wp:extent cx="5943600" cy="2543175"/>
            <wp:effectExtent l="0" t="0" r="0" b="0"/>
            <wp:docPr id="222" name="Chart 2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BD3349" w:rsidRPr="00BD3349" w:rsidRDefault="00BD3349" w:rsidP="00BD3349">
      <w:pPr>
        <w:spacing w:after="0" w:line="240" w:lineRule="auto"/>
        <w:jc w:val="both"/>
        <w:rPr>
          <w:rFonts w:ascii="Arial" w:eastAsia="Times New Roman" w:hAnsi="Arial" w:cs="Arial"/>
          <w:sz w:val="24"/>
          <w:szCs w:val="24"/>
          <w:lang w:val="ro-RO"/>
        </w:rPr>
      </w:pPr>
      <w:r w:rsidRPr="00BD3349">
        <w:rPr>
          <w:rFonts w:ascii="Arial" w:eastAsia="SimSun" w:hAnsi="Arial" w:cs="Arial"/>
          <w:sz w:val="24"/>
          <w:szCs w:val="24"/>
          <w:lang w:val="ro-RO" w:eastAsia="ro-RO"/>
        </w:rPr>
        <w:t xml:space="preserve">* Nu deţinem </w:t>
      </w:r>
      <w:r w:rsidRPr="00BD3349">
        <w:rPr>
          <w:rFonts w:ascii="Arial" w:eastAsia="Times New Roman" w:hAnsi="Arial" w:cs="Arial"/>
          <w:sz w:val="24"/>
          <w:szCs w:val="24"/>
          <w:lang w:val="ro-RO"/>
        </w:rPr>
        <w:t>date şi informaţii despre tendinţa indicatorului azotaţi determinat în apele subterane din judeţul Vaslui la nivelul anului 2015.</w:t>
      </w:r>
    </w:p>
    <w:p w:rsidR="00BD3349" w:rsidRPr="00BD3349" w:rsidRDefault="00BD3349" w:rsidP="00BD3349">
      <w:pPr>
        <w:spacing w:after="0" w:line="240" w:lineRule="auto"/>
        <w:jc w:val="both"/>
        <w:rPr>
          <w:rFonts w:ascii="Arial" w:eastAsia="Times New Roman" w:hAnsi="Arial" w:cs="Arial"/>
          <w:sz w:val="24"/>
          <w:szCs w:val="24"/>
          <w:lang w:val="ro-RO"/>
        </w:rPr>
      </w:pPr>
    </w:p>
    <w:p w:rsidR="00BD3349" w:rsidRPr="00BD3349" w:rsidRDefault="00BD3349" w:rsidP="00BD3349">
      <w:pPr>
        <w:spacing w:after="0" w:line="240" w:lineRule="auto"/>
        <w:ind w:firstLine="720"/>
        <w:jc w:val="both"/>
        <w:rPr>
          <w:rFonts w:ascii="Arial" w:hAnsi="Arial" w:cs="Arial"/>
          <w:i/>
          <w:sz w:val="24"/>
          <w:szCs w:val="24"/>
          <w:u w:val="single"/>
          <w:lang w:val="ro-RO"/>
        </w:rPr>
      </w:pPr>
      <w:r w:rsidRPr="00BD3349">
        <w:rPr>
          <w:rFonts w:ascii="Arial" w:hAnsi="Arial" w:cs="Arial"/>
          <w:sz w:val="24"/>
          <w:szCs w:val="24"/>
        </w:rPr>
        <w:t>Valoarea de prag pentru azotaţii (NO3-) din apele subterane este de 50 mg/L, conform H.G. nr. 53/2009 pentru aprobarea Planului Naţional de Protecţie a Apelor Subterane împotriva poluării şi deteriorării.</w:t>
      </w:r>
    </w:p>
    <w:p w:rsidR="00BD3349" w:rsidRPr="00BD3349" w:rsidRDefault="00BD3349" w:rsidP="00BD3349">
      <w:pPr>
        <w:spacing w:after="0" w:line="240" w:lineRule="auto"/>
        <w:rPr>
          <w:rFonts w:ascii="Arial" w:hAnsi="Arial" w:cs="Arial"/>
          <w:b/>
          <w:i/>
          <w:sz w:val="24"/>
          <w:szCs w:val="24"/>
          <w:lang w:val="ro-RO"/>
        </w:rPr>
      </w:pPr>
    </w:p>
    <w:p w:rsidR="00BD3349" w:rsidRPr="00BD3349" w:rsidRDefault="00BD3349" w:rsidP="00BD3349">
      <w:pPr>
        <w:spacing w:after="0" w:line="240" w:lineRule="auto"/>
        <w:rPr>
          <w:rFonts w:ascii="Arial" w:hAnsi="Arial" w:cs="Arial"/>
          <w:b/>
          <w:i/>
          <w:sz w:val="24"/>
          <w:szCs w:val="24"/>
          <w:lang w:val="ro-RO"/>
        </w:rPr>
      </w:pPr>
      <w:r w:rsidRPr="00BD3349">
        <w:rPr>
          <w:rFonts w:ascii="Arial" w:hAnsi="Arial" w:cs="Arial"/>
          <w:b/>
          <w:i/>
          <w:sz w:val="24"/>
          <w:szCs w:val="24"/>
          <w:lang w:val="ro-RO"/>
        </w:rPr>
        <w:lastRenderedPageBreak/>
        <w:t xml:space="preserve">  V.1.3. Schimbările climatice </w:t>
      </w:r>
      <w:r w:rsidRPr="00BD3349">
        <w:rPr>
          <w:rFonts w:ascii="Arial" w:hAnsi="Arial" w:cs="Arial"/>
          <w:b/>
          <w:i/>
          <w:sz w:val="24"/>
          <w:szCs w:val="24"/>
          <w:lang w:val="ro-RO"/>
        </w:rPr>
        <w:tab/>
      </w:r>
    </w:p>
    <w:p w:rsidR="00BD3349" w:rsidRPr="00BD3349" w:rsidRDefault="00BD3349" w:rsidP="00BD3349">
      <w:pPr>
        <w:spacing w:after="0" w:line="240" w:lineRule="auto"/>
        <w:rPr>
          <w:rFonts w:ascii="Arial" w:hAnsi="Arial" w:cs="Arial"/>
          <w:b/>
          <w:i/>
          <w:sz w:val="24"/>
          <w:szCs w:val="24"/>
          <w:lang w:val="ro-RO"/>
        </w:rPr>
      </w:pPr>
    </w:p>
    <w:p w:rsidR="00BD3349" w:rsidRPr="00BD3349" w:rsidRDefault="00BD3349" w:rsidP="00BD3349">
      <w:pPr>
        <w:tabs>
          <w:tab w:val="left" w:pos="1134"/>
        </w:tabs>
        <w:autoSpaceDE w:val="0"/>
        <w:autoSpaceDN w:val="0"/>
        <w:adjustRightInd w:val="0"/>
        <w:spacing w:after="0" w:line="240" w:lineRule="auto"/>
        <w:jc w:val="both"/>
        <w:rPr>
          <w:rFonts w:ascii="Arial" w:eastAsiaTheme="minorEastAsia" w:hAnsi="Arial" w:cs="Arial"/>
          <w:sz w:val="24"/>
          <w:szCs w:val="24"/>
        </w:rPr>
      </w:pPr>
      <w:r w:rsidRPr="00BD3349">
        <w:rPr>
          <w:rFonts w:ascii="Arial" w:eastAsiaTheme="minorEastAsia" w:hAnsi="Arial" w:cs="Arial"/>
          <w:sz w:val="24"/>
          <w:szCs w:val="24"/>
        </w:rPr>
        <w:t xml:space="preserve">             Diversitatea biologică, noţiunea prin care este definită întreaga diversitate de expresie a vieţii pe Pământ, se confruntă în prezent cu unul dintre cele mai complexe fenomene: încălzirea globală. Evoluţia ecosistemelor de mii de ani, consecinţă directă a echilibrului cvasistabil dintre diferitele specii componente şi între acestea şi factorii abiotici, poate fi puternic afectată de impactul direct al schimbărilor climatice asupra acestora. Indirect, se modific</w:t>
      </w:r>
      <w:r w:rsidRPr="00BD3349">
        <w:rPr>
          <w:rFonts w:ascii="Arial" w:eastAsiaTheme="minorEastAsia" w:hAnsi="Arial" w:cs="Arial"/>
          <w:sz w:val="24"/>
          <w:szCs w:val="24"/>
          <w:lang w:val="ro-RO"/>
        </w:rPr>
        <w:t>ă</w:t>
      </w:r>
      <w:r w:rsidRPr="00BD3349">
        <w:rPr>
          <w:rFonts w:ascii="Arial" w:eastAsiaTheme="minorEastAsia" w:hAnsi="Arial" w:cs="Arial"/>
          <w:sz w:val="24"/>
          <w:szCs w:val="24"/>
        </w:rPr>
        <w:t xml:space="preserve"> relaţia dintre speciile care urmează să definească noii termeni de referinţă ai ecosistemului în formare, în particular, corespondenţa directă între specii şi factorii abiotici (temperatură, umiditate, regim hidric, pH, concentraţia O2, concentraţia altor gaze solvite, structura solului etc).</w:t>
      </w:r>
    </w:p>
    <w:p w:rsidR="00BD3349" w:rsidRPr="00BD3349" w:rsidRDefault="00BC1657" w:rsidP="00BD3349">
      <w:pPr>
        <w:tabs>
          <w:tab w:val="left" w:pos="1134"/>
        </w:tabs>
        <w:autoSpaceDE w:val="0"/>
        <w:autoSpaceDN w:val="0"/>
        <w:adjustRightInd w:val="0"/>
        <w:spacing w:after="0" w:line="240" w:lineRule="auto"/>
        <w:jc w:val="both"/>
        <w:rPr>
          <w:rFonts w:ascii="Arial" w:eastAsiaTheme="minorEastAsia" w:hAnsi="Arial" w:cs="Arial"/>
          <w:sz w:val="24"/>
          <w:szCs w:val="24"/>
        </w:rPr>
      </w:pPr>
      <w:r>
        <w:rPr>
          <w:rFonts w:ascii="Arial" w:eastAsiaTheme="minorEastAsia" w:hAnsi="Arial" w:cs="Arial"/>
          <w:sz w:val="24"/>
          <w:szCs w:val="24"/>
        </w:rPr>
        <w:t xml:space="preserve">               </w:t>
      </w:r>
      <w:r w:rsidR="00BD3349" w:rsidRPr="00BD3349">
        <w:rPr>
          <w:rFonts w:ascii="Arial" w:eastAsiaTheme="minorEastAsia" w:hAnsi="Arial" w:cs="Arial"/>
          <w:sz w:val="24"/>
          <w:szCs w:val="24"/>
        </w:rPr>
        <w:t xml:space="preserve">Impactul schimbărilor climatice asupra biodiversităţii unui teritoriu implică analiza impactului asupra tuturor ecosistemelor existente pe teritoriul respectiv şi al relaţiilor dintre acestea, iar acest impact se suprapune peste presiunile exercitate deja în ceea ce priveşte distrugerea habitatelor şi poluarea factorilor de mediu. Perturbarea factorilor de mediu, într-o manieră drastică, are efect direct asupra evoluţiei fiinţelor vii, iniţial asupra capacităţii acestora de adaptare şi ulterior asupra capacităţii de supravieţuire, putând constitui, în cazuri extreme, factori de eliminare a anumitor specii din reţelele trofice cu consecinţe drastice asupra evoluţiei biodiversităţii. Pentru a preîntâmpina acest declin al biodiversităţii la nivel naţional, ca parte integrantă a diversităţii biologice la nivel global, trebuie luate în considerare ameninţările, oportunităţile, recomandările şi măsurile de adaptare în acest sens. Activităţi cum ar fi defrişarea şi supraexploatarea păşunatului pot conduce la exacerbarea efectelor schimbărilor climatice. </w:t>
      </w:r>
    </w:p>
    <w:p w:rsidR="00BD3349" w:rsidRPr="00BD3349" w:rsidRDefault="00BC1657" w:rsidP="00BD3349">
      <w:pPr>
        <w:tabs>
          <w:tab w:val="left" w:pos="1134"/>
        </w:tabs>
        <w:autoSpaceDE w:val="0"/>
        <w:autoSpaceDN w:val="0"/>
        <w:adjustRightInd w:val="0"/>
        <w:spacing w:after="0" w:line="240" w:lineRule="auto"/>
        <w:jc w:val="both"/>
        <w:rPr>
          <w:rFonts w:ascii="Arial" w:eastAsiaTheme="minorEastAsia" w:hAnsi="Arial" w:cs="Arial"/>
          <w:sz w:val="20"/>
          <w:szCs w:val="20"/>
        </w:rPr>
      </w:pPr>
      <w:r>
        <w:rPr>
          <w:rFonts w:ascii="Arial" w:eastAsiaTheme="minorEastAsia" w:hAnsi="Arial" w:cs="Arial"/>
          <w:sz w:val="24"/>
          <w:szCs w:val="24"/>
        </w:rPr>
        <w:t xml:space="preserve">               </w:t>
      </w:r>
      <w:r w:rsidR="00BD3349" w:rsidRPr="00BD3349">
        <w:rPr>
          <w:rFonts w:ascii="Arial" w:eastAsiaTheme="minorEastAsia" w:hAnsi="Arial" w:cs="Arial"/>
          <w:sz w:val="24"/>
          <w:szCs w:val="24"/>
        </w:rPr>
        <w:t>Astfel, efectele schimbărilor climatice pot atrage chiar dispariţia anumitor specii, reprezentate de o singură populaţie sau de foarte puţine populaţii şi care ocupă nişe ecologice deosebit de restrânse pe de o parte, dar şi deosebit de vulnerabile la aceste efecte. Realităţile de mai sus au consecinţe deosebit de grave nu numai asupra conservării diversităţii biologice, dar indirect asupra capacităţii de supravieţuire a civilizaţiei umane, ştiut fiind faptul că serviciile şi produsele diversităţii biologice stau la baza supravieţuirii acesteia. Altfel spus, civilizaţia umană este parte a sistemelor ecologice globale, iar pierderea echilibrului funcţional al acesteia afectează direct dezvoltarea în continuare a civilizaţiei umane</w:t>
      </w:r>
      <w:r w:rsidR="00BD3349" w:rsidRPr="00BD3349">
        <w:rPr>
          <w:rFonts w:ascii="Arial" w:eastAsiaTheme="minorEastAsia" w:hAnsi="Arial" w:cs="Arial"/>
          <w:sz w:val="20"/>
          <w:szCs w:val="20"/>
        </w:rPr>
        <w:t>.(sursa: Ghid privind adaptarea la efectele schimbărilor climatic. Administraţia Naţională de Meteorlogie)</w:t>
      </w:r>
    </w:p>
    <w:p w:rsidR="00BD3349" w:rsidRPr="00BD3349" w:rsidRDefault="00BD3349" w:rsidP="00BD3349">
      <w:pPr>
        <w:tabs>
          <w:tab w:val="left" w:pos="1134"/>
        </w:tabs>
        <w:autoSpaceDE w:val="0"/>
        <w:autoSpaceDN w:val="0"/>
        <w:adjustRightInd w:val="0"/>
        <w:spacing w:after="0" w:line="240" w:lineRule="auto"/>
        <w:jc w:val="both"/>
        <w:rPr>
          <w:rFonts w:ascii="Arial" w:eastAsiaTheme="minorEastAsia" w:hAnsi="Arial" w:cs="Arial"/>
          <w:sz w:val="24"/>
          <w:szCs w:val="24"/>
        </w:rPr>
      </w:pPr>
    </w:p>
    <w:p w:rsidR="00BD3349" w:rsidRPr="00BD3349" w:rsidRDefault="00BD3349" w:rsidP="00BD3349">
      <w:pPr>
        <w:spacing w:after="0" w:line="240" w:lineRule="auto"/>
        <w:rPr>
          <w:rFonts w:ascii="Arial" w:hAnsi="Arial" w:cs="Arial"/>
          <w:b/>
          <w:i/>
          <w:sz w:val="24"/>
          <w:szCs w:val="24"/>
          <w:lang w:val="ro-RO"/>
        </w:rPr>
      </w:pPr>
      <w:r w:rsidRPr="00BD3349">
        <w:rPr>
          <w:rFonts w:ascii="Arial" w:hAnsi="Arial" w:cs="Arial"/>
          <w:b/>
          <w:sz w:val="24"/>
          <w:szCs w:val="24"/>
          <w:lang w:val="ro-RO"/>
        </w:rPr>
        <w:t xml:space="preserve">V.1.4. </w:t>
      </w:r>
      <w:r w:rsidRPr="00BD3349">
        <w:rPr>
          <w:rFonts w:ascii="Arial" w:hAnsi="Arial" w:cs="Arial"/>
          <w:b/>
          <w:i/>
          <w:sz w:val="24"/>
          <w:szCs w:val="24"/>
          <w:lang w:val="ro-RO"/>
        </w:rPr>
        <w:t xml:space="preserve">Modificarea habitatelor </w:t>
      </w:r>
      <w:r w:rsidRPr="00BD3349">
        <w:rPr>
          <w:rFonts w:ascii="Arial" w:hAnsi="Arial" w:cs="Arial"/>
          <w:b/>
          <w:i/>
          <w:sz w:val="24"/>
          <w:szCs w:val="24"/>
          <w:lang w:val="ro-RO"/>
        </w:rPr>
        <w:tab/>
      </w:r>
    </w:p>
    <w:p w:rsidR="00BD3349" w:rsidRPr="00BD3349" w:rsidRDefault="00BD3349" w:rsidP="00BD3349">
      <w:pPr>
        <w:spacing w:after="0" w:line="240" w:lineRule="auto"/>
        <w:rPr>
          <w:rFonts w:ascii="Arial" w:hAnsi="Arial" w:cs="Arial"/>
          <w:b/>
          <w:sz w:val="24"/>
          <w:szCs w:val="24"/>
          <w:lang w:val="ro-RO"/>
        </w:rPr>
      </w:pPr>
    </w:p>
    <w:p w:rsidR="00BD3349" w:rsidRPr="00BD3349" w:rsidRDefault="00BD3349" w:rsidP="00BD3349">
      <w:pPr>
        <w:spacing w:after="0" w:line="240" w:lineRule="auto"/>
        <w:rPr>
          <w:rFonts w:ascii="Arial" w:hAnsi="Arial" w:cs="Arial"/>
          <w:sz w:val="24"/>
          <w:szCs w:val="24"/>
          <w:lang w:val="ro-RO"/>
        </w:rPr>
      </w:pPr>
      <w:r w:rsidRPr="00BD3349">
        <w:rPr>
          <w:rFonts w:ascii="Arial" w:hAnsi="Arial" w:cs="Arial"/>
          <w:sz w:val="24"/>
          <w:szCs w:val="24"/>
          <w:lang w:val="ro-RO"/>
        </w:rPr>
        <w:t xml:space="preserve">V.1.4.1. Fragmentarea ecosistemelor </w:t>
      </w:r>
    </w:p>
    <w:p w:rsidR="00BD3349" w:rsidRPr="00BD3349" w:rsidRDefault="00BD3349" w:rsidP="00BD3349">
      <w:pPr>
        <w:spacing w:after="0" w:line="240" w:lineRule="auto"/>
        <w:rPr>
          <w:rFonts w:ascii="Arial" w:hAnsi="Arial" w:cs="Arial"/>
          <w:sz w:val="24"/>
          <w:szCs w:val="24"/>
          <w:lang w:val="ro-RO"/>
        </w:rPr>
      </w:pPr>
    </w:p>
    <w:p w:rsidR="00BD3349" w:rsidRPr="00BD3349" w:rsidRDefault="00BD3349" w:rsidP="00BD3349">
      <w:pPr>
        <w:spacing w:after="0" w:line="240" w:lineRule="auto"/>
        <w:ind w:firstLine="720"/>
        <w:jc w:val="both"/>
        <w:rPr>
          <w:rFonts w:ascii="Arial" w:hAnsi="Arial" w:cs="Arial"/>
          <w:sz w:val="24"/>
          <w:szCs w:val="24"/>
          <w:lang w:val="ro-RO"/>
        </w:rPr>
      </w:pPr>
      <w:r w:rsidRPr="00BD3349">
        <w:rPr>
          <w:rFonts w:ascii="Arial" w:hAnsi="Arial" w:cs="Arial"/>
          <w:sz w:val="24"/>
          <w:szCs w:val="24"/>
        </w:rPr>
        <w:t xml:space="preserve">În urma impactului antropic puternic determinat de dezvoltarea industrială şi a agriculturii, a schimbării categoriei de folosinţă a terenurilor, o parte dintre speciile de plante şi animale sălbatice au dispărut sau sunt ameninţate cu dispariţia ca urmarea a exploatării neraţionale a acestora sau a distrugerii, fragmentării şi/sau a poluării habitatelor în care acestea trăiesc. Fragmentarea habitatelor este cauzată de o întreagă serie de factori diferiţi legaţi de schimbările în utilizarea terenurilor, printre care se numără extinderea urbană, infrastructurile de transport şi intensificarea practicilor </w:t>
      </w:r>
      <w:r w:rsidRPr="00BD3349">
        <w:rPr>
          <w:rFonts w:ascii="Arial" w:hAnsi="Arial" w:cs="Arial"/>
          <w:sz w:val="24"/>
          <w:szCs w:val="24"/>
        </w:rPr>
        <w:lastRenderedPageBreak/>
        <w:t xml:space="preserve">agricole sau silvice. Pierderea zonelor naturale are repercusiuni care se extind dincolo de dispariţia speciilor rare. </w:t>
      </w:r>
    </w:p>
    <w:p w:rsidR="00BD3349" w:rsidRPr="00BD3349" w:rsidRDefault="00BD3349" w:rsidP="00BD3349">
      <w:pPr>
        <w:autoSpaceDE w:val="0"/>
        <w:autoSpaceDN w:val="0"/>
        <w:adjustRightInd w:val="0"/>
        <w:spacing w:after="0" w:line="240" w:lineRule="auto"/>
        <w:ind w:firstLine="720"/>
        <w:jc w:val="both"/>
        <w:rPr>
          <w:rFonts w:ascii="Arial" w:hAnsi="Arial" w:cs="Arial"/>
          <w:sz w:val="24"/>
          <w:szCs w:val="24"/>
        </w:rPr>
      </w:pPr>
      <w:r w:rsidRPr="00BD3349">
        <w:rPr>
          <w:rFonts w:ascii="Arial" w:hAnsi="Arial" w:cs="Arial"/>
          <w:sz w:val="24"/>
          <w:szCs w:val="24"/>
        </w:rPr>
        <w:t>În anul 2015, în judeţul Vaslui nu au fost implementate proiecte cu impact negativ, care să ducă la o schimbare semnificativă a ecosistemelor naturale.</w:t>
      </w:r>
    </w:p>
    <w:p w:rsidR="00BD3349" w:rsidRPr="00BD3349" w:rsidRDefault="00BD3349" w:rsidP="00BD3349">
      <w:pPr>
        <w:spacing w:after="0" w:line="240" w:lineRule="auto"/>
        <w:rPr>
          <w:rFonts w:ascii="Arial" w:hAnsi="Arial" w:cs="Arial"/>
          <w:b/>
          <w:sz w:val="24"/>
          <w:szCs w:val="24"/>
          <w:lang w:val="ro-RO"/>
        </w:rPr>
      </w:pPr>
    </w:p>
    <w:p w:rsidR="00BD3349" w:rsidRPr="00BD3349" w:rsidRDefault="00BD3349" w:rsidP="00BD3349">
      <w:pPr>
        <w:spacing w:after="0" w:line="240" w:lineRule="auto"/>
        <w:rPr>
          <w:rFonts w:ascii="Arial" w:hAnsi="Arial" w:cs="Arial"/>
          <w:sz w:val="24"/>
          <w:szCs w:val="24"/>
          <w:lang w:val="ro-RO"/>
        </w:rPr>
      </w:pPr>
      <w:r w:rsidRPr="00BD3349">
        <w:rPr>
          <w:rFonts w:ascii="Arial" w:hAnsi="Arial" w:cs="Arial"/>
          <w:sz w:val="24"/>
          <w:szCs w:val="24"/>
          <w:lang w:val="ro-RO"/>
        </w:rPr>
        <w:t xml:space="preserve">V.1.4.2. Reducerea habitatelor naturale şi semi-naturale </w:t>
      </w:r>
    </w:p>
    <w:p w:rsidR="00BD3349" w:rsidRPr="00BD3349" w:rsidRDefault="00BD3349" w:rsidP="00BD3349">
      <w:pPr>
        <w:spacing w:after="0" w:line="240" w:lineRule="auto"/>
        <w:rPr>
          <w:rFonts w:ascii="Arial" w:hAnsi="Arial" w:cs="Arial"/>
          <w:sz w:val="24"/>
          <w:szCs w:val="24"/>
          <w:lang w:val="ro-RO"/>
        </w:rPr>
      </w:pPr>
    </w:p>
    <w:p w:rsidR="00BD3349" w:rsidRPr="00BD3349" w:rsidRDefault="00BD3349" w:rsidP="00BD3349">
      <w:pPr>
        <w:shd w:val="clear" w:color="auto" w:fill="FFFFFF"/>
        <w:spacing w:after="0" w:line="240" w:lineRule="auto"/>
        <w:ind w:firstLine="720"/>
        <w:jc w:val="both"/>
        <w:rPr>
          <w:rFonts w:ascii="Arial" w:eastAsia="Times New Roman" w:hAnsi="Arial" w:cs="Arial"/>
          <w:sz w:val="24"/>
          <w:szCs w:val="24"/>
        </w:rPr>
      </w:pPr>
      <w:r w:rsidRPr="00BD3349">
        <w:rPr>
          <w:rFonts w:ascii="Arial" w:eastAsia="Times New Roman" w:hAnsi="Arial" w:cs="Arial"/>
          <w:sz w:val="24"/>
          <w:szCs w:val="24"/>
        </w:rPr>
        <w:t>Distrugerea habitatelor de către activităţile umane este cauza primară a dispariţiei unor specii de plante şi animale. Pe măsură ce vieţuitoarele evoluează, ele se adaptează unor habitate specifice, care le asigură condiţiile optime de viaţă de care au nevoie. Poluarea, drenarea mlaştinilor, defrişarea pădurilor, urbanizarea şi construcţia de drumuri duc la distrugerea sau fragmentarea acestor medii de viaţă. Astfel, speciile pierd contactul cu celelalte populaţii, reducându-se astfel diversitatea genetică şi adaptându-se mai greu la condiţiile climatice schimbătoare. În unele cazuri, habitatul fragmentat devine o zonă prea restrânsă pentru a suporta o populaţie mare.</w:t>
      </w:r>
    </w:p>
    <w:p w:rsidR="00BD3349" w:rsidRPr="00BD3349" w:rsidRDefault="00BD3349" w:rsidP="00BD3349">
      <w:pPr>
        <w:spacing w:after="0" w:line="240" w:lineRule="auto"/>
        <w:rPr>
          <w:rFonts w:ascii="Arial" w:hAnsi="Arial" w:cs="Arial"/>
          <w:b/>
          <w:i/>
          <w:sz w:val="24"/>
          <w:szCs w:val="24"/>
          <w:lang w:val="ro-RO"/>
        </w:rPr>
      </w:pPr>
    </w:p>
    <w:p w:rsidR="00BD3349" w:rsidRPr="00BD3349" w:rsidRDefault="00BD3349" w:rsidP="00BD3349">
      <w:pPr>
        <w:spacing w:after="0" w:line="240" w:lineRule="auto"/>
        <w:rPr>
          <w:rFonts w:ascii="Arial" w:hAnsi="Arial" w:cs="Arial"/>
          <w:b/>
          <w:i/>
          <w:sz w:val="24"/>
          <w:szCs w:val="24"/>
          <w:lang w:val="ro-RO"/>
        </w:rPr>
      </w:pPr>
      <w:r w:rsidRPr="00BD3349">
        <w:rPr>
          <w:rFonts w:ascii="Arial" w:hAnsi="Arial" w:cs="Arial"/>
          <w:b/>
          <w:i/>
          <w:sz w:val="24"/>
          <w:szCs w:val="24"/>
          <w:lang w:val="ro-RO"/>
        </w:rPr>
        <w:t xml:space="preserve">V.1.5. Exploatarea excesivă a resurselor naturale </w:t>
      </w:r>
      <w:r w:rsidRPr="00BD3349">
        <w:rPr>
          <w:rFonts w:ascii="Arial" w:hAnsi="Arial" w:cs="Arial"/>
          <w:b/>
          <w:i/>
          <w:sz w:val="24"/>
          <w:szCs w:val="24"/>
          <w:lang w:val="ro-RO"/>
        </w:rPr>
        <w:tab/>
      </w:r>
    </w:p>
    <w:p w:rsidR="00BD3349" w:rsidRPr="00BD3349" w:rsidRDefault="00BD3349" w:rsidP="00BD3349">
      <w:pPr>
        <w:spacing w:after="0" w:line="240" w:lineRule="auto"/>
        <w:rPr>
          <w:rFonts w:ascii="Arial" w:hAnsi="Arial" w:cs="Arial"/>
          <w:b/>
          <w:sz w:val="24"/>
          <w:szCs w:val="24"/>
          <w:lang w:val="ro-RO"/>
        </w:rPr>
      </w:pPr>
    </w:p>
    <w:p w:rsidR="00BD3349" w:rsidRPr="00BD3349" w:rsidRDefault="00BD3349" w:rsidP="00BD3349">
      <w:pPr>
        <w:spacing w:after="0" w:line="240" w:lineRule="auto"/>
        <w:rPr>
          <w:rFonts w:ascii="Arial" w:hAnsi="Arial" w:cs="Arial"/>
          <w:sz w:val="24"/>
          <w:szCs w:val="24"/>
          <w:lang w:val="ro-RO"/>
        </w:rPr>
      </w:pPr>
      <w:r w:rsidRPr="00BD3349">
        <w:rPr>
          <w:rFonts w:ascii="Arial" w:hAnsi="Arial" w:cs="Arial"/>
          <w:sz w:val="24"/>
          <w:szCs w:val="24"/>
          <w:lang w:val="ro-RO"/>
        </w:rPr>
        <w:t xml:space="preserve"> V.1.5.1. Exploatarea forestieră </w:t>
      </w:r>
      <w:r w:rsidRPr="00BD3349">
        <w:rPr>
          <w:rFonts w:ascii="Arial" w:hAnsi="Arial" w:cs="Arial"/>
          <w:sz w:val="24"/>
          <w:szCs w:val="24"/>
          <w:lang w:val="ro-RO"/>
        </w:rPr>
        <w:tab/>
      </w:r>
    </w:p>
    <w:p w:rsidR="00BD3349" w:rsidRPr="00BD3349" w:rsidRDefault="00BD3349" w:rsidP="00BD3349">
      <w:pPr>
        <w:spacing w:after="0" w:line="240" w:lineRule="auto"/>
        <w:rPr>
          <w:rFonts w:ascii="Arial" w:hAnsi="Arial" w:cs="Arial"/>
          <w:sz w:val="24"/>
          <w:szCs w:val="24"/>
          <w:lang w:val="ro-RO"/>
        </w:rPr>
      </w:pPr>
    </w:p>
    <w:p w:rsidR="00BD3349" w:rsidRPr="00BD3349" w:rsidRDefault="00BD3349" w:rsidP="00BD3349">
      <w:pPr>
        <w:spacing w:after="0" w:line="240" w:lineRule="auto"/>
        <w:ind w:firstLine="720"/>
        <w:jc w:val="both"/>
        <w:rPr>
          <w:rFonts w:ascii="Arial" w:hAnsi="Arial" w:cs="Arial"/>
          <w:sz w:val="24"/>
          <w:szCs w:val="24"/>
          <w:lang w:val="ro-RO"/>
        </w:rPr>
      </w:pPr>
      <w:r w:rsidRPr="00BD3349">
        <w:rPr>
          <w:rFonts w:ascii="Arial" w:hAnsi="Arial" w:cs="Arial"/>
          <w:bCs/>
          <w:sz w:val="24"/>
          <w:szCs w:val="24"/>
          <w:lang w:val="ro-RO"/>
        </w:rPr>
        <w:t>Exploatarea forestieră</w:t>
      </w:r>
      <w:r w:rsidRPr="00BD3349">
        <w:rPr>
          <w:rFonts w:ascii="Arial" w:hAnsi="Arial" w:cs="Arial"/>
          <w:sz w:val="24"/>
          <w:szCs w:val="24"/>
          <w:lang w:val="ro-RO"/>
        </w:rPr>
        <w:t xml:space="preserve"> sau </w:t>
      </w:r>
      <w:r w:rsidRPr="00BD3349">
        <w:rPr>
          <w:rFonts w:ascii="Arial" w:hAnsi="Arial" w:cs="Arial"/>
          <w:bCs/>
          <w:sz w:val="24"/>
          <w:szCs w:val="24"/>
          <w:lang w:val="ro-RO"/>
        </w:rPr>
        <w:t>procesul de producție al exploatării lemnului</w:t>
      </w:r>
      <w:r w:rsidRPr="00BD3349">
        <w:rPr>
          <w:rFonts w:ascii="Arial" w:hAnsi="Arial" w:cs="Arial"/>
          <w:sz w:val="24"/>
          <w:szCs w:val="24"/>
          <w:lang w:val="ro-RO"/>
        </w:rPr>
        <w:t xml:space="preserve"> reprezintă ansamblul activităților </w:t>
      </w:r>
      <w:hyperlink r:id="rId89" w:tooltip="Silvicultură" w:history="1">
        <w:r w:rsidRPr="00BD3349">
          <w:rPr>
            <w:rFonts w:ascii="Arial" w:hAnsi="Arial" w:cs="Arial"/>
            <w:sz w:val="24"/>
            <w:szCs w:val="24"/>
            <w:lang w:val="ro-RO"/>
          </w:rPr>
          <w:t>silvice</w:t>
        </w:r>
      </w:hyperlink>
      <w:r w:rsidRPr="00BD3349">
        <w:rPr>
          <w:rFonts w:ascii="Arial" w:hAnsi="Arial" w:cs="Arial"/>
          <w:sz w:val="24"/>
          <w:szCs w:val="24"/>
          <w:lang w:val="ro-RO"/>
        </w:rPr>
        <w:t xml:space="preserve">, </w:t>
      </w:r>
      <w:hyperlink r:id="rId90" w:tooltip="Tehnică" w:history="1">
        <w:r w:rsidRPr="00BD3349">
          <w:rPr>
            <w:rFonts w:ascii="Arial" w:hAnsi="Arial" w:cs="Arial"/>
            <w:sz w:val="24"/>
            <w:szCs w:val="24"/>
            <w:lang w:val="ro-RO"/>
          </w:rPr>
          <w:t>tehnice</w:t>
        </w:r>
      </w:hyperlink>
      <w:r w:rsidRPr="00BD3349">
        <w:rPr>
          <w:rFonts w:ascii="Arial" w:hAnsi="Arial" w:cs="Arial"/>
          <w:sz w:val="24"/>
          <w:szCs w:val="24"/>
          <w:lang w:val="ro-RO"/>
        </w:rPr>
        <w:t xml:space="preserve"> și </w:t>
      </w:r>
      <w:hyperlink r:id="rId91" w:tooltip="Economie" w:history="1">
        <w:r w:rsidRPr="00BD3349">
          <w:rPr>
            <w:rFonts w:ascii="Arial" w:hAnsi="Arial" w:cs="Arial"/>
            <w:sz w:val="24"/>
            <w:szCs w:val="24"/>
            <w:lang w:val="ro-RO"/>
          </w:rPr>
          <w:t>economice</w:t>
        </w:r>
      </w:hyperlink>
      <w:r w:rsidRPr="00BD3349">
        <w:rPr>
          <w:rFonts w:ascii="Arial" w:hAnsi="Arial" w:cs="Arial"/>
          <w:sz w:val="24"/>
          <w:szCs w:val="24"/>
          <w:lang w:val="ro-RO"/>
        </w:rPr>
        <w:t xml:space="preserve"> ce au ca scop și efect introducerea în </w:t>
      </w:r>
      <w:hyperlink r:id="rId92" w:tooltip="Circuit economic" w:history="1">
        <w:r w:rsidRPr="00BD3349">
          <w:rPr>
            <w:rFonts w:ascii="Arial" w:hAnsi="Arial" w:cs="Arial"/>
            <w:sz w:val="24"/>
            <w:szCs w:val="24"/>
            <w:lang w:val="ro-RO"/>
          </w:rPr>
          <w:t>circuitul economic</w:t>
        </w:r>
      </w:hyperlink>
      <w:r w:rsidRPr="00BD3349">
        <w:rPr>
          <w:rFonts w:ascii="Arial" w:hAnsi="Arial" w:cs="Arial"/>
          <w:sz w:val="24"/>
          <w:szCs w:val="24"/>
          <w:lang w:val="ro-RO"/>
        </w:rPr>
        <w:t xml:space="preserve"> a </w:t>
      </w:r>
      <w:hyperlink r:id="rId93" w:tooltip="Produs" w:history="1">
        <w:r w:rsidRPr="00BD3349">
          <w:rPr>
            <w:rFonts w:ascii="Arial" w:hAnsi="Arial" w:cs="Arial"/>
            <w:sz w:val="24"/>
            <w:szCs w:val="24"/>
            <w:lang w:val="ro-RO"/>
          </w:rPr>
          <w:t>produselor</w:t>
        </w:r>
      </w:hyperlink>
      <w:r w:rsidRPr="00BD3349">
        <w:rPr>
          <w:rFonts w:ascii="Arial" w:hAnsi="Arial" w:cs="Arial"/>
          <w:sz w:val="24"/>
          <w:szCs w:val="24"/>
          <w:lang w:val="ro-RO"/>
        </w:rPr>
        <w:t xml:space="preserve"> rezultate din valorificarea </w:t>
      </w:r>
      <w:hyperlink r:id="rId94" w:tooltip="Biomasă (ecologie)" w:history="1">
        <w:r w:rsidRPr="00BD3349">
          <w:rPr>
            <w:rFonts w:ascii="Arial" w:hAnsi="Arial" w:cs="Arial"/>
            <w:sz w:val="24"/>
            <w:szCs w:val="24"/>
            <w:lang w:val="ro-RO"/>
          </w:rPr>
          <w:t>biomasei</w:t>
        </w:r>
      </w:hyperlink>
      <w:r w:rsidRPr="00BD3349">
        <w:rPr>
          <w:rFonts w:ascii="Arial" w:hAnsi="Arial" w:cs="Arial"/>
          <w:sz w:val="24"/>
          <w:szCs w:val="24"/>
          <w:lang w:val="ro-RO"/>
        </w:rPr>
        <w:t xml:space="preserve"> lemnoase a </w:t>
      </w:r>
      <w:hyperlink r:id="rId95" w:tooltip="Pădure" w:history="1">
        <w:r w:rsidRPr="00BD3349">
          <w:rPr>
            <w:rFonts w:ascii="Arial" w:hAnsi="Arial" w:cs="Arial"/>
            <w:sz w:val="24"/>
            <w:szCs w:val="24"/>
            <w:lang w:val="ro-RO"/>
          </w:rPr>
          <w:t>pădurilor</w:t>
        </w:r>
      </w:hyperlink>
      <w:r w:rsidRPr="00BD3349">
        <w:rPr>
          <w:rFonts w:ascii="Arial" w:hAnsi="Arial" w:cs="Arial"/>
          <w:sz w:val="24"/>
          <w:szCs w:val="24"/>
          <w:lang w:val="ro-RO"/>
        </w:rPr>
        <w:t>.</w:t>
      </w:r>
    </w:p>
    <w:p w:rsidR="00BD3349" w:rsidRPr="00BD3349" w:rsidRDefault="00BD3349" w:rsidP="00BD3349">
      <w:pPr>
        <w:spacing w:after="0" w:line="240" w:lineRule="auto"/>
        <w:ind w:firstLine="720"/>
        <w:jc w:val="both"/>
        <w:rPr>
          <w:rFonts w:ascii="Arial" w:hAnsi="Arial" w:cs="Arial"/>
          <w:sz w:val="24"/>
          <w:szCs w:val="24"/>
          <w:lang w:val="ro-RO"/>
        </w:rPr>
      </w:pPr>
      <w:r w:rsidRPr="00BD3349">
        <w:rPr>
          <w:rFonts w:ascii="Arial" w:hAnsi="Arial" w:cs="Arial"/>
          <w:sz w:val="24"/>
          <w:szCs w:val="24"/>
          <w:lang w:val="ro-RO"/>
        </w:rPr>
        <w:t xml:space="preserve">Exploatarea </w:t>
      </w:r>
      <w:hyperlink r:id="rId96" w:tooltip="Lemn" w:history="1">
        <w:r w:rsidRPr="00BD3349">
          <w:rPr>
            <w:rFonts w:ascii="Arial" w:hAnsi="Arial" w:cs="Arial"/>
            <w:sz w:val="24"/>
            <w:szCs w:val="24"/>
            <w:lang w:val="ro-RO"/>
          </w:rPr>
          <w:t>lemnului</w:t>
        </w:r>
      </w:hyperlink>
      <w:r w:rsidRPr="00BD3349">
        <w:rPr>
          <w:rFonts w:ascii="Arial" w:hAnsi="Arial" w:cs="Arial"/>
          <w:sz w:val="24"/>
          <w:szCs w:val="24"/>
          <w:lang w:val="ro-RO"/>
        </w:rPr>
        <w:t xml:space="preserve"> implică atât o fază inițială, reprezentată de procesul de producție din cultura pădurilor, cât și o fază cu caracter tehnico-</w:t>
      </w:r>
      <w:hyperlink r:id="rId97" w:tooltip="Industrie" w:history="1">
        <w:r w:rsidRPr="00BD3349">
          <w:rPr>
            <w:rFonts w:ascii="Arial" w:hAnsi="Arial" w:cs="Arial"/>
            <w:sz w:val="24"/>
            <w:szCs w:val="24"/>
            <w:lang w:val="ro-RO"/>
          </w:rPr>
          <w:t>industrial</w:t>
        </w:r>
      </w:hyperlink>
      <w:r w:rsidRPr="00BD3349">
        <w:rPr>
          <w:rFonts w:ascii="Arial" w:hAnsi="Arial" w:cs="Arial"/>
          <w:sz w:val="24"/>
          <w:szCs w:val="24"/>
          <w:lang w:val="ro-RO"/>
        </w:rPr>
        <w:t xml:space="preserve">, care are ca efect atât transformarea masei lemnoase în produse brute sau semifinite, cât și </w:t>
      </w:r>
      <w:hyperlink r:id="rId98" w:tooltip="Transport" w:history="1">
        <w:r w:rsidRPr="00BD3349">
          <w:rPr>
            <w:rFonts w:ascii="Arial" w:hAnsi="Arial" w:cs="Arial"/>
            <w:sz w:val="24"/>
            <w:szCs w:val="24"/>
            <w:lang w:val="ro-RO"/>
          </w:rPr>
          <w:t>transportul</w:t>
        </w:r>
      </w:hyperlink>
      <w:r w:rsidRPr="00BD3349">
        <w:rPr>
          <w:rFonts w:ascii="Arial" w:hAnsi="Arial" w:cs="Arial"/>
          <w:sz w:val="24"/>
          <w:szCs w:val="24"/>
          <w:lang w:val="ro-RO"/>
        </w:rPr>
        <w:t xml:space="preserve"> acestora pentru consum sau prelucrare ulterioară. </w:t>
      </w:r>
    </w:p>
    <w:p w:rsidR="00BD3349" w:rsidRPr="00BD3349" w:rsidRDefault="00BD3349" w:rsidP="00BD3349">
      <w:pPr>
        <w:spacing w:after="0" w:line="240" w:lineRule="auto"/>
        <w:ind w:firstLine="720"/>
        <w:jc w:val="both"/>
        <w:rPr>
          <w:rFonts w:ascii="Arial" w:hAnsi="Arial" w:cs="Arial"/>
          <w:sz w:val="24"/>
          <w:szCs w:val="24"/>
        </w:rPr>
      </w:pPr>
      <w:r w:rsidRPr="00BD3349">
        <w:rPr>
          <w:rFonts w:ascii="Arial" w:hAnsi="Arial" w:cs="Arial"/>
          <w:sz w:val="24"/>
          <w:szCs w:val="24"/>
        </w:rPr>
        <w:t>Prevenirea şi combaterea fenomenului infracţional în sectorul silvic constituie o preocupare majoră a Direcţiei Silvice Vaslui, având în vedere interesul Uniunii Europene asupra integrităţii fondului forestier şi implicaţiile deosebite asupra mediului înconjurător, ecosistemului forestier şi asupra economiei naţionale.</w:t>
      </w:r>
    </w:p>
    <w:p w:rsidR="00BD3349" w:rsidRPr="00BD3349" w:rsidRDefault="00BD3349" w:rsidP="00BD3349">
      <w:pPr>
        <w:spacing w:after="0" w:line="240" w:lineRule="auto"/>
        <w:ind w:firstLine="720"/>
        <w:jc w:val="both"/>
        <w:rPr>
          <w:rFonts w:ascii="Arial" w:hAnsi="Arial" w:cs="Arial"/>
          <w:bCs/>
          <w:sz w:val="20"/>
          <w:szCs w:val="20"/>
        </w:rPr>
      </w:pPr>
      <w:r w:rsidRPr="00BD3349">
        <w:rPr>
          <w:rFonts w:ascii="Arial" w:hAnsi="Arial" w:cs="Arial"/>
          <w:sz w:val="24"/>
          <w:szCs w:val="24"/>
        </w:rPr>
        <w:t xml:space="preserve">Cauzele principale ale tăierilor ilegale şi ale faptelor ilicite asociate se regăsesc, în principal, în tendinţa de obţinere imediată de venituri ilegale, nivelul scăzut al veniturilor locuitorilor din zonele rurale ale judeţului Vaslui identificate cu tăieri ilegale şi lipsa unor alternative sociale, care au condus la alegerea ca sursă unică de venituri exploatarea şi valorificarea ilegală a lemnului. </w:t>
      </w:r>
      <w:r w:rsidRPr="00BD3349">
        <w:rPr>
          <w:rFonts w:ascii="Arial" w:hAnsi="Arial" w:cs="Arial"/>
          <w:sz w:val="20"/>
          <w:szCs w:val="20"/>
        </w:rPr>
        <w:t xml:space="preserve">(Sursa: Direcţia Silvică Vaslui - </w:t>
      </w:r>
      <w:r w:rsidRPr="00BD3349">
        <w:rPr>
          <w:rFonts w:ascii="Arial" w:hAnsi="Arial" w:cs="Arial"/>
          <w:bCs/>
          <w:sz w:val="20"/>
          <w:szCs w:val="20"/>
        </w:rPr>
        <w:t>Măsuri privind asigurarea integrităţii fondului forestier)</w:t>
      </w:r>
    </w:p>
    <w:p w:rsidR="00BD3349" w:rsidRPr="00BD3349" w:rsidRDefault="00BD3349" w:rsidP="00BD3349">
      <w:pPr>
        <w:spacing w:after="0" w:line="240" w:lineRule="auto"/>
        <w:ind w:firstLine="720"/>
        <w:jc w:val="both"/>
        <w:rPr>
          <w:rFonts w:ascii="Arial" w:hAnsi="Arial" w:cs="Arial"/>
          <w:sz w:val="24"/>
          <w:szCs w:val="24"/>
        </w:rPr>
      </w:pPr>
    </w:p>
    <w:p w:rsidR="00BD3349" w:rsidRPr="00BD3349" w:rsidRDefault="00BD3349" w:rsidP="00BD3349">
      <w:pPr>
        <w:spacing w:after="0" w:line="240" w:lineRule="auto"/>
        <w:jc w:val="both"/>
        <w:rPr>
          <w:rFonts w:ascii="Arial" w:hAnsi="Arial" w:cs="Arial"/>
          <w:bCs/>
          <w:sz w:val="24"/>
          <w:szCs w:val="24"/>
        </w:rPr>
      </w:pPr>
      <w:r w:rsidRPr="00BD3349">
        <w:rPr>
          <w:rFonts w:ascii="Arial" w:hAnsi="Arial" w:cs="Arial"/>
          <w:bCs/>
          <w:sz w:val="24"/>
          <w:szCs w:val="24"/>
        </w:rPr>
        <w:t>Figura V.6. Evoluţia tăierilor din judeţul Vaslui, în perioada 2011-2015</w:t>
      </w:r>
    </w:p>
    <w:p w:rsidR="00BD3349" w:rsidRPr="00BD3349" w:rsidRDefault="00BD3349" w:rsidP="00BD3349">
      <w:pPr>
        <w:jc w:val="both"/>
        <w:rPr>
          <w:rFonts w:ascii="Arial" w:hAnsi="Arial" w:cs="Arial"/>
          <w:bCs/>
          <w:sz w:val="24"/>
          <w:szCs w:val="24"/>
        </w:rPr>
      </w:pPr>
      <w:r w:rsidRPr="00BD3349">
        <w:rPr>
          <w:rFonts w:ascii="Arial" w:hAnsi="Arial" w:cs="Arial"/>
          <w:bCs/>
          <w:noProof/>
          <w:sz w:val="24"/>
          <w:szCs w:val="24"/>
        </w:rPr>
        <w:drawing>
          <wp:inline distT="0" distB="0" distL="0" distR="0" wp14:anchorId="601BAF39" wp14:editId="211E0600">
            <wp:extent cx="6115050" cy="1181100"/>
            <wp:effectExtent l="0" t="0" r="0" b="0"/>
            <wp:docPr id="22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BD3349" w:rsidRPr="00BD3349" w:rsidRDefault="00BD3349" w:rsidP="00BD3349">
      <w:pPr>
        <w:spacing w:after="0" w:line="240" w:lineRule="auto"/>
        <w:rPr>
          <w:rFonts w:ascii="Arial" w:hAnsi="Arial" w:cs="Arial"/>
          <w:b/>
          <w:sz w:val="24"/>
          <w:szCs w:val="24"/>
          <w:lang w:val="ro-RO"/>
        </w:rPr>
      </w:pPr>
      <w:r w:rsidRPr="00BD3349">
        <w:rPr>
          <w:rFonts w:ascii="Arial" w:hAnsi="Arial" w:cs="Arial"/>
          <w:b/>
          <w:sz w:val="24"/>
          <w:szCs w:val="24"/>
          <w:lang w:val="ro-RO"/>
        </w:rPr>
        <w:lastRenderedPageBreak/>
        <w:t xml:space="preserve">V.2. Protecţia naturii şi biodiversitatea: prognoze şi acţiuni întreprinse </w:t>
      </w:r>
      <w:r w:rsidRPr="00BD3349">
        <w:rPr>
          <w:rFonts w:ascii="Arial" w:hAnsi="Arial" w:cs="Arial"/>
          <w:b/>
          <w:sz w:val="24"/>
          <w:szCs w:val="24"/>
          <w:lang w:val="ro-RO"/>
        </w:rPr>
        <w:tab/>
      </w:r>
    </w:p>
    <w:p w:rsidR="00BD3349" w:rsidRPr="00BD3349" w:rsidRDefault="00BD3349" w:rsidP="00BD3349">
      <w:pPr>
        <w:spacing w:after="0" w:line="240" w:lineRule="auto"/>
        <w:rPr>
          <w:rFonts w:ascii="Arial" w:hAnsi="Arial" w:cs="Arial"/>
          <w:b/>
          <w:sz w:val="24"/>
          <w:szCs w:val="24"/>
          <w:lang w:val="ro-RO"/>
        </w:rPr>
      </w:pPr>
    </w:p>
    <w:p w:rsidR="00BD3349" w:rsidRPr="00BD3349" w:rsidRDefault="00BD3349" w:rsidP="00BD3349">
      <w:pPr>
        <w:spacing w:after="0" w:line="240" w:lineRule="auto"/>
        <w:rPr>
          <w:rFonts w:ascii="Arial" w:hAnsi="Arial" w:cs="Arial"/>
          <w:b/>
          <w:i/>
          <w:sz w:val="24"/>
          <w:szCs w:val="24"/>
          <w:lang w:val="ro-RO"/>
        </w:rPr>
      </w:pPr>
      <w:r w:rsidRPr="00BD3349">
        <w:rPr>
          <w:rFonts w:ascii="Arial" w:hAnsi="Arial" w:cs="Arial"/>
          <w:b/>
          <w:i/>
          <w:sz w:val="24"/>
          <w:szCs w:val="24"/>
          <w:lang w:val="ro-RO"/>
        </w:rPr>
        <w:t xml:space="preserve">V.2. 1. Reţeaua de arii protejate </w:t>
      </w:r>
    </w:p>
    <w:p w:rsidR="00BD3349" w:rsidRPr="00BD3349" w:rsidRDefault="00BD3349" w:rsidP="00BD3349">
      <w:pPr>
        <w:spacing w:after="0" w:line="240" w:lineRule="auto"/>
        <w:rPr>
          <w:rFonts w:ascii="Arial" w:hAnsi="Arial" w:cs="Arial"/>
          <w:b/>
          <w:i/>
          <w:sz w:val="24"/>
          <w:szCs w:val="24"/>
          <w:lang w:val="ro-RO"/>
        </w:rPr>
      </w:pPr>
    </w:p>
    <w:p w:rsidR="00BD3349" w:rsidRPr="00BD3349" w:rsidRDefault="00BD3349" w:rsidP="00BD3349">
      <w:pPr>
        <w:spacing w:after="0" w:line="240" w:lineRule="auto"/>
        <w:jc w:val="both"/>
        <w:rPr>
          <w:rFonts w:ascii="Arial" w:hAnsi="Arial" w:cs="Arial"/>
          <w:sz w:val="24"/>
          <w:szCs w:val="24"/>
        </w:rPr>
      </w:pPr>
      <w:r w:rsidRPr="00BD3349">
        <w:t xml:space="preserve">                 </w:t>
      </w:r>
      <w:r w:rsidRPr="00BD3349">
        <w:rPr>
          <w:rFonts w:ascii="Arial" w:hAnsi="Arial" w:cs="Arial"/>
          <w:sz w:val="24"/>
          <w:szCs w:val="24"/>
        </w:rPr>
        <w:t xml:space="preserve">Conform </w:t>
      </w:r>
      <w:r w:rsidRPr="00BD3349">
        <w:rPr>
          <w:rFonts w:ascii="Arial" w:hAnsi="Arial" w:cs="Arial"/>
          <w:i/>
          <w:sz w:val="24"/>
          <w:szCs w:val="24"/>
        </w:rPr>
        <w:t>Ordonanţei de Urgenţă nr. 57/2007 privind regimul</w:t>
      </w:r>
      <w:r w:rsidRPr="00BD3349">
        <w:rPr>
          <w:rFonts w:ascii="Arial" w:hAnsi="Arial" w:cs="Arial"/>
          <w:sz w:val="24"/>
          <w:szCs w:val="24"/>
        </w:rPr>
        <w:t xml:space="preserve"> </w:t>
      </w:r>
      <w:r w:rsidRPr="00BD3349">
        <w:rPr>
          <w:rFonts w:ascii="Arial" w:hAnsi="Arial" w:cs="Arial"/>
          <w:i/>
          <w:sz w:val="24"/>
          <w:szCs w:val="24"/>
        </w:rPr>
        <w:t>ariilor naturale protejate, conservarea habitatelor naturale, a</w:t>
      </w:r>
      <w:r w:rsidRPr="00BD3349">
        <w:rPr>
          <w:rFonts w:ascii="Arial" w:hAnsi="Arial" w:cs="Arial"/>
          <w:sz w:val="24"/>
          <w:szCs w:val="24"/>
        </w:rPr>
        <w:t xml:space="preserve"> </w:t>
      </w:r>
      <w:r w:rsidRPr="00BD3349">
        <w:rPr>
          <w:rFonts w:ascii="Arial" w:hAnsi="Arial" w:cs="Arial"/>
          <w:i/>
          <w:sz w:val="24"/>
          <w:szCs w:val="24"/>
        </w:rPr>
        <w:t>florei şi faunei sălbatice, cu</w:t>
      </w:r>
      <w:r w:rsidRPr="00BD3349">
        <w:rPr>
          <w:rFonts w:ascii="Arial" w:hAnsi="Arial" w:cs="Arial"/>
          <w:sz w:val="24"/>
          <w:szCs w:val="24"/>
        </w:rPr>
        <w:t xml:space="preserve"> </w:t>
      </w:r>
      <w:r w:rsidRPr="00BD3349">
        <w:rPr>
          <w:rFonts w:ascii="Arial" w:hAnsi="Arial" w:cs="Arial"/>
          <w:i/>
          <w:sz w:val="24"/>
          <w:szCs w:val="24"/>
        </w:rPr>
        <w:t>modificările şi completările ulterioare</w:t>
      </w:r>
      <w:r w:rsidRPr="00BD3349">
        <w:rPr>
          <w:rFonts w:ascii="Arial" w:hAnsi="Arial" w:cs="Arial"/>
          <w:sz w:val="24"/>
          <w:szCs w:val="24"/>
        </w:rPr>
        <w:t xml:space="preserve">, ariile protejate sunt definite ca arii naturale protejate, indicându-se că valorile protejate/ conservate sunt în principal cele naturale: ”arie naturală protejată – zonă terestră / acvatică şi/ sau subterană în care există specii de plante şi animale sălbatice, elemente şi formaţiuni biogeografice, peisagistice, geologice, paleontologice, speologice sau de altă natură, cu valoare ecologică, ştiinţifică ori culturală deosebită, care are un regim special de protecţie şi conservare stabilit conform prevederilor legale.  Ariile protejate se constituie în elemente ale </w:t>
      </w:r>
      <w:r w:rsidRPr="00BD3349">
        <w:rPr>
          <w:rFonts w:ascii="Arial" w:hAnsi="Arial" w:cs="Arial"/>
          <w:bCs/>
          <w:i/>
          <w:iCs/>
          <w:sz w:val="24"/>
          <w:szCs w:val="24"/>
        </w:rPr>
        <w:t>reţelei de arii protejate</w:t>
      </w:r>
      <w:r w:rsidRPr="00BD3349">
        <w:rPr>
          <w:rFonts w:ascii="Arial" w:hAnsi="Arial" w:cs="Arial"/>
          <w:sz w:val="24"/>
          <w:szCs w:val="24"/>
        </w:rPr>
        <w:t xml:space="preserve">. Ariile naturale protejate de interes național </w:t>
      </w:r>
      <w:r w:rsidRPr="00BD3349">
        <w:rPr>
          <w:rFonts w:ascii="Arial" w:hAnsi="Arial" w:cs="Arial"/>
          <w:sz w:val="24"/>
          <w:szCs w:val="24"/>
          <w:lang w:val="pl-PL"/>
        </w:rPr>
        <w:t>au fost declarate prin Legea nr. 5 din 2000 privind aprobarea Planului de amenajare a  teritoriului naţional- Secţiunea a III-a- zone protejate, prin H.G. nr. 2151 din 2004 privind instituirea regimului de arie naturală pentru noi zone și H.G. 1143/2007 privind instituirea de noi arii protejate.</w:t>
      </w:r>
    </w:p>
    <w:p w:rsidR="00BD3349" w:rsidRPr="00BD3349" w:rsidRDefault="00BD3349" w:rsidP="00BD3349">
      <w:pPr>
        <w:spacing w:after="0" w:line="240" w:lineRule="auto"/>
        <w:rPr>
          <w:rFonts w:ascii="Arial" w:hAnsi="Arial" w:cs="Arial"/>
          <w:b/>
          <w:i/>
          <w:sz w:val="24"/>
          <w:szCs w:val="24"/>
          <w:lang w:val="ro-RO"/>
        </w:rPr>
      </w:pPr>
    </w:p>
    <w:p w:rsidR="00BD3349" w:rsidRPr="00BD3349" w:rsidRDefault="00BD3349" w:rsidP="00BD3349">
      <w:pPr>
        <w:spacing w:after="0" w:line="240" w:lineRule="auto"/>
        <w:rPr>
          <w:rFonts w:ascii="Arial" w:hAnsi="Arial" w:cs="Arial"/>
          <w:b/>
          <w:i/>
          <w:sz w:val="24"/>
          <w:szCs w:val="24"/>
          <w:lang w:val="ro-RO"/>
        </w:rPr>
      </w:pPr>
      <w:r w:rsidRPr="00BD3349">
        <w:rPr>
          <w:rFonts w:ascii="Arial" w:hAnsi="Arial" w:cs="Arial"/>
          <w:b/>
          <w:i/>
          <w:sz w:val="24"/>
          <w:szCs w:val="24"/>
          <w:lang w:val="ro-RO"/>
        </w:rPr>
        <w:t>Ariilor naturale protejate de interes naţional</w:t>
      </w:r>
    </w:p>
    <w:p w:rsidR="00BD3349" w:rsidRPr="00BD3349" w:rsidRDefault="00BD3349" w:rsidP="00BD3349">
      <w:pPr>
        <w:spacing w:after="0" w:line="240" w:lineRule="auto"/>
        <w:rPr>
          <w:rFonts w:ascii="Arial" w:hAnsi="Arial" w:cs="Arial"/>
          <w:b/>
          <w:i/>
          <w:sz w:val="24"/>
          <w:szCs w:val="24"/>
          <w:lang w:val="ro-RO"/>
        </w:rPr>
      </w:pPr>
    </w:p>
    <w:p w:rsidR="00BD3349" w:rsidRPr="00BD3349" w:rsidRDefault="00BD3349" w:rsidP="00BD3349">
      <w:pPr>
        <w:spacing w:after="0" w:line="240" w:lineRule="auto"/>
        <w:jc w:val="both"/>
        <w:rPr>
          <w:rFonts w:ascii="Arial" w:hAnsi="Arial" w:cs="Arial"/>
          <w:sz w:val="24"/>
          <w:szCs w:val="24"/>
          <w:lang w:val="ro-RO"/>
        </w:rPr>
      </w:pPr>
      <w:r w:rsidRPr="00BD3349">
        <w:rPr>
          <w:rFonts w:ascii="Arial" w:hAnsi="Arial" w:cs="Arial"/>
          <w:sz w:val="24"/>
          <w:szCs w:val="24"/>
          <w:lang w:val="ro-RO"/>
        </w:rPr>
        <w:tab/>
        <w:t>În judeţul Vaslui sunt ocrotite prin lege, un număr de nouă rezervaţii naturale cu o suprafaţă de 302,80 ha, astăzi suprafaţa acestora rămânând de doar 191,28 ha.</w:t>
      </w:r>
    </w:p>
    <w:p w:rsidR="00BD3349" w:rsidRPr="00BD3349" w:rsidRDefault="00BD3349" w:rsidP="00BD3349">
      <w:pPr>
        <w:spacing w:after="0" w:line="240" w:lineRule="auto"/>
        <w:jc w:val="both"/>
        <w:rPr>
          <w:rFonts w:ascii="Arial" w:hAnsi="Arial" w:cs="Arial"/>
          <w:sz w:val="24"/>
          <w:szCs w:val="24"/>
          <w:lang w:val="ro-RO"/>
        </w:rPr>
      </w:pPr>
    </w:p>
    <w:p w:rsidR="00BD3349" w:rsidRPr="00BD3349" w:rsidRDefault="00BD3349" w:rsidP="00BD3349">
      <w:pPr>
        <w:spacing w:after="0" w:line="240" w:lineRule="auto"/>
        <w:jc w:val="both"/>
        <w:rPr>
          <w:rFonts w:ascii="Arial" w:hAnsi="Arial" w:cs="Arial"/>
          <w:sz w:val="24"/>
          <w:szCs w:val="24"/>
          <w:lang w:val="en-GB"/>
        </w:rPr>
      </w:pPr>
      <w:r w:rsidRPr="00BD3349">
        <w:rPr>
          <w:rFonts w:ascii="Arial" w:hAnsi="Arial" w:cs="Arial"/>
          <w:sz w:val="24"/>
          <w:szCs w:val="24"/>
          <w:lang w:val="ro-RO"/>
        </w:rPr>
        <w:t xml:space="preserve">Tabelul V.1. </w:t>
      </w:r>
      <w:r w:rsidRPr="00BD3349">
        <w:rPr>
          <w:rFonts w:ascii="Arial" w:hAnsi="Arial" w:cs="Arial"/>
          <w:sz w:val="24"/>
          <w:szCs w:val="24"/>
          <w:lang w:val="en-GB"/>
        </w:rPr>
        <w:t>Ariilor naturale protejate de interes naţional în judeţul Vaslui</w:t>
      </w:r>
    </w:p>
    <w:tbl>
      <w:tblPr>
        <w:tblW w:w="10065" w:type="dxa"/>
        <w:tblInd w:w="-176" w:type="dxa"/>
        <w:tblLayout w:type="fixed"/>
        <w:tblLook w:val="01E0" w:firstRow="1" w:lastRow="1" w:firstColumn="1" w:lastColumn="1" w:noHBand="0" w:noVBand="0"/>
      </w:tblPr>
      <w:tblGrid>
        <w:gridCol w:w="568"/>
        <w:gridCol w:w="1417"/>
        <w:gridCol w:w="851"/>
        <w:gridCol w:w="1276"/>
        <w:gridCol w:w="1559"/>
        <w:gridCol w:w="1701"/>
        <w:gridCol w:w="2693"/>
      </w:tblGrid>
      <w:tr w:rsidR="00BD3349" w:rsidRPr="00BD3349" w:rsidTr="002403BF">
        <w:trPr>
          <w:trHeight w:val="145"/>
        </w:trPr>
        <w:tc>
          <w:tcPr>
            <w:tcW w:w="568" w:type="dxa"/>
            <w:vMerge w:val="restart"/>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b/>
                <w:sz w:val="20"/>
                <w:szCs w:val="20"/>
                <w:lang w:val="ro-RO"/>
              </w:rPr>
            </w:pPr>
          </w:p>
          <w:p w:rsidR="00BD3349" w:rsidRPr="00BD3349" w:rsidRDefault="00BD3349" w:rsidP="00BD3349">
            <w:pPr>
              <w:spacing w:after="0" w:line="240" w:lineRule="auto"/>
              <w:rPr>
                <w:rFonts w:ascii="Arial" w:hAnsi="Arial" w:cs="Arial"/>
                <w:b/>
                <w:sz w:val="20"/>
                <w:szCs w:val="20"/>
                <w:lang w:val="ro-RO"/>
              </w:rPr>
            </w:pPr>
            <w:r w:rsidRPr="00BD3349">
              <w:rPr>
                <w:rFonts w:ascii="Arial" w:hAnsi="Arial" w:cs="Arial"/>
                <w:b/>
                <w:sz w:val="20"/>
                <w:szCs w:val="20"/>
                <w:lang w:val="ro-RO"/>
              </w:rPr>
              <w:t>Nr.</w:t>
            </w:r>
          </w:p>
          <w:p w:rsidR="00BD3349" w:rsidRPr="00BD3349" w:rsidRDefault="00BD3349" w:rsidP="00BD3349">
            <w:pPr>
              <w:spacing w:after="0" w:line="240" w:lineRule="auto"/>
              <w:rPr>
                <w:rFonts w:ascii="Arial" w:hAnsi="Arial" w:cs="Arial"/>
                <w:b/>
                <w:sz w:val="20"/>
                <w:szCs w:val="20"/>
                <w:lang w:val="ro-RO"/>
              </w:rPr>
            </w:pPr>
            <w:r w:rsidRPr="00BD3349">
              <w:rPr>
                <w:rFonts w:ascii="Arial" w:hAnsi="Arial" w:cs="Arial"/>
                <w:b/>
                <w:sz w:val="20"/>
                <w:szCs w:val="20"/>
                <w:lang w:val="ro-RO"/>
              </w:rPr>
              <w:t>crt.</w:t>
            </w:r>
          </w:p>
        </w:tc>
        <w:tc>
          <w:tcPr>
            <w:tcW w:w="1417" w:type="dxa"/>
            <w:vMerge w:val="restart"/>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b/>
                <w:sz w:val="20"/>
                <w:szCs w:val="20"/>
                <w:lang w:val="ro-RO"/>
              </w:rPr>
            </w:pPr>
          </w:p>
          <w:p w:rsidR="00BD3349" w:rsidRPr="00BD3349" w:rsidRDefault="00BD3349" w:rsidP="00BD3349">
            <w:pPr>
              <w:spacing w:after="0" w:line="240" w:lineRule="auto"/>
              <w:rPr>
                <w:rFonts w:ascii="Arial" w:hAnsi="Arial" w:cs="Arial"/>
                <w:b/>
                <w:sz w:val="20"/>
                <w:szCs w:val="20"/>
                <w:lang w:val="ro-RO"/>
              </w:rPr>
            </w:pPr>
            <w:r w:rsidRPr="00BD3349">
              <w:rPr>
                <w:rFonts w:ascii="Arial" w:hAnsi="Arial" w:cs="Arial"/>
                <w:b/>
                <w:sz w:val="20"/>
                <w:szCs w:val="20"/>
                <w:lang w:val="ro-RO"/>
              </w:rPr>
              <w:t>Denumire</w:t>
            </w:r>
          </w:p>
        </w:tc>
        <w:tc>
          <w:tcPr>
            <w:tcW w:w="851" w:type="dxa"/>
            <w:vMerge w:val="restart"/>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b/>
                <w:sz w:val="20"/>
                <w:szCs w:val="20"/>
                <w:lang w:val="ro-RO"/>
              </w:rPr>
            </w:pPr>
          </w:p>
          <w:p w:rsidR="00BD3349" w:rsidRPr="00BD3349" w:rsidRDefault="00BD3349" w:rsidP="00BD3349">
            <w:pPr>
              <w:spacing w:after="0" w:line="240" w:lineRule="auto"/>
              <w:rPr>
                <w:rFonts w:ascii="Arial" w:hAnsi="Arial" w:cs="Arial"/>
                <w:b/>
                <w:sz w:val="20"/>
                <w:szCs w:val="20"/>
                <w:lang w:val="ro-RO"/>
              </w:rPr>
            </w:pPr>
            <w:r w:rsidRPr="00BD3349">
              <w:rPr>
                <w:rFonts w:ascii="Arial" w:hAnsi="Arial" w:cs="Arial"/>
                <w:b/>
                <w:sz w:val="20"/>
                <w:szCs w:val="20"/>
                <w:lang w:val="ro-RO"/>
              </w:rPr>
              <w:t>Categ. ANP</w:t>
            </w:r>
          </w:p>
        </w:tc>
        <w:tc>
          <w:tcPr>
            <w:tcW w:w="1276" w:type="dxa"/>
            <w:vMerge w:val="restart"/>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b/>
                <w:sz w:val="20"/>
                <w:szCs w:val="20"/>
                <w:lang w:val="ro-RO"/>
              </w:rPr>
            </w:pPr>
          </w:p>
          <w:p w:rsidR="00BD3349" w:rsidRPr="00BD3349" w:rsidRDefault="00BD3349" w:rsidP="00BD3349">
            <w:pPr>
              <w:spacing w:after="0" w:line="240" w:lineRule="auto"/>
              <w:rPr>
                <w:rFonts w:ascii="Arial" w:hAnsi="Arial" w:cs="Arial"/>
                <w:b/>
                <w:sz w:val="20"/>
                <w:szCs w:val="20"/>
                <w:lang w:val="ro-RO"/>
              </w:rPr>
            </w:pPr>
            <w:r w:rsidRPr="00BD3349">
              <w:rPr>
                <w:rFonts w:ascii="Arial" w:hAnsi="Arial" w:cs="Arial"/>
                <w:b/>
                <w:sz w:val="20"/>
                <w:szCs w:val="20"/>
                <w:lang w:val="ro-RO"/>
              </w:rPr>
              <w:t>Suprafaţă</w:t>
            </w:r>
          </w:p>
        </w:tc>
        <w:tc>
          <w:tcPr>
            <w:tcW w:w="1559" w:type="dxa"/>
            <w:vMerge w:val="restart"/>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b/>
                <w:sz w:val="20"/>
                <w:szCs w:val="20"/>
                <w:lang w:val="ro-RO"/>
              </w:rPr>
            </w:pPr>
            <w:r w:rsidRPr="00BD3349">
              <w:rPr>
                <w:rFonts w:ascii="Arial" w:hAnsi="Arial" w:cs="Arial"/>
                <w:b/>
                <w:sz w:val="20"/>
                <w:szCs w:val="20"/>
                <w:lang w:val="ro-RO"/>
              </w:rPr>
              <w:t>Ponderea ANP din suprafaţa României( % )</w:t>
            </w:r>
          </w:p>
        </w:tc>
        <w:tc>
          <w:tcPr>
            <w:tcW w:w="4394" w:type="dxa"/>
            <w:gridSpan w:val="2"/>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jc w:val="center"/>
              <w:rPr>
                <w:rFonts w:ascii="Arial" w:hAnsi="Arial" w:cs="Arial"/>
                <w:b/>
                <w:sz w:val="20"/>
                <w:szCs w:val="20"/>
                <w:lang w:val="ro-RO"/>
              </w:rPr>
            </w:pPr>
            <w:r w:rsidRPr="00BD3349">
              <w:rPr>
                <w:rFonts w:ascii="Arial" w:hAnsi="Arial" w:cs="Arial"/>
                <w:b/>
                <w:sz w:val="20"/>
                <w:szCs w:val="20"/>
                <w:lang w:val="ro-RO"/>
              </w:rPr>
              <w:t>Statut legal</w:t>
            </w:r>
          </w:p>
        </w:tc>
      </w:tr>
      <w:tr w:rsidR="00BD3349" w:rsidRPr="00BD3349" w:rsidTr="002403BF">
        <w:trPr>
          <w:trHeight w:val="553"/>
        </w:trPr>
        <w:tc>
          <w:tcPr>
            <w:tcW w:w="568" w:type="dxa"/>
            <w:vMerge/>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hAnsi="Arial" w:cs="Arial"/>
                <w:b/>
                <w:sz w:val="20"/>
                <w:szCs w:val="20"/>
                <w:lang w:val="ro-RO"/>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hAnsi="Arial" w:cs="Arial"/>
                <w:b/>
                <w:sz w:val="20"/>
                <w:szCs w:val="20"/>
                <w:lang w:val="ro-RO"/>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hAnsi="Arial" w:cs="Arial"/>
                <w:b/>
                <w:sz w:val="20"/>
                <w:szCs w:val="20"/>
                <w:lang w:val="ro-RO"/>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hAnsi="Arial" w:cs="Arial"/>
                <w:b/>
                <w:sz w:val="20"/>
                <w:szCs w:val="20"/>
                <w:lang w:val="ro-RO"/>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hAnsi="Arial" w:cs="Arial"/>
                <w:b/>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jc w:val="center"/>
              <w:rPr>
                <w:rFonts w:ascii="Arial" w:hAnsi="Arial" w:cs="Arial"/>
                <w:b/>
                <w:sz w:val="20"/>
                <w:szCs w:val="20"/>
                <w:lang w:val="ro-RO"/>
              </w:rPr>
            </w:pPr>
            <w:r w:rsidRPr="00BD3349">
              <w:rPr>
                <w:rFonts w:ascii="Arial" w:hAnsi="Arial" w:cs="Arial"/>
                <w:b/>
                <w:sz w:val="20"/>
                <w:szCs w:val="20"/>
                <w:lang w:val="ro-RO"/>
              </w:rPr>
              <w:t>Interes naţ. (Lg.5/2000 H.G. 2151/2004</w:t>
            </w:r>
          </w:p>
        </w:tc>
        <w:tc>
          <w:tcPr>
            <w:tcW w:w="2693"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jc w:val="center"/>
              <w:rPr>
                <w:rFonts w:ascii="Arial" w:hAnsi="Arial" w:cs="Arial"/>
                <w:b/>
                <w:sz w:val="20"/>
                <w:szCs w:val="20"/>
                <w:lang w:val="ro-RO"/>
              </w:rPr>
            </w:pPr>
            <w:r w:rsidRPr="00BD3349">
              <w:rPr>
                <w:rFonts w:ascii="Arial" w:hAnsi="Arial" w:cs="Arial"/>
                <w:b/>
                <w:sz w:val="20"/>
                <w:szCs w:val="20"/>
                <w:lang w:val="ro-RO"/>
              </w:rPr>
              <w:t>Interes judeţean (HCJ/HCL)</w:t>
            </w:r>
          </w:p>
        </w:tc>
      </w:tr>
      <w:tr w:rsidR="00BD3349" w:rsidRPr="00BD3349" w:rsidTr="002403BF">
        <w:trPr>
          <w:trHeight w:val="1047"/>
        </w:trPr>
        <w:tc>
          <w:tcPr>
            <w:tcW w:w="568"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en-GB"/>
              </w:rPr>
            </w:pPr>
            <w:r w:rsidRPr="00BD3349">
              <w:rPr>
                <w:rFonts w:ascii="Arial" w:hAnsi="Arial" w:cs="Arial"/>
                <w:sz w:val="20"/>
                <w:szCs w:val="20"/>
                <w:lang w:val="en-GB"/>
              </w:rPr>
              <w:t>1</w:t>
            </w:r>
          </w:p>
        </w:tc>
        <w:tc>
          <w:tcPr>
            <w:tcW w:w="1417"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en-GB"/>
              </w:rPr>
            </w:pPr>
            <w:r w:rsidRPr="00BD3349">
              <w:rPr>
                <w:rFonts w:ascii="Arial" w:hAnsi="Arial" w:cs="Arial"/>
                <w:sz w:val="20"/>
                <w:szCs w:val="20"/>
                <w:lang w:val="en-GB"/>
              </w:rPr>
              <w:t>Rezervaţia paleontologică Măluşteni</w:t>
            </w:r>
          </w:p>
        </w:tc>
        <w:tc>
          <w:tcPr>
            <w:tcW w:w="85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en-GB"/>
              </w:rPr>
            </w:pPr>
            <w:r w:rsidRPr="00BD3349">
              <w:rPr>
                <w:rFonts w:ascii="Arial" w:hAnsi="Arial" w:cs="Arial"/>
                <w:sz w:val="20"/>
                <w:szCs w:val="20"/>
                <w:lang w:val="en-GB"/>
              </w:rPr>
              <w:t>2773</w:t>
            </w:r>
          </w:p>
        </w:tc>
        <w:tc>
          <w:tcPr>
            <w:tcW w:w="1276"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en-GB"/>
              </w:rPr>
            </w:pPr>
            <w:r w:rsidRPr="00BD3349">
              <w:rPr>
                <w:rFonts w:ascii="Arial" w:hAnsi="Arial" w:cs="Arial"/>
                <w:sz w:val="20"/>
                <w:szCs w:val="20"/>
                <w:lang w:val="en-GB"/>
              </w:rPr>
              <w:t>4,0</w:t>
            </w:r>
          </w:p>
        </w:tc>
        <w:tc>
          <w:tcPr>
            <w:tcW w:w="1559"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fr-FR"/>
              </w:rPr>
            </w:pPr>
            <w:r w:rsidRPr="00BD3349">
              <w:rPr>
                <w:rFonts w:ascii="Arial" w:hAnsi="Arial" w:cs="Arial"/>
                <w:sz w:val="20"/>
                <w:szCs w:val="20"/>
                <w:lang w:val="fr-FR"/>
              </w:rPr>
              <w:t>1,68* 10</w:t>
            </w:r>
            <w:r w:rsidRPr="00BD3349">
              <w:rPr>
                <w:rFonts w:ascii="Arial" w:hAnsi="Arial" w:cs="Arial"/>
                <w:sz w:val="20"/>
                <w:szCs w:val="20"/>
                <w:vertAlign w:val="superscript"/>
                <w:lang w:val="fr-FR"/>
              </w:rPr>
              <w:t>-5</w:t>
            </w:r>
          </w:p>
        </w:tc>
        <w:tc>
          <w:tcPr>
            <w:tcW w:w="170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fr-FR"/>
              </w:rPr>
            </w:pPr>
            <w:r w:rsidRPr="00BD3349">
              <w:rPr>
                <w:rFonts w:ascii="Arial" w:hAnsi="Arial" w:cs="Arial"/>
                <w:sz w:val="20"/>
                <w:szCs w:val="20"/>
                <w:lang w:val="fr-FR"/>
              </w:rPr>
              <w:t xml:space="preserve"> Legea nr. 5/2000</w:t>
            </w:r>
          </w:p>
        </w:tc>
        <w:tc>
          <w:tcPr>
            <w:tcW w:w="2693"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fr-FR"/>
              </w:rPr>
            </w:pPr>
            <w:r w:rsidRPr="00BD3349">
              <w:rPr>
                <w:rFonts w:ascii="Arial" w:hAnsi="Arial" w:cs="Arial"/>
                <w:sz w:val="20"/>
                <w:szCs w:val="20"/>
                <w:lang w:val="fr-FR"/>
              </w:rPr>
              <w:t>Decizia nr.220/1973 a Comitetului executiv al Consiliului Popular Judeţean Vaslui; Decizia nr.129/</w:t>
            </w:r>
          </w:p>
          <w:p w:rsidR="00BD3349" w:rsidRPr="00BD3349" w:rsidRDefault="00BD3349" w:rsidP="00BD3349">
            <w:pPr>
              <w:spacing w:after="0" w:line="240" w:lineRule="auto"/>
              <w:rPr>
                <w:rFonts w:ascii="Arial" w:hAnsi="Arial" w:cs="Arial"/>
                <w:sz w:val="20"/>
                <w:szCs w:val="20"/>
                <w:lang w:val="fr-FR"/>
              </w:rPr>
            </w:pPr>
            <w:r w:rsidRPr="00BD3349">
              <w:rPr>
                <w:rFonts w:ascii="Arial" w:hAnsi="Arial" w:cs="Arial"/>
                <w:sz w:val="20"/>
                <w:szCs w:val="20"/>
                <w:lang w:val="fr-FR"/>
              </w:rPr>
              <w:t>14.09.1994 a Consiliului Judeţean Vaslui</w:t>
            </w:r>
          </w:p>
        </w:tc>
      </w:tr>
      <w:tr w:rsidR="00BD3349" w:rsidRPr="00BD3349" w:rsidTr="002403BF">
        <w:trPr>
          <w:trHeight w:val="1210"/>
        </w:trPr>
        <w:tc>
          <w:tcPr>
            <w:tcW w:w="568"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en-GB"/>
              </w:rPr>
            </w:pPr>
            <w:r w:rsidRPr="00BD3349">
              <w:rPr>
                <w:rFonts w:ascii="Arial" w:hAnsi="Arial" w:cs="Arial"/>
                <w:sz w:val="20"/>
                <w:szCs w:val="20"/>
                <w:lang w:val="en-GB"/>
              </w:rPr>
              <w:t>2</w:t>
            </w:r>
          </w:p>
        </w:tc>
        <w:tc>
          <w:tcPr>
            <w:tcW w:w="1417"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fr-FR"/>
              </w:rPr>
            </w:pPr>
            <w:r w:rsidRPr="00BD3349">
              <w:rPr>
                <w:rFonts w:ascii="Arial" w:hAnsi="Arial" w:cs="Arial"/>
                <w:sz w:val="20"/>
                <w:szCs w:val="20"/>
                <w:lang w:val="fr-FR"/>
              </w:rPr>
              <w:t>Punct fosilifer Nisipăria Hulubăţ</w:t>
            </w:r>
          </w:p>
        </w:tc>
        <w:tc>
          <w:tcPr>
            <w:tcW w:w="85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fr-FR"/>
              </w:rPr>
            </w:pPr>
            <w:r w:rsidRPr="00BD3349">
              <w:rPr>
                <w:rFonts w:ascii="Arial" w:hAnsi="Arial" w:cs="Arial"/>
                <w:sz w:val="20"/>
                <w:szCs w:val="20"/>
                <w:lang w:val="fr-FR"/>
              </w:rPr>
              <w:t>2774</w:t>
            </w:r>
          </w:p>
        </w:tc>
        <w:tc>
          <w:tcPr>
            <w:tcW w:w="1276"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fr-FR"/>
              </w:rPr>
            </w:pPr>
            <w:r w:rsidRPr="00BD3349">
              <w:rPr>
                <w:rFonts w:ascii="Arial" w:hAnsi="Arial" w:cs="Arial"/>
                <w:sz w:val="20"/>
                <w:szCs w:val="20"/>
                <w:lang w:val="fr-FR"/>
              </w:rPr>
              <w:t>0,98</w:t>
            </w:r>
          </w:p>
        </w:tc>
        <w:tc>
          <w:tcPr>
            <w:tcW w:w="1559"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fr-FR"/>
              </w:rPr>
            </w:pPr>
            <w:r w:rsidRPr="00BD3349">
              <w:rPr>
                <w:rFonts w:ascii="Arial" w:hAnsi="Arial" w:cs="Arial"/>
                <w:sz w:val="20"/>
                <w:szCs w:val="20"/>
                <w:lang w:val="fr-FR"/>
              </w:rPr>
              <w:t>0.412* 10</w:t>
            </w:r>
            <w:r w:rsidRPr="00BD3349">
              <w:rPr>
                <w:rFonts w:ascii="Arial" w:hAnsi="Arial" w:cs="Arial"/>
                <w:sz w:val="20"/>
                <w:szCs w:val="20"/>
                <w:vertAlign w:val="superscript"/>
                <w:lang w:val="fr-FR"/>
              </w:rPr>
              <w:t>-5</w:t>
            </w:r>
          </w:p>
        </w:tc>
        <w:tc>
          <w:tcPr>
            <w:tcW w:w="1701" w:type="dxa"/>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hAnsi="Arial" w:cs="Arial"/>
                <w:sz w:val="20"/>
                <w:szCs w:val="20"/>
                <w:lang w:val="fr-FR"/>
              </w:rPr>
            </w:pPr>
            <w:r w:rsidRPr="00BD3349">
              <w:rPr>
                <w:rFonts w:ascii="Arial" w:hAnsi="Arial" w:cs="Arial"/>
                <w:sz w:val="20"/>
                <w:szCs w:val="20"/>
                <w:lang w:val="fr-FR"/>
              </w:rPr>
              <w:t>Legea nr. 5/2000</w:t>
            </w:r>
          </w:p>
        </w:tc>
        <w:tc>
          <w:tcPr>
            <w:tcW w:w="2693" w:type="dxa"/>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hAnsi="Arial" w:cs="Arial"/>
                <w:sz w:val="20"/>
                <w:szCs w:val="20"/>
                <w:lang w:val="fr-FR"/>
              </w:rPr>
            </w:pPr>
            <w:r w:rsidRPr="00BD3349">
              <w:rPr>
                <w:rFonts w:ascii="Arial" w:hAnsi="Arial" w:cs="Arial"/>
                <w:sz w:val="20"/>
                <w:szCs w:val="20"/>
                <w:lang w:val="fr-FR"/>
              </w:rPr>
              <w:t>Decizia nr.220/1973 a Comitetului executiv al Consiliului Popular Judeţean Vaslui; Decizia nr. 129/14.09.1994 a Consiliului Judeţean Vaslui</w:t>
            </w:r>
          </w:p>
        </w:tc>
      </w:tr>
      <w:tr w:rsidR="00BD3349" w:rsidRPr="00BD3349" w:rsidTr="002403BF">
        <w:trPr>
          <w:trHeight w:val="1101"/>
        </w:trPr>
        <w:tc>
          <w:tcPr>
            <w:tcW w:w="568"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en-GB"/>
              </w:rPr>
            </w:pPr>
            <w:r w:rsidRPr="00BD3349">
              <w:rPr>
                <w:rFonts w:ascii="Arial" w:hAnsi="Arial" w:cs="Arial"/>
                <w:sz w:val="20"/>
                <w:szCs w:val="20"/>
                <w:lang w:val="en-GB"/>
              </w:rPr>
              <w:t>3</w:t>
            </w:r>
          </w:p>
        </w:tc>
        <w:tc>
          <w:tcPr>
            <w:tcW w:w="1417"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 xml:space="preserve">Rezervaţia botanică Movila lui Burcel </w:t>
            </w:r>
          </w:p>
        </w:tc>
        <w:tc>
          <w:tcPr>
            <w:tcW w:w="85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fr-FR"/>
              </w:rPr>
            </w:pPr>
            <w:r w:rsidRPr="00BD3349">
              <w:rPr>
                <w:rFonts w:ascii="Arial" w:hAnsi="Arial" w:cs="Arial"/>
                <w:sz w:val="20"/>
                <w:szCs w:val="20"/>
                <w:lang w:val="fr-FR"/>
              </w:rPr>
              <w:t>2775</w:t>
            </w:r>
          </w:p>
        </w:tc>
        <w:tc>
          <w:tcPr>
            <w:tcW w:w="1276"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fr-FR"/>
              </w:rPr>
            </w:pPr>
            <w:r w:rsidRPr="00BD3349">
              <w:rPr>
                <w:rFonts w:ascii="Arial" w:hAnsi="Arial" w:cs="Arial"/>
                <w:sz w:val="20"/>
                <w:szCs w:val="20"/>
                <w:lang w:val="fr-FR"/>
              </w:rPr>
              <w:t>12,0</w:t>
            </w:r>
          </w:p>
        </w:tc>
        <w:tc>
          <w:tcPr>
            <w:tcW w:w="1559"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fr-FR"/>
              </w:rPr>
            </w:pPr>
            <w:r w:rsidRPr="00BD3349">
              <w:rPr>
                <w:rFonts w:ascii="Arial" w:hAnsi="Arial" w:cs="Arial"/>
                <w:sz w:val="20"/>
                <w:szCs w:val="20"/>
                <w:lang w:val="fr-FR"/>
              </w:rPr>
              <w:t>5.05* 10</w:t>
            </w:r>
            <w:r w:rsidRPr="00BD3349">
              <w:rPr>
                <w:rFonts w:ascii="Arial" w:hAnsi="Arial" w:cs="Arial"/>
                <w:sz w:val="20"/>
                <w:szCs w:val="20"/>
                <w:vertAlign w:val="superscript"/>
                <w:lang w:val="fr-FR"/>
              </w:rPr>
              <w:t>-5</w:t>
            </w:r>
          </w:p>
        </w:tc>
        <w:tc>
          <w:tcPr>
            <w:tcW w:w="1701" w:type="dxa"/>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hAnsi="Arial" w:cs="Arial"/>
                <w:sz w:val="20"/>
                <w:szCs w:val="20"/>
                <w:lang w:val="fr-FR"/>
              </w:rPr>
            </w:pPr>
            <w:r w:rsidRPr="00BD3349">
              <w:rPr>
                <w:rFonts w:ascii="Arial" w:hAnsi="Arial" w:cs="Arial"/>
                <w:sz w:val="20"/>
                <w:szCs w:val="20"/>
                <w:lang w:val="fr-FR"/>
              </w:rPr>
              <w:t>Legea nr. 5/2000</w:t>
            </w:r>
          </w:p>
        </w:tc>
        <w:tc>
          <w:tcPr>
            <w:tcW w:w="2693" w:type="dxa"/>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hAnsi="Arial" w:cs="Arial"/>
                <w:sz w:val="20"/>
                <w:szCs w:val="20"/>
                <w:lang w:val="fr-FR"/>
              </w:rPr>
            </w:pPr>
            <w:r w:rsidRPr="00BD3349">
              <w:rPr>
                <w:rFonts w:ascii="Arial" w:hAnsi="Arial" w:cs="Arial"/>
                <w:sz w:val="20"/>
                <w:szCs w:val="20"/>
                <w:lang w:val="fr-FR"/>
              </w:rPr>
              <w:t>Decizia nr.220/1973 a Comitetului executiv al Consiliului Popular Judeţean Vaslui; Decizia nr. 129/14.09.1994 a Consiliului Judeţean Vaslui</w:t>
            </w:r>
          </w:p>
        </w:tc>
      </w:tr>
      <w:tr w:rsidR="00BD3349" w:rsidRPr="00BD3349" w:rsidTr="002403BF">
        <w:trPr>
          <w:trHeight w:val="132"/>
        </w:trPr>
        <w:tc>
          <w:tcPr>
            <w:tcW w:w="568"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en-GB"/>
              </w:rPr>
            </w:pPr>
            <w:r w:rsidRPr="00BD3349">
              <w:rPr>
                <w:rFonts w:ascii="Arial" w:hAnsi="Arial" w:cs="Arial"/>
                <w:sz w:val="20"/>
                <w:szCs w:val="20"/>
                <w:lang w:val="en-GB"/>
              </w:rPr>
              <w:t>4</w:t>
            </w:r>
          </w:p>
        </w:tc>
        <w:tc>
          <w:tcPr>
            <w:tcW w:w="1417"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es-ES"/>
              </w:rPr>
            </w:pPr>
            <w:r w:rsidRPr="00BD3349">
              <w:rPr>
                <w:rFonts w:ascii="Arial" w:hAnsi="Arial" w:cs="Arial"/>
                <w:sz w:val="20"/>
                <w:szCs w:val="20"/>
                <w:lang w:val="es-ES"/>
              </w:rPr>
              <w:t xml:space="preserve">Rezervaţia botanică Coasta Rupturile </w:t>
            </w:r>
            <w:r w:rsidRPr="00BD3349">
              <w:rPr>
                <w:rFonts w:ascii="Arial" w:hAnsi="Arial" w:cs="Arial"/>
                <w:sz w:val="20"/>
                <w:szCs w:val="20"/>
                <w:lang w:val="es-ES"/>
              </w:rPr>
              <w:lastRenderedPageBreak/>
              <w:t>Tanacu</w:t>
            </w:r>
          </w:p>
        </w:tc>
        <w:tc>
          <w:tcPr>
            <w:tcW w:w="85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en-GB"/>
              </w:rPr>
            </w:pPr>
            <w:r w:rsidRPr="00BD3349">
              <w:rPr>
                <w:rFonts w:ascii="Arial" w:hAnsi="Arial" w:cs="Arial"/>
                <w:sz w:val="20"/>
                <w:szCs w:val="20"/>
                <w:lang w:val="en-GB"/>
              </w:rPr>
              <w:lastRenderedPageBreak/>
              <w:t>2776</w:t>
            </w:r>
          </w:p>
        </w:tc>
        <w:tc>
          <w:tcPr>
            <w:tcW w:w="1276"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en-GB"/>
              </w:rPr>
            </w:pPr>
            <w:r w:rsidRPr="00BD3349">
              <w:rPr>
                <w:rFonts w:ascii="Arial" w:hAnsi="Arial" w:cs="Arial"/>
                <w:sz w:val="20"/>
                <w:szCs w:val="20"/>
                <w:lang w:val="en-GB"/>
              </w:rPr>
              <w:t>6,0</w:t>
            </w:r>
          </w:p>
        </w:tc>
        <w:tc>
          <w:tcPr>
            <w:tcW w:w="1559"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fr-FR"/>
              </w:rPr>
            </w:pPr>
            <w:r w:rsidRPr="00BD3349">
              <w:rPr>
                <w:rFonts w:ascii="Arial" w:hAnsi="Arial" w:cs="Arial"/>
                <w:sz w:val="20"/>
                <w:szCs w:val="20"/>
                <w:lang w:val="fr-FR"/>
              </w:rPr>
              <w:t>2.52* 10</w:t>
            </w:r>
            <w:r w:rsidRPr="00BD3349">
              <w:rPr>
                <w:rFonts w:ascii="Arial" w:hAnsi="Arial" w:cs="Arial"/>
                <w:sz w:val="20"/>
                <w:szCs w:val="20"/>
                <w:vertAlign w:val="superscript"/>
                <w:lang w:val="fr-FR"/>
              </w:rPr>
              <w:t>-5</w:t>
            </w:r>
          </w:p>
        </w:tc>
        <w:tc>
          <w:tcPr>
            <w:tcW w:w="1701" w:type="dxa"/>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hAnsi="Arial" w:cs="Arial"/>
                <w:sz w:val="20"/>
                <w:szCs w:val="20"/>
                <w:lang w:val="fr-FR"/>
              </w:rPr>
            </w:pPr>
            <w:r w:rsidRPr="00BD3349">
              <w:rPr>
                <w:rFonts w:ascii="Arial" w:hAnsi="Arial" w:cs="Arial"/>
                <w:sz w:val="20"/>
                <w:szCs w:val="20"/>
                <w:lang w:val="fr-FR"/>
              </w:rPr>
              <w:t>Legea nr. 5/2000</w:t>
            </w:r>
          </w:p>
          <w:p w:rsidR="00BD3349" w:rsidRPr="00BD3349" w:rsidRDefault="00BD3349" w:rsidP="00BD3349">
            <w:pPr>
              <w:spacing w:after="0" w:line="240" w:lineRule="auto"/>
              <w:rPr>
                <w:rFonts w:ascii="Arial" w:hAnsi="Arial" w:cs="Arial"/>
                <w:sz w:val="20"/>
                <w:szCs w:val="20"/>
                <w:lang w:val="fr-FR"/>
              </w:rPr>
            </w:pPr>
          </w:p>
        </w:tc>
        <w:tc>
          <w:tcPr>
            <w:tcW w:w="2693" w:type="dxa"/>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hAnsi="Arial" w:cs="Arial"/>
                <w:sz w:val="20"/>
                <w:szCs w:val="20"/>
                <w:lang w:val="fr-FR"/>
              </w:rPr>
            </w:pPr>
            <w:r w:rsidRPr="00BD3349">
              <w:rPr>
                <w:rFonts w:ascii="Arial" w:hAnsi="Arial" w:cs="Arial"/>
                <w:sz w:val="20"/>
                <w:szCs w:val="20"/>
                <w:lang w:val="fr-FR"/>
              </w:rPr>
              <w:t xml:space="preserve">Decizia nr. 220/1973 a Comitetului executiv al Consiliului Popular Judeţean Vaslui; Decizia </w:t>
            </w:r>
            <w:r w:rsidRPr="00BD3349">
              <w:rPr>
                <w:rFonts w:ascii="Arial" w:hAnsi="Arial" w:cs="Arial"/>
                <w:sz w:val="20"/>
                <w:szCs w:val="20"/>
                <w:lang w:val="fr-FR"/>
              </w:rPr>
              <w:lastRenderedPageBreak/>
              <w:t>nr. 129/14.09.1994 a Consiliului Judeţean Vaslui</w:t>
            </w:r>
          </w:p>
        </w:tc>
      </w:tr>
      <w:tr w:rsidR="00BD3349" w:rsidRPr="00BD3349" w:rsidTr="002403BF">
        <w:trPr>
          <w:trHeight w:val="1170"/>
        </w:trPr>
        <w:tc>
          <w:tcPr>
            <w:tcW w:w="568"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en-GB"/>
              </w:rPr>
            </w:pPr>
            <w:r w:rsidRPr="00BD3349">
              <w:rPr>
                <w:rFonts w:ascii="Arial" w:hAnsi="Arial" w:cs="Arial"/>
                <w:sz w:val="20"/>
                <w:szCs w:val="20"/>
                <w:lang w:val="en-GB"/>
              </w:rPr>
              <w:lastRenderedPageBreak/>
              <w:t>5</w:t>
            </w:r>
          </w:p>
        </w:tc>
        <w:tc>
          <w:tcPr>
            <w:tcW w:w="1417"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en-GB"/>
              </w:rPr>
            </w:pPr>
            <w:r w:rsidRPr="00BD3349">
              <w:rPr>
                <w:rFonts w:ascii="Arial" w:hAnsi="Arial" w:cs="Arial"/>
                <w:sz w:val="20"/>
                <w:szCs w:val="20"/>
                <w:lang w:val="en-GB"/>
              </w:rPr>
              <w:t>Rezervaţia forestieră Bădeana</w:t>
            </w:r>
          </w:p>
        </w:tc>
        <w:tc>
          <w:tcPr>
            <w:tcW w:w="85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en-GB"/>
              </w:rPr>
            </w:pPr>
            <w:r w:rsidRPr="00BD3349">
              <w:rPr>
                <w:rFonts w:ascii="Arial" w:hAnsi="Arial" w:cs="Arial"/>
                <w:sz w:val="20"/>
                <w:szCs w:val="20"/>
                <w:lang w:val="en-GB"/>
              </w:rPr>
              <w:t>2777</w:t>
            </w:r>
          </w:p>
        </w:tc>
        <w:tc>
          <w:tcPr>
            <w:tcW w:w="1276"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en-GB"/>
              </w:rPr>
            </w:pPr>
            <w:r w:rsidRPr="00BD3349">
              <w:rPr>
                <w:rFonts w:ascii="Arial" w:hAnsi="Arial" w:cs="Arial"/>
                <w:sz w:val="20"/>
                <w:szCs w:val="20"/>
                <w:lang w:val="en-GB"/>
              </w:rPr>
              <w:t>58,6</w:t>
            </w:r>
          </w:p>
        </w:tc>
        <w:tc>
          <w:tcPr>
            <w:tcW w:w="1559"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fr-FR"/>
              </w:rPr>
            </w:pPr>
            <w:r w:rsidRPr="00BD3349">
              <w:rPr>
                <w:rFonts w:ascii="Arial" w:hAnsi="Arial" w:cs="Arial"/>
                <w:sz w:val="20"/>
                <w:szCs w:val="20"/>
                <w:lang w:val="fr-FR"/>
              </w:rPr>
              <w:t>24,67* 10</w:t>
            </w:r>
            <w:r w:rsidRPr="00BD3349">
              <w:rPr>
                <w:rFonts w:ascii="Arial" w:hAnsi="Arial" w:cs="Arial"/>
                <w:sz w:val="20"/>
                <w:szCs w:val="20"/>
                <w:vertAlign w:val="superscript"/>
                <w:lang w:val="fr-FR"/>
              </w:rPr>
              <w:t>-5</w:t>
            </w:r>
          </w:p>
        </w:tc>
        <w:tc>
          <w:tcPr>
            <w:tcW w:w="1701" w:type="dxa"/>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hAnsi="Arial" w:cs="Arial"/>
                <w:sz w:val="20"/>
                <w:szCs w:val="20"/>
                <w:lang w:val="fr-FR"/>
              </w:rPr>
            </w:pPr>
            <w:r w:rsidRPr="00BD3349">
              <w:rPr>
                <w:rFonts w:ascii="Arial" w:hAnsi="Arial" w:cs="Arial"/>
                <w:sz w:val="20"/>
                <w:szCs w:val="20"/>
                <w:lang w:val="fr-FR"/>
              </w:rPr>
              <w:t>Legea nr. 5/2000</w:t>
            </w:r>
          </w:p>
        </w:tc>
        <w:tc>
          <w:tcPr>
            <w:tcW w:w="2693" w:type="dxa"/>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hAnsi="Arial" w:cs="Arial"/>
                <w:sz w:val="20"/>
                <w:szCs w:val="20"/>
                <w:lang w:val="fr-FR"/>
              </w:rPr>
            </w:pPr>
            <w:r w:rsidRPr="00BD3349">
              <w:rPr>
                <w:rFonts w:ascii="Arial" w:hAnsi="Arial" w:cs="Arial"/>
                <w:sz w:val="20"/>
                <w:szCs w:val="20"/>
                <w:lang w:val="fr-FR"/>
              </w:rPr>
              <w:t>Decizia nr. 220/1973 a Comitetului executiv al Consiliului Popular Judeţean Vaslui; Decizia nr. 129/14.09.1994 a Consiliului Judeţean Vaslui</w:t>
            </w:r>
          </w:p>
        </w:tc>
      </w:tr>
      <w:tr w:rsidR="00BD3349" w:rsidRPr="00BD3349" w:rsidTr="002403BF">
        <w:trPr>
          <w:trHeight w:val="906"/>
        </w:trPr>
        <w:tc>
          <w:tcPr>
            <w:tcW w:w="568"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en-GB"/>
              </w:rPr>
            </w:pPr>
            <w:r w:rsidRPr="00BD3349">
              <w:rPr>
                <w:rFonts w:ascii="Arial" w:hAnsi="Arial" w:cs="Arial"/>
                <w:sz w:val="20"/>
                <w:szCs w:val="20"/>
                <w:lang w:val="en-GB"/>
              </w:rPr>
              <w:t>6</w:t>
            </w:r>
          </w:p>
        </w:tc>
        <w:tc>
          <w:tcPr>
            <w:tcW w:w="1417"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en-GB"/>
              </w:rPr>
            </w:pPr>
            <w:r w:rsidRPr="00BD3349">
              <w:rPr>
                <w:rFonts w:ascii="Arial" w:hAnsi="Arial" w:cs="Arial"/>
                <w:sz w:val="20"/>
                <w:szCs w:val="20"/>
                <w:lang w:val="en-GB"/>
              </w:rPr>
              <w:t>Rezervaţia forestieră Hârboanca</w:t>
            </w:r>
          </w:p>
        </w:tc>
        <w:tc>
          <w:tcPr>
            <w:tcW w:w="85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en-GB"/>
              </w:rPr>
            </w:pPr>
            <w:r w:rsidRPr="00BD3349">
              <w:rPr>
                <w:rFonts w:ascii="Arial" w:hAnsi="Arial" w:cs="Arial"/>
                <w:sz w:val="20"/>
                <w:szCs w:val="20"/>
                <w:lang w:val="en-GB"/>
              </w:rPr>
              <w:t>2778</w:t>
            </w:r>
          </w:p>
        </w:tc>
        <w:tc>
          <w:tcPr>
            <w:tcW w:w="1276"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en-GB"/>
              </w:rPr>
            </w:pPr>
            <w:r w:rsidRPr="00BD3349">
              <w:rPr>
                <w:rFonts w:ascii="Arial" w:hAnsi="Arial" w:cs="Arial"/>
                <w:sz w:val="20"/>
                <w:szCs w:val="20"/>
                <w:lang w:val="en-GB"/>
              </w:rPr>
              <w:t>40,8</w:t>
            </w:r>
          </w:p>
        </w:tc>
        <w:tc>
          <w:tcPr>
            <w:tcW w:w="1559"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fr-FR"/>
              </w:rPr>
            </w:pPr>
            <w:r w:rsidRPr="00BD3349">
              <w:rPr>
                <w:rFonts w:ascii="Arial" w:hAnsi="Arial" w:cs="Arial"/>
                <w:sz w:val="20"/>
                <w:szCs w:val="20"/>
                <w:lang w:val="fr-FR"/>
              </w:rPr>
              <w:t>17,11* 10</w:t>
            </w:r>
            <w:r w:rsidRPr="00BD3349">
              <w:rPr>
                <w:rFonts w:ascii="Arial" w:hAnsi="Arial" w:cs="Arial"/>
                <w:sz w:val="20"/>
                <w:szCs w:val="20"/>
                <w:vertAlign w:val="superscript"/>
                <w:lang w:val="fr-FR"/>
              </w:rPr>
              <w:t>-5</w:t>
            </w:r>
          </w:p>
        </w:tc>
        <w:tc>
          <w:tcPr>
            <w:tcW w:w="1701" w:type="dxa"/>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hAnsi="Arial" w:cs="Arial"/>
                <w:sz w:val="20"/>
                <w:szCs w:val="20"/>
                <w:lang w:val="fr-FR"/>
              </w:rPr>
            </w:pPr>
            <w:r w:rsidRPr="00BD3349">
              <w:rPr>
                <w:rFonts w:ascii="Arial" w:hAnsi="Arial" w:cs="Arial"/>
                <w:sz w:val="20"/>
                <w:szCs w:val="20"/>
                <w:lang w:val="fr-FR"/>
              </w:rPr>
              <w:t>Legea nr.</w:t>
            </w:r>
          </w:p>
          <w:p w:rsidR="00BD3349" w:rsidRPr="00BD3349" w:rsidRDefault="00BD3349" w:rsidP="00BD3349">
            <w:pPr>
              <w:spacing w:after="0" w:line="240" w:lineRule="auto"/>
              <w:rPr>
                <w:rFonts w:ascii="Arial" w:hAnsi="Arial" w:cs="Arial"/>
                <w:sz w:val="20"/>
                <w:szCs w:val="20"/>
                <w:lang w:val="fr-FR"/>
              </w:rPr>
            </w:pPr>
            <w:r w:rsidRPr="00BD3349">
              <w:rPr>
                <w:rFonts w:ascii="Arial" w:hAnsi="Arial" w:cs="Arial"/>
                <w:sz w:val="20"/>
                <w:szCs w:val="20"/>
                <w:lang w:val="fr-FR"/>
              </w:rPr>
              <w:t xml:space="preserve"> 5/2000</w:t>
            </w:r>
          </w:p>
        </w:tc>
        <w:tc>
          <w:tcPr>
            <w:tcW w:w="2693" w:type="dxa"/>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hAnsi="Arial" w:cs="Arial"/>
                <w:sz w:val="20"/>
                <w:szCs w:val="20"/>
                <w:lang w:val="fr-FR"/>
              </w:rPr>
            </w:pPr>
            <w:r w:rsidRPr="00BD3349">
              <w:rPr>
                <w:rFonts w:ascii="Arial" w:hAnsi="Arial" w:cs="Arial"/>
                <w:sz w:val="20"/>
                <w:szCs w:val="20"/>
                <w:lang w:val="fr-FR"/>
              </w:rPr>
              <w:t>Decizia nr. 220/ 1973 a Comitetului executiv al Consiliului Popular Judeţean Vaslui; Decizia nr. 129/ 14.09.1994 a Consiliului Judeţean Vaslui</w:t>
            </w:r>
          </w:p>
        </w:tc>
      </w:tr>
      <w:tr w:rsidR="00BD3349" w:rsidRPr="00BD3349" w:rsidTr="002403BF">
        <w:trPr>
          <w:trHeight w:val="656"/>
        </w:trPr>
        <w:tc>
          <w:tcPr>
            <w:tcW w:w="568"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en-GB"/>
              </w:rPr>
            </w:pPr>
            <w:r w:rsidRPr="00BD3349">
              <w:rPr>
                <w:rFonts w:ascii="Arial" w:hAnsi="Arial" w:cs="Arial"/>
                <w:sz w:val="20"/>
                <w:szCs w:val="20"/>
                <w:lang w:val="en-GB"/>
              </w:rPr>
              <w:t>7</w:t>
            </w:r>
          </w:p>
        </w:tc>
        <w:tc>
          <w:tcPr>
            <w:tcW w:w="1417"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en-GB"/>
              </w:rPr>
            </w:pPr>
            <w:r w:rsidRPr="00BD3349">
              <w:rPr>
                <w:rFonts w:ascii="Arial" w:hAnsi="Arial" w:cs="Arial"/>
                <w:sz w:val="20"/>
                <w:szCs w:val="20"/>
                <w:lang w:val="en-GB"/>
              </w:rPr>
              <w:t>Rezervaţia forestieră Bălteni</w:t>
            </w:r>
          </w:p>
        </w:tc>
        <w:tc>
          <w:tcPr>
            <w:tcW w:w="85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en-GB"/>
              </w:rPr>
            </w:pPr>
            <w:r w:rsidRPr="00BD3349">
              <w:rPr>
                <w:rFonts w:ascii="Arial" w:hAnsi="Arial" w:cs="Arial"/>
                <w:sz w:val="20"/>
                <w:szCs w:val="20"/>
                <w:lang w:val="en-GB"/>
              </w:rPr>
              <w:t>2779</w:t>
            </w:r>
          </w:p>
        </w:tc>
        <w:tc>
          <w:tcPr>
            <w:tcW w:w="1276"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en-GB"/>
              </w:rPr>
            </w:pPr>
            <w:r w:rsidRPr="00BD3349">
              <w:rPr>
                <w:rFonts w:ascii="Arial" w:hAnsi="Arial" w:cs="Arial"/>
                <w:sz w:val="20"/>
                <w:szCs w:val="20"/>
                <w:lang w:val="en-GB"/>
              </w:rPr>
              <w:t>18,8</w:t>
            </w:r>
          </w:p>
        </w:tc>
        <w:tc>
          <w:tcPr>
            <w:tcW w:w="1559"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fr-FR"/>
              </w:rPr>
            </w:pPr>
            <w:r w:rsidRPr="00BD3349">
              <w:rPr>
                <w:rFonts w:ascii="Arial" w:hAnsi="Arial" w:cs="Arial"/>
                <w:sz w:val="20"/>
                <w:szCs w:val="20"/>
                <w:lang w:val="fr-FR"/>
              </w:rPr>
              <w:t>7,91* 10</w:t>
            </w:r>
            <w:r w:rsidRPr="00BD3349">
              <w:rPr>
                <w:rFonts w:ascii="Arial" w:hAnsi="Arial" w:cs="Arial"/>
                <w:sz w:val="20"/>
                <w:szCs w:val="20"/>
                <w:vertAlign w:val="superscript"/>
                <w:lang w:val="fr-FR"/>
              </w:rPr>
              <w:t>-5</w:t>
            </w:r>
          </w:p>
        </w:tc>
        <w:tc>
          <w:tcPr>
            <w:tcW w:w="1701" w:type="dxa"/>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hAnsi="Arial" w:cs="Arial"/>
                <w:sz w:val="20"/>
                <w:szCs w:val="20"/>
                <w:lang w:val="fr-FR"/>
              </w:rPr>
            </w:pPr>
            <w:r w:rsidRPr="00BD3349">
              <w:rPr>
                <w:rFonts w:ascii="Arial" w:hAnsi="Arial" w:cs="Arial"/>
                <w:sz w:val="20"/>
                <w:szCs w:val="20"/>
                <w:lang w:val="fr-FR"/>
              </w:rPr>
              <w:t>Legea nr. 5/2000</w:t>
            </w:r>
          </w:p>
        </w:tc>
        <w:tc>
          <w:tcPr>
            <w:tcW w:w="2693" w:type="dxa"/>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hAnsi="Arial" w:cs="Arial"/>
                <w:sz w:val="20"/>
                <w:szCs w:val="20"/>
                <w:lang w:val="fr-FR"/>
              </w:rPr>
            </w:pPr>
            <w:r w:rsidRPr="00BD3349">
              <w:rPr>
                <w:rFonts w:ascii="Arial" w:hAnsi="Arial" w:cs="Arial"/>
                <w:sz w:val="20"/>
                <w:szCs w:val="20"/>
                <w:lang w:val="fr-FR"/>
              </w:rPr>
              <w:t>Decizia nr. 220/1973 a Comitetului executiv al Consiliului Popular Judeţean Vaslui; Decizia nr.129/14.09.1994 a Consiliului Judeţean Vaslui</w:t>
            </w:r>
          </w:p>
        </w:tc>
      </w:tr>
      <w:tr w:rsidR="00BD3349" w:rsidRPr="00BD3349" w:rsidTr="002403BF">
        <w:trPr>
          <w:trHeight w:val="1351"/>
        </w:trPr>
        <w:tc>
          <w:tcPr>
            <w:tcW w:w="568"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en-GB"/>
              </w:rPr>
            </w:pPr>
            <w:r w:rsidRPr="00BD3349">
              <w:rPr>
                <w:rFonts w:ascii="Arial" w:hAnsi="Arial" w:cs="Arial"/>
                <w:sz w:val="20"/>
                <w:szCs w:val="20"/>
                <w:lang w:val="en-GB"/>
              </w:rPr>
              <w:t>8</w:t>
            </w:r>
          </w:p>
        </w:tc>
        <w:tc>
          <w:tcPr>
            <w:tcW w:w="1417"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it-IT"/>
              </w:rPr>
            </w:pPr>
            <w:r w:rsidRPr="00BD3349">
              <w:rPr>
                <w:rFonts w:ascii="Arial" w:hAnsi="Arial" w:cs="Arial"/>
                <w:sz w:val="20"/>
                <w:szCs w:val="20"/>
                <w:lang w:val="it-IT"/>
              </w:rPr>
              <w:t>Rezervaţia botanică Fânatul de la Glodeni</w:t>
            </w:r>
          </w:p>
        </w:tc>
        <w:tc>
          <w:tcPr>
            <w:tcW w:w="85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en-GB"/>
              </w:rPr>
            </w:pPr>
            <w:r w:rsidRPr="00BD3349">
              <w:rPr>
                <w:rFonts w:ascii="Arial" w:hAnsi="Arial" w:cs="Arial"/>
                <w:sz w:val="20"/>
                <w:szCs w:val="20"/>
                <w:lang w:val="en-GB"/>
              </w:rPr>
              <w:t>2780</w:t>
            </w:r>
          </w:p>
        </w:tc>
        <w:tc>
          <w:tcPr>
            <w:tcW w:w="1276"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en-GB"/>
              </w:rPr>
            </w:pPr>
            <w:r w:rsidRPr="00BD3349">
              <w:rPr>
                <w:rFonts w:ascii="Arial" w:hAnsi="Arial" w:cs="Arial"/>
                <w:sz w:val="20"/>
                <w:szCs w:val="20"/>
                <w:lang w:val="en-GB"/>
              </w:rPr>
              <w:t>6,0</w:t>
            </w:r>
          </w:p>
        </w:tc>
        <w:tc>
          <w:tcPr>
            <w:tcW w:w="1559"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fr-FR"/>
              </w:rPr>
            </w:pPr>
            <w:r w:rsidRPr="00BD3349">
              <w:rPr>
                <w:rFonts w:ascii="Arial" w:hAnsi="Arial" w:cs="Arial"/>
                <w:sz w:val="20"/>
                <w:szCs w:val="20"/>
                <w:lang w:val="fr-FR"/>
              </w:rPr>
              <w:t>2,52* 10</w:t>
            </w:r>
            <w:r w:rsidRPr="00BD3349">
              <w:rPr>
                <w:rFonts w:ascii="Arial" w:hAnsi="Arial" w:cs="Arial"/>
                <w:sz w:val="20"/>
                <w:szCs w:val="20"/>
                <w:vertAlign w:val="superscript"/>
                <w:lang w:val="fr-FR"/>
              </w:rPr>
              <w:t>-5</w:t>
            </w:r>
          </w:p>
        </w:tc>
        <w:tc>
          <w:tcPr>
            <w:tcW w:w="1701" w:type="dxa"/>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hAnsi="Arial" w:cs="Arial"/>
                <w:sz w:val="20"/>
                <w:szCs w:val="20"/>
                <w:lang w:val="fr-FR"/>
              </w:rPr>
            </w:pPr>
            <w:r w:rsidRPr="00BD3349">
              <w:rPr>
                <w:rFonts w:ascii="Arial" w:hAnsi="Arial" w:cs="Arial"/>
                <w:sz w:val="20"/>
                <w:szCs w:val="20"/>
                <w:lang w:val="fr-FR"/>
              </w:rPr>
              <w:t>Legea nr. 5/2000</w:t>
            </w:r>
          </w:p>
        </w:tc>
        <w:tc>
          <w:tcPr>
            <w:tcW w:w="2693" w:type="dxa"/>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hAnsi="Arial" w:cs="Arial"/>
                <w:sz w:val="20"/>
                <w:szCs w:val="20"/>
                <w:lang w:val="fr-FR"/>
              </w:rPr>
            </w:pPr>
            <w:r w:rsidRPr="00BD3349">
              <w:rPr>
                <w:rFonts w:ascii="Arial" w:hAnsi="Arial" w:cs="Arial"/>
                <w:sz w:val="20"/>
                <w:szCs w:val="20"/>
                <w:lang w:val="fr-FR"/>
              </w:rPr>
              <w:t>Decizia nr. 220/1973 a Comitetului executiv al Consiliului Popular Judeţean Vaslui; Decizia nr. 129/14.09.1994 a Consiliului Judeţean Vaslui</w:t>
            </w:r>
          </w:p>
        </w:tc>
      </w:tr>
      <w:tr w:rsidR="00BD3349" w:rsidRPr="00BD3349" w:rsidTr="002403BF">
        <w:trPr>
          <w:trHeight w:val="852"/>
        </w:trPr>
        <w:tc>
          <w:tcPr>
            <w:tcW w:w="568"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en-GB"/>
              </w:rPr>
            </w:pPr>
            <w:r w:rsidRPr="00BD3349">
              <w:rPr>
                <w:rFonts w:ascii="Arial" w:hAnsi="Arial" w:cs="Arial"/>
                <w:sz w:val="20"/>
                <w:szCs w:val="20"/>
                <w:lang w:val="en-GB"/>
              </w:rPr>
              <w:t>9</w:t>
            </w:r>
          </w:p>
        </w:tc>
        <w:tc>
          <w:tcPr>
            <w:tcW w:w="1417"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en-GB"/>
              </w:rPr>
            </w:pPr>
            <w:r w:rsidRPr="00BD3349">
              <w:rPr>
                <w:rFonts w:ascii="Arial" w:hAnsi="Arial" w:cs="Arial"/>
                <w:sz w:val="20"/>
                <w:szCs w:val="20"/>
                <w:lang w:val="en-GB"/>
              </w:rPr>
              <w:t>Rezervaţia forestieră Seaca - Movileni</w:t>
            </w:r>
          </w:p>
        </w:tc>
        <w:tc>
          <w:tcPr>
            <w:tcW w:w="85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en-GB"/>
              </w:rPr>
            </w:pPr>
            <w:r w:rsidRPr="00BD3349">
              <w:rPr>
                <w:rFonts w:ascii="Arial" w:hAnsi="Arial" w:cs="Arial"/>
                <w:sz w:val="20"/>
                <w:szCs w:val="20"/>
                <w:lang w:val="en-GB"/>
              </w:rPr>
              <w:t>IV 73</w:t>
            </w:r>
          </w:p>
        </w:tc>
        <w:tc>
          <w:tcPr>
            <w:tcW w:w="1276"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en-GB"/>
              </w:rPr>
            </w:pPr>
            <w:r w:rsidRPr="00BD3349">
              <w:rPr>
                <w:rFonts w:ascii="Arial" w:hAnsi="Arial" w:cs="Arial"/>
                <w:sz w:val="20"/>
                <w:szCs w:val="20"/>
                <w:lang w:val="en-GB"/>
              </w:rPr>
              <w:t>44,1</w:t>
            </w:r>
          </w:p>
        </w:tc>
        <w:tc>
          <w:tcPr>
            <w:tcW w:w="1559"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fr-FR"/>
              </w:rPr>
            </w:pPr>
          </w:p>
          <w:p w:rsidR="00BD3349" w:rsidRPr="00BD3349" w:rsidRDefault="00BD3349" w:rsidP="00BD3349">
            <w:pPr>
              <w:spacing w:after="0" w:line="240" w:lineRule="auto"/>
              <w:rPr>
                <w:rFonts w:ascii="Arial" w:hAnsi="Arial" w:cs="Arial"/>
                <w:sz w:val="20"/>
                <w:szCs w:val="20"/>
                <w:lang w:val="fr-FR"/>
              </w:rPr>
            </w:pPr>
            <w:r w:rsidRPr="00BD3349">
              <w:rPr>
                <w:rFonts w:ascii="Arial" w:hAnsi="Arial" w:cs="Arial"/>
                <w:sz w:val="20"/>
                <w:szCs w:val="20"/>
                <w:lang w:val="fr-FR"/>
              </w:rPr>
              <w:t>18,56* 10</w:t>
            </w:r>
            <w:r w:rsidRPr="00BD3349">
              <w:rPr>
                <w:rFonts w:ascii="Arial" w:hAnsi="Arial" w:cs="Arial"/>
                <w:sz w:val="20"/>
                <w:szCs w:val="20"/>
                <w:vertAlign w:val="superscript"/>
                <w:lang w:val="fr-FR"/>
              </w:rPr>
              <w:t>-5</w:t>
            </w:r>
          </w:p>
        </w:tc>
        <w:tc>
          <w:tcPr>
            <w:tcW w:w="1701" w:type="dxa"/>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hAnsi="Arial" w:cs="Arial"/>
                <w:sz w:val="20"/>
                <w:szCs w:val="20"/>
                <w:lang w:val="fr-FR"/>
              </w:rPr>
            </w:pPr>
            <w:r w:rsidRPr="00BD3349">
              <w:rPr>
                <w:rFonts w:ascii="Arial" w:hAnsi="Arial" w:cs="Arial"/>
                <w:sz w:val="20"/>
                <w:szCs w:val="20"/>
                <w:lang w:val="fr-FR"/>
              </w:rPr>
              <w:t>H.G. nr. 2151/2004</w:t>
            </w:r>
          </w:p>
        </w:tc>
        <w:tc>
          <w:tcPr>
            <w:tcW w:w="2693" w:type="dxa"/>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hAnsi="Arial" w:cs="Arial"/>
                <w:sz w:val="20"/>
                <w:szCs w:val="20"/>
                <w:lang w:val="fr-FR"/>
              </w:rPr>
            </w:pPr>
            <w:r w:rsidRPr="00BD3349">
              <w:rPr>
                <w:rFonts w:ascii="Arial" w:hAnsi="Arial" w:cs="Arial"/>
                <w:sz w:val="20"/>
                <w:szCs w:val="20"/>
                <w:lang w:val="fr-FR"/>
              </w:rPr>
              <w:t>Decizia nr. 220/1973 a Comitetului executiv al Consiliului Popular Judeţean Vaslui; Decizia nr. 129/14.09.1994 a Consiliului Judeţean Vaslui</w:t>
            </w:r>
          </w:p>
        </w:tc>
      </w:tr>
    </w:tbl>
    <w:p w:rsidR="00BC1657" w:rsidRDefault="00BC1657" w:rsidP="00BD3349">
      <w:pPr>
        <w:rPr>
          <w:rFonts w:ascii="Arial" w:hAnsi="Arial" w:cs="Arial"/>
          <w:b/>
          <w:sz w:val="24"/>
          <w:szCs w:val="24"/>
          <w:lang w:val="en-GB"/>
        </w:rPr>
      </w:pPr>
    </w:p>
    <w:p w:rsidR="00BD3349" w:rsidRPr="00BD3349" w:rsidRDefault="00BD3349" w:rsidP="00BD3349">
      <w:pPr>
        <w:rPr>
          <w:rFonts w:ascii="Arial" w:hAnsi="Arial" w:cs="Arial"/>
          <w:sz w:val="24"/>
          <w:szCs w:val="24"/>
          <w:lang w:val="en-GB"/>
        </w:rPr>
      </w:pPr>
      <w:r w:rsidRPr="00BD3349">
        <w:rPr>
          <w:rFonts w:ascii="Arial" w:hAnsi="Arial" w:cs="Arial"/>
          <w:b/>
          <w:sz w:val="24"/>
          <w:szCs w:val="24"/>
          <w:lang w:val="en-GB"/>
        </w:rPr>
        <w:t>Arii de protecţie specială avifaunistică</w:t>
      </w:r>
      <w:r w:rsidRPr="00BD3349">
        <w:rPr>
          <w:rFonts w:ascii="Arial" w:hAnsi="Arial" w:cs="Arial"/>
          <w:sz w:val="24"/>
          <w:szCs w:val="24"/>
          <w:lang w:val="en-GB"/>
        </w:rPr>
        <w:t xml:space="preserve"> </w:t>
      </w:r>
    </w:p>
    <w:p w:rsidR="00BD3349" w:rsidRPr="00BD3349" w:rsidRDefault="00BD3349" w:rsidP="00BD3349">
      <w:pPr>
        <w:spacing w:after="0" w:line="240" w:lineRule="auto"/>
        <w:jc w:val="both"/>
        <w:rPr>
          <w:rFonts w:ascii="Arial" w:hAnsi="Arial" w:cs="Arial"/>
          <w:sz w:val="24"/>
          <w:szCs w:val="24"/>
        </w:rPr>
      </w:pPr>
      <w:r w:rsidRPr="00BD3349">
        <w:rPr>
          <w:rFonts w:ascii="Arial" w:hAnsi="Arial" w:cs="Arial"/>
          <w:sz w:val="24"/>
          <w:szCs w:val="24"/>
        </w:rPr>
        <w:t xml:space="preserve">      </w:t>
      </w:r>
      <w:r w:rsidRPr="00BD3349">
        <w:rPr>
          <w:rFonts w:ascii="Arial" w:hAnsi="Arial" w:cs="Arial"/>
          <w:sz w:val="24"/>
          <w:szCs w:val="24"/>
        </w:rPr>
        <w:tab/>
        <w:t xml:space="preserve"> Ariile naturale protejate de interes comunitar alcătuiesc Rețeaua Ecologică Europeană Natura 2000, creată în scopul conservării patrimoniului natural al Uniunii Europene, realizarea acesteia bazându-se pe două directive: </w:t>
      </w:r>
      <w:r w:rsidRPr="00BD3349">
        <w:rPr>
          <w:rFonts w:ascii="Arial" w:hAnsi="Arial" w:cs="Arial"/>
          <w:i/>
          <w:sz w:val="24"/>
          <w:szCs w:val="24"/>
        </w:rPr>
        <w:t>Directiva „Habitate</w:t>
      </w:r>
      <w:r w:rsidRPr="00BD3349">
        <w:rPr>
          <w:rFonts w:ascii="Arial" w:hAnsi="Arial" w:cs="Arial"/>
          <w:sz w:val="24"/>
          <w:szCs w:val="24"/>
        </w:rPr>
        <w:t xml:space="preserve">” (nr. 92/43 privind </w:t>
      </w:r>
      <w:r w:rsidRPr="00BD3349">
        <w:rPr>
          <w:rFonts w:ascii="Arial" w:hAnsi="Arial" w:cs="Arial"/>
          <w:i/>
          <w:sz w:val="24"/>
          <w:szCs w:val="24"/>
        </w:rPr>
        <w:t>conservarea habitatelor naturale şi a faunei şi florei sălbatice</w:t>
      </w:r>
      <w:r w:rsidRPr="00BD3349">
        <w:rPr>
          <w:rFonts w:ascii="Arial" w:hAnsi="Arial" w:cs="Arial"/>
          <w:sz w:val="24"/>
          <w:szCs w:val="24"/>
        </w:rPr>
        <w:t xml:space="preserve">) şi </w:t>
      </w:r>
      <w:r w:rsidRPr="00BD3349">
        <w:rPr>
          <w:rFonts w:ascii="Arial" w:hAnsi="Arial" w:cs="Arial"/>
          <w:i/>
          <w:sz w:val="24"/>
          <w:szCs w:val="24"/>
        </w:rPr>
        <w:t>Directiva „Păsări”</w:t>
      </w:r>
      <w:r w:rsidRPr="00BD3349">
        <w:rPr>
          <w:rFonts w:ascii="Arial" w:hAnsi="Arial" w:cs="Arial"/>
          <w:sz w:val="24"/>
          <w:szCs w:val="24"/>
        </w:rPr>
        <w:t xml:space="preserve"> (nr. 2009/147 referitoare </w:t>
      </w:r>
      <w:r w:rsidRPr="00BD3349">
        <w:rPr>
          <w:rFonts w:ascii="Arial" w:hAnsi="Arial" w:cs="Arial"/>
          <w:i/>
          <w:sz w:val="24"/>
          <w:szCs w:val="24"/>
        </w:rPr>
        <w:t>la conservarea păsărilor sălbatice).</w:t>
      </w:r>
      <w:r w:rsidRPr="00BD3349">
        <w:rPr>
          <w:rFonts w:ascii="Arial" w:hAnsi="Arial" w:cs="Arial"/>
          <w:sz w:val="24"/>
          <w:szCs w:val="24"/>
        </w:rPr>
        <w:t xml:space="preserve"> Cele două directive reglementează modul de selectare şi desemnare a siturilor, precum şi protecţia acestora. Siturile sunt identificate şi declarate pe baze ştiinţifice, cu scopul de a menţine într-o stare de conservare favorabilă o suprafaţă reprezentativă a celor mai importante tipuri de habitate şi populaţii de specii ale Europei.</w:t>
      </w:r>
    </w:p>
    <w:p w:rsidR="00BD3349" w:rsidRPr="00BD3349" w:rsidRDefault="00BD3349" w:rsidP="00BD3349">
      <w:pPr>
        <w:spacing w:after="0" w:line="240" w:lineRule="auto"/>
        <w:jc w:val="both"/>
        <w:rPr>
          <w:rFonts w:ascii="Arial" w:hAnsi="Arial" w:cs="Arial"/>
          <w:sz w:val="24"/>
          <w:szCs w:val="24"/>
        </w:rPr>
      </w:pPr>
      <w:r w:rsidRPr="00BD3349">
        <w:rPr>
          <w:rFonts w:ascii="Arial" w:hAnsi="Arial" w:cs="Arial"/>
          <w:sz w:val="24"/>
          <w:szCs w:val="24"/>
        </w:rPr>
        <w:t xml:space="preserve">       </w:t>
      </w:r>
      <w:r w:rsidRPr="00BD3349">
        <w:rPr>
          <w:rFonts w:ascii="Arial" w:hAnsi="Arial" w:cs="Arial"/>
          <w:sz w:val="24"/>
          <w:szCs w:val="24"/>
        </w:rPr>
        <w:tab/>
        <w:t xml:space="preserve"> Directiva „Păsări” a fost implementată prin Hotărârea de Guvern nr.</w:t>
      </w:r>
      <w:r w:rsidRPr="00BD3349">
        <w:rPr>
          <w:rFonts w:ascii="Arial" w:hAnsi="Arial" w:cs="Arial"/>
          <w:bCs/>
          <w:sz w:val="24"/>
          <w:szCs w:val="24"/>
          <w:lang w:val="pt-BR"/>
        </w:rPr>
        <w:t xml:space="preserve"> 971 din 5 octombrie 2011 </w:t>
      </w:r>
      <w:r w:rsidRPr="00BD3349">
        <w:rPr>
          <w:rFonts w:ascii="Arial" w:hAnsi="Arial" w:cs="Arial"/>
          <w:sz w:val="24"/>
          <w:szCs w:val="24"/>
          <w:lang w:val="pt-BR"/>
        </w:rPr>
        <w:t>pentru modificarea şi completarea H.G.</w:t>
      </w:r>
      <w:r w:rsidRPr="00BD3349">
        <w:rPr>
          <w:rFonts w:ascii="Arial" w:hAnsi="Arial" w:cs="Arial"/>
          <w:vanish/>
          <w:sz w:val="24"/>
          <w:szCs w:val="24"/>
          <w:lang w:val="pt-BR"/>
        </w:rPr>
        <w:t>&lt;LLNK 12007  1284 20 301   0 35&gt;HGHGhg</w:t>
      </w:r>
      <w:r w:rsidRPr="00BD3349">
        <w:rPr>
          <w:rFonts w:ascii="Arial" w:hAnsi="Arial" w:cs="Arial"/>
          <w:sz w:val="24"/>
          <w:szCs w:val="24"/>
          <w:lang w:val="pt-BR"/>
        </w:rPr>
        <w:t xml:space="preserve"> nr. 1.284/2007 privind declararea ariilor de protecţie specială avifaunistică ca parte integrantă a reţelei ecologice europene Natura 2000 în România.</w:t>
      </w:r>
    </w:p>
    <w:p w:rsidR="00BD3349" w:rsidRPr="00BD3349" w:rsidRDefault="00BD3349" w:rsidP="00BD3349">
      <w:pPr>
        <w:spacing w:after="0" w:line="240" w:lineRule="auto"/>
        <w:ind w:firstLine="720"/>
        <w:jc w:val="both"/>
        <w:rPr>
          <w:rFonts w:ascii="Arial" w:hAnsi="Arial" w:cs="Arial"/>
          <w:sz w:val="24"/>
          <w:szCs w:val="24"/>
          <w:lang w:val="ro-RO"/>
        </w:rPr>
      </w:pPr>
      <w:r w:rsidRPr="00BD3349">
        <w:rPr>
          <w:rFonts w:ascii="Arial" w:hAnsi="Arial" w:cs="Arial"/>
          <w:sz w:val="24"/>
          <w:szCs w:val="24"/>
          <w:lang w:val="ro-RO"/>
        </w:rPr>
        <w:t xml:space="preserve">La nivelul judeţului Vaslui, sub regimul de protecţie avifaunistică se află o suprafaţă de 27288,19 ha, care include un număr de 4 situri Natura 2000. Obiectivul protecţiei şi conservării îl constituie 52 specii de păsări conform Directivei Păsări </w:t>
      </w:r>
      <w:r w:rsidRPr="00BD3349">
        <w:rPr>
          <w:rFonts w:ascii="Arial" w:hAnsi="Arial" w:cs="Arial"/>
          <w:sz w:val="24"/>
          <w:szCs w:val="24"/>
          <w:lang w:val="ro-RO"/>
        </w:rPr>
        <w:lastRenderedPageBreak/>
        <w:t xml:space="preserve">2009/147/EC anexa I, la care se adaugă alte 31 specii de păsări, care au statutul de specii vulnerabile, ce necesită măsuri de conservare. </w:t>
      </w:r>
    </w:p>
    <w:p w:rsidR="00BD3349" w:rsidRPr="00BD3349" w:rsidRDefault="00BD3349" w:rsidP="00BD3349">
      <w:pPr>
        <w:spacing w:after="0" w:line="240" w:lineRule="auto"/>
        <w:jc w:val="both"/>
        <w:rPr>
          <w:rFonts w:ascii="Arial" w:hAnsi="Arial" w:cs="Arial"/>
          <w:sz w:val="24"/>
          <w:szCs w:val="24"/>
          <w:lang w:val="ro-RO"/>
        </w:rPr>
      </w:pPr>
    </w:p>
    <w:p w:rsidR="00BD3349" w:rsidRPr="00BD3349" w:rsidRDefault="00BD3349" w:rsidP="00BD3349">
      <w:pPr>
        <w:spacing w:after="0" w:line="240" w:lineRule="auto"/>
        <w:jc w:val="both"/>
        <w:rPr>
          <w:rFonts w:ascii="Arial" w:hAnsi="Arial" w:cs="Arial"/>
          <w:sz w:val="24"/>
          <w:szCs w:val="24"/>
          <w:lang w:val="ro-RO"/>
        </w:rPr>
      </w:pPr>
      <w:r w:rsidRPr="00BD3349">
        <w:rPr>
          <w:rFonts w:ascii="Arial" w:hAnsi="Arial" w:cs="Arial"/>
          <w:sz w:val="24"/>
          <w:szCs w:val="24"/>
          <w:lang w:val="ro-RO"/>
        </w:rPr>
        <w:t xml:space="preserve">Tabelul V.2. Arii de protecţie specială avifaunistică – declarate prin </w:t>
      </w:r>
      <w:r w:rsidRPr="00BD3349">
        <w:rPr>
          <w:rFonts w:ascii="Arial" w:hAnsi="Arial" w:cs="Arial"/>
          <w:bCs/>
          <w:sz w:val="24"/>
          <w:szCs w:val="24"/>
          <w:lang w:val="ro-RO"/>
        </w:rPr>
        <w:t>HG. nr. 971 din 5 octombrie 2011</w:t>
      </w:r>
      <w:r w:rsidRPr="00BD3349">
        <w:rPr>
          <w:rFonts w:ascii="Arial" w:hAnsi="Arial" w:cs="Arial"/>
          <w:sz w:val="24"/>
          <w:szCs w:val="24"/>
          <w:lang w:val="ro-RO"/>
        </w:rPr>
        <w:t xml:space="preserve">, pentru modificarea şi completarea </w:t>
      </w:r>
      <w:r w:rsidRPr="00BD3349">
        <w:rPr>
          <w:rFonts w:ascii="Arial" w:hAnsi="Arial" w:cs="Arial"/>
          <w:vanish/>
          <w:sz w:val="24"/>
          <w:szCs w:val="24"/>
          <w:lang w:val="ro-RO"/>
        </w:rPr>
        <w:t>&lt;LLNK 12007  1284 20 301   0 35&gt;</w:t>
      </w:r>
      <w:r w:rsidRPr="00BD3349">
        <w:rPr>
          <w:rFonts w:ascii="Arial" w:hAnsi="Arial" w:cs="Arial"/>
          <w:sz w:val="24"/>
          <w:szCs w:val="24"/>
          <w:lang w:val="ro-RO"/>
        </w:rPr>
        <w:t>Hotărârii Guvernului nr. 1284/2007 privind declararea ariilor de protecţie specială avifaunistică ca parte integrantă a reţelei ecologice europene Natura 2000 în România</w:t>
      </w:r>
    </w:p>
    <w:tbl>
      <w:tblPr>
        <w:tblW w:w="9837" w:type="dxa"/>
        <w:jc w:val="center"/>
        <w:tblInd w:w="182" w:type="dxa"/>
        <w:tblLayout w:type="fixed"/>
        <w:tblLook w:val="01E0" w:firstRow="1" w:lastRow="1" w:firstColumn="1" w:lastColumn="1" w:noHBand="0" w:noVBand="0"/>
      </w:tblPr>
      <w:tblGrid>
        <w:gridCol w:w="523"/>
        <w:gridCol w:w="2551"/>
        <w:gridCol w:w="1560"/>
        <w:gridCol w:w="1134"/>
        <w:gridCol w:w="1275"/>
        <w:gridCol w:w="1276"/>
        <w:gridCol w:w="1518"/>
      </w:tblGrid>
      <w:tr w:rsidR="00BD3349" w:rsidRPr="00BD3349" w:rsidTr="002403BF">
        <w:trPr>
          <w:trHeight w:val="186"/>
          <w:jc w:val="center"/>
        </w:trPr>
        <w:tc>
          <w:tcPr>
            <w:tcW w:w="523" w:type="dxa"/>
            <w:vMerge w:val="restart"/>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b/>
                <w:sz w:val="20"/>
                <w:szCs w:val="20"/>
                <w:lang w:val="da-DK"/>
              </w:rPr>
            </w:pPr>
            <w:r w:rsidRPr="00BD3349">
              <w:rPr>
                <w:rFonts w:ascii="Arial" w:hAnsi="Arial" w:cs="Arial"/>
                <w:sz w:val="20"/>
                <w:szCs w:val="20"/>
                <w:lang w:val="ro-RO"/>
              </w:rPr>
              <w:t xml:space="preserve">   </w:t>
            </w:r>
          </w:p>
          <w:p w:rsidR="00BD3349" w:rsidRPr="00BD3349" w:rsidRDefault="00BD3349" w:rsidP="00BD3349">
            <w:pPr>
              <w:spacing w:after="0" w:line="240" w:lineRule="auto"/>
              <w:rPr>
                <w:rFonts w:ascii="Arial" w:hAnsi="Arial" w:cs="Arial"/>
                <w:b/>
                <w:sz w:val="20"/>
                <w:szCs w:val="20"/>
                <w:lang w:val="en-GB"/>
              </w:rPr>
            </w:pPr>
            <w:r w:rsidRPr="00BD3349">
              <w:rPr>
                <w:rFonts w:ascii="Arial" w:hAnsi="Arial" w:cs="Arial"/>
                <w:b/>
                <w:sz w:val="20"/>
                <w:szCs w:val="20"/>
                <w:lang w:val="en-GB"/>
              </w:rPr>
              <w:t>Nr.</w:t>
            </w:r>
          </w:p>
          <w:p w:rsidR="00BD3349" w:rsidRPr="00BD3349" w:rsidRDefault="00BD3349" w:rsidP="00BD3349">
            <w:pPr>
              <w:spacing w:after="0" w:line="240" w:lineRule="auto"/>
              <w:rPr>
                <w:rFonts w:ascii="Arial" w:hAnsi="Arial" w:cs="Arial"/>
                <w:b/>
                <w:sz w:val="20"/>
                <w:szCs w:val="20"/>
                <w:lang w:val="ro-RO"/>
              </w:rPr>
            </w:pPr>
            <w:r w:rsidRPr="00BD3349">
              <w:rPr>
                <w:rFonts w:ascii="Arial" w:hAnsi="Arial" w:cs="Arial"/>
                <w:b/>
                <w:sz w:val="20"/>
                <w:szCs w:val="20"/>
                <w:lang w:val="en-GB"/>
              </w:rPr>
              <w:t>crt.</w:t>
            </w:r>
          </w:p>
        </w:tc>
        <w:tc>
          <w:tcPr>
            <w:tcW w:w="2551" w:type="dxa"/>
            <w:vMerge w:val="restart"/>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b/>
                <w:sz w:val="20"/>
                <w:szCs w:val="20"/>
                <w:lang w:val="ro-RO"/>
              </w:rPr>
            </w:pPr>
          </w:p>
          <w:p w:rsidR="00BD3349" w:rsidRPr="00BD3349" w:rsidRDefault="00BD3349" w:rsidP="00BD3349">
            <w:pPr>
              <w:spacing w:after="0" w:line="240" w:lineRule="auto"/>
              <w:rPr>
                <w:rFonts w:ascii="Arial" w:hAnsi="Arial" w:cs="Arial"/>
                <w:b/>
                <w:sz w:val="20"/>
                <w:szCs w:val="20"/>
                <w:lang w:val="ro-RO"/>
              </w:rPr>
            </w:pPr>
          </w:p>
          <w:p w:rsidR="00BD3349" w:rsidRPr="00BD3349" w:rsidRDefault="00BD3349" w:rsidP="00BD3349">
            <w:pPr>
              <w:spacing w:after="0" w:line="240" w:lineRule="auto"/>
              <w:rPr>
                <w:rFonts w:ascii="Arial" w:hAnsi="Arial" w:cs="Arial"/>
                <w:b/>
                <w:sz w:val="20"/>
                <w:szCs w:val="20"/>
                <w:lang w:val="ro-RO"/>
              </w:rPr>
            </w:pPr>
            <w:r w:rsidRPr="00BD3349">
              <w:rPr>
                <w:rFonts w:ascii="Arial" w:hAnsi="Arial" w:cs="Arial"/>
                <w:b/>
                <w:sz w:val="20"/>
                <w:szCs w:val="20"/>
                <w:lang w:val="ro-RO"/>
              </w:rPr>
              <w:t>Denumire</w:t>
            </w:r>
          </w:p>
        </w:tc>
        <w:tc>
          <w:tcPr>
            <w:tcW w:w="1560" w:type="dxa"/>
            <w:vMerge w:val="restart"/>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b/>
                <w:sz w:val="20"/>
                <w:szCs w:val="20"/>
                <w:lang w:val="ro-RO"/>
              </w:rPr>
            </w:pPr>
          </w:p>
          <w:p w:rsidR="00BD3349" w:rsidRPr="00BD3349" w:rsidRDefault="00BD3349" w:rsidP="00BD3349">
            <w:pPr>
              <w:spacing w:after="0" w:line="240" w:lineRule="auto"/>
              <w:rPr>
                <w:rFonts w:ascii="Arial" w:hAnsi="Arial" w:cs="Arial"/>
                <w:b/>
                <w:sz w:val="20"/>
                <w:szCs w:val="20"/>
                <w:lang w:val="ro-RO"/>
              </w:rPr>
            </w:pPr>
          </w:p>
          <w:p w:rsidR="00BD3349" w:rsidRPr="00BD3349" w:rsidRDefault="00BD3349" w:rsidP="00BD3349">
            <w:pPr>
              <w:spacing w:after="0" w:line="240" w:lineRule="auto"/>
              <w:rPr>
                <w:rFonts w:ascii="Arial" w:hAnsi="Arial" w:cs="Arial"/>
                <w:b/>
                <w:sz w:val="20"/>
                <w:szCs w:val="20"/>
                <w:lang w:val="ro-RO"/>
              </w:rPr>
            </w:pPr>
            <w:r w:rsidRPr="00BD3349">
              <w:rPr>
                <w:rFonts w:ascii="Arial" w:hAnsi="Arial" w:cs="Arial"/>
                <w:b/>
                <w:sz w:val="20"/>
                <w:szCs w:val="20"/>
                <w:lang w:val="ro-RO"/>
              </w:rPr>
              <w:t>Localizare</w:t>
            </w:r>
          </w:p>
        </w:tc>
        <w:tc>
          <w:tcPr>
            <w:tcW w:w="2409" w:type="dxa"/>
            <w:gridSpan w:val="2"/>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b/>
                <w:sz w:val="20"/>
                <w:szCs w:val="20"/>
                <w:lang w:val="ro-RO"/>
              </w:rPr>
            </w:pPr>
            <w:r w:rsidRPr="00BD3349">
              <w:rPr>
                <w:rFonts w:ascii="Arial" w:hAnsi="Arial" w:cs="Arial"/>
                <w:b/>
                <w:sz w:val="20"/>
                <w:szCs w:val="20"/>
                <w:lang w:val="ro-RO"/>
              </w:rPr>
              <w:t>Suprafaţa (ha)</w:t>
            </w:r>
          </w:p>
        </w:tc>
        <w:tc>
          <w:tcPr>
            <w:tcW w:w="1276" w:type="dxa"/>
            <w:vMerge w:val="restart"/>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b/>
                <w:sz w:val="20"/>
                <w:szCs w:val="20"/>
                <w:lang w:val="en-GB"/>
              </w:rPr>
            </w:pPr>
            <w:r w:rsidRPr="00BD3349">
              <w:rPr>
                <w:rFonts w:ascii="Arial" w:hAnsi="Arial" w:cs="Arial"/>
                <w:b/>
                <w:sz w:val="20"/>
                <w:szCs w:val="20"/>
                <w:lang w:val="en-GB"/>
              </w:rPr>
              <w:t>Suprafaţa suprapusă pe supraf. ANP (%)</w:t>
            </w:r>
          </w:p>
        </w:tc>
        <w:tc>
          <w:tcPr>
            <w:tcW w:w="1518" w:type="dxa"/>
            <w:vMerge w:val="restart"/>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b/>
                <w:sz w:val="20"/>
                <w:szCs w:val="20"/>
                <w:lang w:val="pt-BR"/>
              </w:rPr>
            </w:pPr>
            <w:r w:rsidRPr="00BD3349">
              <w:rPr>
                <w:rFonts w:ascii="Arial" w:hAnsi="Arial" w:cs="Arial"/>
                <w:b/>
                <w:sz w:val="20"/>
                <w:szCs w:val="20"/>
                <w:lang w:val="en-GB"/>
              </w:rPr>
              <w:t>Suprafaţa ocupată din supraf. Jude</w:t>
            </w:r>
            <w:r w:rsidRPr="00BD3349">
              <w:rPr>
                <w:rFonts w:ascii="Arial" w:hAnsi="Arial" w:cs="Arial"/>
                <w:b/>
                <w:sz w:val="20"/>
                <w:szCs w:val="20"/>
                <w:lang w:val="pt-BR"/>
              </w:rPr>
              <w:t>ţului (%)</w:t>
            </w:r>
          </w:p>
        </w:tc>
      </w:tr>
      <w:tr w:rsidR="00BD3349" w:rsidRPr="00BD3349" w:rsidTr="002403BF">
        <w:trPr>
          <w:trHeight w:val="391"/>
          <w:jc w:val="center"/>
        </w:trPr>
        <w:tc>
          <w:tcPr>
            <w:tcW w:w="523" w:type="dxa"/>
            <w:vMerge/>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hAnsi="Arial" w:cs="Arial"/>
                <w:b/>
                <w:sz w:val="20"/>
                <w:szCs w:val="20"/>
                <w:lang w:val="ro-RO"/>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hAnsi="Arial" w:cs="Arial"/>
                <w:b/>
                <w:sz w:val="20"/>
                <w:szCs w:val="20"/>
                <w:lang w:val="ro-RO"/>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hAnsi="Arial" w:cs="Arial"/>
                <w:b/>
                <w:sz w:val="20"/>
                <w:szCs w:val="20"/>
                <w:lang w:val="ro-RO"/>
              </w:rPr>
            </w:pPr>
          </w:p>
        </w:tc>
        <w:tc>
          <w:tcPr>
            <w:tcW w:w="113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b/>
                <w:sz w:val="20"/>
                <w:szCs w:val="20"/>
                <w:lang w:val="ro-RO"/>
              </w:rPr>
            </w:pPr>
          </w:p>
          <w:p w:rsidR="00BD3349" w:rsidRPr="00BD3349" w:rsidRDefault="00BD3349" w:rsidP="00BD3349">
            <w:pPr>
              <w:spacing w:after="0" w:line="240" w:lineRule="auto"/>
              <w:rPr>
                <w:rFonts w:ascii="Arial" w:hAnsi="Arial" w:cs="Arial"/>
                <w:b/>
                <w:sz w:val="20"/>
                <w:szCs w:val="20"/>
                <w:lang w:val="ro-RO"/>
              </w:rPr>
            </w:pPr>
            <w:r w:rsidRPr="00BD3349">
              <w:rPr>
                <w:rFonts w:ascii="Arial" w:hAnsi="Arial" w:cs="Arial"/>
                <w:b/>
                <w:sz w:val="20"/>
                <w:szCs w:val="20"/>
                <w:lang w:val="ro-RO"/>
              </w:rPr>
              <w:t>Totală</w:t>
            </w:r>
          </w:p>
        </w:tc>
        <w:tc>
          <w:tcPr>
            <w:tcW w:w="1275"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b/>
                <w:sz w:val="20"/>
                <w:szCs w:val="20"/>
                <w:lang w:val="pt-BR"/>
              </w:rPr>
            </w:pPr>
            <w:r w:rsidRPr="00BD3349">
              <w:rPr>
                <w:rFonts w:ascii="Arial" w:hAnsi="Arial" w:cs="Arial"/>
                <w:b/>
                <w:sz w:val="20"/>
                <w:szCs w:val="20"/>
                <w:lang w:val="ro-RO"/>
              </w:rPr>
              <w:t xml:space="preserve">Pe terit. judeţului </w:t>
            </w:r>
          </w:p>
        </w:tc>
        <w:tc>
          <w:tcPr>
            <w:tcW w:w="1276" w:type="dxa"/>
            <w:vMerge/>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hAnsi="Arial" w:cs="Arial"/>
                <w:b/>
                <w:sz w:val="20"/>
                <w:szCs w:val="20"/>
                <w:lang w:val="pt-BR"/>
              </w:rPr>
            </w:pPr>
          </w:p>
        </w:tc>
        <w:tc>
          <w:tcPr>
            <w:tcW w:w="1518" w:type="dxa"/>
            <w:vMerge/>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hAnsi="Arial" w:cs="Arial"/>
                <w:b/>
                <w:sz w:val="20"/>
                <w:szCs w:val="20"/>
                <w:lang w:val="pt-BR"/>
              </w:rPr>
            </w:pPr>
          </w:p>
        </w:tc>
      </w:tr>
      <w:tr w:rsidR="00BD3349" w:rsidRPr="00BD3349" w:rsidTr="002403BF">
        <w:trPr>
          <w:trHeight w:val="126"/>
          <w:jc w:val="center"/>
        </w:trPr>
        <w:tc>
          <w:tcPr>
            <w:tcW w:w="523"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1</w:t>
            </w:r>
          </w:p>
        </w:tc>
        <w:tc>
          <w:tcPr>
            <w:tcW w:w="255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ro-RO"/>
              </w:rPr>
            </w:pPr>
            <w:r w:rsidRPr="00BD3349">
              <w:rPr>
                <w:rFonts w:ascii="Arial" w:hAnsi="Arial" w:cs="Arial"/>
                <w:sz w:val="20"/>
                <w:szCs w:val="20"/>
                <w:lang w:val="pt-BR"/>
              </w:rPr>
              <w:t>ROSPA0092 P</w:t>
            </w:r>
            <w:r w:rsidRPr="00BD3349">
              <w:rPr>
                <w:rFonts w:ascii="Arial" w:hAnsi="Arial" w:cs="Arial"/>
                <w:sz w:val="20"/>
                <w:szCs w:val="20"/>
                <w:lang w:val="ro-RO"/>
              </w:rPr>
              <w:t>ădurea Bârnova</w:t>
            </w:r>
          </w:p>
        </w:tc>
        <w:tc>
          <w:tcPr>
            <w:tcW w:w="1560"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Vaslui şi Iaşi</w:t>
            </w:r>
          </w:p>
        </w:tc>
        <w:tc>
          <w:tcPr>
            <w:tcW w:w="113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12887</w:t>
            </w:r>
          </w:p>
        </w:tc>
        <w:tc>
          <w:tcPr>
            <w:tcW w:w="1275"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124,22</w:t>
            </w:r>
          </w:p>
        </w:tc>
        <w:tc>
          <w:tcPr>
            <w:tcW w:w="1276"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0%</w:t>
            </w:r>
          </w:p>
        </w:tc>
        <w:tc>
          <w:tcPr>
            <w:tcW w:w="1518"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0,023%</w:t>
            </w:r>
          </w:p>
        </w:tc>
      </w:tr>
      <w:tr w:rsidR="00BD3349" w:rsidRPr="00BD3349" w:rsidTr="002403BF">
        <w:trPr>
          <w:trHeight w:val="70"/>
          <w:jc w:val="center"/>
        </w:trPr>
        <w:tc>
          <w:tcPr>
            <w:tcW w:w="523"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2</w:t>
            </w:r>
          </w:p>
        </w:tc>
        <w:tc>
          <w:tcPr>
            <w:tcW w:w="255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ROSPA0096</w:t>
            </w:r>
          </w:p>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Pădurea Micleşti</w:t>
            </w:r>
          </w:p>
        </w:tc>
        <w:tc>
          <w:tcPr>
            <w:tcW w:w="1560"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Vaslui şi Iaşi</w:t>
            </w:r>
          </w:p>
        </w:tc>
        <w:tc>
          <w:tcPr>
            <w:tcW w:w="113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8631</w:t>
            </w:r>
          </w:p>
        </w:tc>
        <w:tc>
          <w:tcPr>
            <w:tcW w:w="1275"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3193,47</w:t>
            </w:r>
          </w:p>
        </w:tc>
        <w:tc>
          <w:tcPr>
            <w:tcW w:w="1276"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0%</w:t>
            </w:r>
          </w:p>
        </w:tc>
        <w:tc>
          <w:tcPr>
            <w:tcW w:w="1518"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0,6%</w:t>
            </w:r>
          </w:p>
        </w:tc>
      </w:tr>
      <w:tr w:rsidR="00BD3349" w:rsidRPr="00BD3349" w:rsidTr="002403BF">
        <w:trPr>
          <w:trHeight w:val="70"/>
          <w:jc w:val="center"/>
        </w:trPr>
        <w:tc>
          <w:tcPr>
            <w:tcW w:w="523"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3</w:t>
            </w:r>
          </w:p>
        </w:tc>
        <w:tc>
          <w:tcPr>
            <w:tcW w:w="255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ROSPA0119</w:t>
            </w:r>
          </w:p>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Horga - Zorleni</w:t>
            </w:r>
          </w:p>
        </w:tc>
        <w:tc>
          <w:tcPr>
            <w:tcW w:w="1560"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Vaslui</w:t>
            </w:r>
          </w:p>
        </w:tc>
        <w:tc>
          <w:tcPr>
            <w:tcW w:w="113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20188</w:t>
            </w:r>
          </w:p>
        </w:tc>
        <w:tc>
          <w:tcPr>
            <w:tcW w:w="1275"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20188</w:t>
            </w:r>
          </w:p>
        </w:tc>
        <w:tc>
          <w:tcPr>
            <w:tcW w:w="1276"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0%</w:t>
            </w:r>
          </w:p>
        </w:tc>
        <w:tc>
          <w:tcPr>
            <w:tcW w:w="1518"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3,8%</w:t>
            </w:r>
          </w:p>
        </w:tc>
      </w:tr>
      <w:tr w:rsidR="00BD3349" w:rsidRPr="00BD3349" w:rsidTr="002403BF">
        <w:trPr>
          <w:trHeight w:val="331"/>
          <w:jc w:val="center"/>
        </w:trPr>
        <w:tc>
          <w:tcPr>
            <w:tcW w:w="523"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4</w:t>
            </w:r>
          </w:p>
        </w:tc>
        <w:tc>
          <w:tcPr>
            <w:tcW w:w="255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ROSPA0130 Maţa – Cârja-Rădeanu</w:t>
            </w:r>
          </w:p>
        </w:tc>
        <w:tc>
          <w:tcPr>
            <w:tcW w:w="1560"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Vaslui şi Galaţi</w:t>
            </w:r>
          </w:p>
        </w:tc>
        <w:tc>
          <w:tcPr>
            <w:tcW w:w="113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5735</w:t>
            </w:r>
          </w:p>
        </w:tc>
        <w:tc>
          <w:tcPr>
            <w:tcW w:w="1275"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3782,5</w:t>
            </w:r>
          </w:p>
        </w:tc>
        <w:tc>
          <w:tcPr>
            <w:tcW w:w="1276"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0%</w:t>
            </w:r>
          </w:p>
        </w:tc>
        <w:tc>
          <w:tcPr>
            <w:tcW w:w="1518"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0,71%</w:t>
            </w:r>
          </w:p>
        </w:tc>
      </w:tr>
    </w:tbl>
    <w:p w:rsidR="00BD3349" w:rsidRPr="00BD3349" w:rsidRDefault="00BD3349" w:rsidP="00BD3349">
      <w:pPr>
        <w:spacing w:after="0" w:line="240" w:lineRule="auto"/>
        <w:jc w:val="both"/>
        <w:rPr>
          <w:rFonts w:ascii="Arial" w:hAnsi="Arial" w:cs="Arial"/>
          <w:sz w:val="24"/>
          <w:szCs w:val="24"/>
          <w:lang w:val="ro-RO"/>
        </w:rPr>
      </w:pPr>
    </w:p>
    <w:p w:rsidR="00BD3349" w:rsidRPr="00BD3349" w:rsidRDefault="00BD3349" w:rsidP="00BD3349">
      <w:pPr>
        <w:spacing w:after="0" w:line="240" w:lineRule="auto"/>
        <w:jc w:val="both"/>
        <w:rPr>
          <w:rFonts w:ascii="Arial" w:hAnsi="Arial" w:cs="Arial"/>
          <w:sz w:val="24"/>
          <w:szCs w:val="24"/>
          <w:lang w:val="ro-RO"/>
        </w:rPr>
      </w:pPr>
      <w:r w:rsidRPr="00BD3349">
        <w:rPr>
          <w:rFonts w:ascii="Arial" w:hAnsi="Arial" w:cs="Arial"/>
          <w:sz w:val="24"/>
          <w:szCs w:val="24"/>
          <w:lang w:val="ro-RO"/>
        </w:rPr>
        <w:t>Figura V.7. Numărul de specii de păsări enumerate în anexa I a Directivei Consiliului 2009/147/EC, la nivelul judeţului Vaslui</w:t>
      </w:r>
    </w:p>
    <w:p w:rsidR="00BD3349" w:rsidRPr="00BD3349" w:rsidRDefault="00BD3349" w:rsidP="00BD3349">
      <w:pPr>
        <w:rPr>
          <w:rFonts w:ascii="Arial" w:hAnsi="Arial" w:cs="Arial"/>
          <w:sz w:val="24"/>
          <w:szCs w:val="24"/>
          <w:lang w:val="ro-RO"/>
        </w:rPr>
      </w:pPr>
      <w:r w:rsidRPr="00BD3349">
        <w:rPr>
          <w:noProof/>
        </w:rPr>
        <w:drawing>
          <wp:inline distT="0" distB="0" distL="0" distR="0" wp14:anchorId="17D8F290" wp14:editId="78DE3981">
            <wp:extent cx="6238875" cy="2343150"/>
            <wp:effectExtent l="0" t="0" r="0" b="0"/>
            <wp:docPr id="22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B635CB" w:rsidRDefault="00B635CB" w:rsidP="00B635CB">
      <w:pPr>
        <w:spacing w:after="0" w:line="240" w:lineRule="auto"/>
        <w:rPr>
          <w:rFonts w:ascii="Arial" w:hAnsi="Arial" w:cs="Arial"/>
          <w:b/>
          <w:sz w:val="24"/>
          <w:szCs w:val="24"/>
          <w:lang w:val="en-GB"/>
        </w:rPr>
      </w:pPr>
    </w:p>
    <w:p w:rsidR="00BD3349" w:rsidRPr="00BD3349" w:rsidRDefault="00BD3349" w:rsidP="00BD3349">
      <w:pPr>
        <w:rPr>
          <w:rFonts w:ascii="Arial" w:hAnsi="Arial" w:cs="Arial"/>
          <w:b/>
          <w:sz w:val="24"/>
          <w:szCs w:val="24"/>
          <w:lang w:val="en-GB"/>
        </w:rPr>
      </w:pPr>
      <w:r w:rsidRPr="00BD3349">
        <w:rPr>
          <w:rFonts w:ascii="Arial" w:hAnsi="Arial" w:cs="Arial"/>
          <w:b/>
          <w:sz w:val="24"/>
          <w:szCs w:val="24"/>
          <w:lang w:val="en-GB"/>
        </w:rPr>
        <w:t>Arii naturale protejate de interes comunitar</w:t>
      </w:r>
    </w:p>
    <w:p w:rsidR="00BD3349" w:rsidRPr="00BD3349" w:rsidRDefault="00BD3349" w:rsidP="00BD3349">
      <w:pPr>
        <w:spacing w:after="0" w:line="240" w:lineRule="auto"/>
        <w:ind w:firstLine="720"/>
        <w:jc w:val="both"/>
        <w:rPr>
          <w:rFonts w:ascii="Arial" w:hAnsi="Arial" w:cs="Arial"/>
          <w:sz w:val="24"/>
          <w:szCs w:val="24"/>
        </w:rPr>
      </w:pPr>
      <w:r w:rsidRPr="00BD3349">
        <w:rPr>
          <w:rFonts w:ascii="Arial" w:hAnsi="Arial" w:cs="Arial"/>
          <w:sz w:val="24"/>
          <w:szCs w:val="24"/>
        </w:rPr>
        <w:t xml:space="preserve">Obiectivul </w:t>
      </w:r>
      <w:r w:rsidRPr="00BD3349">
        <w:rPr>
          <w:rFonts w:ascii="Arial" w:hAnsi="Arial" w:cs="Arial"/>
          <w:i/>
          <w:sz w:val="24"/>
          <w:szCs w:val="24"/>
        </w:rPr>
        <w:t>Natura 2000</w:t>
      </w:r>
      <w:r w:rsidRPr="00BD3349">
        <w:rPr>
          <w:rFonts w:ascii="Arial" w:hAnsi="Arial" w:cs="Arial"/>
          <w:sz w:val="24"/>
          <w:szCs w:val="24"/>
        </w:rPr>
        <w:t xml:space="preserve"> este de a asigura conservarea habitatelor şi speciilor vulnerabile sau, unde este cazul, restaurarea lor pentru dobândirea unui statut de conservare favorabil.</w:t>
      </w:r>
    </w:p>
    <w:p w:rsidR="00BD3349" w:rsidRPr="00BD3349" w:rsidRDefault="00BD3349" w:rsidP="00BD3349">
      <w:pPr>
        <w:spacing w:after="0" w:line="240" w:lineRule="auto"/>
        <w:ind w:firstLine="720"/>
        <w:jc w:val="both"/>
        <w:rPr>
          <w:rFonts w:ascii="Arial" w:hAnsi="Arial" w:cs="Arial"/>
          <w:sz w:val="24"/>
          <w:szCs w:val="24"/>
        </w:rPr>
      </w:pPr>
      <w:r w:rsidRPr="00BD3349">
        <w:rPr>
          <w:rFonts w:ascii="Arial" w:hAnsi="Arial" w:cs="Arial"/>
          <w:sz w:val="24"/>
          <w:szCs w:val="24"/>
        </w:rPr>
        <w:t xml:space="preserve">Directiva ”Habitate” a fost implementată prin Ordinul ministrului mediului şi pădurilor nr. </w:t>
      </w:r>
      <w:r w:rsidRPr="00BD3349">
        <w:rPr>
          <w:rFonts w:ascii="Arial" w:hAnsi="Arial" w:cs="Arial"/>
          <w:sz w:val="24"/>
          <w:szCs w:val="24"/>
          <w:lang w:val="pt-BR"/>
        </w:rPr>
        <w:t>2387/2011 pentru modificarea şi completarea</w:t>
      </w:r>
      <w:r w:rsidRPr="00BD3349">
        <w:rPr>
          <w:rFonts w:ascii="Arial" w:hAnsi="Arial" w:cs="Arial"/>
          <w:vanish/>
          <w:sz w:val="24"/>
          <w:szCs w:val="24"/>
          <w:lang w:val="pt-BR"/>
        </w:rPr>
        <w:t>&lt;LLNK 12007  1284 20 301   0 35&gt;</w:t>
      </w:r>
      <w:r w:rsidRPr="00BD3349">
        <w:rPr>
          <w:rFonts w:ascii="Arial" w:hAnsi="Arial" w:cs="Arial"/>
          <w:sz w:val="24"/>
          <w:szCs w:val="24"/>
          <w:lang w:val="pt-BR"/>
        </w:rPr>
        <w:t xml:space="preserve"> Ordinul M.M.D.D. nr. 1.964/2007 privind instituirea regimului de arie naturală protejată a siturilor de importanţă comunitară, ca parte integrantă a reţelei ecologice europene Natura 2000 în România</w:t>
      </w:r>
      <w:r w:rsidRPr="00BD3349">
        <w:rPr>
          <w:rFonts w:ascii="Arial" w:hAnsi="Arial" w:cs="Arial"/>
          <w:sz w:val="24"/>
          <w:szCs w:val="24"/>
        </w:rPr>
        <w:t>.</w:t>
      </w:r>
    </w:p>
    <w:p w:rsidR="00BD3349" w:rsidRPr="00BD3349" w:rsidRDefault="00BD3349" w:rsidP="00BD3349">
      <w:pPr>
        <w:spacing w:after="0" w:line="240" w:lineRule="auto"/>
        <w:rPr>
          <w:rFonts w:ascii="Arial" w:hAnsi="Arial" w:cs="Arial"/>
          <w:sz w:val="24"/>
          <w:szCs w:val="24"/>
          <w:lang w:val="ro-RO"/>
        </w:rPr>
      </w:pPr>
    </w:p>
    <w:p w:rsidR="00BD3349" w:rsidRPr="00BD3349" w:rsidRDefault="00BD3349" w:rsidP="00BD3349">
      <w:pPr>
        <w:spacing w:after="0" w:line="240" w:lineRule="auto"/>
        <w:jc w:val="both"/>
        <w:rPr>
          <w:rFonts w:ascii="Arial" w:hAnsi="Arial" w:cs="Arial"/>
          <w:sz w:val="24"/>
          <w:szCs w:val="24"/>
          <w:lang w:val="ro-RO"/>
        </w:rPr>
      </w:pPr>
      <w:r w:rsidRPr="00BD3349">
        <w:rPr>
          <w:rFonts w:ascii="Arial" w:hAnsi="Arial" w:cs="Arial"/>
          <w:sz w:val="24"/>
          <w:szCs w:val="24"/>
          <w:lang w:val="ro-RO"/>
        </w:rPr>
        <w:lastRenderedPageBreak/>
        <w:t>Tabelul V.3. Arii naturale protejate de interes comunitar</w:t>
      </w:r>
      <w:r w:rsidRPr="00BD3349">
        <w:rPr>
          <w:rFonts w:ascii="Arial" w:hAnsi="Arial" w:cs="Arial"/>
          <w:b/>
          <w:sz w:val="24"/>
          <w:szCs w:val="24"/>
          <w:lang w:val="ro-RO"/>
        </w:rPr>
        <w:t xml:space="preserve"> </w:t>
      </w:r>
      <w:r w:rsidRPr="00BD3349">
        <w:rPr>
          <w:rFonts w:ascii="Arial" w:hAnsi="Arial" w:cs="Arial"/>
          <w:sz w:val="24"/>
          <w:szCs w:val="24"/>
          <w:lang w:val="ro-RO"/>
        </w:rPr>
        <w:t xml:space="preserve">- declarate prin Ordin nr. 2387/2011 pentru modificarea şi completarea </w:t>
      </w:r>
      <w:r w:rsidRPr="00BD3349">
        <w:rPr>
          <w:rFonts w:ascii="Arial" w:hAnsi="Arial" w:cs="Arial"/>
          <w:vanish/>
          <w:sz w:val="24"/>
          <w:szCs w:val="24"/>
          <w:lang w:val="ro-RO"/>
        </w:rPr>
        <w:t>&lt;LLNK 12007  1284 20 301   0 35&gt;</w:t>
      </w:r>
      <w:r w:rsidRPr="00BD3349">
        <w:rPr>
          <w:rFonts w:ascii="Arial" w:hAnsi="Arial" w:cs="Arial"/>
          <w:sz w:val="24"/>
          <w:szCs w:val="24"/>
          <w:lang w:val="ro-RO"/>
        </w:rPr>
        <w:t>Hotărârii Guvernului nr. 1.964/2007 privind instituirea regimului de arie naturală protejată a siturilor de importanţă comunitară, ca parte integrantă a reţelei ecologice europene Natura 2000 în România</w:t>
      </w:r>
    </w:p>
    <w:p w:rsidR="00BD3349" w:rsidRPr="00BD3349" w:rsidRDefault="00BD3349" w:rsidP="00BD3349">
      <w:pPr>
        <w:spacing w:after="0" w:line="240" w:lineRule="auto"/>
        <w:jc w:val="both"/>
        <w:rPr>
          <w:rFonts w:ascii="Arial" w:hAnsi="Arial" w:cs="Arial"/>
          <w:sz w:val="24"/>
          <w:szCs w:val="24"/>
          <w:lang w:val="ro-RO"/>
        </w:rPr>
      </w:pPr>
    </w:p>
    <w:tbl>
      <w:tblPr>
        <w:tblW w:w="10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
        <w:gridCol w:w="2149"/>
        <w:gridCol w:w="1256"/>
        <w:gridCol w:w="1012"/>
        <w:gridCol w:w="1194"/>
        <w:gridCol w:w="1847"/>
        <w:gridCol w:w="2005"/>
      </w:tblGrid>
      <w:tr w:rsidR="00BD3349" w:rsidRPr="00BD3349" w:rsidTr="002403BF">
        <w:trPr>
          <w:jc w:val="center"/>
        </w:trPr>
        <w:tc>
          <w:tcPr>
            <w:tcW w:w="577" w:type="dxa"/>
            <w:vMerge w:val="restart"/>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b/>
                <w:sz w:val="20"/>
                <w:szCs w:val="20"/>
                <w:lang w:val="ro-RO"/>
              </w:rPr>
            </w:pPr>
          </w:p>
          <w:p w:rsidR="00BD3349" w:rsidRPr="00BD3349" w:rsidRDefault="00BD3349" w:rsidP="00BD3349">
            <w:pPr>
              <w:spacing w:after="0" w:line="240" w:lineRule="auto"/>
              <w:rPr>
                <w:rFonts w:ascii="Arial" w:hAnsi="Arial" w:cs="Arial"/>
                <w:b/>
                <w:sz w:val="20"/>
                <w:szCs w:val="20"/>
                <w:lang w:val="en-GB"/>
              </w:rPr>
            </w:pPr>
            <w:r w:rsidRPr="00BD3349">
              <w:rPr>
                <w:rFonts w:ascii="Arial" w:hAnsi="Arial" w:cs="Arial"/>
                <w:b/>
                <w:sz w:val="20"/>
                <w:szCs w:val="20"/>
                <w:lang w:val="en-GB"/>
              </w:rPr>
              <w:t>Nr.</w:t>
            </w:r>
          </w:p>
          <w:p w:rsidR="00BD3349" w:rsidRPr="00BD3349" w:rsidRDefault="00BD3349" w:rsidP="00BD3349">
            <w:pPr>
              <w:spacing w:after="0" w:line="240" w:lineRule="auto"/>
              <w:rPr>
                <w:rFonts w:ascii="Arial" w:hAnsi="Arial" w:cs="Arial"/>
                <w:b/>
                <w:sz w:val="20"/>
                <w:szCs w:val="20"/>
                <w:lang w:val="en-GB"/>
              </w:rPr>
            </w:pPr>
            <w:r w:rsidRPr="00BD3349">
              <w:rPr>
                <w:rFonts w:ascii="Arial" w:hAnsi="Arial" w:cs="Arial"/>
                <w:b/>
                <w:sz w:val="20"/>
                <w:szCs w:val="20"/>
                <w:lang w:val="en-GB"/>
              </w:rPr>
              <w:t>crt.</w:t>
            </w:r>
          </w:p>
        </w:tc>
        <w:tc>
          <w:tcPr>
            <w:tcW w:w="2149" w:type="dxa"/>
            <w:vMerge w:val="restart"/>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b/>
                <w:sz w:val="20"/>
                <w:szCs w:val="20"/>
                <w:lang w:val="en-GB"/>
              </w:rPr>
            </w:pPr>
          </w:p>
          <w:p w:rsidR="00BD3349" w:rsidRPr="00BD3349" w:rsidRDefault="00BD3349" w:rsidP="00BD3349">
            <w:pPr>
              <w:spacing w:after="0" w:line="240" w:lineRule="auto"/>
              <w:rPr>
                <w:rFonts w:ascii="Arial" w:hAnsi="Arial" w:cs="Arial"/>
                <w:b/>
                <w:sz w:val="20"/>
                <w:szCs w:val="20"/>
                <w:lang w:val="en-GB"/>
              </w:rPr>
            </w:pPr>
          </w:p>
          <w:p w:rsidR="00BD3349" w:rsidRPr="00BD3349" w:rsidRDefault="00BD3349" w:rsidP="00BD3349">
            <w:pPr>
              <w:spacing w:after="0" w:line="240" w:lineRule="auto"/>
              <w:rPr>
                <w:rFonts w:ascii="Arial" w:hAnsi="Arial" w:cs="Arial"/>
                <w:b/>
                <w:sz w:val="20"/>
                <w:szCs w:val="20"/>
                <w:lang w:val="en-GB"/>
              </w:rPr>
            </w:pPr>
            <w:r w:rsidRPr="00BD3349">
              <w:rPr>
                <w:rFonts w:ascii="Arial" w:hAnsi="Arial" w:cs="Arial"/>
                <w:b/>
                <w:sz w:val="20"/>
                <w:szCs w:val="20"/>
                <w:lang w:val="en-GB"/>
              </w:rPr>
              <w:t>Denumire</w:t>
            </w:r>
          </w:p>
        </w:tc>
        <w:tc>
          <w:tcPr>
            <w:tcW w:w="1256" w:type="dxa"/>
            <w:vMerge w:val="restart"/>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b/>
                <w:sz w:val="20"/>
                <w:szCs w:val="20"/>
                <w:lang w:val="en-GB"/>
              </w:rPr>
            </w:pPr>
          </w:p>
          <w:p w:rsidR="00BD3349" w:rsidRPr="00BD3349" w:rsidRDefault="00BD3349" w:rsidP="00BD3349">
            <w:pPr>
              <w:spacing w:after="0" w:line="240" w:lineRule="auto"/>
              <w:rPr>
                <w:rFonts w:ascii="Arial" w:hAnsi="Arial" w:cs="Arial"/>
                <w:b/>
                <w:sz w:val="20"/>
                <w:szCs w:val="20"/>
                <w:lang w:val="en-GB"/>
              </w:rPr>
            </w:pPr>
          </w:p>
          <w:p w:rsidR="00BD3349" w:rsidRPr="00BD3349" w:rsidRDefault="00BD3349" w:rsidP="00BD3349">
            <w:pPr>
              <w:spacing w:after="0" w:line="240" w:lineRule="auto"/>
              <w:rPr>
                <w:rFonts w:ascii="Arial" w:hAnsi="Arial" w:cs="Arial"/>
                <w:b/>
                <w:sz w:val="20"/>
                <w:szCs w:val="20"/>
                <w:lang w:val="en-GB"/>
              </w:rPr>
            </w:pPr>
            <w:r w:rsidRPr="00BD3349">
              <w:rPr>
                <w:rFonts w:ascii="Arial" w:hAnsi="Arial" w:cs="Arial"/>
                <w:b/>
                <w:sz w:val="20"/>
                <w:szCs w:val="20"/>
                <w:lang w:val="en-GB"/>
              </w:rPr>
              <w:t>Localizare</w:t>
            </w:r>
          </w:p>
        </w:tc>
        <w:tc>
          <w:tcPr>
            <w:tcW w:w="2206" w:type="dxa"/>
            <w:gridSpan w:val="2"/>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b/>
                <w:sz w:val="20"/>
                <w:szCs w:val="20"/>
                <w:lang w:val="en-GB"/>
              </w:rPr>
            </w:pPr>
            <w:r w:rsidRPr="00BD3349">
              <w:rPr>
                <w:rFonts w:ascii="Arial" w:hAnsi="Arial" w:cs="Arial"/>
                <w:b/>
                <w:sz w:val="20"/>
                <w:szCs w:val="20"/>
                <w:lang w:val="en-GB"/>
              </w:rPr>
              <w:t>Suprafaţa (ha)</w:t>
            </w:r>
          </w:p>
        </w:tc>
        <w:tc>
          <w:tcPr>
            <w:tcW w:w="1847" w:type="dxa"/>
            <w:vMerge w:val="restart"/>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b/>
                <w:sz w:val="20"/>
                <w:szCs w:val="20"/>
                <w:lang w:val="pt-BR"/>
              </w:rPr>
            </w:pPr>
            <w:r w:rsidRPr="00BD3349">
              <w:rPr>
                <w:rFonts w:ascii="Arial" w:hAnsi="Arial" w:cs="Arial"/>
                <w:b/>
                <w:sz w:val="20"/>
                <w:szCs w:val="20"/>
                <w:lang w:val="pt-BR"/>
              </w:rPr>
              <w:t>Suprafaţa suprapusă pe supraf. ANP (%)</w:t>
            </w:r>
          </w:p>
        </w:tc>
        <w:tc>
          <w:tcPr>
            <w:tcW w:w="2005" w:type="dxa"/>
            <w:vMerge w:val="restart"/>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b/>
                <w:sz w:val="20"/>
                <w:szCs w:val="20"/>
                <w:lang w:val="pt-BR"/>
              </w:rPr>
            </w:pPr>
            <w:r w:rsidRPr="00BD3349">
              <w:rPr>
                <w:rFonts w:ascii="Arial" w:hAnsi="Arial" w:cs="Arial"/>
                <w:b/>
                <w:sz w:val="20"/>
                <w:szCs w:val="20"/>
                <w:lang w:val="pt-BR"/>
              </w:rPr>
              <w:t>Suprafaţa ocupată din supraf. Judeţului (%)</w:t>
            </w:r>
          </w:p>
        </w:tc>
      </w:tr>
      <w:tr w:rsidR="00BD3349" w:rsidRPr="00BD3349" w:rsidTr="002403BF">
        <w:trPr>
          <w:jc w:val="center"/>
        </w:trPr>
        <w:tc>
          <w:tcPr>
            <w:tcW w:w="577" w:type="dxa"/>
            <w:vMerge/>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hAnsi="Arial" w:cs="Arial"/>
                <w:b/>
                <w:sz w:val="20"/>
                <w:szCs w:val="20"/>
                <w:lang w:val="pt-BR"/>
              </w:rPr>
            </w:pPr>
          </w:p>
        </w:tc>
        <w:tc>
          <w:tcPr>
            <w:tcW w:w="2149" w:type="dxa"/>
            <w:vMerge/>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hAnsi="Arial" w:cs="Arial"/>
                <w:b/>
                <w:sz w:val="20"/>
                <w:szCs w:val="20"/>
                <w:lang w:val="pt-BR"/>
              </w:rPr>
            </w:pPr>
          </w:p>
        </w:tc>
        <w:tc>
          <w:tcPr>
            <w:tcW w:w="1256" w:type="dxa"/>
            <w:vMerge/>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hAnsi="Arial" w:cs="Arial"/>
                <w:b/>
                <w:sz w:val="20"/>
                <w:szCs w:val="20"/>
                <w:lang w:val="pt-BR"/>
              </w:rPr>
            </w:pPr>
          </w:p>
        </w:tc>
        <w:tc>
          <w:tcPr>
            <w:tcW w:w="1012"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b/>
                <w:sz w:val="20"/>
                <w:szCs w:val="20"/>
                <w:lang w:val="pt-BR"/>
              </w:rPr>
            </w:pPr>
          </w:p>
          <w:p w:rsidR="00BD3349" w:rsidRPr="00BD3349" w:rsidRDefault="00BD3349" w:rsidP="00BD3349">
            <w:pPr>
              <w:spacing w:after="0" w:line="240" w:lineRule="auto"/>
              <w:rPr>
                <w:rFonts w:ascii="Arial" w:hAnsi="Arial" w:cs="Arial"/>
                <w:b/>
                <w:sz w:val="20"/>
                <w:szCs w:val="20"/>
              </w:rPr>
            </w:pPr>
            <w:r w:rsidRPr="00BD3349">
              <w:rPr>
                <w:rFonts w:ascii="Arial" w:hAnsi="Arial" w:cs="Arial"/>
                <w:b/>
                <w:sz w:val="20"/>
                <w:szCs w:val="20"/>
              </w:rPr>
              <w:t>Totală</w:t>
            </w:r>
          </w:p>
        </w:tc>
        <w:tc>
          <w:tcPr>
            <w:tcW w:w="119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b/>
                <w:sz w:val="20"/>
                <w:szCs w:val="20"/>
                <w:lang w:val="pt-BR"/>
              </w:rPr>
            </w:pPr>
            <w:r w:rsidRPr="00BD3349">
              <w:rPr>
                <w:rFonts w:ascii="Arial" w:hAnsi="Arial" w:cs="Arial"/>
                <w:b/>
                <w:sz w:val="20"/>
                <w:szCs w:val="20"/>
                <w:lang w:val="en-GB"/>
              </w:rPr>
              <w:t xml:space="preserve">Pe terit. judetului </w:t>
            </w:r>
          </w:p>
        </w:tc>
        <w:tc>
          <w:tcPr>
            <w:tcW w:w="1847" w:type="dxa"/>
            <w:vMerge/>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hAnsi="Arial" w:cs="Arial"/>
                <w:b/>
                <w:sz w:val="20"/>
                <w:szCs w:val="20"/>
                <w:lang w:val="pt-BR"/>
              </w:rPr>
            </w:pPr>
          </w:p>
        </w:tc>
        <w:tc>
          <w:tcPr>
            <w:tcW w:w="2005" w:type="dxa"/>
            <w:vMerge/>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hAnsi="Arial" w:cs="Arial"/>
                <w:b/>
                <w:sz w:val="20"/>
                <w:szCs w:val="20"/>
                <w:lang w:val="pt-BR"/>
              </w:rPr>
            </w:pPr>
          </w:p>
        </w:tc>
      </w:tr>
      <w:tr w:rsidR="00BD3349" w:rsidRPr="00BD3349" w:rsidTr="002403BF">
        <w:trPr>
          <w:trHeight w:val="310"/>
          <w:jc w:val="center"/>
        </w:trPr>
        <w:tc>
          <w:tcPr>
            <w:tcW w:w="10040" w:type="dxa"/>
            <w:gridSpan w:val="7"/>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b/>
                <w:sz w:val="20"/>
                <w:szCs w:val="20"/>
                <w:lang w:val="pt-BR"/>
              </w:rPr>
            </w:pPr>
            <w:r w:rsidRPr="00BD3349">
              <w:rPr>
                <w:rFonts w:ascii="Arial" w:hAnsi="Arial" w:cs="Arial"/>
                <w:b/>
                <w:sz w:val="20"/>
                <w:szCs w:val="20"/>
                <w:lang w:val="pt-BR"/>
              </w:rPr>
              <w:t>JUDEŢUL Vaslui</w:t>
            </w:r>
          </w:p>
        </w:tc>
      </w:tr>
      <w:tr w:rsidR="00BD3349" w:rsidRPr="00BD3349" w:rsidTr="002403BF">
        <w:trPr>
          <w:jc w:val="center"/>
        </w:trPr>
        <w:tc>
          <w:tcPr>
            <w:tcW w:w="577"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1</w:t>
            </w:r>
          </w:p>
        </w:tc>
        <w:tc>
          <w:tcPr>
            <w:tcW w:w="2149"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ROSCI0041 Coasta Rupturile Tanacu</w:t>
            </w:r>
          </w:p>
        </w:tc>
        <w:tc>
          <w:tcPr>
            <w:tcW w:w="1256"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Vaslui</w:t>
            </w:r>
          </w:p>
        </w:tc>
        <w:tc>
          <w:tcPr>
            <w:tcW w:w="1012"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328</w:t>
            </w:r>
          </w:p>
        </w:tc>
        <w:tc>
          <w:tcPr>
            <w:tcW w:w="119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328</w:t>
            </w:r>
          </w:p>
        </w:tc>
        <w:tc>
          <w:tcPr>
            <w:tcW w:w="1847"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1,83%</w:t>
            </w:r>
          </w:p>
        </w:tc>
        <w:tc>
          <w:tcPr>
            <w:tcW w:w="2005"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0,062%</w:t>
            </w:r>
          </w:p>
        </w:tc>
      </w:tr>
      <w:tr w:rsidR="00BD3349" w:rsidRPr="00BD3349" w:rsidTr="002403BF">
        <w:trPr>
          <w:trHeight w:val="417"/>
          <w:jc w:val="center"/>
        </w:trPr>
        <w:tc>
          <w:tcPr>
            <w:tcW w:w="577"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2</w:t>
            </w:r>
          </w:p>
        </w:tc>
        <w:tc>
          <w:tcPr>
            <w:tcW w:w="2149"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it-IT"/>
              </w:rPr>
            </w:pPr>
            <w:r w:rsidRPr="00BD3349">
              <w:rPr>
                <w:rFonts w:ascii="Arial" w:hAnsi="Arial" w:cs="Arial"/>
                <w:sz w:val="20"/>
                <w:szCs w:val="20"/>
                <w:lang w:val="it-IT"/>
              </w:rPr>
              <w:t>ROSCI0080 Fânăţurile de la Glodeni</w:t>
            </w:r>
          </w:p>
        </w:tc>
        <w:tc>
          <w:tcPr>
            <w:tcW w:w="1256"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it-IT"/>
              </w:rPr>
            </w:pPr>
            <w:r w:rsidRPr="00BD3349">
              <w:rPr>
                <w:rFonts w:ascii="Arial" w:hAnsi="Arial" w:cs="Arial"/>
                <w:sz w:val="20"/>
                <w:szCs w:val="20"/>
                <w:lang w:val="pt-BR"/>
              </w:rPr>
              <w:t>Vaslui</w:t>
            </w:r>
          </w:p>
        </w:tc>
        <w:tc>
          <w:tcPr>
            <w:tcW w:w="1012"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it-IT"/>
              </w:rPr>
            </w:pPr>
            <w:r w:rsidRPr="00BD3349">
              <w:rPr>
                <w:rFonts w:ascii="Arial" w:hAnsi="Arial" w:cs="Arial"/>
                <w:sz w:val="20"/>
                <w:szCs w:val="20"/>
                <w:lang w:val="it-IT"/>
              </w:rPr>
              <w:t>75</w:t>
            </w:r>
          </w:p>
        </w:tc>
        <w:tc>
          <w:tcPr>
            <w:tcW w:w="119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it-IT"/>
              </w:rPr>
            </w:pPr>
            <w:r w:rsidRPr="00BD3349">
              <w:rPr>
                <w:rFonts w:ascii="Arial" w:hAnsi="Arial" w:cs="Arial"/>
                <w:sz w:val="20"/>
                <w:szCs w:val="20"/>
                <w:lang w:val="it-IT"/>
              </w:rPr>
              <w:t>75</w:t>
            </w:r>
          </w:p>
        </w:tc>
        <w:tc>
          <w:tcPr>
            <w:tcW w:w="1847"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it-IT"/>
              </w:rPr>
            </w:pPr>
            <w:r w:rsidRPr="00BD3349">
              <w:rPr>
                <w:rFonts w:ascii="Arial" w:hAnsi="Arial" w:cs="Arial"/>
                <w:sz w:val="20"/>
                <w:szCs w:val="20"/>
                <w:lang w:val="it-IT"/>
              </w:rPr>
              <w:t>8%</w:t>
            </w:r>
          </w:p>
        </w:tc>
        <w:tc>
          <w:tcPr>
            <w:tcW w:w="2005"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it-IT"/>
              </w:rPr>
            </w:pPr>
            <w:r w:rsidRPr="00BD3349">
              <w:rPr>
                <w:rFonts w:ascii="Arial" w:hAnsi="Arial" w:cs="Arial"/>
                <w:sz w:val="20"/>
                <w:szCs w:val="20"/>
                <w:lang w:val="it-IT"/>
              </w:rPr>
              <w:t>0,014%</w:t>
            </w:r>
          </w:p>
        </w:tc>
      </w:tr>
      <w:tr w:rsidR="00BD3349" w:rsidRPr="00BD3349" w:rsidTr="002403BF">
        <w:trPr>
          <w:jc w:val="center"/>
        </w:trPr>
        <w:tc>
          <w:tcPr>
            <w:tcW w:w="577"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3</w:t>
            </w:r>
          </w:p>
        </w:tc>
        <w:tc>
          <w:tcPr>
            <w:tcW w:w="2149"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it-IT"/>
              </w:rPr>
            </w:pPr>
            <w:r w:rsidRPr="00BD3349">
              <w:rPr>
                <w:rFonts w:ascii="Arial" w:hAnsi="Arial" w:cs="Arial"/>
                <w:sz w:val="20"/>
                <w:szCs w:val="20"/>
                <w:lang w:val="it-IT"/>
              </w:rPr>
              <w:t xml:space="preserve">ROSCI0105 </w:t>
            </w:r>
            <w:r w:rsidRPr="00BD3349">
              <w:rPr>
                <w:rFonts w:ascii="Arial" w:hAnsi="Arial" w:cs="Arial"/>
                <w:sz w:val="20"/>
                <w:szCs w:val="20"/>
                <w:lang w:val="pt-BR"/>
              </w:rPr>
              <w:t>Lunca Joasă a Prutului</w:t>
            </w:r>
          </w:p>
        </w:tc>
        <w:tc>
          <w:tcPr>
            <w:tcW w:w="1256"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it-IT"/>
              </w:rPr>
            </w:pPr>
            <w:r w:rsidRPr="00BD3349">
              <w:rPr>
                <w:rFonts w:ascii="Arial" w:hAnsi="Arial" w:cs="Arial"/>
                <w:sz w:val="20"/>
                <w:szCs w:val="20"/>
                <w:lang w:val="it-IT"/>
              </w:rPr>
              <w:t>Vaslui şi Galaţi</w:t>
            </w:r>
          </w:p>
        </w:tc>
        <w:tc>
          <w:tcPr>
            <w:tcW w:w="1012"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it-IT"/>
              </w:rPr>
            </w:pPr>
            <w:r w:rsidRPr="00BD3349">
              <w:rPr>
                <w:rFonts w:ascii="Arial" w:hAnsi="Arial" w:cs="Arial"/>
                <w:sz w:val="20"/>
                <w:szCs w:val="20"/>
                <w:lang w:val="it-IT"/>
              </w:rPr>
              <w:t>5852</w:t>
            </w:r>
          </w:p>
        </w:tc>
        <w:tc>
          <w:tcPr>
            <w:tcW w:w="119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it-IT"/>
              </w:rPr>
            </w:pPr>
            <w:r w:rsidRPr="00BD3349">
              <w:rPr>
                <w:rFonts w:ascii="Arial" w:hAnsi="Arial" w:cs="Arial"/>
                <w:sz w:val="20"/>
                <w:szCs w:val="20"/>
                <w:lang w:val="it-IT"/>
              </w:rPr>
              <w:t>134,74</w:t>
            </w:r>
          </w:p>
        </w:tc>
        <w:tc>
          <w:tcPr>
            <w:tcW w:w="1847"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it-IT"/>
              </w:rPr>
            </w:pPr>
            <w:r w:rsidRPr="00BD3349">
              <w:rPr>
                <w:rFonts w:ascii="Arial" w:hAnsi="Arial" w:cs="Arial"/>
                <w:sz w:val="20"/>
                <w:szCs w:val="20"/>
                <w:lang w:val="it-IT"/>
              </w:rPr>
              <w:t>0%</w:t>
            </w:r>
          </w:p>
        </w:tc>
        <w:tc>
          <w:tcPr>
            <w:tcW w:w="2005"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it-IT"/>
              </w:rPr>
            </w:pPr>
            <w:r w:rsidRPr="00BD3349">
              <w:rPr>
                <w:rFonts w:ascii="Arial" w:hAnsi="Arial" w:cs="Arial"/>
                <w:sz w:val="20"/>
                <w:szCs w:val="20"/>
                <w:lang w:val="it-IT"/>
              </w:rPr>
              <w:t>0,025%</w:t>
            </w:r>
          </w:p>
        </w:tc>
      </w:tr>
      <w:tr w:rsidR="00BD3349" w:rsidRPr="00BD3349" w:rsidTr="002403BF">
        <w:trPr>
          <w:trHeight w:val="238"/>
          <w:jc w:val="center"/>
        </w:trPr>
        <w:tc>
          <w:tcPr>
            <w:tcW w:w="577"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4</w:t>
            </w:r>
          </w:p>
        </w:tc>
        <w:tc>
          <w:tcPr>
            <w:tcW w:w="2149"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ROSCI0117 Movila lui Burcel</w:t>
            </w:r>
          </w:p>
        </w:tc>
        <w:tc>
          <w:tcPr>
            <w:tcW w:w="1256"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Vaslui</w:t>
            </w:r>
          </w:p>
        </w:tc>
        <w:tc>
          <w:tcPr>
            <w:tcW w:w="1012"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13</w:t>
            </w:r>
          </w:p>
        </w:tc>
        <w:tc>
          <w:tcPr>
            <w:tcW w:w="119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13</w:t>
            </w:r>
          </w:p>
        </w:tc>
        <w:tc>
          <w:tcPr>
            <w:tcW w:w="1847"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92,3%</w:t>
            </w:r>
          </w:p>
        </w:tc>
        <w:tc>
          <w:tcPr>
            <w:tcW w:w="2005"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0,002%</w:t>
            </w:r>
          </w:p>
        </w:tc>
      </w:tr>
      <w:tr w:rsidR="00BD3349" w:rsidRPr="00BD3349" w:rsidTr="002403BF">
        <w:trPr>
          <w:jc w:val="center"/>
        </w:trPr>
        <w:tc>
          <w:tcPr>
            <w:tcW w:w="577"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5</w:t>
            </w:r>
          </w:p>
        </w:tc>
        <w:tc>
          <w:tcPr>
            <w:tcW w:w="2149"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ROSCI0133 Pădurea Bădeana</w:t>
            </w:r>
          </w:p>
        </w:tc>
        <w:tc>
          <w:tcPr>
            <w:tcW w:w="1256"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Vaslui</w:t>
            </w:r>
          </w:p>
        </w:tc>
        <w:tc>
          <w:tcPr>
            <w:tcW w:w="1012"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61</w:t>
            </w:r>
          </w:p>
        </w:tc>
        <w:tc>
          <w:tcPr>
            <w:tcW w:w="119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61</w:t>
            </w:r>
          </w:p>
        </w:tc>
        <w:tc>
          <w:tcPr>
            <w:tcW w:w="1847"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96%</w:t>
            </w:r>
          </w:p>
        </w:tc>
        <w:tc>
          <w:tcPr>
            <w:tcW w:w="2005"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0,011%</w:t>
            </w:r>
          </w:p>
        </w:tc>
      </w:tr>
      <w:tr w:rsidR="00BD3349" w:rsidRPr="00BD3349" w:rsidTr="002403BF">
        <w:trPr>
          <w:jc w:val="center"/>
        </w:trPr>
        <w:tc>
          <w:tcPr>
            <w:tcW w:w="577"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6</w:t>
            </w:r>
          </w:p>
        </w:tc>
        <w:tc>
          <w:tcPr>
            <w:tcW w:w="2149"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ROSCI0135 Pădurea Bârnova - Repedea</w:t>
            </w:r>
          </w:p>
        </w:tc>
        <w:tc>
          <w:tcPr>
            <w:tcW w:w="1256"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Vaslui şi Iaşi</w:t>
            </w:r>
          </w:p>
        </w:tc>
        <w:tc>
          <w:tcPr>
            <w:tcW w:w="1012"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12887</w:t>
            </w:r>
          </w:p>
        </w:tc>
        <w:tc>
          <w:tcPr>
            <w:tcW w:w="119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122,16</w:t>
            </w:r>
          </w:p>
        </w:tc>
        <w:tc>
          <w:tcPr>
            <w:tcW w:w="1847"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0%</w:t>
            </w:r>
          </w:p>
        </w:tc>
        <w:tc>
          <w:tcPr>
            <w:tcW w:w="2005"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0,023%</w:t>
            </w:r>
          </w:p>
        </w:tc>
      </w:tr>
      <w:tr w:rsidR="00BD3349" w:rsidRPr="00BD3349" w:rsidTr="002403BF">
        <w:trPr>
          <w:jc w:val="center"/>
        </w:trPr>
        <w:tc>
          <w:tcPr>
            <w:tcW w:w="577"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7</w:t>
            </w:r>
          </w:p>
        </w:tc>
        <w:tc>
          <w:tcPr>
            <w:tcW w:w="2149"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ROSCI0158 Pădurea Bălteni - Hârboanca</w:t>
            </w:r>
          </w:p>
        </w:tc>
        <w:tc>
          <w:tcPr>
            <w:tcW w:w="1256"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Vaslui</w:t>
            </w:r>
          </w:p>
        </w:tc>
        <w:tc>
          <w:tcPr>
            <w:tcW w:w="1012"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526</w:t>
            </w:r>
          </w:p>
        </w:tc>
        <w:tc>
          <w:tcPr>
            <w:tcW w:w="119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526</w:t>
            </w:r>
          </w:p>
        </w:tc>
        <w:tc>
          <w:tcPr>
            <w:tcW w:w="1847"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8,55%</w:t>
            </w:r>
          </w:p>
        </w:tc>
        <w:tc>
          <w:tcPr>
            <w:tcW w:w="2005"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0,099%</w:t>
            </w:r>
          </w:p>
        </w:tc>
      </w:tr>
      <w:tr w:rsidR="00BD3349" w:rsidRPr="00BD3349" w:rsidTr="002403BF">
        <w:trPr>
          <w:jc w:val="center"/>
        </w:trPr>
        <w:tc>
          <w:tcPr>
            <w:tcW w:w="577"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8</w:t>
            </w:r>
          </w:p>
        </w:tc>
        <w:tc>
          <w:tcPr>
            <w:tcW w:w="2149"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ROSCI0169 Pădurea Seaca - Movileni</w:t>
            </w:r>
          </w:p>
        </w:tc>
        <w:tc>
          <w:tcPr>
            <w:tcW w:w="1256"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Vaslui</w:t>
            </w:r>
          </w:p>
        </w:tc>
        <w:tc>
          <w:tcPr>
            <w:tcW w:w="1012"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51</w:t>
            </w:r>
          </w:p>
        </w:tc>
        <w:tc>
          <w:tcPr>
            <w:tcW w:w="119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51</w:t>
            </w:r>
          </w:p>
        </w:tc>
        <w:tc>
          <w:tcPr>
            <w:tcW w:w="1847"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86,47%</w:t>
            </w:r>
          </w:p>
        </w:tc>
        <w:tc>
          <w:tcPr>
            <w:tcW w:w="2005"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0,01%</w:t>
            </w:r>
          </w:p>
        </w:tc>
      </w:tr>
      <w:tr w:rsidR="00BD3349" w:rsidRPr="00BD3349" w:rsidTr="002403BF">
        <w:trPr>
          <w:jc w:val="center"/>
        </w:trPr>
        <w:tc>
          <w:tcPr>
            <w:tcW w:w="577"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9</w:t>
            </w:r>
          </w:p>
        </w:tc>
        <w:tc>
          <w:tcPr>
            <w:tcW w:w="2149"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ROSCI0175 Pădurea Talaşmani</w:t>
            </w:r>
          </w:p>
        </w:tc>
        <w:tc>
          <w:tcPr>
            <w:tcW w:w="1256"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Vaslui şi Galaţi</w:t>
            </w:r>
          </w:p>
        </w:tc>
        <w:tc>
          <w:tcPr>
            <w:tcW w:w="1012"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53</w:t>
            </w:r>
          </w:p>
        </w:tc>
        <w:tc>
          <w:tcPr>
            <w:tcW w:w="119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0,5</w:t>
            </w:r>
          </w:p>
        </w:tc>
        <w:tc>
          <w:tcPr>
            <w:tcW w:w="1847"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90%</w:t>
            </w:r>
          </w:p>
        </w:tc>
        <w:tc>
          <w:tcPr>
            <w:tcW w:w="2005"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vertAlign w:val="superscript"/>
                <w:lang w:val="pt-BR"/>
              </w:rPr>
            </w:pPr>
            <w:r w:rsidRPr="00BD3349">
              <w:rPr>
                <w:rFonts w:ascii="Arial" w:hAnsi="Arial" w:cs="Arial"/>
                <w:sz w:val="20"/>
                <w:szCs w:val="20"/>
                <w:lang w:val="pt-BR"/>
              </w:rPr>
              <w:t>9,4*10</w:t>
            </w:r>
            <w:r w:rsidRPr="00BD3349">
              <w:rPr>
                <w:rFonts w:ascii="Arial" w:hAnsi="Arial" w:cs="Arial"/>
                <w:sz w:val="20"/>
                <w:szCs w:val="20"/>
                <w:vertAlign w:val="superscript"/>
                <w:lang w:val="pt-BR"/>
              </w:rPr>
              <w:t>-5</w:t>
            </w:r>
          </w:p>
        </w:tc>
      </w:tr>
      <w:tr w:rsidR="00BD3349" w:rsidRPr="00BD3349" w:rsidTr="002403BF">
        <w:trPr>
          <w:jc w:val="center"/>
        </w:trPr>
        <w:tc>
          <w:tcPr>
            <w:tcW w:w="577"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10</w:t>
            </w:r>
          </w:p>
        </w:tc>
        <w:tc>
          <w:tcPr>
            <w:tcW w:w="2149"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ROSCI0213 Râul Prut</w:t>
            </w:r>
          </w:p>
        </w:tc>
        <w:tc>
          <w:tcPr>
            <w:tcW w:w="1256"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Vaslui şi Iaşi</w:t>
            </w:r>
          </w:p>
        </w:tc>
        <w:tc>
          <w:tcPr>
            <w:tcW w:w="1012"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11861</w:t>
            </w:r>
          </w:p>
        </w:tc>
        <w:tc>
          <w:tcPr>
            <w:tcW w:w="119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7472,43</w:t>
            </w:r>
          </w:p>
        </w:tc>
        <w:tc>
          <w:tcPr>
            <w:tcW w:w="1847"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0%</w:t>
            </w:r>
          </w:p>
        </w:tc>
        <w:tc>
          <w:tcPr>
            <w:tcW w:w="2005"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1,405%</w:t>
            </w:r>
          </w:p>
        </w:tc>
      </w:tr>
      <w:tr w:rsidR="00BD3349" w:rsidRPr="00BD3349" w:rsidTr="002403BF">
        <w:trPr>
          <w:jc w:val="center"/>
        </w:trPr>
        <w:tc>
          <w:tcPr>
            <w:tcW w:w="577"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11</w:t>
            </w:r>
          </w:p>
        </w:tc>
        <w:tc>
          <w:tcPr>
            <w:tcW w:w="2149"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ROSCI0286 Colinele Elanului</w:t>
            </w:r>
          </w:p>
        </w:tc>
        <w:tc>
          <w:tcPr>
            <w:tcW w:w="1256"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Vaslui</w:t>
            </w:r>
          </w:p>
        </w:tc>
        <w:tc>
          <w:tcPr>
            <w:tcW w:w="1012"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755</w:t>
            </w:r>
          </w:p>
        </w:tc>
        <w:tc>
          <w:tcPr>
            <w:tcW w:w="119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755</w:t>
            </w:r>
          </w:p>
        </w:tc>
        <w:tc>
          <w:tcPr>
            <w:tcW w:w="1847"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0%</w:t>
            </w:r>
          </w:p>
        </w:tc>
        <w:tc>
          <w:tcPr>
            <w:tcW w:w="2005"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0,14%</w:t>
            </w:r>
          </w:p>
        </w:tc>
      </w:tr>
      <w:tr w:rsidR="00BD3349" w:rsidRPr="00BD3349" w:rsidTr="002403BF">
        <w:trPr>
          <w:jc w:val="center"/>
        </w:trPr>
        <w:tc>
          <w:tcPr>
            <w:tcW w:w="577"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12</w:t>
            </w:r>
          </w:p>
        </w:tc>
        <w:tc>
          <w:tcPr>
            <w:tcW w:w="2149"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it-IT"/>
              </w:rPr>
            </w:pPr>
            <w:r w:rsidRPr="00BD3349">
              <w:rPr>
                <w:rFonts w:ascii="Arial" w:hAnsi="Arial" w:cs="Arial"/>
                <w:sz w:val="20"/>
                <w:szCs w:val="20"/>
                <w:lang w:val="it-IT"/>
              </w:rPr>
              <w:t>ROSCI0309</w:t>
            </w:r>
          </w:p>
          <w:p w:rsidR="00BD3349" w:rsidRPr="00BD3349" w:rsidRDefault="00BD3349" w:rsidP="00BD3349">
            <w:pPr>
              <w:spacing w:after="0" w:line="240" w:lineRule="auto"/>
              <w:rPr>
                <w:rFonts w:ascii="Arial" w:hAnsi="Arial" w:cs="Arial"/>
                <w:sz w:val="20"/>
                <w:szCs w:val="20"/>
                <w:lang w:val="it-IT"/>
              </w:rPr>
            </w:pPr>
            <w:r w:rsidRPr="00BD3349">
              <w:rPr>
                <w:rFonts w:ascii="Arial" w:hAnsi="Arial" w:cs="Arial"/>
                <w:sz w:val="20"/>
                <w:szCs w:val="20"/>
                <w:lang w:val="it-IT"/>
              </w:rPr>
              <w:t>Lacurile din jurul Măscurei</w:t>
            </w:r>
          </w:p>
        </w:tc>
        <w:tc>
          <w:tcPr>
            <w:tcW w:w="1256"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Vaslui şi Bacău</w:t>
            </w:r>
          </w:p>
        </w:tc>
        <w:tc>
          <w:tcPr>
            <w:tcW w:w="1012"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1160</w:t>
            </w:r>
          </w:p>
        </w:tc>
        <w:tc>
          <w:tcPr>
            <w:tcW w:w="119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1020,8</w:t>
            </w:r>
          </w:p>
        </w:tc>
        <w:tc>
          <w:tcPr>
            <w:tcW w:w="1847"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0%</w:t>
            </w:r>
          </w:p>
        </w:tc>
        <w:tc>
          <w:tcPr>
            <w:tcW w:w="2005"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0,192%</w:t>
            </w:r>
          </w:p>
        </w:tc>
      </w:tr>
      <w:tr w:rsidR="00BD3349" w:rsidRPr="00BD3349" w:rsidTr="002403BF">
        <w:trPr>
          <w:jc w:val="center"/>
        </w:trPr>
        <w:tc>
          <w:tcPr>
            <w:tcW w:w="577"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13</w:t>
            </w:r>
          </w:p>
        </w:tc>
        <w:tc>
          <w:tcPr>
            <w:tcW w:w="2149"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ROSCI0330 Oşeşti - Bârzeşti</w:t>
            </w:r>
          </w:p>
        </w:tc>
        <w:tc>
          <w:tcPr>
            <w:tcW w:w="1256"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Vaslui</w:t>
            </w:r>
          </w:p>
        </w:tc>
        <w:tc>
          <w:tcPr>
            <w:tcW w:w="1012"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1449</w:t>
            </w:r>
          </w:p>
        </w:tc>
        <w:tc>
          <w:tcPr>
            <w:tcW w:w="119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1449</w:t>
            </w:r>
          </w:p>
        </w:tc>
        <w:tc>
          <w:tcPr>
            <w:tcW w:w="1847"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0%</w:t>
            </w:r>
          </w:p>
        </w:tc>
        <w:tc>
          <w:tcPr>
            <w:tcW w:w="2005"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0,272%</w:t>
            </w:r>
          </w:p>
        </w:tc>
      </w:tr>
      <w:tr w:rsidR="00BD3349" w:rsidRPr="00BD3349" w:rsidTr="002403BF">
        <w:trPr>
          <w:jc w:val="center"/>
        </w:trPr>
        <w:tc>
          <w:tcPr>
            <w:tcW w:w="577"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14</w:t>
            </w:r>
          </w:p>
        </w:tc>
        <w:tc>
          <w:tcPr>
            <w:tcW w:w="2149"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ROSCI0335 Pădurea Dobrina - Huşi</w:t>
            </w:r>
          </w:p>
        </w:tc>
        <w:tc>
          <w:tcPr>
            <w:tcW w:w="1256"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Vaslui</w:t>
            </w:r>
          </w:p>
        </w:tc>
        <w:tc>
          <w:tcPr>
            <w:tcW w:w="1012"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8518</w:t>
            </w:r>
          </w:p>
        </w:tc>
        <w:tc>
          <w:tcPr>
            <w:tcW w:w="119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8518</w:t>
            </w:r>
          </w:p>
        </w:tc>
        <w:tc>
          <w:tcPr>
            <w:tcW w:w="1847"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0%</w:t>
            </w:r>
          </w:p>
        </w:tc>
        <w:tc>
          <w:tcPr>
            <w:tcW w:w="2005"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1,602%</w:t>
            </w:r>
          </w:p>
        </w:tc>
      </w:tr>
      <w:tr w:rsidR="00BD3349" w:rsidRPr="00BD3349" w:rsidTr="002403BF">
        <w:trPr>
          <w:jc w:val="center"/>
        </w:trPr>
        <w:tc>
          <w:tcPr>
            <w:tcW w:w="577"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15</w:t>
            </w:r>
          </w:p>
        </w:tc>
        <w:tc>
          <w:tcPr>
            <w:tcW w:w="2149"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ROSCI0360 Râul Bârlad între Zorleni şi Gura Gârbovăţului</w:t>
            </w:r>
          </w:p>
        </w:tc>
        <w:tc>
          <w:tcPr>
            <w:tcW w:w="1256"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Vaslui şi Galaţi</w:t>
            </w:r>
          </w:p>
        </w:tc>
        <w:tc>
          <w:tcPr>
            <w:tcW w:w="1012"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2569</w:t>
            </w:r>
          </w:p>
        </w:tc>
        <w:tc>
          <w:tcPr>
            <w:tcW w:w="119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1926,75</w:t>
            </w:r>
          </w:p>
        </w:tc>
        <w:tc>
          <w:tcPr>
            <w:tcW w:w="1847"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0%</w:t>
            </w:r>
          </w:p>
        </w:tc>
        <w:tc>
          <w:tcPr>
            <w:tcW w:w="2005"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hAnsi="Arial" w:cs="Arial"/>
                <w:sz w:val="20"/>
                <w:szCs w:val="20"/>
                <w:lang w:val="pt-BR"/>
              </w:rPr>
            </w:pPr>
            <w:r w:rsidRPr="00BD3349">
              <w:rPr>
                <w:rFonts w:ascii="Arial" w:hAnsi="Arial" w:cs="Arial"/>
                <w:sz w:val="20"/>
                <w:szCs w:val="20"/>
                <w:lang w:val="pt-BR"/>
              </w:rPr>
              <w:t>0,362%</w:t>
            </w:r>
          </w:p>
        </w:tc>
      </w:tr>
    </w:tbl>
    <w:p w:rsidR="00BD3349" w:rsidRPr="00BD3349" w:rsidRDefault="00BD3349" w:rsidP="00BD3349">
      <w:pPr>
        <w:spacing w:after="0" w:line="240" w:lineRule="auto"/>
        <w:ind w:firstLine="720"/>
        <w:jc w:val="both"/>
        <w:rPr>
          <w:rFonts w:ascii="Arial" w:hAnsi="Arial" w:cs="Arial"/>
          <w:sz w:val="24"/>
          <w:szCs w:val="24"/>
          <w:lang w:val="ro-RO"/>
        </w:rPr>
      </w:pPr>
      <w:r w:rsidRPr="00BD3349">
        <w:rPr>
          <w:rFonts w:ascii="Arial" w:hAnsi="Arial" w:cs="Arial"/>
          <w:sz w:val="24"/>
          <w:szCs w:val="24"/>
          <w:lang w:val="ro-RO"/>
        </w:rPr>
        <w:t>În judeţul Vaslui, suprafaţa ocupată cu situri Natura 2000 a crescut la 54741,57 ha, reprezentând 10,29 % din suprafaţa judeţului.Este necesar ca cele 19 situri Natura 2000 să fie preluate în custodie/administrare şi să se elaboreze planurile de management ale acestora.</w:t>
      </w:r>
    </w:p>
    <w:p w:rsidR="00BD3349" w:rsidRPr="00BD3349" w:rsidRDefault="00BD3349" w:rsidP="00BD3349">
      <w:pPr>
        <w:rPr>
          <w:rFonts w:ascii="Arial" w:hAnsi="Arial" w:cs="Arial"/>
          <w:sz w:val="24"/>
          <w:szCs w:val="24"/>
          <w:lang w:val="ro-RO"/>
        </w:rPr>
      </w:pPr>
    </w:p>
    <w:p w:rsidR="00BD3349" w:rsidRPr="00BD3349" w:rsidRDefault="00BD3349" w:rsidP="00BD3349">
      <w:pPr>
        <w:rPr>
          <w:rFonts w:ascii="Arial" w:hAnsi="Arial" w:cs="Arial"/>
          <w:sz w:val="24"/>
          <w:szCs w:val="24"/>
          <w:lang w:val="ro-RO"/>
        </w:rPr>
      </w:pPr>
    </w:p>
    <w:p w:rsidR="00BD3349" w:rsidRPr="00BD3349" w:rsidRDefault="00BD3349" w:rsidP="00BD3349">
      <w:pPr>
        <w:rPr>
          <w:rFonts w:ascii="Arial" w:hAnsi="Arial" w:cs="Arial"/>
          <w:sz w:val="24"/>
          <w:szCs w:val="24"/>
          <w:lang w:val="ro-RO"/>
        </w:rPr>
        <w:sectPr w:rsidR="00BD3349" w:rsidRPr="00BD3349" w:rsidSect="00444864">
          <w:headerReference w:type="default" r:id="rId101"/>
          <w:footerReference w:type="default" r:id="rId102"/>
          <w:pgSz w:w="12240" w:h="15840"/>
          <w:pgMar w:top="1440" w:right="1440" w:bottom="1440" w:left="1440" w:header="708" w:footer="708" w:gutter="0"/>
          <w:pgNumType w:start="67"/>
          <w:cols w:space="708"/>
          <w:docGrid w:linePitch="360"/>
        </w:sectPr>
      </w:pPr>
    </w:p>
    <w:p w:rsidR="00BD3349" w:rsidRPr="00BD3349" w:rsidRDefault="00BD3349" w:rsidP="00BD3349">
      <w:pPr>
        <w:spacing w:after="0" w:line="240" w:lineRule="auto"/>
        <w:rPr>
          <w:rFonts w:ascii="Arial" w:hAnsi="Arial" w:cs="Arial"/>
          <w:sz w:val="24"/>
          <w:szCs w:val="24"/>
          <w:lang w:val="ro-RO"/>
        </w:rPr>
      </w:pPr>
      <w:r w:rsidRPr="00BD3349">
        <w:rPr>
          <w:rFonts w:ascii="Arial" w:hAnsi="Arial" w:cs="Arial"/>
          <w:sz w:val="24"/>
          <w:szCs w:val="24"/>
          <w:lang w:val="ro-RO"/>
        </w:rPr>
        <w:lastRenderedPageBreak/>
        <w:t>Tabelul V.4. Situaţia ariilor de protecţie specială avifaunistică şi de interes comunitar privind elaborarea planurilor de management, la nivelul judeţului Vaslui, în anul 2015</w:t>
      </w:r>
    </w:p>
    <w:tbl>
      <w:tblPr>
        <w:tblW w:w="12631" w:type="dxa"/>
        <w:tblInd w:w="93" w:type="dxa"/>
        <w:tblLook w:val="04A0" w:firstRow="1" w:lastRow="0" w:firstColumn="1" w:lastColumn="0" w:noHBand="0" w:noVBand="1"/>
      </w:tblPr>
      <w:tblGrid>
        <w:gridCol w:w="2724"/>
        <w:gridCol w:w="5878"/>
        <w:gridCol w:w="4029"/>
      </w:tblGrid>
      <w:tr w:rsidR="00BD3349" w:rsidRPr="00BD3349" w:rsidTr="002403BF">
        <w:trPr>
          <w:trHeight w:val="518"/>
        </w:trPr>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BD3349" w:rsidRPr="00BD3349" w:rsidRDefault="00BD3349" w:rsidP="00BD3349">
            <w:pPr>
              <w:spacing w:after="0" w:line="240" w:lineRule="auto"/>
              <w:jc w:val="center"/>
              <w:rPr>
                <w:rFonts w:ascii="Arial" w:eastAsia="Times New Roman" w:hAnsi="Arial" w:cs="Arial"/>
                <w:b/>
                <w:bCs/>
                <w:sz w:val="20"/>
                <w:szCs w:val="20"/>
              </w:rPr>
            </w:pPr>
            <w:r w:rsidRPr="00BD3349">
              <w:rPr>
                <w:rFonts w:ascii="Arial" w:eastAsia="Times New Roman" w:hAnsi="Arial" w:cs="Arial"/>
                <w:b/>
                <w:bCs/>
                <w:sz w:val="20"/>
                <w:szCs w:val="20"/>
              </w:rPr>
              <w:t>Județul</w:t>
            </w:r>
          </w:p>
        </w:tc>
        <w:tc>
          <w:tcPr>
            <w:tcW w:w="5878" w:type="dxa"/>
            <w:tcBorders>
              <w:top w:val="single" w:sz="4" w:space="0" w:color="auto"/>
              <w:left w:val="nil"/>
              <w:bottom w:val="single" w:sz="4" w:space="0" w:color="auto"/>
              <w:right w:val="single" w:sz="4" w:space="0" w:color="auto"/>
            </w:tcBorders>
            <w:shd w:val="clear" w:color="auto" w:fill="auto"/>
            <w:hideMark/>
          </w:tcPr>
          <w:p w:rsidR="00BD3349" w:rsidRPr="00BD3349" w:rsidRDefault="00BD3349" w:rsidP="00BD3349">
            <w:pPr>
              <w:spacing w:after="0" w:line="240" w:lineRule="auto"/>
              <w:jc w:val="center"/>
              <w:rPr>
                <w:rFonts w:ascii="Arial" w:eastAsia="Times New Roman" w:hAnsi="Arial" w:cs="Arial"/>
                <w:b/>
                <w:bCs/>
                <w:sz w:val="20"/>
                <w:szCs w:val="20"/>
              </w:rPr>
            </w:pPr>
            <w:r w:rsidRPr="00BD3349">
              <w:rPr>
                <w:rFonts w:ascii="Arial" w:eastAsia="Times New Roman" w:hAnsi="Arial" w:cs="Arial"/>
                <w:b/>
                <w:bCs/>
                <w:sz w:val="20"/>
                <w:szCs w:val="20"/>
              </w:rPr>
              <w:t>Denumirea ariei protejate</w:t>
            </w:r>
          </w:p>
        </w:tc>
        <w:tc>
          <w:tcPr>
            <w:tcW w:w="4029" w:type="dxa"/>
            <w:tcBorders>
              <w:top w:val="single" w:sz="4" w:space="0" w:color="auto"/>
              <w:left w:val="nil"/>
              <w:bottom w:val="single" w:sz="4" w:space="0" w:color="auto"/>
              <w:right w:val="single" w:sz="4" w:space="0" w:color="auto"/>
            </w:tcBorders>
            <w:shd w:val="clear" w:color="auto" w:fill="auto"/>
            <w:hideMark/>
          </w:tcPr>
          <w:p w:rsidR="00BD3349" w:rsidRPr="00BD3349" w:rsidRDefault="00BD3349" w:rsidP="00BD3349">
            <w:pPr>
              <w:spacing w:after="0" w:line="240" w:lineRule="auto"/>
              <w:jc w:val="center"/>
              <w:rPr>
                <w:rFonts w:ascii="Arial" w:eastAsia="Times New Roman" w:hAnsi="Arial" w:cs="Arial"/>
                <w:sz w:val="20"/>
                <w:szCs w:val="20"/>
              </w:rPr>
            </w:pPr>
            <w:r w:rsidRPr="00BD3349">
              <w:rPr>
                <w:rFonts w:ascii="Arial" w:eastAsia="Times New Roman" w:hAnsi="Arial" w:cs="Arial"/>
                <w:b/>
                <w:bCs/>
                <w:sz w:val="20"/>
                <w:szCs w:val="20"/>
              </w:rPr>
              <w:t>Plan de management</w:t>
            </w:r>
            <w:r w:rsidRPr="00BD3349">
              <w:rPr>
                <w:rFonts w:ascii="Arial" w:eastAsia="Times New Roman" w:hAnsi="Arial" w:cs="Arial"/>
                <w:sz w:val="20"/>
                <w:szCs w:val="20"/>
              </w:rPr>
              <w:t xml:space="preserve"> </w:t>
            </w:r>
          </w:p>
          <w:p w:rsidR="00BD3349" w:rsidRPr="00BD3349" w:rsidRDefault="00BD3349" w:rsidP="00BD3349">
            <w:pPr>
              <w:spacing w:after="0" w:line="240" w:lineRule="auto"/>
              <w:jc w:val="center"/>
              <w:rPr>
                <w:rFonts w:ascii="Arial" w:eastAsia="Times New Roman" w:hAnsi="Arial" w:cs="Arial"/>
                <w:sz w:val="20"/>
                <w:szCs w:val="20"/>
              </w:rPr>
            </w:pPr>
            <w:r w:rsidRPr="00BD3349">
              <w:rPr>
                <w:rFonts w:ascii="Arial" w:eastAsia="Times New Roman" w:hAnsi="Arial" w:cs="Arial"/>
                <w:sz w:val="20"/>
                <w:szCs w:val="20"/>
              </w:rPr>
              <w:t>(absent/ în curs de elaborare/elaborat)</w:t>
            </w:r>
          </w:p>
        </w:tc>
      </w:tr>
      <w:tr w:rsidR="00BD3349" w:rsidRPr="00BD3349" w:rsidTr="002403BF">
        <w:trPr>
          <w:trHeight w:val="234"/>
        </w:trPr>
        <w:tc>
          <w:tcPr>
            <w:tcW w:w="2724" w:type="dxa"/>
            <w:tcBorders>
              <w:top w:val="nil"/>
              <w:left w:val="single" w:sz="4" w:space="0" w:color="auto"/>
              <w:bottom w:val="single" w:sz="4" w:space="0" w:color="auto"/>
              <w:right w:val="single" w:sz="4" w:space="0" w:color="auto"/>
            </w:tcBorders>
            <w:shd w:val="clear" w:color="auto" w:fill="auto"/>
            <w:noWrap/>
            <w:hideMark/>
          </w:tcPr>
          <w:p w:rsidR="00BD3349" w:rsidRPr="00BD3349" w:rsidRDefault="00BD3349" w:rsidP="00BD3349">
            <w:pPr>
              <w:spacing w:after="0" w:line="240" w:lineRule="auto"/>
              <w:rPr>
                <w:rFonts w:ascii="Arial" w:eastAsia="Times New Roman" w:hAnsi="Arial" w:cs="Arial"/>
                <w:bCs/>
                <w:sz w:val="20"/>
                <w:szCs w:val="20"/>
              </w:rPr>
            </w:pPr>
            <w:r w:rsidRPr="00BD3349">
              <w:rPr>
                <w:rFonts w:ascii="Arial" w:eastAsia="Times New Roman" w:hAnsi="Arial" w:cs="Arial"/>
                <w:bCs/>
                <w:sz w:val="20"/>
                <w:szCs w:val="20"/>
              </w:rPr>
              <w:t>VASLUI</w:t>
            </w:r>
          </w:p>
        </w:tc>
        <w:tc>
          <w:tcPr>
            <w:tcW w:w="5878" w:type="dxa"/>
            <w:tcBorders>
              <w:top w:val="nil"/>
              <w:left w:val="nil"/>
              <w:bottom w:val="nil"/>
              <w:right w:val="nil"/>
            </w:tcBorders>
            <w:shd w:val="clear" w:color="auto" w:fill="auto"/>
            <w:noWrap/>
            <w:hideMark/>
          </w:tcPr>
          <w:p w:rsidR="00BD3349" w:rsidRPr="00BD3349" w:rsidRDefault="00BD3349" w:rsidP="00BD3349">
            <w:pPr>
              <w:spacing w:after="0" w:line="240" w:lineRule="auto"/>
              <w:rPr>
                <w:rFonts w:ascii="Arial" w:eastAsia="Times New Roman" w:hAnsi="Arial" w:cs="Arial"/>
                <w:bCs/>
                <w:sz w:val="20"/>
                <w:szCs w:val="20"/>
              </w:rPr>
            </w:pPr>
            <w:r w:rsidRPr="00BD3349">
              <w:rPr>
                <w:rFonts w:ascii="Arial" w:eastAsia="Times New Roman" w:hAnsi="Arial" w:cs="Arial"/>
                <w:bCs/>
                <w:sz w:val="20"/>
                <w:szCs w:val="20"/>
              </w:rPr>
              <w:t>ROSCI0080 Fânaţurile de la Glodeni</w:t>
            </w:r>
          </w:p>
        </w:tc>
        <w:tc>
          <w:tcPr>
            <w:tcW w:w="4029" w:type="dxa"/>
            <w:tcBorders>
              <w:top w:val="nil"/>
              <w:left w:val="single" w:sz="4" w:space="0" w:color="auto"/>
              <w:bottom w:val="single" w:sz="4" w:space="0" w:color="auto"/>
              <w:right w:val="single" w:sz="4" w:space="0" w:color="auto"/>
            </w:tcBorders>
            <w:shd w:val="clear" w:color="auto" w:fill="auto"/>
            <w:noWrap/>
            <w:hideMark/>
          </w:tcPr>
          <w:p w:rsidR="00BD3349" w:rsidRPr="00BD3349" w:rsidRDefault="00BD3349" w:rsidP="00BD3349">
            <w:pPr>
              <w:spacing w:after="0" w:line="240" w:lineRule="auto"/>
              <w:rPr>
                <w:rFonts w:ascii="Arial" w:eastAsia="Times New Roman" w:hAnsi="Arial" w:cs="Arial"/>
                <w:sz w:val="20"/>
                <w:szCs w:val="20"/>
              </w:rPr>
            </w:pPr>
            <w:r w:rsidRPr="00BD3349">
              <w:rPr>
                <w:rFonts w:ascii="Arial" w:eastAsia="Times New Roman" w:hAnsi="Arial" w:cs="Arial"/>
                <w:sz w:val="20"/>
                <w:szCs w:val="20"/>
              </w:rPr>
              <w:t>elaborat, în curs de aprobare</w:t>
            </w:r>
          </w:p>
        </w:tc>
      </w:tr>
      <w:tr w:rsidR="00BD3349" w:rsidRPr="00BD3349" w:rsidTr="002403BF">
        <w:trPr>
          <w:trHeight w:val="94"/>
        </w:trPr>
        <w:tc>
          <w:tcPr>
            <w:tcW w:w="2724" w:type="dxa"/>
            <w:tcBorders>
              <w:top w:val="nil"/>
              <w:left w:val="single" w:sz="4" w:space="0" w:color="auto"/>
              <w:bottom w:val="single" w:sz="4" w:space="0" w:color="auto"/>
              <w:right w:val="single" w:sz="4" w:space="0" w:color="auto"/>
            </w:tcBorders>
            <w:shd w:val="clear" w:color="auto" w:fill="auto"/>
            <w:noWrap/>
            <w:hideMark/>
          </w:tcPr>
          <w:p w:rsidR="00BD3349" w:rsidRPr="00BD3349" w:rsidRDefault="00BD3349" w:rsidP="00BD3349">
            <w:pPr>
              <w:spacing w:after="0" w:line="240" w:lineRule="auto"/>
              <w:rPr>
                <w:rFonts w:ascii="Arial" w:eastAsia="Times New Roman" w:hAnsi="Arial" w:cs="Arial"/>
                <w:bCs/>
                <w:sz w:val="20"/>
                <w:szCs w:val="20"/>
              </w:rPr>
            </w:pPr>
            <w:r w:rsidRPr="00BD3349">
              <w:rPr>
                <w:rFonts w:ascii="Arial" w:eastAsia="Times New Roman" w:hAnsi="Arial" w:cs="Arial"/>
                <w:bCs/>
                <w:sz w:val="20"/>
                <w:szCs w:val="20"/>
              </w:rPr>
              <w:t>VASLUI</w:t>
            </w:r>
          </w:p>
        </w:tc>
        <w:tc>
          <w:tcPr>
            <w:tcW w:w="5878" w:type="dxa"/>
            <w:tcBorders>
              <w:top w:val="single" w:sz="4" w:space="0" w:color="auto"/>
              <w:left w:val="nil"/>
              <w:bottom w:val="single" w:sz="4" w:space="0" w:color="auto"/>
              <w:right w:val="single" w:sz="4" w:space="0" w:color="auto"/>
            </w:tcBorders>
            <w:shd w:val="clear" w:color="auto" w:fill="auto"/>
            <w:noWrap/>
            <w:hideMark/>
          </w:tcPr>
          <w:p w:rsidR="00BD3349" w:rsidRPr="00BD3349" w:rsidRDefault="00BD3349" w:rsidP="00BD3349">
            <w:pPr>
              <w:spacing w:after="0" w:line="240" w:lineRule="auto"/>
              <w:rPr>
                <w:rFonts w:ascii="Arial" w:eastAsia="Times New Roman" w:hAnsi="Arial" w:cs="Arial"/>
                <w:bCs/>
                <w:sz w:val="20"/>
                <w:szCs w:val="20"/>
              </w:rPr>
            </w:pPr>
            <w:r w:rsidRPr="00BD3349">
              <w:rPr>
                <w:rFonts w:ascii="Arial" w:eastAsia="Times New Roman" w:hAnsi="Arial" w:cs="Arial"/>
                <w:bCs/>
                <w:sz w:val="20"/>
                <w:szCs w:val="20"/>
              </w:rPr>
              <w:t>ROSCI0286 Colinele Elanului</w:t>
            </w:r>
          </w:p>
        </w:tc>
        <w:tc>
          <w:tcPr>
            <w:tcW w:w="4029" w:type="dxa"/>
            <w:tcBorders>
              <w:top w:val="nil"/>
              <w:left w:val="nil"/>
              <w:bottom w:val="single" w:sz="4" w:space="0" w:color="auto"/>
              <w:right w:val="single" w:sz="4" w:space="0" w:color="auto"/>
            </w:tcBorders>
            <w:shd w:val="clear" w:color="auto" w:fill="auto"/>
            <w:noWrap/>
            <w:hideMark/>
          </w:tcPr>
          <w:p w:rsidR="00BD3349" w:rsidRPr="00BD3349" w:rsidRDefault="00BD3349" w:rsidP="00BD3349">
            <w:pPr>
              <w:spacing w:after="0" w:line="240" w:lineRule="auto"/>
              <w:rPr>
                <w:rFonts w:ascii="Arial" w:eastAsia="Times New Roman" w:hAnsi="Arial" w:cs="Arial"/>
                <w:sz w:val="20"/>
                <w:szCs w:val="20"/>
              </w:rPr>
            </w:pPr>
            <w:r w:rsidRPr="00BD3349">
              <w:rPr>
                <w:rFonts w:ascii="Arial" w:eastAsia="Times New Roman" w:hAnsi="Arial" w:cs="Arial"/>
                <w:sz w:val="20"/>
                <w:szCs w:val="20"/>
              </w:rPr>
              <w:t>în curs de elaborare</w:t>
            </w:r>
          </w:p>
        </w:tc>
      </w:tr>
      <w:tr w:rsidR="00BD3349" w:rsidRPr="00BD3349" w:rsidTr="002403BF">
        <w:trPr>
          <w:trHeight w:val="84"/>
        </w:trPr>
        <w:tc>
          <w:tcPr>
            <w:tcW w:w="2724" w:type="dxa"/>
            <w:tcBorders>
              <w:top w:val="nil"/>
              <w:left w:val="single" w:sz="4" w:space="0" w:color="auto"/>
              <w:bottom w:val="single" w:sz="4" w:space="0" w:color="auto"/>
              <w:right w:val="single" w:sz="4" w:space="0" w:color="auto"/>
            </w:tcBorders>
            <w:shd w:val="clear" w:color="auto" w:fill="auto"/>
            <w:noWrap/>
            <w:hideMark/>
          </w:tcPr>
          <w:p w:rsidR="00BD3349" w:rsidRPr="00BD3349" w:rsidRDefault="00BD3349" w:rsidP="00BD3349">
            <w:pPr>
              <w:spacing w:after="0" w:line="240" w:lineRule="auto"/>
              <w:rPr>
                <w:rFonts w:ascii="Arial" w:eastAsia="Times New Roman" w:hAnsi="Arial" w:cs="Arial"/>
                <w:bCs/>
                <w:sz w:val="20"/>
                <w:szCs w:val="20"/>
              </w:rPr>
            </w:pPr>
            <w:r w:rsidRPr="00BD3349">
              <w:rPr>
                <w:rFonts w:ascii="Arial" w:eastAsia="Times New Roman" w:hAnsi="Arial" w:cs="Arial"/>
                <w:bCs/>
                <w:sz w:val="20"/>
                <w:szCs w:val="20"/>
              </w:rPr>
              <w:t>VASLUI</w:t>
            </w:r>
          </w:p>
        </w:tc>
        <w:tc>
          <w:tcPr>
            <w:tcW w:w="5878" w:type="dxa"/>
            <w:tcBorders>
              <w:top w:val="nil"/>
              <w:left w:val="nil"/>
              <w:bottom w:val="single" w:sz="4" w:space="0" w:color="auto"/>
              <w:right w:val="single" w:sz="4" w:space="0" w:color="auto"/>
            </w:tcBorders>
            <w:shd w:val="clear" w:color="auto" w:fill="auto"/>
            <w:noWrap/>
            <w:hideMark/>
          </w:tcPr>
          <w:p w:rsidR="00BD3349" w:rsidRPr="00BD3349" w:rsidRDefault="00BD3349" w:rsidP="00BD3349">
            <w:pPr>
              <w:spacing w:after="0" w:line="240" w:lineRule="auto"/>
              <w:rPr>
                <w:rFonts w:ascii="Arial" w:eastAsia="Times New Roman" w:hAnsi="Arial" w:cs="Arial"/>
                <w:bCs/>
                <w:sz w:val="20"/>
                <w:szCs w:val="20"/>
              </w:rPr>
            </w:pPr>
            <w:r w:rsidRPr="00BD3349">
              <w:rPr>
                <w:rFonts w:ascii="Arial" w:eastAsia="Times New Roman" w:hAnsi="Arial" w:cs="Arial"/>
                <w:bCs/>
                <w:sz w:val="20"/>
                <w:szCs w:val="20"/>
              </w:rPr>
              <w:t>ROSCI0330 Oşeşti - Bârzeşti</w:t>
            </w:r>
          </w:p>
        </w:tc>
        <w:tc>
          <w:tcPr>
            <w:tcW w:w="4029" w:type="dxa"/>
            <w:tcBorders>
              <w:top w:val="nil"/>
              <w:left w:val="nil"/>
              <w:bottom w:val="single" w:sz="4" w:space="0" w:color="auto"/>
              <w:right w:val="single" w:sz="4" w:space="0" w:color="auto"/>
            </w:tcBorders>
            <w:shd w:val="clear" w:color="auto" w:fill="auto"/>
            <w:noWrap/>
            <w:hideMark/>
          </w:tcPr>
          <w:p w:rsidR="00BD3349" w:rsidRPr="00BD3349" w:rsidRDefault="00BD3349" w:rsidP="00BD3349">
            <w:pPr>
              <w:spacing w:after="0" w:line="240" w:lineRule="auto"/>
              <w:rPr>
                <w:rFonts w:ascii="Arial" w:eastAsia="Times New Roman" w:hAnsi="Arial" w:cs="Arial"/>
                <w:sz w:val="20"/>
                <w:szCs w:val="20"/>
              </w:rPr>
            </w:pPr>
            <w:r w:rsidRPr="00BD3349">
              <w:rPr>
                <w:rFonts w:ascii="Arial" w:eastAsia="Times New Roman" w:hAnsi="Arial" w:cs="Arial"/>
                <w:sz w:val="20"/>
                <w:szCs w:val="20"/>
              </w:rPr>
              <w:t>Aprobat,Ord. MMAP nr. 2036/29.12.2015</w:t>
            </w:r>
          </w:p>
        </w:tc>
      </w:tr>
      <w:tr w:rsidR="00BD3349" w:rsidRPr="00BD3349" w:rsidTr="002403BF">
        <w:trPr>
          <w:trHeight w:val="129"/>
        </w:trPr>
        <w:tc>
          <w:tcPr>
            <w:tcW w:w="2724" w:type="dxa"/>
            <w:tcBorders>
              <w:top w:val="nil"/>
              <w:left w:val="single" w:sz="4" w:space="0" w:color="auto"/>
              <w:bottom w:val="single" w:sz="4" w:space="0" w:color="auto"/>
              <w:right w:val="single" w:sz="4" w:space="0" w:color="auto"/>
            </w:tcBorders>
            <w:shd w:val="clear" w:color="auto" w:fill="auto"/>
            <w:noWrap/>
            <w:hideMark/>
          </w:tcPr>
          <w:p w:rsidR="00BD3349" w:rsidRPr="00BD3349" w:rsidRDefault="00BD3349" w:rsidP="00BD3349">
            <w:pPr>
              <w:spacing w:after="0" w:line="240" w:lineRule="auto"/>
              <w:rPr>
                <w:rFonts w:ascii="Arial" w:eastAsia="Times New Roman" w:hAnsi="Arial" w:cs="Arial"/>
                <w:bCs/>
                <w:sz w:val="20"/>
                <w:szCs w:val="20"/>
              </w:rPr>
            </w:pPr>
            <w:r w:rsidRPr="00BD3349">
              <w:rPr>
                <w:rFonts w:ascii="Arial" w:eastAsia="Times New Roman" w:hAnsi="Arial" w:cs="Arial"/>
                <w:bCs/>
                <w:sz w:val="20"/>
                <w:szCs w:val="20"/>
              </w:rPr>
              <w:t>VASLUI</w:t>
            </w:r>
          </w:p>
        </w:tc>
        <w:tc>
          <w:tcPr>
            <w:tcW w:w="5878" w:type="dxa"/>
            <w:tcBorders>
              <w:top w:val="nil"/>
              <w:left w:val="nil"/>
              <w:bottom w:val="single" w:sz="4" w:space="0" w:color="auto"/>
              <w:right w:val="single" w:sz="4" w:space="0" w:color="auto"/>
            </w:tcBorders>
            <w:shd w:val="clear" w:color="auto" w:fill="auto"/>
            <w:noWrap/>
            <w:hideMark/>
          </w:tcPr>
          <w:p w:rsidR="00BD3349" w:rsidRPr="00BD3349" w:rsidRDefault="00BD3349" w:rsidP="00BD3349">
            <w:pPr>
              <w:spacing w:after="0" w:line="240" w:lineRule="auto"/>
              <w:rPr>
                <w:rFonts w:ascii="Arial" w:eastAsia="Times New Roman" w:hAnsi="Arial" w:cs="Arial"/>
                <w:bCs/>
                <w:sz w:val="20"/>
                <w:szCs w:val="20"/>
              </w:rPr>
            </w:pPr>
            <w:r w:rsidRPr="00BD3349">
              <w:rPr>
                <w:rFonts w:ascii="Arial" w:eastAsia="Times New Roman" w:hAnsi="Arial" w:cs="Arial"/>
                <w:bCs/>
                <w:sz w:val="20"/>
                <w:szCs w:val="20"/>
              </w:rPr>
              <w:t>ROSPA0119 Horga - Zorleni</w:t>
            </w:r>
          </w:p>
        </w:tc>
        <w:tc>
          <w:tcPr>
            <w:tcW w:w="4029" w:type="dxa"/>
            <w:tcBorders>
              <w:top w:val="nil"/>
              <w:left w:val="nil"/>
              <w:bottom w:val="single" w:sz="4" w:space="0" w:color="auto"/>
              <w:right w:val="single" w:sz="4" w:space="0" w:color="auto"/>
            </w:tcBorders>
            <w:shd w:val="clear" w:color="auto" w:fill="auto"/>
            <w:noWrap/>
            <w:hideMark/>
          </w:tcPr>
          <w:p w:rsidR="00BD3349" w:rsidRPr="00BD3349" w:rsidRDefault="00BD3349" w:rsidP="00BD3349">
            <w:pPr>
              <w:spacing w:after="0" w:line="240" w:lineRule="auto"/>
              <w:rPr>
                <w:rFonts w:ascii="Arial" w:eastAsia="Times New Roman" w:hAnsi="Arial" w:cs="Arial"/>
                <w:sz w:val="20"/>
                <w:szCs w:val="20"/>
              </w:rPr>
            </w:pPr>
            <w:r w:rsidRPr="00BD3349">
              <w:rPr>
                <w:rFonts w:ascii="Arial" w:eastAsia="Times New Roman" w:hAnsi="Arial" w:cs="Arial"/>
                <w:sz w:val="20"/>
                <w:szCs w:val="20"/>
              </w:rPr>
              <w:t>în curs de elaborare</w:t>
            </w:r>
          </w:p>
        </w:tc>
      </w:tr>
      <w:tr w:rsidR="00BD3349" w:rsidRPr="00BD3349" w:rsidTr="002403BF">
        <w:trPr>
          <w:trHeight w:val="176"/>
        </w:trPr>
        <w:tc>
          <w:tcPr>
            <w:tcW w:w="2724" w:type="dxa"/>
            <w:tcBorders>
              <w:top w:val="nil"/>
              <w:left w:val="single" w:sz="4" w:space="0" w:color="auto"/>
              <w:bottom w:val="single" w:sz="4" w:space="0" w:color="auto"/>
              <w:right w:val="single" w:sz="4" w:space="0" w:color="auto"/>
            </w:tcBorders>
            <w:shd w:val="clear" w:color="auto" w:fill="auto"/>
            <w:noWrap/>
            <w:hideMark/>
          </w:tcPr>
          <w:p w:rsidR="00BD3349" w:rsidRPr="00BD3349" w:rsidRDefault="00BD3349" w:rsidP="00BD3349">
            <w:pPr>
              <w:spacing w:after="0" w:line="240" w:lineRule="auto"/>
              <w:rPr>
                <w:rFonts w:ascii="Arial" w:eastAsia="Times New Roman" w:hAnsi="Arial" w:cs="Arial"/>
                <w:bCs/>
                <w:sz w:val="20"/>
                <w:szCs w:val="20"/>
              </w:rPr>
            </w:pPr>
            <w:r w:rsidRPr="00BD3349">
              <w:rPr>
                <w:rFonts w:ascii="Arial" w:eastAsia="Times New Roman" w:hAnsi="Arial" w:cs="Arial"/>
                <w:bCs/>
                <w:sz w:val="20"/>
                <w:szCs w:val="20"/>
              </w:rPr>
              <w:t>VASLUI</w:t>
            </w:r>
          </w:p>
        </w:tc>
        <w:tc>
          <w:tcPr>
            <w:tcW w:w="5878" w:type="dxa"/>
            <w:tcBorders>
              <w:top w:val="nil"/>
              <w:left w:val="nil"/>
              <w:bottom w:val="single" w:sz="4" w:space="0" w:color="auto"/>
              <w:right w:val="single" w:sz="4" w:space="0" w:color="auto"/>
            </w:tcBorders>
            <w:shd w:val="clear" w:color="auto" w:fill="auto"/>
            <w:noWrap/>
            <w:hideMark/>
          </w:tcPr>
          <w:p w:rsidR="00BD3349" w:rsidRPr="00BD3349" w:rsidRDefault="00BD3349" w:rsidP="00BD3349">
            <w:pPr>
              <w:spacing w:after="0" w:line="240" w:lineRule="auto"/>
              <w:rPr>
                <w:rFonts w:ascii="Arial" w:eastAsia="Times New Roman" w:hAnsi="Arial" w:cs="Arial"/>
                <w:bCs/>
                <w:sz w:val="20"/>
                <w:szCs w:val="20"/>
              </w:rPr>
            </w:pPr>
            <w:r w:rsidRPr="00BD3349">
              <w:rPr>
                <w:rFonts w:ascii="Arial" w:eastAsia="Times New Roman" w:hAnsi="Arial" w:cs="Arial"/>
                <w:bCs/>
                <w:sz w:val="20"/>
                <w:szCs w:val="20"/>
              </w:rPr>
              <w:t>ROSCI0041 Coasta Rupturile Tanacu</w:t>
            </w:r>
          </w:p>
        </w:tc>
        <w:tc>
          <w:tcPr>
            <w:tcW w:w="4029" w:type="dxa"/>
            <w:tcBorders>
              <w:top w:val="nil"/>
              <w:left w:val="nil"/>
              <w:bottom w:val="single" w:sz="4" w:space="0" w:color="auto"/>
              <w:right w:val="single" w:sz="4" w:space="0" w:color="auto"/>
            </w:tcBorders>
            <w:shd w:val="clear" w:color="auto" w:fill="auto"/>
            <w:noWrap/>
            <w:hideMark/>
          </w:tcPr>
          <w:p w:rsidR="00BD3349" w:rsidRPr="00BD3349" w:rsidRDefault="00BD3349" w:rsidP="00BD3349">
            <w:pPr>
              <w:spacing w:after="0" w:line="240" w:lineRule="auto"/>
              <w:rPr>
                <w:rFonts w:ascii="Arial" w:eastAsia="Times New Roman" w:hAnsi="Arial" w:cs="Arial"/>
                <w:sz w:val="20"/>
                <w:szCs w:val="20"/>
              </w:rPr>
            </w:pPr>
            <w:r w:rsidRPr="00BD3349">
              <w:rPr>
                <w:rFonts w:ascii="Arial" w:eastAsia="Times New Roman" w:hAnsi="Arial" w:cs="Arial"/>
                <w:sz w:val="20"/>
                <w:szCs w:val="20"/>
              </w:rPr>
              <w:t>în curs de elaborare</w:t>
            </w:r>
          </w:p>
        </w:tc>
      </w:tr>
      <w:tr w:rsidR="00BD3349" w:rsidRPr="00BD3349" w:rsidTr="002403BF">
        <w:trPr>
          <w:trHeight w:val="187"/>
        </w:trPr>
        <w:tc>
          <w:tcPr>
            <w:tcW w:w="2724" w:type="dxa"/>
            <w:tcBorders>
              <w:top w:val="nil"/>
              <w:left w:val="single" w:sz="4" w:space="0" w:color="auto"/>
              <w:bottom w:val="single" w:sz="4" w:space="0" w:color="auto"/>
              <w:right w:val="single" w:sz="4" w:space="0" w:color="auto"/>
            </w:tcBorders>
            <w:shd w:val="clear" w:color="auto" w:fill="auto"/>
            <w:noWrap/>
            <w:hideMark/>
          </w:tcPr>
          <w:p w:rsidR="00BD3349" w:rsidRPr="00BD3349" w:rsidRDefault="00BD3349" w:rsidP="00BD3349">
            <w:pPr>
              <w:spacing w:after="0" w:line="240" w:lineRule="auto"/>
              <w:rPr>
                <w:rFonts w:ascii="Arial" w:eastAsia="Times New Roman" w:hAnsi="Arial" w:cs="Arial"/>
                <w:bCs/>
                <w:sz w:val="20"/>
                <w:szCs w:val="20"/>
              </w:rPr>
            </w:pPr>
            <w:r w:rsidRPr="00BD3349">
              <w:rPr>
                <w:rFonts w:ascii="Arial" w:eastAsia="Times New Roman" w:hAnsi="Arial" w:cs="Arial"/>
                <w:bCs/>
                <w:sz w:val="20"/>
                <w:szCs w:val="20"/>
              </w:rPr>
              <w:t>VASLUI</w:t>
            </w:r>
          </w:p>
        </w:tc>
        <w:tc>
          <w:tcPr>
            <w:tcW w:w="5878" w:type="dxa"/>
            <w:tcBorders>
              <w:top w:val="nil"/>
              <w:left w:val="nil"/>
              <w:bottom w:val="single" w:sz="4" w:space="0" w:color="auto"/>
              <w:right w:val="single" w:sz="4" w:space="0" w:color="auto"/>
            </w:tcBorders>
            <w:shd w:val="clear" w:color="auto" w:fill="auto"/>
            <w:noWrap/>
            <w:hideMark/>
          </w:tcPr>
          <w:p w:rsidR="00BD3349" w:rsidRPr="00BD3349" w:rsidRDefault="00BD3349" w:rsidP="00BD3349">
            <w:pPr>
              <w:spacing w:after="0" w:line="240" w:lineRule="auto"/>
              <w:rPr>
                <w:rFonts w:ascii="Arial" w:eastAsia="Times New Roman" w:hAnsi="Arial" w:cs="Arial"/>
                <w:bCs/>
                <w:sz w:val="20"/>
                <w:szCs w:val="20"/>
              </w:rPr>
            </w:pPr>
            <w:r w:rsidRPr="00BD3349">
              <w:rPr>
                <w:rFonts w:ascii="Arial" w:eastAsia="Times New Roman" w:hAnsi="Arial" w:cs="Arial"/>
                <w:bCs/>
                <w:sz w:val="20"/>
                <w:szCs w:val="20"/>
              </w:rPr>
              <w:t>ROSCI0117 Movila lui Burcel</w:t>
            </w:r>
          </w:p>
        </w:tc>
        <w:tc>
          <w:tcPr>
            <w:tcW w:w="4029" w:type="dxa"/>
            <w:tcBorders>
              <w:top w:val="nil"/>
              <w:left w:val="nil"/>
              <w:bottom w:val="single" w:sz="4" w:space="0" w:color="auto"/>
              <w:right w:val="single" w:sz="4" w:space="0" w:color="auto"/>
            </w:tcBorders>
            <w:shd w:val="clear" w:color="auto" w:fill="auto"/>
            <w:noWrap/>
            <w:hideMark/>
          </w:tcPr>
          <w:p w:rsidR="00BD3349" w:rsidRPr="00BD3349" w:rsidRDefault="00BD3349" w:rsidP="00BD3349">
            <w:pPr>
              <w:spacing w:after="0" w:line="240" w:lineRule="auto"/>
              <w:rPr>
                <w:rFonts w:ascii="Arial" w:eastAsia="Times New Roman" w:hAnsi="Arial" w:cs="Arial"/>
                <w:sz w:val="20"/>
                <w:szCs w:val="20"/>
              </w:rPr>
            </w:pPr>
            <w:r w:rsidRPr="00BD3349">
              <w:rPr>
                <w:rFonts w:ascii="Arial" w:eastAsia="Times New Roman" w:hAnsi="Arial" w:cs="Arial"/>
                <w:sz w:val="20"/>
                <w:szCs w:val="20"/>
              </w:rPr>
              <w:t>Aprobat,Ord.nr. MMAP 1954/11.12.2015</w:t>
            </w:r>
          </w:p>
        </w:tc>
      </w:tr>
      <w:tr w:rsidR="00BD3349" w:rsidRPr="00BD3349" w:rsidTr="002403BF">
        <w:trPr>
          <w:trHeight w:val="202"/>
        </w:trPr>
        <w:tc>
          <w:tcPr>
            <w:tcW w:w="2724" w:type="dxa"/>
            <w:tcBorders>
              <w:top w:val="nil"/>
              <w:left w:val="single" w:sz="4" w:space="0" w:color="auto"/>
              <w:bottom w:val="single" w:sz="4" w:space="0" w:color="auto"/>
              <w:right w:val="single" w:sz="4" w:space="0" w:color="auto"/>
            </w:tcBorders>
            <w:shd w:val="clear" w:color="auto" w:fill="auto"/>
            <w:noWrap/>
            <w:hideMark/>
          </w:tcPr>
          <w:p w:rsidR="00BD3349" w:rsidRPr="00BD3349" w:rsidRDefault="00BD3349" w:rsidP="00BD3349">
            <w:pPr>
              <w:spacing w:after="0" w:line="240" w:lineRule="auto"/>
              <w:rPr>
                <w:rFonts w:ascii="Arial" w:eastAsia="Times New Roman" w:hAnsi="Arial" w:cs="Arial"/>
                <w:bCs/>
                <w:sz w:val="20"/>
                <w:szCs w:val="20"/>
              </w:rPr>
            </w:pPr>
            <w:r w:rsidRPr="00BD3349">
              <w:rPr>
                <w:rFonts w:ascii="Arial" w:eastAsia="Times New Roman" w:hAnsi="Arial" w:cs="Arial"/>
                <w:bCs/>
                <w:sz w:val="20"/>
                <w:szCs w:val="20"/>
              </w:rPr>
              <w:t>VASLUI</w:t>
            </w:r>
          </w:p>
        </w:tc>
        <w:tc>
          <w:tcPr>
            <w:tcW w:w="5878" w:type="dxa"/>
            <w:tcBorders>
              <w:top w:val="nil"/>
              <w:left w:val="nil"/>
              <w:bottom w:val="single" w:sz="4" w:space="0" w:color="auto"/>
              <w:right w:val="single" w:sz="4" w:space="0" w:color="auto"/>
            </w:tcBorders>
            <w:shd w:val="clear" w:color="auto" w:fill="auto"/>
            <w:noWrap/>
            <w:hideMark/>
          </w:tcPr>
          <w:p w:rsidR="00BD3349" w:rsidRPr="00BD3349" w:rsidRDefault="00BD3349" w:rsidP="00BD3349">
            <w:pPr>
              <w:spacing w:after="0" w:line="240" w:lineRule="auto"/>
              <w:rPr>
                <w:rFonts w:ascii="Arial" w:eastAsia="Times New Roman" w:hAnsi="Arial" w:cs="Arial"/>
                <w:bCs/>
                <w:sz w:val="20"/>
                <w:szCs w:val="20"/>
              </w:rPr>
            </w:pPr>
            <w:r w:rsidRPr="00BD3349">
              <w:rPr>
                <w:rFonts w:ascii="Arial" w:eastAsia="Times New Roman" w:hAnsi="Arial" w:cs="Arial"/>
                <w:bCs/>
                <w:sz w:val="20"/>
                <w:szCs w:val="20"/>
              </w:rPr>
              <w:t>ROSCI0335 Pădurea Dobrina - Huşi</w:t>
            </w:r>
          </w:p>
        </w:tc>
        <w:tc>
          <w:tcPr>
            <w:tcW w:w="4029" w:type="dxa"/>
            <w:tcBorders>
              <w:top w:val="nil"/>
              <w:left w:val="nil"/>
              <w:bottom w:val="single" w:sz="4" w:space="0" w:color="auto"/>
              <w:right w:val="single" w:sz="4" w:space="0" w:color="auto"/>
            </w:tcBorders>
            <w:shd w:val="clear" w:color="auto" w:fill="auto"/>
            <w:noWrap/>
            <w:hideMark/>
          </w:tcPr>
          <w:p w:rsidR="00BD3349" w:rsidRPr="00BD3349" w:rsidRDefault="00BD3349" w:rsidP="00BD3349">
            <w:pPr>
              <w:spacing w:after="0" w:line="240" w:lineRule="auto"/>
              <w:rPr>
                <w:rFonts w:ascii="Arial" w:eastAsia="Times New Roman" w:hAnsi="Arial" w:cs="Arial"/>
                <w:sz w:val="20"/>
                <w:szCs w:val="20"/>
              </w:rPr>
            </w:pPr>
            <w:r w:rsidRPr="00BD3349">
              <w:rPr>
                <w:rFonts w:ascii="Arial" w:eastAsia="Times New Roman" w:hAnsi="Arial" w:cs="Arial"/>
                <w:sz w:val="20"/>
                <w:szCs w:val="20"/>
              </w:rPr>
              <w:t>în curs de elaborare</w:t>
            </w:r>
          </w:p>
        </w:tc>
      </w:tr>
      <w:tr w:rsidR="00BD3349" w:rsidRPr="00BD3349" w:rsidTr="002403BF">
        <w:trPr>
          <w:trHeight w:val="133"/>
        </w:trPr>
        <w:tc>
          <w:tcPr>
            <w:tcW w:w="2724" w:type="dxa"/>
            <w:tcBorders>
              <w:top w:val="nil"/>
              <w:left w:val="single" w:sz="4" w:space="0" w:color="auto"/>
              <w:bottom w:val="single" w:sz="4" w:space="0" w:color="auto"/>
              <w:right w:val="single" w:sz="4" w:space="0" w:color="auto"/>
            </w:tcBorders>
            <w:shd w:val="clear" w:color="auto" w:fill="auto"/>
            <w:hideMark/>
          </w:tcPr>
          <w:p w:rsidR="00BD3349" w:rsidRPr="00BD3349" w:rsidRDefault="00BD3349" w:rsidP="00BD3349">
            <w:pPr>
              <w:spacing w:after="0" w:line="240" w:lineRule="auto"/>
              <w:rPr>
                <w:rFonts w:ascii="Arial" w:eastAsia="Times New Roman" w:hAnsi="Arial" w:cs="Arial"/>
                <w:bCs/>
                <w:sz w:val="20"/>
                <w:szCs w:val="20"/>
              </w:rPr>
            </w:pPr>
            <w:r w:rsidRPr="00BD3349">
              <w:rPr>
                <w:rFonts w:ascii="Arial" w:eastAsia="Times New Roman" w:hAnsi="Arial" w:cs="Arial"/>
                <w:bCs/>
                <w:sz w:val="20"/>
                <w:szCs w:val="20"/>
              </w:rPr>
              <w:t>VASLUI şi BACĂU</w:t>
            </w:r>
          </w:p>
        </w:tc>
        <w:tc>
          <w:tcPr>
            <w:tcW w:w="5878" w:type="dxa"/>
            <w:tcBorders>
              <w:top w:val="nil"/>
              <w:left w:val="nil"/>
              <w:bottom w:val="single" w:sz="4" w:space="0" w:color="auto"/>
              <w:right w:val="single" w:sz="4" w:space="0" w:color="auto"/>
            </w:tcBorders>
            <w:shd w:val="clear" w:color="auto" w:fill="auto"/>
            <w:hideMark/>
          </w:tcPr>
          <w:p w:rsidR="00BD3349" w:rsidRPr="00BD3349" w:rsidRDefault="00BD3349" w:rsidP="00BD3349">
            <w:pPr>
              <w:spacing w:after="0" w:line="240" w:lineRule="auto"/>
              <w:rPr>
                <w:rFonts w:ascii="Arial" w:eastAsia="Times New Roman" w:hAnsi="Arial" w:cs="Arial"/>
                <w:bCs/>
                <w:sz w:val="20"/>
                <w:szCs w:val="20"/>
              </w:rPr>
            </w:pPr>
            <w:r w:rsidRPr="00BD3349">
              <w:rPr>
                <w:rFonts w:ascii="Arial" w:eastAsia="Times New Roman" w:hAnsi="Arial" w:cs="Arial"/>
                <w:bCs/>
                <w:sz w:val="20"/>
                <w:szCs w:val="20"/>
              </w:rPr>
              <w:t>ROSCI0309 Lacurile din jurul Măscurei</w:t>
            </w:r>
          </w:p>
        </w:tc>
        <w:tc>
          <w:tcPr>
            <w:tcW w:w="4029" w:type="dxa"/>
            <w:tcBorders>
              <w:top w:val="nil"/>
              <w:left w:val="nil"/>
              <w:bottom w:val="single" w:sz="4" w:space="0" w:color="auto"/>
              <w:right w:val="single" w:sz="4" w:space="0" w:color="auto"/>
            </w:tcBorders>
            <w:shd w:val="clear" w:color="auto" w:fill="auto"/>
            <w:noWrap/>
            <w:hideMark/>
          </w:tcPr>
          <w:p w:rsidR="00BD3349" w:rsidRPr="00BD3349" w:rsidRDefault="00BD3349" w:rsidP="00BD3349">
            <w:pPr>
              <w:spacing w:after="0" w:line="240" w:lineRule="auto"/>
              <w:rPr>
                <w:rFonts w:ascii="Arial" w:eastAsia="Times New Roman" w:hAnsi="Arial" w:cs="Arial"/>
                <w:sz w:val="20"/>
                <w:szCs w:val="20"/>
              </w:rPr>
            </w:pPr>
            <w:r w:rsidRPr="00BD3349">
              <w:rPr>
                <w:rFonts w:ascii="Arial" w:eastAsia="Times New Roman" w:hAnsi="Arial" w:cs="Arial"/>
                <w:sz w:val="20"/>
                <w:szCs w:val="20"/>
              </w:rPr>
              <w:t>în curs de elaborare</w:t>
            </w:r>
          </w:p>
        </w:tc>
      </w:tr>
      <w:tr w:rsidR="00BD3349" w:rsidRPr="00BD3349" w:rsidTr="002403BF">
        <w:trPr>
          <w:trHeight w:val="133"/>
        </w:trPr>
        <w:tc>
          <w:tcPr>
            <w:tcW w:w="2724" w:type="dxa"/>
            <w:tcBorders>
              <w:top w:val="nil"/>
              <w:left w:val="single" w:sz="4" w:space="0" w:color="auto"/>
              <w:bottom w:val="single" w:sz="4" w:space="0" w:color="auto"/>
              <w:right w:val="single" w:sz="4" w:space="0" w:color="auto"/>
            </w:tcBorders>
            <w:shd w:val="clear" w:color="auto" w:fill="auto"/>
          </w:tcPr>
          <w:p w:rsidR="00BD3349" w:rsidRPr="00BD3349" w:rsidRDefault="00BD3349" w:rsidP="00BD3349">
            <w:pPr>
              <w:spacing w:after="0" w:line="240" w:lineRule="auto"/>
              <w:rPr>
                <w:rFonts w:ascii="Arial" w:eastAsia="Times New Roman" w:hAnsi="Arial" w:cs="Arial"/>
                <w:bCs/>
                <w:sz w:val="20"/>
                <w:szCs w:val="20"/>
              </w:rPr>
            </w:pPr>
            <w:r w:rsidRPr="00BD3349">
              <w:rPr>
                <w:rFonts w:ascii="Arial" w:eastAsia="Times New Roman" w:hAnsi="Arial" w:cs="Arial"/>
                <w:bCs/>
                <w:sz w:val="20"/>
                <w:szCs w:val="20"/>
              </w:rPr>
              <w:t>VASLUI şi IAŞI</w:t>
            </w:r>
          </w:p>
        </w:tc>
        <w:tc>
          <w:tcPr>
            <w:tcW w:w="5878" w:type="dxa"/>
            <w:tcBorders>
              <w:top w:val="nil"/>
              <w:left w:val="nil"/>
              <w:bottom w:val="single" w:sz="4" w:space="0" w:color="auto"/>
              <w:right w:val="single" w:sz="4" w:space="0" w:color="auto"/>
            </w:tcBorders>
            <w:shd w:val="clear" w:color="auto" w:fill="auto"/>
          </w:tcPr>
          <w:p w:rsidR="00BD3349" w:rsidRPr="00BD3349" w:rsidRDefault="00BD3349" w:rsidP="00BD3349">
            <w:pPr>
              <w:spacing w:after="0" w:line="240" w:lineRule="auto"/>
              <w:rPr>
                <w:rFonts w:ascii="Arial" w:eastAsia="Times New Roman" w:hAnsi="Arial" w:cs="Arial"/>
                <w:bCs/>
                <w:sz w:val="20"/>
                <w:szCs w:val="20"/>
              </w:rPr>
            </w:pPr>
            <w:r w:rsidRPr="00BD3349">
              <w:rPr>
                <w:rFonts w:ascii="Arial" w:eastAsia="Times New Roman" w:hAnsi="Arial" w:cs="Arial"/>
                <w:bCs/>
                <w:sz w:val="20"/>
                <w:szCs w:val="20"/>
              </w:rPr>
              <w:t>ROSCI0213 Râul Prut</w:t>
            </w:r>
          </w:p>
        </w:tc>
        <w:tc>
          <w:tcPr>
            <w:tcW w:w="4029" w:type="dxa"/>
            <w:tcBorders>
              <w:top w:val="nil"/>
              <w:left w:val="nil"/>
              <w:bottom w:val="single" w:sz="4" w:space="0" w:color="auto"/>
              <w:right w:val="single" w:sz="4" w:space="0" w:color="auto"/>
            </w:tcBorders>
            <w:shd w:val="clear" w:color="auto" w:fill="auto"/>
            <w:noWrap/>
          </w:tcPr>
          <w:p w:rsidR="00BD3349" w:rsidRPr="00BD3349" w:rsidRDefault="00BD3349" w:rsidP="00BD3349">
            <w:pPr>
              <w:spacing w:after="0" w:line="240" w:lineRule="auto"/>
              <w:rPr>
                <w:rFonts w:ascii="Arial" w:eastAsia="Times New Roman" w:hAnsi="Arial" w:cs="Arial"/>
                <w:sz w:val="20"/>
                <w:szCs w:val="20"/>
              </w:rPr>
            </w:pPr>
            <w:r w:rsidRPr="00BD3349">
              <w:rPr>
                <w:rFonts w:ascii="Arial" w:eastAsia="Times New Roman" w:hAnsi="Arial" w:cs="Arial"/>
                <w:sz w:val="20"/>
                <w:szCs w:val="20"/>
              </w:rPr>
              <w:t>absent</w:t>
            </w:r>
          </w:p>
        </w:tc>
      </w:tr>
      <w:tr w:rsidR="00BD3349" w:rsidRPr="00BD3349" w:rsidTr="002403BF">
        <w:trPr>
          <w:trHeight w:val="133"/>
        </w:trPr>
        <w:tc>
          <w:tcPr>
            <w:tcW w:w="2724" w:type="dxa"/>
            <w:tcBorders>
              <w:top w:val="nil"/>
              <w:left w:val="single" w:sz="4" w:space="0" w:color="auto"/>
              <w:bottom w:val="single" w:sz="4" w:space="0" w:color="auto"/>
              <w:right w:val="single" w:sz="4" w:space="0" w:color="auto"/>
            </w:tcBorders>
            <w:shd w:val="clear" w:color="auto" w:fill="auto"/>
          </w:tcPr>
          <w:p w:rsidR="00BD3349" w:rsidRPr="00BD3349" w:rsidRDefault="00BD3349" w:rsidP="00BD3349">
            <w:pPr>
              <w:spacing w:after="0" w:line="240" w:lineRule="auto"/>
              <w:rPr>
                <w:rFonts w:ascii="Arial" w:eastAsia="Times New Roman" w:hAnsi="Arial" w:cs="Arial"/>
                <w:bCs/>
                <w:sz w:val="20"/>
                <w:szCs w:val="20"/>
              </w:rPr>
            </w:pPr>
            <w:r w:rsidRPr="00BD3349">
              <w:rPr>
                <w:rFonts w:ascii="Arial" w:eastAsia="Times New Roman" w:hAnsi="Arial" w:cs="Arial"/>
                <w:bCs/>
                <w:sz w:val="20"/>
                <w:szCs w:val="20"/>
              </w:rPr>
              <w:t>VASLUI şi GALAŢI</w:t>
            </w:r>
          </w:p>
        </w:tc>
        <w:tc>
          <w:tcPr>
            <w:tcW w:w="5878" w:type="dxa"/>
            <w:tcBorders>
              <w:top w:val="nil"/>
              <w:left w:val="nil"/>
              <w:bottom w:val="single" w:sz="4" w:space="0" w:color="auto"/>
              <w:right w:val="single" w:sz="4" w:space="0" w:color="auto"/>
            </w:tcBorders>
            <w:shd w:val="clear" w:color="auto" w:fill="auto"/>
          </w:tcPr>
          <w:p w:rsidR="00BD3349" w:rsidRPr="00BD3349" w:rsidRDefault="00BD3349" w:rsidP="00BD3349">
            <w:pPr>
              <w:spacing w:after="0" w:line="240" w:lineRule="auto"/>
              <w:rPr>
                <w:rFonts w:ascii="Arial" w:eastAsia="Times New Roman" w:hAnsi="Arial" w:cs="Arial"/>
                <w:bCs/>
                <w:sz w:val="20"/>
                <w:szCs w:val="20"/>
              </w:rPr>
            </w:pPr>
            <w:r w:rsidRPr="00BD3349">
              <w:rPr>
                <w:rFonts w:ascii="Arial" w:eastAsia="Times New Roman" w:hAnsi="Arial" w:cs="Arial"/>
                <w:bCs/>
                <w:sz w:val="20"/>
                <w:szCs w:val="20"/>
              </w:rPr>
              <w:t>ROSPA0130 Maţa-Cârja-Rădeanu</w:t>
            </w:r>
          </w:p>
        </w:tc>
        <w:tc>
          <w:tcPr>
            <w:tcW w:w="4029" w:type="dxa"/>
            <w:tcBorders>
              <w:top w:val="nil"/>
              <w:left w:val="nil"/>
              <w:bottom w:val="single" w:sz="4" w:space="0" w:color="auto"/>
              <w:right w:val="single" w:sz="4" w:space="0" w:color="auto"/>
            </w:tcBorders>
            <w:shd w:val="clear" w:color="auto" w:fill="auto"/>
            <w:noWrap/>
          </w:tcPr>
          <w:p w:rsidR="00BD3349" w:rsidRPr="00BD3349" w:rsidRDefault="00BD3349" w:rsidP="00BD3349">
            <w:pPr>
              <w:spacing w:after="0" w:line="240" w:lineRule="auto"/>
              <w:rPr>
                <w:rFonts w:ascii="Arial" w:eastAsia="Times New Roman" w:hAnsi="Arial" w:cs="Arial"/>
                <w:sz w:val="20"/>
                <w:szCs w:val="20"/>
              </w:rPr>
            </w:pPr>
            <w:r w:rsidRPr="00BD3349">
              <w:rPr>
                <w:rFonts w:ascii="Arial" w:eastAsia="Times New Roman" w:hAnsi="Arial" w:cs="Arial"/>
                <w:sz w:val="20"/>
                <w:szCs w:val="20"/>
              </w:rPr>
              <w:t>absent</w:t>
            </w:r>
          </w:p>
        </w:tc>
      </w:tr>
      <w:tr w:rsidR="00BD3349" w:rsidRPr="00BD3349" w:rsidTr="002403BF">
        <w:trPr>
          <w:trHeight w:val="75"/>
        </w:trPr>
        <w:tc>
          <w:tcPr>
            <w:tcW w:w="2724" w:type="dxa"/>
            <w:tcBorders>
              <w:top w:val="nil"/>
              <w:left w:val="single" w:sz="4" w:space="0" w:color="auto"/>
              <w:bottom w:val="single" w:sz="4" w:space="0" w:color="auto"/>
              <w:right w:val="single" w:sz="4" w:space="0" w:color="auto"/>
            </w:tcBorders>
            <w:shd w:val="clear" w:color="auto" w:fill="auto"/>
            <w:noWrap/>
            <w:hideMark/>
          </w:tcPr>
          <w:p w:rsidR="00BD3349" w:rsidRPr="00BD3349" w:rsidRDefault="00BD3349" w:rsidP="00BD3349">
            <w:pPr>
              <w:spacing w:after="0" w:line="240" w:lineRule="auto"/>
              <w:rPr>
                <w:rFonts w:ascii="Arial" w:eastAsia="Times New Roman" w:hAnsi="Arial" w:cs="Arial"/>
                <w:bCs/>
                <w:sz w:val="20"/>
                <w:szCs w:val="20"/>
              </w:rPr>
            </w:pPr>
            <w:r w:rsidRPr="00BD3349">
              <w:rPr>
                <w:rFonts w:ascii="Arial" w:eastAsia="Times New Roman" w:hAnsi="Arial" w:cs="Arial"/>
                <w:bCs/>
                <w:sz w:val="20"/>
                <w:szCs w:val="20"/>
              </w:rPr>
              <w:t>VASLUI</w:t>
            </w:r>
          </w:p>
        </w:tc>
        <w:tc>
          <w:tcPr>
            <w:tcW w:w="5878" w:type="dxa"/>
            <w:tcBorders>
              <w:top w:val="nil"/>
              <w:left w:val="nil"/>
              <w:bottom w:val="single" w:sz="4" w:space="0" w:color="auto"/>
              <w:right w:val="single" w:sz="4" w:space="0" w:color="auto"/>
            </w:tcBorders>
            <w:shd w:val="clear" w:color="auto" w:fill="auto"/>
            <w:hideMark/>
          </w:tcPr>
          <w:p w:rsidR="00BD3349" w:rsidRPr="00BD3349" w:rsidRDefault="00BD3349" w:rsidP="00BD3349">
            <w:pPr>
              <w:spacing w:after="0" w:line="240" w:lineRule="auto"/>
              <w:rPr>
                <w:rFonts w:ascii="Arial" w:eastAsia="Times New Roman" w:hAnsi="Arial" w:cs="Arial"/>
                <w:bCs/>
                <w:sz w:val="20"/>
                <w:szCs w:val="20"/>
              </w:rPr>
            </w:pPr>
            <w:r w:rsidRPr="00BD3349">
              <w:rPr>
                <w:rFonts w:ascii="Arial" w:eastAsia="Times New Roman" w:hAnsi="Arial" w:cs="Arial"/>
                <w:bCs/>
                <w:sz w:val="20"/>
                <w:szCs w:val="20"/>
              </w:rPr>
              <w:t>ROSCI0360 Râul Bârlad între Zorleni şi Gura Gârbovăţului</w:t>
            </w:r>
          </w:p>
        </w:tc>
        <w:tc>
          <w:tcPr>
            <w:tcW w:w="4029" w:type="dxa"/>
            <w:tcBorders>
              <w:top w:val="nil"/>
              <w:left w:val="nil"/>
              <w:bottom w:val="single" w:sz="4" w:space="0" w:color="auto"/>
              <w:right w:val="single" w:sz="4" w:space="0" w:color="auto"/>
            </w:tcBorders>
            <w:shd w:val="clear" w:color="auto" w:fill="auto"/>
            <w:noWrap/>
            <w:hideMark/>
          </w:tcPr>
          <w:p w:rsidR="00BD3349" w:rsidRPr="00BD3349" w:rsidRDefault="00BD3349" w:rsidP="00BD3349">
            <w:pPr>
              <w:spacing w:after="0" w:line="240" w:lineRule="auto"/>
              <w:rPr>
                <w:rFonts w:ascii="Arial" w:eastAsia="Times New Roman" w:hAnsi="Arial" w:cs="Arial"/>
                <w:sz w:val="20"/>
                <w:szCs w:val="20"/>
              </w:rPr>
            </w:pPr>
            <w:r w:rsidRPr="00BD3349">
              <w:rPr>
                <w:rFonts w:ascii="Arial" w:eastAsia="Times New Roman" w:hAnsi="Arial" w:cs="Arial"/>
                <w:sz w:val="20"/>
                <w:szCs w:val="20"/>
              </w:rPr>
              <w:t>în curs de elaborare</w:t>
            </w:r>
          </w:p>
        </w:tc>
      </w:tr>
      <w:tr w:rsidR="00BD3349" w:rsidRPr="00BD3349" w:rsidTr="002403BF">
        <w:trPr>
          <w:trHeight w:val="87"/>
        </w:trPr>
        <w:tc>
          <w:tcPr>
            <w:tcW w:w="2724" w:type="dxa"/>
            <w:tcBorders>
              <w:top w:val="nil"/>
              <w:left w:val="single" w:sz="4" w:space="0" w:color="auto"/>
              <w:bottom w:val="single" w:sz="4" w:space="0" w:color="auto"/>
              <w:right w:val="single" w:sz="4" w:space="0" w:color="auto"/>
            </w:tcBorders>
            <w:shd w:val="clear" w:color="auto" w:fill="auto"/>
            <w:noWrap/>
            <w:hideMark/>
          </w:tcPr>
          <w:p w:rsidR="00BD3349" w:rsidRPr="00BD3349" w:rsidRDefault="00BD3349" w:rsidP="00BD3349">
            <w:pPr>
              <w:spacing w:after="0" w:line="240" w:lineRule="auto"/>
              <w:rPr>
                <w:rFonts w:ascii="Arial" w:eastAsia="Times New Roman" w:hAnsi="Arial" w:cs="Arial"/>
                <w:bCs/>
                <w:sz w:val="20"/>
                <w:szCs w:val="20"/>
              </w:rPr>
            </w:pPr>
            <w:r w:rsidRPr="00BD3349">
              <w:rPr>
                <w:rFonts w:ascii="Arial" w:eastAsia="Times New Roman" w:hAnsi="Arial" w:cs="Arial"/>
                <w:bCs/>
                <w:sz w:val="20"/>
                <w:szCs w:val="20"/>
              </w:rPr>
              <w:t>VASLUI şi IAŞI</w:t>
            </w:r>
          </w:p>
        </w:tc>
        <w:tc>
          <w:tcPr>
            <w:tcW w:w="5878" w:type="dxa"/>
            <w:tcBorders>
              <w:top w:val="nil"/>
              <w:left w:val="nil"/>
              <w:bottom w:val="single" w:sz="4" w:space="0" w:color="auto"/>
              <w:right w:val="single" w:sz="4" w:space="0" w:color="auto"/>
            </w:tcBorders>
            <w:shd w:val="clear" w:color="auto" w:fill="auto"/>
            <w:hideMark/>
          </w:tcPr>
          <w:p w:rsidR="00BD3349" w:rsidRPr="00BD3349" w:rsidRDefault="00BD3349" w:rsidP="00BD3349">
            <w:pPr>
              <w:spacing w:after="0" w:line="240" w:lineRule="auto"/>
              <w:rPr>
                <w:rFonts w:ascii="Arial" w:eastAsia="Times New Roman" w:hAnsi="Arial" w:cs="Arial"/>
                <w:bCs/>
                <w:sz w:val="20"/>
                <w:szCs w:val="20"/>
              </w:rPr>
            </w:pPr>
            <w:r w:rsidRPr="00BD3349">
              <w:rPr>
                <w:rFonts w:ascii="Arial" w:eastAsia="Times New Roman" w:hAnsi="Arial" w:cs="Arial"/>
                <w:bCs/>
                <w:sz w:val="20"/>
                <w:szCs w:val="20"/>
              </w:rPr>
              <w:t>ROSPA0092 Pădurea Bârnova</w:t>
            </w:r>
          </w:p>
        </w:tc>
        <w:tc>
          <w:tcPr>
            <w:tcW w:w="4029" w:type="dxa"/>
            <w:tcBorders>
              <w:top w:val="nil"/>
              <w:left w:val="nil"/>
              <w:bottom w:val="single" w:sz="4" w:space="0" w:color="auto"/>
              <w:right w:val="single" w:sz="4" w:space="0" w:color="auto"/>
            </w:tcBorders>
            <w:shd w:val="clear" w:color="auto" w:fill="auto"/>
            <w:hideMark/>
          </w:tcPr>
          <w:p w:rsidR="00BD3349" w:rsidRPr="00BD3349" w:rsidRDefault="00BD3349" w:rsidP="00BD3349">
            <w:pPr>
              <w:spacing w:after="0" w:line="240" w:lineRule="auto"/>
              <w:rPr>
                <w:rFonts w:ascii="Arial" w:eastAsia="Times New Roman" w:hAnsi="Arial" w:cs="Arial"/>
                <w:sz w:val="20"/>
                <w:szCs w:val="20"/>
              </w:rPr>
            </w:pPr>
            <w:r w:rsidRPr="00BD3349">
              <w:rPr>
                <w:rFonts w:ascii="Arial" w:eastAsia="Times New Roman" w:hAnsi="Arial" w:cs="Arial"/>
                <w:sz w:val="20"/>
                <w:szCs w:val="20"/>
              </w:rPr>
              <w:t>are PM elaborat în curs de aprobare</w:t>
            </w:r>
          </w:p>
        </w:tc>
      </w:tr>
      <w:tr w:rsidR="00BD3349" w:rsidRPr="00BD3349" w:rsidTr="002403BF">
        <w:trPr>
          <w:trHeight w:val="87"/>
        </w:trPr>
        <w:tc>
          <w:tcPr>
            <w:tcW w:w="2724" w:type="dxa"/>
            <w:tcBorders>
              <w:top w:val="nil"/>
              <w:left w:val="single" w:sz="4" w:space="0" w:color="auto"/>
              <w:bottom w:val="single" w:sz="4" w:space="0" w:color="auto"/>
              <w:right w:val="single" w:sz="4" w:space="0" w:color="auto"/>
            </w:tcBorders>
            <w:shd w:val="clear" w:color="auto" w:fill="auto"/>
            <w:noWrap/>
            <w:hideMark/>
          </w:tcPr>
          <w:p w:rsidR="00BD3349" w:rsidRPr="00BD3349" w:rsidRDefault="00BD3349" w:rsidP="00BD3349">
            <w:pPr>
              <w:spacing w:after="0" w:line="240" w:lineRule="auto"/>
              <w:rPr>
                <w:rFonts w:ascii="Arial" w:eastAsia="Times New Roman" w:hAnsi="Arial" w:cs="Arial"/>
                <w:bCs/>
                <w:sz w:val="20"/>
                <w:szCs w:val="20"/>
              </w:rPr>
            </w:pPr>
            <w:r w:rsidRPr="00BD3349">
              <w:rPr>
                <w:rFonts w:ascii="Arial" w:eastAsia="Times New Roman" w:hAnsi="Arial" w:cs="Arial"/>
                <w:bCs/>
                <w:sz w:val="20"/>
                <w:szCs w:val="20"/>
              </w:rPr>
              <w:t>VASLUI şi IAŞI</w:t>
            </w:r>
          </w:p>
        </w:tc>
        <w:tc>
          <w:tcPr>
            <w:tcW w:w="5878" w:type="dxa"/>
            <w:tcBorders>
              <w:top w:val="nil"/>
              <w:left w:val="nil"/>
              <w:bottom w:val="single" w:sz="4" w:space="0" w:color="auto"/>
              <w:right w:val="single" w:sz="4" w:space="0" w:color="auto"/>
            </w:tcBorders>
            <w:shd w:val="clear" w:color="auto" w:fill="auto"/>
            <w:hideMark/>
          </w:tcPr>
          <w:p w:rsidR="00BD3349" w:rsidRPr="00BD3349" w:rsidRDefault="00BD3349" w:rsidP="00BD3349">
            <w:pPr>
              <w:spacing w:after="0" w:line="240" w:lineRule="auto"/>
              <w:rPr>
                <w:rFonts w:ascii="Arial" w:eastAsia="Times New Roman" w:hAnsi="Arial" w:cs="Arial"/>
                <w:bCs/>
                <w:sz w:val="20"/>
                <w:szCs w:val="20"/>
              </w:rPr>
            </w:pPr>
            <w:r w:rsidRPr="00BD3349">
              <w:rPr>
                <w:rFonts w:ascii="Arial" w:eastAsia="Times New Roman" w:hAnsi="Arial" w:cs="Arial"/>
                <w:bCs/>
                <w:sz w:val="20"/>
                <w:szCs w:val="20"/>
              </w:rPr>
              <w:t>ROSPA0096 Pădurea Micleşti</w:t>
            </w:r>
          </w:p>
        </w:tc>
        <w:tc>
          <w:tcPr>
            <w:tcW w:w="4029" w:type="dxa"/>
            <w:tcBorders>
              <w:top w:val="nil"/>
              <w:left w:val="nil"/>
              <w:bottom w:val="single" w:sz="4" w:space="0" w:color="auto"/>
              <w:right w:val="single" w:sz="4" w:space="0" w:color="auto"/>
            </w:tcBorders>
            <w:shd w:val="clear" w:color="auto" w:fill="auto"/>
            <w:hideMark/>
          </w:tcPr>
          <w:p w:rsidR="00BD3349" w:rsidRPr="00BD3349" w:rsidRDefault="00BD3349" w:rsidP="00BD3349">
            <w:pPr>
              <w:spacing w:after="0" w:line="240" w:lineRule="auto"/>
              <w:rPr>
                <w:rFonts w:ascii="Arial" w:eastAsia="Times New Roman" w:hAnsi="Arial" w:cs="Arial"/>
                <w:sz w:val="20"/>
                <w:szCs w:val="20"/>
              </w:rPr>
            </w:pPr>
            <w:r w:rsidRPr="00BD3349">
              <w:rPr>
                <w:rFonts w:ascii="Arial" w:eastAsia="Times New Roman" w:hAnsi="Arial" w:cs="Arial"/>
                <w:sz w:val="20"/>
                <w:szCs w:val="20"/>
              </w:rPr>
              <w:t>are PM elaborat în curs de aprobare</w:t>
            </w:r>
          </w:p>
        </w:tc>
      </w:tr>
      <w:tr w:rsidR="00BD3349" w:rsidRPr="00BD3349" w:rsidTr="002403BF">
        <w:trPr>
          <w:trHeight w:val="87"/>
        </w:trPr>
        <w:tc>
          <w:tcPr>
            <w:tcW w:w="2724" w:type="dxa"/>
            <w:tcBorders>
              <w:top w:val="nil"/>
              <w:left w:val="single" w:sz="4" w:space="0" w:color="auto"/>
              <w:bottom w:val="single" w:sz="4" w:space="0" w:color="auto"/>
              <w:right w:val="single" w:sz="4" w:space="0" w:color="auto"/>
            </w:tcBorders>
            <w:shd w:val="clear" w:color="auto" w:fill="auto"/>
            <w:noWrap/>
          </w:tcPr>
          <w:p w:rsidR="00BD3349" w:rsidRPr="00BD3349" w:rsidRDefault="00BD3349" w:rsidP="00BD3349">
            <w:pPr>
              <w:spacing w:after="0" w:line="240" w:lineRule="auto"/>
              <w:rPr>
                <w:rFonts w:ascii="Arial" w:eastAsia="Times New Roman" w:hAnsi="Arial" w:cs="Arial"/>
                <w:bCs/>
                <w:sz w:val="20"/>
                <w:szCs w:val="20"/>
              </w:rPr>
            </w:pPr>
            <w:r w:rsidRPr="00BD3349">
              <w:rPr>
                <w:rFonts w:ascii="Arial" w:eastAsia="Times New Roman" w:hAnsi="Arial" w:cs="Arial"/>
                <w:bCs/>
                <w:sz w:val="20"/>
                <w:szCs w:val="20"/>
              </w:rPr>
              <w:t>VASLUI şi GALAŢI</w:t>
            </w:r>
          </w:p>
        </w:tc>
        <w:tc>
          <w:tcPr>
            <w:tcW w:w="5878" w:type="dxa"/>
            <w:tcBorders>
              <w:top w:val="nil"/>
              <w:left w:val="nil"/>
              <w:bottom w:val="single" w:sz="4" w:space="0" w:color="auto"/>
              <w:right w:val="single" w:sz="4" w:space="0" w:color="auto"/>
            </w:tcBorders>
            <w:shd w:val="clear" w:color="auto" w:fill="auto"/>
          </w:tcPr>
          <w:p w:rsidR="00BD3349" w:rsidRPr="00BD3349" w:rsidRDefault="00BD3349" w:rsidP="00BD3349">
            <w:pPr>
              <w:spacing w:after="0" w:line="240" w:lineRule="auto"/>
              <w:rPr>
                <w:rFonts w:ascii="Arial" w:eastAsia="Times New Roman" w:hAnsi="Arial" w:cs="Arial"/>
                <w:bCs/>
                <w:sz w:val="20"/>
                <w:szCs w:val="20"/>
              </w:rPr>
            </w:pPr>
            <w:r w:rsidRPr="00BD3349">
              <w:rPr>
                <w:rFonts w:ascii="Arial" w:eastAsia="Times New Roman" w:hAnsi="Arial" w:cs="Arial"/>
                <w:bCs/>
                <w:sz w:val="20"/>
                <w:szCs w:val="20"/>
              </w:rPr>
              <w:t>ROSCI0105 Lunca Joasă a Prutului</w:t>
            </w:r>
          </w:p>
        </w:tc>
        <w:tc>
          <w:tcPr>
            <w:tcW w:w="4029" w:type="dxa"/>
            <w:tcBorders>
              <w:top w:val="nil"/>
              <w:left w:val="nil"/>
              <w:bottom w:val="single" w:sz="4" w:space="0" w:color="auto"/>
              <w:right w:val="single" w:sz="4" w:space="0" w:color="auto"/>
            </w:tcBorders>
            <w:shd w:val="clear" w:color="auto" w:fill="auto"/>
          </w:tcPr>
          <w:p w:rsidR="00BD3349" w:rsidRPr="00BD3349" w:rsidRDefault="00BD3349" w:rsidP="00BD3349">
            <w:pPr>
              <w:spacing w:after="0" w:line="240" w:lineRule="auto"/>
              <w:rPr>
                <w:rFonts w:ascii="Arial" w:eastAsia="Times New Roman" w:hAnsi="Arial" w:cs="Arial"/>
                <w:sz w:val="20"/>
                <w:szCs w:val="20"/>
              </w:rPr>
            </w:pPr>
            <w:r w:rsidRPr="00BD3349">
              <w:rPr>
                <w:rFonts w:ascii="Arial" w:eastAsia="Times New Roman" w:hAnsi="Arial" w:cs="Arial"/>
                <w:sz w:val="20"/>
                <w:szCs w:val="20"/>
              </w:rPr>
              <w:t>absent</w:t>
            </w:r>
          </w:p>
        </w:tc>
      </w:tr>
      <w:tr w:rsidR="00BD3349" w:rsidRPr="00BD3349" w:rsidTr="002403BF">
        <w:trPr>
          <w:trHeight w:val="87"/>
        </w:trPr>
        <w:tc>
          <w:tcPr>
            <w:tcW w:w="2724" w:type="dxa"/>
            <w:tcBorders>
              <w:top w:val="nil"/>
              <w:left w:val="single" w:sz="4" w:space="0" w:color="auto"/>
              <w:bottom w:val="single" w:sz="4" w:space="0" w:color="auto"/>
              <w:right w:val="single" w:sz="4" w:space="0" w:color="auto"/>
            </w:tcBorders>
            <w:shd w:val="clear" w:color="auto" w:fill="auto"/>
            <w:noWrap/>
            <w:hideMark/>
          </w:tcPr>
          <w:p w:rsidR="00BD3349" w:rsidRPr="00BD3349" w:rsidRDefault="00BD3349" w:rsidP="00BD3349">
            <w:pPr>
              <w:spacing w:after="0" w:line="240" w:lineRule="auto"/>
              <w:rPr>
                <w:rFonts w:ascii="Arial" w:eastAsia="Times New Roman" w:hAnsi="Arial" w:cs="Arial"/>
                <w:bCs/>
                <w:sz w:val="20"/>
                <w:szCs w:val="20"/>
              </w:rPr>
            </w:pPr>
            <w:r w:rsidRPr="00BD3349">
              <w:rPr>
                <w:rFonts w:ascii="Arial" w:eastAsia="Times New Roman" w:hAnsi="Arial" w:cs="Arial"/>
                <w:bCs/>
                <w:sz w:val="20"/>
                <w:szCs w:val="20"/>
              </w:rPr>
              <w:t>VASLUI</w:t>
            </w:r>
          </w:p>
        </w:tc>
        <w:tc>
          <w:tcPr>
            <w:tcW w:w="5878" w:type="dxa"/>
            <w:tcBorders>
              <w:top w:val="nil"/>
              <w:left w:val="nil"/>
              <w:bottom w:val="single" w:sz="4" w:space="0" w:color="auto"/>
              <w:right w:val="single" w:sz="4" w:space="0" w:color="auto"/>
            </w:tcBorders>
            <w:shd w:val="clear" w:color="auto" w:fill="auto"/>
            <w:noWrap/>
            <w:hideMark/>
          </w:tcPr>
          <w:p w:rsidR="00BD3349" w:rsidRPr="00BD3349" w:rsidRDefault="00BD3349" w:rsidP="00BD3349">
            <w:pPr>
              <w:spacing w:after="0" w:line="240" w:lineRule="auto"/>
              <w:rPr>
                <w:rFonts w:ascii="Arial" w:eastAsia="Times New Roman" w:hAnsi="Arial" w:cs="Arial"/>
                <w:bCs/>
                <w:sz w:val="20"/>
                <w:szCs w:val="20"/>
              </w:rPr>
            </w:pPr>
            <w:r w:rsidRPr="00BD3349">
              <w:rPr>
                <w:rFonts w:ascii="Arial" w:eastAsia="Times New Roman" w:hAnsi="Arial" w:cs="Arial"/>
                <w:bCs/>
                <w:sz w:val="20"/>
                <w:szCs w:val="20"/>
              </w:rPr>
              <w:t>ROSCI0133 Pădurea Bădeana</w:t>
            </w:r>
          </w:p>
        </w:tc>
        <w:tc>
          <w:tcPr>
            <w:tcW w:w="4029" w:type="dxa"/>
            <w:tcBorders>
              <w:top w:val="nil"/>
              <w:left w:val="nil"/>
              <w:bottom w:val="single" w:sz="4" w:space="0" w:color="auto"/>
              <w:right w:val="single" w:sz="4" w:space="0" w:color="auto"/>
            </w:tcBorders>
            <w:shd w:val="clear" w:color="auto" w:fill="auto"/>
            <w:noWrap/>
            <w:hideMark/>
          </w:tcPr>
          <w:p w:rsidR="00BD3349" w:rsidRPr="00BD3349" w:rsidRDefault="00BD3349" w:rsidP="00BD3349">
            <w:pPr>
              <w:spacing w:after="0" w:line="240" w:lineRule="auto"/>
              <w:rPr>
                <w:rFonts w:ascii="Arial" w:eastAsia="Times New Roman" w:hAnsi="Arial" w:cs="Arial"/>
                <w:sz w:val="20"/>
                <w:szCs w:val="20"/>
              </w:rPr>
            </w:pPr>
            <w:r w:rsidRPr="00BD3349">
              <w:rPr>
                <w:rFonts w:ascii="Arial" w:eastAsia="Times New Roman" w:hAnsi="Arial" w:cs="Arial"/>
                <w:sz w:val="20"/>
                <w:szCs w:val="20"/>
              </w:rPr>
              <w:t>are PM elaborat în curs de aprobare</w:t>
            </w:r>
          </w:p>
        </w:tc>
      </w:tr>
      <w:tr w:rsidR="00BD3349" w:rsidRPr="00BD3349" w:rsidTr="002403BF">
        <w:trPr>
          <w:trHeight w:val="260"/>
        </w:trPr>
        <w:tc>
          <w:tcPr>
            <w:tcW w:w="2724" w:type="dxa"/>
            <w:tcBorders>
              <w:top w:val="nil"/>
              <w:left w:val="single" w:sz="4" w:space="0" w:color="auto"/>
              <w:bottom w:val="single" w:sz="4" w:space="0" w:color="auto"/>
              <w:right w:val="single" w:sz="4" w:space="0" w:color="auto"/>
            </w:tcBorders>
            <w:shd w:val="clear" w:color="auto" w:fill="auto"/>
            <w:noWrap/>
            <w:hideMark/>
          </w:tcPr>
          <w:p w:rsidR="00BD3349" w:rsidRPr="00BD3349" w:rsidRDefault="00BD3349" w:rsidP="00BD3349">
            <w:pPr>
              <w:spacing w:after="0" w:line="240" w:lineRule="auto"/>
              <w:rPr>
                <w:rFonts w:ascii="Arial" w:eastAsia="Times New Roman" w:hAnsi="Arial" w:cs="Arial"/>
                <w:bCs/>
                <w:sz w:val="20"/>
                <w:szCs w:val="20"/>
              </w:rPr>
            </w:pPr>
            <w:r w:rsidRPr="00BD3349">
              <w:rPr>
                <w:rFonts w:ascii="Arial" w:eastAsia="Times New Roman" w:hAnsi="Arial" w:cs="Arial"/>
                <w:bCs/>
                <w:sz w:val="20"/>
                <w:szCs w:val="20"/>
              </w:rPr>
              <w:t>VASLUI şi IAŞI</w:t>
            </w:r>
          </w:p>
        </w:tc>
        <w:tc>
          <w:tcPr>
            <w:tcW w:w="5878" w:type="dxa"/>
            <w:tcBorders>
              <w:top w:val="nil"/>
              <w:left w:val="nil"/>
              <w:bottom w:val="single" w:sz="4" w:space="0" w:color="auto"/>
              <w:right w:val="single" w:sz="4" w:space="0" w:color="auto"/>
            </w:tcBorders>
            <w:shd w:val="clear" w:color="auto" w:fill="auto"/>
            <w:hideMark/>
          </w:tcPr>
          <w:p w:rsidR="00BD3349" w:rsidRPr="00BD3349" w:rsidRDefault="00BD3349" w:rsidP="00BD3349">
            <w:pPr>
              <w:spacing w:after="0" w:line="240" w:lineRule="auto"/>
              <w:rPr>
                <w:rFonts w:ascii="Arial" w:eastAsia="Times New Roman" w:hAnsi="Arial" w:cs="Arial"/>
                <w:bCs/>
                <w:sz w:val="20"/>
                <w:szCs w:val="20"/>
              </w:rPr>
            </w:pPr>
            <w:r w:rsidRPr="00BD3349">
              <w:rPr>
                <w:rFonts w:ascii="Arial" w:eastAsia="Times New Roman" w:hAnsi="Arial" w:cs="Arial"/>
                <w:bCs/>
                <w:sz w:val="20"/>
                <w:szCs w:val="20"/>
              </w:rPr>
              <w:t xml:space="preserve">ROSCI0135 Pădurea Bârnova - Repedea </w:t>
            </w:r>
          </w:p>
        </w:tc>
        <w:tc>
          <w:tcPr>
            <w:tcW w:w="4029" w:type="dxa"/>
            <w:tcBorders>
              <w:top w:val="nil"/>
              <w:left w:val="nil"/>
              <w:bottom w:val="single" w:sz="4" w:space="0" w:color="auto"/>
              <w:right w:val="single" w:sz="4" w:space="0" w:color="auto"/>
            </w:tcBorders>
            <w:shd w:val="clear" w:color="auto" w:fill="auto"/>
            <w:hideMark/>
          </w:tcPr>
          <w:p w:rsidR="00BD3349" w:rsidRPr="00BD3349" w:rsidRDefault="00BD3349" w:rsidP="00BD3349">
            <w:pPr>
              <w:spacing w:after="0" w:line="240" w:lineRule="auto"/>
              <w:rPr>
                <w:rFonts w:ascii="Arial" w:eastAsia="Times New Roman" w:hAnsi="Arial" w:cs="Arial"/>
                <w:sz w:val="20"/>
                <w:szCs w:val="20"/>
              </w:rPr>
            </w:pPr>
            <w:r w:rsidRPr="00BD3349">
              <w:rPr>
                <w:rFonts w:ascii="Arial" w:eastAsia="Times New Roman" w:hAnsi="Arial" w:cs="Arial"/>
                <w:sz w:val="20"/>
                <w:szCs w:val="20"/>
              </w:rPr>
              <w:t>are PM elaborat în curs de aprobare</w:t>
            </w:r>
          </w:p>
        </w:tc>
      </w:tr>
      <w:tr w:rsidR="00BD3349" w:rsidRPr="00BD3349" w:rsidTr="002403BF">
        <w:trPr>
          <w:trHeight w:val="87"/>
        </w:trPr>
        <w:tc>
          <w:tcPr>
            <w:tcW w:w="2724" w:type="dxa"/>
            <w:tcBorders>
              <w:top w:val="nil"/>
              <w:left w:val="single" w:sz="4" w:space="0" w:color="auto"/>
              <w:bottom w:val="single" w:sz="4" w:space="0" w:color="auto"/>
              <w:right w:val="single" w:sz="4" w:space="0" w:color="auto"/>
            </w:tcBorders>
            <w:shd w:val="clear" w:color="auto" w:fill="auto"/>
            <w:noWrap/>
            <w:hideMark/>
          </w:tcPr>
          <w:p w:rsidR="00BD3349" w:rsidRPr="00BD3349" w:rsidRDefault="00BD3349" w:rsidP="00BD3349">
            <w:pPr>
              <w:spacing w:after="0" w:line="240" w:lineRule="auto"/>
              <w:rPr>
                <w:rFonts w:ascii="Arial" w:eastAsia="Times New Roman" w:hAnsi="Arial" w:cs="Arial"/>
                <w:bCs/>
                <w:sz w:val="20"/>
                <w:szCs w:val="20"/>
              </w:rPr>
            </w:pPr>
            <w:r w:rsidRPr="00BD3349">
              <w:rPr>
                <w:rFonts w:ascii="Arial" w:eastAsia="Times New Roman" w:hAnsi="Arial" w:cs="Arial"/>
                <w:bCs/>
                <w:sz w:val="20"/>
                <w:szCs w:val="20"/>
              </w:rPr>
              <w:t>VASLUI</w:t>
            </w:r>
          </w:p>
        </w:tc>
        <w:tc>
          <w:tcPr>
            <w:tcW w:w="5878" w:type="dxa"/>
            <w:tcBorders>
              <w:top w:val="nil"/>
              <w:left w:val="nil"/>
              <w:bottom w:val="single" w:sz="4" w:space="0" w:color="auto"/>
              <w:right w:val="single" w:sz="4" w:space="0" w:color="auto"/>
            </w:tcBorders>
            <w:shd w:val="clear" w:color="auto" w:fill="auto"/>
            <w:hideMark/>
          </w:tcPr>
          <w:p w:rsidR="00BD3349" w:rsidRPr="00BD3349" w:rsidRDefault="00BD3349" w:rsidP="00BD3349">
            <w:pPr>
              <w:spacing w:after="0" w:line="240" w:lineRule="auto"/>
              <w:rPr>
                <w:rFonts w:ascii="Arial" w:eastAsia="Times New Roman" w:hAnsi="Arial" w:cs="Arial"/>
                <w:bCs/>
                <w:sz w:val="20"/>
                <w:szCs w:val="20"/>
              </w:rPr>
            </w:pPr>
            <w:r w:rsidRPr="00BD3349">
              <w:rPr>
                <w:rFonts w:ascii="Arial" w:eastAsia="Times New Roman" w:hAnsi="Arial" w:cs="Arial"/>
                <w:bCs/>
                <w:sz w:val="20"/>
                <w:szCs w:val="20"/>
              </w:rPr>
              <w:t>ROSCI0158 Pădurea Bălteni - Hârboanca</w:t>
            </w:r>
          </w:p>
        </w:tc>
        <w:tc>
          <w:tcPr>
            <w:tcW w:w="4029" w:type="dxa"/>
            <w:tcBorders>
              <w:top w:val="nil"/>
              <w:left w:val="nil"/>
              <w:bottom w:val="single" w:sz="4" w:space="0" w:color="auto"/>
              <w:right w:val="single" w:sz="4" w:space="0" w:color="auto"/>
            </w:tcBorders>
            <w:shd w:val="clear" w:color="auto" w:fill="auto"/>
            <w:noWrap/>
            <w:hideMark/>
          </w:tcPr>
          <w:p w:rsidR="00BD3349" w:rsidRPr="00BD3349" w:rsidRDefault="00BD3349" w:rsidP="00BD3349">
            <w:pPr>
              <w:spacing w:after="0" w:line="240" w:lineRule="auto"/>
              <w:rPr>
                <w:rFonts w:ascii="Arial" w:eastAsia="Times New Roman" w:hAnsi="Arial" w:cs="Arial"/>
                <w:sz w:val="20"/>
                <w:szCs w:val="20"/>
              </w:rPr>
            </w:pPr>
            <w:r w:rsidRPr="00BD3349">
              <w:rPr>
                <w:rFonts w:ascii="Arial" w:eastAsia="Times New Roman" w:hAnsi="Arial" w:cs="Arial"/>
                <w:sz w:val="20"/>
                <w:szCs w:val="20"/>
              </w:rPr>
              <w:t>are PM elaborat în curs de aprobare</w:t>
            </w:r>
          </w:p>
        </w:tc>
      </w:tr>
      <w:tr w:rsidR="00BD3349" w:rsidRPr="00BD3349" w:rsidTr="002403BF">
        <w:trPr>
          <w:trHeight w:val="87"/>
        </w:trPr>
        <w:tc>
          <w:tcPr>
            <w:tcW w:w="2724" w:type="dxa"/>
            <w:tcBorders>
              <w:top w:val="nil"/>
              <w:left w:val="single" w:sz="4" w:space="0" w:color="auto"/>
              <w:bottom w:val="single" w:sz="4" w:space="0" w:color="auto"/>
              <w:right w:val="single" w:sz="4" w:space="0" w:color="auto"/>
            </w:tcBorders>
            <w:shd w:val="clear" w:color="auto" w:fill="auto"/>
            <w:noWrap/>
          </w:tcPr>
          <w:p w:rsidR="00BD3349" w:rsidRPr="00BD3349" w:rsidRDefault="00BD3349" w:rsidP="00BD3349">
            <w:pPr>
              <w:spacing w:after="0" w:line="240" w:lineRule="auto"/>
              <w:rPr>
                <w:rFonts w:ascii="Arial" w:eastAsia="Times New Roman" w:hAnsi="Arial" w:cs="Arial"/>
                <w:bCs/>
                <w:sz w:val="20"/>
                <w:szCs w:val="20"/>
              </w:rPr>
            </w:pPr>
            <w:r w:rsidRPr="00BD3349">
              <w:rPr>
                <w:rFonts w:ascii="Arial" w:eastAsia="Times New Roman" w:hAnsi="Arial" w:cs="Arial"/>
                <w:bCs/>
                <w:sz w:val="20"/>
                <w:szCs w:val="20"/>
              </w:rPr>
              <w:t>VASLUI şi GALAŢI</w:t>
            </w:r>
          </w:p>
        </w:tc>
        <w:tc>
          <w:tcPr>
            <w:tcW w:w="5878" w:type="dxa"/>
            <w:tcBorders>
              <w:top w:val="nil"/>
              <w:left w:val="nil"/>
              <w:bottom w:val="single" w:sz="4" w:space="0" w:color="auto"/>
              <w:right w:val="single" w:sz="4" w:space="0" w:color="auto"/>
            </w:tcBorders>
            <w:shd w:val="clear" w:color="auto" w:fill="auto"/>
          </w:tcPr>
          <w:p w:rsidR="00BD3349" w:rsidRPr="00BD3349" w:rsidRDefault="00BD3349" w:rsidP="00BD3349">
            <w:pPr>
              <w:spacing w:after="0" w:line="240" w:lineRule="auto"/>
              <w:rPr>
                <w:rFonts w:ascii="Arial" w:eastAsia="Times New Roman" w:hAnsi="Arial" w:cs="Arial"/>
                <w:bCs/>
                <w:sz w:val="20"/>
                <w:szCs w:val="20"/>
              </w:rPr>
            </w:pPr>
            <w:r w:rsidRPr="00BD3349">
              <w:rPr>
                <w:rFonts w:ascii="Arial" w:eastAsia="Times New Roman" w:hAnsi="Arial" w:cs="Arial"/>
                <w:bCs/>
                <w:sz w:val="20"/>
                <w:szCs w:val="20"/>
              </w:rPr>
              <w:t>ROSCI0175 Pădurea Tălăşmani</w:t>
            </w:r>
          </w:p>
        </w:tc>
        <w:tc>
          <w:tcPr>
            <w:tcW w:w="4029" w:type="dxa"/>
            <w:tcBorders>
              <w:top w:val="nil"/>
              <w:left w:val="nil"/>
              <w:bottom w:val="single" w:sz="4" w:space="0" w:color="auto"/>
              <w:right w:val="single" w:sz="4" w:space="0" w:color="auto"/>
            </w:tcBorders>
            <w:shd w:val="clear" w:color="auto" w:fill="auto"/>
            <w:noWrap/>
          </w:tcPr>
          <w:p w:rsidR="00BD3349" w:rsidRPr="00BD3349" w:rsidRDefault="00BD3349" w:rsidP="00BD3349">
            <w:pPr>
              <w:spacing w:after="0" w:line="240" w:lineRule="auto"/>
              <w:rPr>
                <w:rFonts w:ascii="Arial" w:eastAsia="Times New Roman" w:hAnsi="Arial" w:cs="Arial"/>
                <w:sz w:val="20"/>
                <w:szCs w:val="20"/>
              </w:rPr>
            </w:pPr>
            <w:r w:rsidRPr="00BD3349">
              <w:rPr>
                <w:rFonts w:ascii="Arial" w:eastAsia="Times New Roman" w:hAnsi="Arial" w:cs="Arial"/>
                <w:sz w:val="20"/>
                <w:szCs w:val="20"/>
              </w:rPr>
              <w:t>absent</w:t>
            </w:r>
          </w:p>
        </w:tc>
      </w:tr>
      <w:tr w:rsidR="00BD3349" w:rsidRPr="00BD3349" w:rsidTr="002403BF">
        <w:trPr>
          <w:trHeight w:val="156"/>
        </w:trPr>
        <w:tc>
          <w:tcPr>
            <w:tcW w:w="2724" w:type="dxa"/>
            <w:tcBorders>
              <w:top w:val="nil"/>
              <w:left w:val="single" w:sz="4" w:space="0" w:color="auto"/>
              <w:bottom w:val="single" w:sz="4" w:space="0" w:color="auto"/>
              <w:right w:val="single" w:sz="4" w:space="0" w:color="auto"/>
            </w:tcBorders>
            <w:shd w:val="clear" w:color="auto" w:fill="auto"/>
            <w:noWrap/>
            <w:hideMark/>
          </w:tcPr>
          <w:p w:rsidR="00BD3349" w:rsidRPr="00BD3349" w:rsidRDefault="00BD3349" w:rsidP="00BD3349">
            <w:pPr>
              <w:spacing w:after="0" w:line="240" w:lineRule="auto"/>
              <w:rPr>
                <w:rFonts w:ascii="Arial" w:eastAsia="Times New Roman" w:hAnsi="Arial" w:cs="Arial"/>
                <w:bCs/>
                <w:sz w:val="20"/>
                <w:szCs w:val="20"/>
              </w:rPr>
            </w:pPr>
            <w:r w:rsidRPr="00BD3349">
              <w:rPr>
                <w:rFonts w:ascii="Arial" w:eastAsia="Times New Roman" w:hAnsi="Arial" w:cs="Arial"/>
                <w:bCs/>
                <w:sz w:val="20"/>
                <w:szCs w:val="20"/>
              </w:rPr>
              <w:t>VASLUI</w:t>
            </w:r>
          </w:p>
        </w:tc>
        <w:tc>
          <w:tcPr>
            <w:tcW w:w="5878" w:type="dxa"/>
            <w:tcBorders>
              <w:top w:val="nil"/>
              <w:left w:val="nil"/>
              <w:bottom w:val="single" w:sz="4" w:space="0" w:color="auto"/>
              <w:right w:val="single" w:sz="4" w:space="0" w:color="auto"/>
            </w:tcBorders>
            <w:shd w:val="clear" w:color="auto" w:fill="auto"/>
            <w:hideMark/>
          </w:tcPr>
          <w:p w:rsidR="00BD3349" w:rsidRPr="00BD3349" w:rsidRDefault="00BD3349" w:rsidP="00BD3349">
            <w:pPr>
              <w:spacing w:after="0" w:line="240" w:lineRule="auto"/>
              <w:rPr>
                <w:rFonts w:ascii="Arial" w:eastAsia="Times New Roman" w:hAnsi="Arial" w:cs="Arial"/>
                <w:bCs/>
                <w:sz w:val="20"/>
                <w:szCs w:val="20"/>
              </w:rPr>
            </w:pPr>
            <w:r w:rsidRPr="00BD3349">
              <w:rPr>
                <w:rFonts w:ascii="Arial" w:eastAsia="Times New Roman" w:hAnsi="Arial" w:cs="Arial"/>
                <w:bCs/>
                <w:sz w:val="20"/>
                <w:szCs w:val="20"/>
              </w:rPr>
              <w:t>ROSCI0169 Pădurea Seaca - Movileni</w:t>
            </w:r>
          </w:p>
        </w:tc>
        <w:tc>
          <w:tcPr>
            <w:tcW w:w="4029" w:type="dxa"/>
            <w:tcBorders>
              <w:top w:val="nil"/>
              <w:left w:val="nil"/>
              <w:bottom w:val="single" w:sz="4" w:space="0" w:color="auto"/>
              <w:right w:val="single" w:sz="4" w:space="0" w:color="auto"/>
            </w:tcBorders>
            <w:shd w:val="clear" w:color="auto" w:fill="auto"/>
            <w:noWrap/>
            <w:hideMark/>
          </w:tcPr>
          <w:p w:rsidR="00BD3349" w:rsidRPr="00BD3349" w:rsidRDefault="00BD3349" w:rsidP="00BD3349">
            <w:pPr>
              <w:spacing w:after="0" w:line="240" w:lineRule="auto"/>
              <w:rPr>
                <w:rFonts w:ascii="Arial" w:eastAsia="Times New Roman" w:hAnsi="Arial" w:cs="Arial"/>
                <w:sz w:val="20"/>
                <w:szCs w:val="20"/>
              </w:rPr>
            </w:pPr>
            <w:r w:rsidRPr="00BD3349">
              <w:rPr>
                <w:rFonts w:ascii="Arial" w:eastAsia="Times New Roman" w:hAnsi="Arial" w:cs="Arial"/>
                <w:sz w:val="20"/>
                <w:szCs w:val="20"/>
              </w:rPr>
              <w:t>are PM elaborat în curs de aprobare</w:t>
            </w:r>
          </w:p>
        </w:tc>
      </w:tr>
    </w:tbl>
    <w:p w:rsidR="00BD3349" w:rsidRPr="00BD3349" w:rsidRDefault="00BD3349" w:rsidP="00BD3349">
      <w:pPr>
        <w:spacing w:after="0" w:line="240" w:lineRule="auto"/>
        <w:jc w:val="both"/>
        <w:rPr>
          <w:rFonts w:ascii="Arial" w:hAnsi="Arial" w:cs="Arial"/>
          <w:sz w:val="24"/>
          <w:szCs w:val="24"/>
          <w:lang w:val="ro-RO"/>
        </w:rPr>
      </w:pPr>
    </w:p>
    <w:p w:rsidR="007C4251" w:rsidRDefault="007C4251" w:rsidP="00830DBB">
      <w:pPr>
        <w:autoSpaceDE w:val="0"/>
        <w:autoSpaceDN w:val="0"/>
        <w:adjustRightInd w:val="0"/>
        <w:spacing w:after="120" w:line="240" w:lineRule="auto"/>
        <w:jc w:val="both"/>
        <w:rPr>
          <w:rFonts w:ascii="Arial" w:eastAsia="SimSun" w:hAnsi="Arial" w:cs="Arial"/>
          <w:color w:val="000000" w:themeColor="text1"/>
          <w:sz w:val="24"/>
          <w:szCs w:val="24"/>
          <w:lang w:val="en-GB"/>
        </w:rPr>
      </w:pPr>
    </w:p>
    <w:p w:rsidR="007C4251" w:rsidRDefault="007C4251" w:rsidP="00830DBB">
      <w:pPr>
        <w:autoSpaceDE w:val="0"/>
        <w:autoSpaceDN w:val="0"/>
        <w:adjustRightInd w:val="0"/>
        <w:spacing w:after="120" w:line="240" w:lineRule="auto"/>
        <w:jc w:val="both"/>
        <w:rPr>
          <w:rFonts w:ascii="Arial" w:eastAsia="SimSun" w:hAnsi="Arial" w:cs="Arial"/>
          <w:color w:val="000000" w:themeColor="text1"/>
          <w:sz w:val="24"/>
          <w:szCs w:val="24"/>
          <w:lang w:val="en-GB"/>
        </w:rPr>
      </w:pPr>
    </w:p>
    <w:p w:rsidR="007C4251" w:rsidRDefault="007C4251" w:rsidP="00830DBB">
      <w:pPr>
        <w:autoSpaceDE w:val="0"/>
        <w:autoSpaceDN w:val="0"/>
        <w:adjustRightInd w:val="0"/>
        <w:spacing w:after="120" w:line="240" w:lineRule="auto"/>
        <w:jc w:val="both"/>
        <w:rPr>
          <w:rFonts w:ascii="Arial" w:eastAsia="SimSun" w:hAnsi="Arial" w:cs="Arial"/>
          <w:color w:val="000000" w:themeColor="text1"/>
          <w:sz w:val="24"/>
          <w:szCs w:val="24"/>
          <w:lang w:val="en-GB"/>
        </w:rPr>
      </w:pPr>
    </w:p>
    <w:p w:rsidR="007C4251" w:rsidRDefault="007C4251" w:rsidP="00830DBB">
      <w:pPr>
        <w:autoSpaceDE w:val="0"/>
        <w:autoSpaceDN w:val="0"/>
        <w:adjustRightInd w:val="0"/>
        <w:spacing w:after="120" w:line="240" w:lineRule="auto"/>
        <w:jc w:val="both"/>
        <w:rPr>
          <w:rFonts w:ascii="Arial" w:eastAsia="SimSun" w:hAnsi="Arial" w:cs="Arial"/>
          <w:color w:val="000000" w:themeColor="text1"/>
          <w:sz w:val="24"/>
          <w:szCs w:val="24"/>
          <w:lang w:val="en-GB"/>
        </w:rPr>
      </w:pPr>
    </w:p>
    <w:p w:rsidR="007C4251" w:rsidRDefault="007C4251" w:rsidP="00830DBB">
      <w:pPr>
        <w:autoSpaceDE w:val="0"/>
        <w:autoSpaceDN w:val="0"/>
        <w:adjustRightInd w:val="0"/>
        <w:spacing w:after="120" w:line="240" w:lineRule="auto"/>
        <w:jc w:val="both"/>
        <w:rPr>
          <w:rFonts w:ascii="Arial" w:eastAsia="SimSun" w:hAnsi="Arial" w:cs="Arial"/>
          <w:color w:val="000000" w:themeColor="text1"/>
          <w:sz w:val="24"/>
          <w:szCs w:val="24"/>
          <w:lang w:val="en-GB"/>
        </w:rPr>
      </w:pPr>
    </w:p>
    <w:p w:rsidR="007C4251" w:rsidRDefault="007C4251" w:rsidP="00830DBB">
      <w:pPr>
        <w:autoSpaceDE w:val="0"/>
        <w:autoSpaceDN w:val="0"/>
        <w:adjustRightInd w:val="0"/>
        <w:spacing w:after="120" w:line="240" w:lineRule="auto"/>
        <w:jc w:val="both"/>
        <w:rPr>
          <w:rFonts w:ascii="Arial" w:eastAsia="SimSun" w:hAnsi="Arial" w:cs="Arial"/>
          <w:color w:val="000000" w:themeColor="text1"/>
          <w:sz w:val="24"/>
          <w:szCs w:val="24"/>
          <w:lang w:val="en-GB"/>
        </w:rPr>
      </w:pPr>
    </w:p>
    <w:p w:rsidR="007C4251" w:rsidRDefault="007C4251" w:rsidP="00830DBB">
      <w:pPr>
        <w:autoSpaceDE w:val="0"/>
        <w:autoSpaceDN w:val="0"/>
        <w:adjustRightInd w:val="0"/>
        <w:spacing w:after="120" w:line="240" w:lineRule="auto"/>
        <w:jc w:val="both"/>
        <w:rPr>
          <w:rFonts w:ascii="Arial" w:eastAsia="SimSun" w:hAnsi="Arial" w:cs="Arial"/>
          <w:color w:val="000000" w:themeColor="text1"/>
          <w:sz w:val="24"/>
          <w:szCs w:val="24"/>
          <w:lang w:val="en-GB"/>
        </w:rPr>
      </w:pPr>
    </w:p>
    <w:p w:rsidR="007C4251" w:rsidRDefault="007C4251" w:rsidP="00830DBB">
      <w:pPr>
        <w:autoSpaceDE w:val="0"/>
        <w:autoSpaceDN w:val="0"/>
        <w:adjustRightInd w:val="0"/>
        <w:spacing w:after="120" w:line="240" w:lineRule="auto"/>
        <w:jc w:val="both"/>
        <w:rPr>
          <w:rFonts w:ascii="Arial" w:eastAsia="SimSun" w:hAnsi="Arial" w:cs="Arial"/>
          <w:color w:val="000000" w:themeColor="text1"/>
          <w:sz w:val="24"/>
          <w:szCs w:val="24"/>
          <w:lang w:val="en-GB"/>
        </w:rPr>
      </w:pPr>
    </w:p>
    <w:p w:rsidR="00BD3349" w:rsidRDefault="00BD3349" w:rsidP="00830DBB">
      <w:pPr>
        <w:autoSpaceDE w:val="0"/>
        <w:autoSpaceDN w:val="0"/>
        <w:adjustRightInd w:val="0"/>
        <w:spacing w:after="120" w:line="240" w:lineRule="auto"/>
        <w:jc w:val="both"/>
        <w:rPr>
          <w:rFonts w:ascii="Arial" w:eastAsia="SimSun" w:hAnsi="Arial" w:cs="Arial"/>
          <w:color w:val="000000" w:themeColor="text1"/>
          <w:sz w:val="24"/>
          <w:szCs w:val="24"/>
          <w:lang w:val="en-GB"/>
        </w:rPr>
        <w:sectPr w:rsidR="00BD3349" w:rsidSect="00444864">
          <w:headerReference w:type="default" r:id="rId103"/>
          <w:footerReference w:type="default" r:id="rId104"/>
          <w:pgSz w:w="15840" w:h="12240" w:orient="landscape"/>
          <w:pgMar w:top="1440" w:right="1440" w:bottom="1440" w:left="1440" w:header="709" w:footer="709" w:gutter="0"/>
          <w:pgNumType w:start="95"/>
          <w:cols w:space="708"/>
          <w:docGrid w:linePitch="360"/>
        </w:sectPr>
      </w:pPr>
    </w:p>
    <w:p w:rsidR="00BD3349" w:rsidRPr="00BD3349" w:rsidRDefault="00BD3349" w:rsidP="00BD3349">
      <w:pPr>
        <w:spacing w:after="0" w:line="240" w:lineRule="auto"/>
        <w:jc w:val="center"/>
        <w:rPr>
          <w:rFonts w:ascii="Arial" w:eastAsia="SimSun" w:hAnsi="Arial" w:cs="Arial"/>
          <w:b/>
          <w:sz w:val="24"/>
          <w:szCs w:val="24"/>
          <w:lang w:val="ro-RO"/>
        </w:rPr>
      </w:pPr>
      <w:r w:rsidRPr="00BD3349">
        <w:rPr>
          <w:rFonts w:ascii="Arial" w:eastAsia="SimSun" w:hAnsi="Arial" w:cs="Arial"/>
          <w:b/>
          <w:sz w:val="24"/>
          <w:szCs w:val="24"/>
          <w:lang w:val="ro-RO"/>
        </w:rPr>
        <w:lastRenderedPageBreak/>
        <w:t>CAPITOLUL VI. PĂDURILE</w:t>
      </w:r>
    </w:p>
    <w:p w:rsidR="00BD3349" w:rsidRPr="00BD3349" w:rsidRDefault="00BD3349" w:rsidP="00BD3349">
      <w:pPr>
        <w:spacing w:after="0" w:line="240" w:lineRule="auto"/>
        <w:jc w:val="center"/>
        <w:rPr>
          <w:rFonts w:ascii="Arial" w:eastAsia="SimSun" w:hAnsi="Arial" w:cs="Arial"/>
          <w:b/>
          <w:sz w:val="24"/>
          <w:szCs w:val="24"/>
          <w:lang w:val="ro-RO"/>
        </w:rPr>
      </w:pPr>
    </w:p>
    <w:p w:rsidR="00BD3349" w:rsidRPr="00BD3349" w:rsidRDefault="00BD3349" w:rsidP="00BD3349">
      <w:pPr>
        <w:spacing w:after="0" w:line="240" w:lineRule="auto"/>
        <w:ind w:left="17" w:firstLine="703"/>
        <w:jc w:val="both"/>
        <w:rPr>
          <w:rFonts w:ascii="Arial" w:eastAsia="SimSun" w:hAnsi="Arial" w:cs="Arial"/>
          <w:sz w:val="20"/>
          <w:szCs w:val="20"/>
          <w:lang w:val="en-GB"/>
        </w:rPr>
      </w:pPr>
      <w:r w:rsidRPr="00BD3349">
        <w:rPr>
          <w:rFonts w:ascii="Arial" w:eastAsia="SimSun" w:hAnsi="Arial" w:cs="Arial"/>
          <w:sz w:val="24"/>
          <w:szCs w:val="24"/>
          <w:lang w:val="en-GB"/>
        </w:rPr>
        <w:t>Pădurea este o unitate funcţională a biosferei, constituită dintr-o biocenoză edificată de arbori şi staţiunea pe care aceasta o ocupă, ambele legate printr-un permanent schimb de materie, energie şi informaţie.</w:t>
      </w:r>
      <w:r w:rsidRPr="00BD3349">
        <w:rPr>
          <w:rFonts w:ascii="Arial" w:eastAsia="SimSun" w:hAnsi="Arial" w:cs="Arial"/>
          <w:sz w:val="20"/>
          <w:szCs w:val="20"/>
          <w:lang w:val="ro-RO"/>
        </w:rPr>
        <w:t xml:space="preserve">(Sursa: </w:t>
      </w:r>
      <w:r w:rsidRPr="00BD3349">
        <w:rPr>
          <w:rFonts w:ascii="Arial" w:eastAsia="SimSun" w:hAnsi="Arial" w:cs="Arial"/>
          <w:sz w:val="20"/>
          <w:szCs w:val="20"/>
          <w:lang w:val="en-GB"/>
        </w:rPr>
        <w:t>VLAD şi colab. (1997))</w:t>
      </w:r>
    </w:p>
    <w:p w:rsidR="00BD3349" w:rsidRPr="00BD3349" w:rsidRDefault="00BD3349" w:rsidP="00BD3349">
      <w:pPr>
        <w:spacing w:after="0" w:line="240" w:lineRule="auto"/>
        <w:ind w:left="17" w:firstLine="703"/>
        <w:jc w:val="both"/>
        <w:rPr>
          <w:rFonts w:ascii="Arial" w:eastAsia="SimSun" w:hAnsi="Arial" w:cs="Arial"/>
          <w:b/>
          <w:sz w:val="24"/>
          <w:szCs w:val="24"/>
          <w:lang w:val="ro-RO"/>
        </w:rPr>
      </w:pPr>
    </w:p>
    <w:p w:rsidR="00BD3349" w:rsidRPr="00BD3349" w:rsidRDefault="00BD3349" w:rsidP="00BD3349">
      <w:pPr>
        <w:spacing w:after="0" w:line="240" w:lineRule="auto"/>
        <w:rPr>
          <w:rFonts w:ascii="Arial" w:eastAsia="SimSun" w:hAnsi="Arial" w:cs="Arial"/>
          <w:b/>
          <w:sz w:val="24"/>
          <w:szCs w:val="24"/>
          <w:lang w:val="ro-RO"/>
        </w:rPr>
      </w:pPr>
      <w:r w:rsidRPr="00BD3349">
        <w:rPr>
          <w:rFonts w:ascii="Arial" w:eastAsia="SimSun" w:hAnsi="Arial" w:cs="Arial"/>
          <w:b/>
          <w:sz w:val="24"/>
          <w:szCs w:val="24"/>
          <w:lang w:val="ro-RO"/>
        </w:rPr>
        <w:t xml:space="preserve">VI.1. Fondul forestier: stare şi consecinţe  </w:t>
      </w:r>
    </w:p>
    <w:p w:rsidR="00BD3349" w:rsidRPr="00BD3349" w:rsidRDefault="00BD3349" w:rsidP="00BD3349">
      <w:pPr>
        <w:spacing w:after="0" w:line="240" w:lineRule="auto"/>
        <w:rPr>
          <w:rFonts w:ascii="Arial" w:eastAsia="SimSun" w:hAnsi="Arial" w:cs="Arial"/>
          <w:b/>
          <w:sz w:val="24"/>
          <w:szCs w:val="24"/>
          <w:lang w:val="ro-RO"/>
        </w:rPr>
      </w:pPr>
    </w:p>
    <w:p w:rsidR="00BD3349" w:rsidRPr="00BD3349" w:rsidRDefault="00BD3349" w:rsidP="00BD3349">
      <w:pPr>
        <w:spacing w:after="0" w:line="240" w:lineRule="auto"/>
        <w:ind w:right="-235" w:firstLine="720"/>
        <w:jc w:val="both"/>
        <w:rPr>
          <w:rFonts w:ascii="Arial" w:eastAsia="SimSun" w:hAnsi="Arial" w:cs="Arial"/>
          <w:sz w:val="24"/>
          <w:szCs w:val="24"/>
          <w:lang w:val="en-GB"/>
        </w:rPr>
      </w:pPr>
      <w:r w:rsidRPr="00BD3349">
        <w:rPr>
          <w:rFonts w:ascii="Arial" w:eastAsia="SimSun" w:hAnsi="Arial" w:cs="Arial"/>
          <w:sz w:val="24"/>
          <w:szCs w:val="24"/>
          <w:lang w:val="ro-RO"/>
        </w:rPr>
        <w:t xml:space="preserve">Fondul forestier reprezintă </w:t>
      </w:r>
      <w:r w:rsidRPr="00BD3349">
        <w:rPr>
          <w:rFonts w:ascii="Arial" w:eastAsia="SimSun" w:hAnsi="Arial" w:cs="Arial"/>
          <w:sz w:val="24"/>
          <w:szCs w:val="24"/>
          <w:lang w:val="en-GB"/>
        </w:rPr>
        <w:t>totalitatea pădurilor, terenurilor destinate împăduririi, celor care servesc nevoilor de cultură, producţie ori administraţie silvică, iazurile, albiile pâraielor, precum şi terenurilor neproductive, incluse în amenajamentele silvice, în condiţiile legii, indiferent de natura dreptului de proprietate.</w:t>
      </w:r>
    </w:p>
    <w:p w:rsidR="00BD3349" w:rsidRPr="00BD3349" w:rsidRDefault="00BD3349" w:rsidP="00BD3349">
      <w:pPr>
        <w:spacing w:after="0" w:line="240" w:lineRule="auto"/>
        <w:ind w:right="-235" w:firstLine="720"/>
        <w:jc w:val="both"/>
        <w:rPr>
          <w:rFonts w:ascii="Arial" w:eastAsia="SimSun" w:hAnsi="Arial" w:cs="Arial"/>
          <w:sz w:val="24"/>
          <w:szCs w:val="24"/>
          <w:lang w:val="ro-RO"/>
        </w:rPr>
      </w:pPr>
    </w:p>
    <w:p w:rsidR="00BD3349" w:rsidRPr="00BD3349" w:rsidRDefault="00BD3349" w:rsidP="00BD3349">
      <w:pPr>
        <w:tabs>
          <w:tab w:val="left" w:pos="1276"/>
        </w:tabs>
        <w:spacing w:after="0" w:line="240" w:lineRule="auto"/>
        <w:rPr>
          <w:rFonts w:ascii="Arial" w:eastAsia="SimSun" w:hAnsi="Arial" w:cs="Arial"/>
          <w:b/>
          <w:i/>
          <w:sz w:val="24"/>
          <w:szCs w:val="24"/>
          <w:lang w:val="ro-RO"/>
        </w:rPr>
      </w:pPr>
      <w:r w:rsidRPr="00BD3349">
        <w:rPr>
          <w:rFonts w:ascii="Arial" w:eastAsia="SimSun" w:hAnsi="Arial" w:cs="Arial"/>
          <w:b/>
          <w:sz w:val="24"/>
          <w:szCs w:val="24"/>
          <w:lang w:val="ro-RO"/>
        </w:rPr>
        <w:t xml:space="preserve">    VI.1.1. </w:t>
      </w:r>
      <w:r w:rsidRPr="00BD3349">
        <w:rPr>
          <w:rFonts w:ascii="Arial" w:eastAsia="SimSun" w:hAnsi="Arial" w:cs="Arial"/>
          <w:b/>
          <w:i/>
          <w:sz w:val="24"/>
          <w:szCs w:val="24"/>
          <w:lang w:val="ro-RO"/>
        </w:rPr>
        <w:t xml:space="preserve">Evoluţia suprafeţei fondului forestier </w:t>
      </w:r>
      <w:r w:rsidRPr="00BD3349">
        <w:rPr>
          <w:rFonts w:ascii="Arial" w:eastAsia="SimSun" w:hAnsi="Arial" w:cs="Arial"/>
          <w:b/>
          <w:i/>
          <w:sz w:val="24"/>
          <w:szCs w:val="24"/>
          <w:lang w:val="ro-RO"/>
        </w:rPr>
        <w:tab/>
      </w:r>
    </w:p>
    <w:p w:rsidR="00BD3349" w:rsidRPr="00BD3349" w:rsidRDefault="00BD3349" w:rsidP="00BD3349">
      <w:pPr>
        <w:spacing w:after="0" w:line="240" w:lineRule="auto"/>
        <w:ind w:right="-235" w:firstLine="720"/>
        <w:jc w:val="both"/>
        <w:rPr>
          <w:rFonts w:ascii="Arial" w:eastAsia="SimSun" w:hAnsi="Arial" w:cs="Arial"/>
          <w:sz w:val="24"/>
          <w:szCs w:val="24"/>
          <w:lang w:val="ro-RO"/>
        </w:rPr>
      </w:pPr>
    </w:p>
    <w:p w:rsidR="00BD3349" w:rsidRPr="00BD3349" w:rsidRDefault="00BD3349" w:rsidP="00BD3349">
      <w:pPr>
        <w:spacing w:after="0" w:line="240" w:lineRule="auto"/>
        <w:ind w:right="-235" w:firstLine="720"/>
        <w:jc w:val="both"/>
        <w:rPr>
          <w:rFonts w:ascii="Arial" w:eastAsia="SimSun" w:hAnsi="Arial" w:cs="Arial"/>
          <w:sz w:val="24"/>
          <w:szCs w:val="24"/>
          <w:lang w:val="ro-RO"/>
        </w:rPr>
      </w:pPr>
      <w:r w:rsidRPr="00BD3349">
        <w:rPr>
          <w:rFonts w:ascii="Arial" w:eastAsia="SimSun" w:hAnsi="Arial" w:cs="Arial"/>
          <w:sz w:val="24"/>
          <w:szCs w:val="24"/>
          <w:lang w:val="ro-RO"/>
        </w:rPr>
        <w:t xml:space="preserve">Fondul forestier al judeţului Vaslui se ridică la o valoare de 60.702.9 ha şi se caracterizează prin predominanţa pădurilor cu funcţie de producţie (76% din suprafaţa ocupată de păduri), pădurile cu funcţie de protecţie reprezentând doar 24%, şi în cadrul acestora, suprafeţe mai importante sunt ocupate de pădurile de protecţie a terenurilor şi pădurile cu funcţie de recreere. </w:t>
      </w:r>
    </w:p>
    <w:p w:rsidR="00BD3349" w:rsidRPr="00BD3349" w:rsidRDefault="00BD3349" w:rsidP="00BD3349">
      <w:pPr>
        <w:spacing w:after="0" w:line="240" w:lineRule="auto"/>
        <w:ind w:right="-235"/>
        <w:jc w:val="both"/>
        <w:rPr>
          <w:rFonts w:ascii="Arial" w:eastAsia="SimSun" w:hAnsi="Arial" w:cs="Arial"/>
          <w:sz w:val="24"/>
          <w:szCs w:val="24"/>
          <w:lang w:val="ro-RO"/>
        </w:rPr>
      </w:pPr>
    </w:p>
    <w:p w:rsidR="00BD3349" w:rsidRPr="00BD3349" w:rsidRDefault="00BD3349" w:rsidP="00BD3349">
      <w:pPr>
        <w:spacing w:after="0" w:line="240" w:lineRule="auto"/>
        <w:jc w:val="both"/>
        <w:rPr>
          <w:rFonts w:ascii="Arial" w:eastAsia="SimSun" w:hAnsi="Arial" w:cs="Arial"/>
          <w:sz w:val="24"/>
          <w:szCs w:val="24"/>
          <w:lang w:val="ro-RO"/>
        </w:rPr>
      </w:pPr>
      <w:r w:rsidRPr="00BD3349">
        <w:rPr>
          <w:rFonts w:ascii="Arial" w:eastAsia="SimSun" w:hAnsi="Arial" w:cs="Arial"/>
          <w:sz w:val="24"/>
          <w:szCs w:val="24"/>
          <w:lang w:val="ro-RO"/>
        </w:rPr>
        <w:t>Tabelul VI.1. Fondul forestier local la nivelul judeţului Vaslui, în anul 2015</w:t>
      </w:r>
    </w:p>
    <w:tbl>
      <w:tblPr>
        <w:tblW w:w="95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418"/>
        <w:gridCol w:w="1559"/>
        <w:gridCol w:w="1650"/>
        <w:gridCol w:w="1510"/>
        <w:gridCol w:w="1734"/>
      </w:tblGrid>
      <w:tr w:rsidR="00BD3349" w:rsidRPr="00BD3349" w:rsidTr="002403BF">
        <w:trPr>
          <w:trHeight w:val="577"/>
        </w:trPr>
        <w:tc>
          <w:tcPr>
            <w:tcW w:w="3119" w:type="dxa"/>
            <w:gridSpan w:val="2"/>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b/>
                <w:sz w:val="24"/>
                <w:szCs w:val="24"/>
                <w:lang w:val="ro-RO"/>
              </w:rPr>
            </w:pPr>
            <w:r w:rsidRPr="00BD3349">
              <w:rPr>
                <w:rFonts w:ascii="Arial" w:eastAsia="Times New Roman" w:hAnsi="Arial" w:cs="Arial"/>
                <w:b/>
                <w:sz w:val="24"/>
                <w:szCs w:val="24"/>
                <w:lang w:val="ro-RO"/>
              </w:rPr>
              <w:t>Suprafaţa totală fond forestier (ha)</w:t>
            </w:r>
          </w:p>
        </w:tc>
        <w:tc>
          <w:tcPr>
            <w:tcW w:w="3209" w:type="dxa"/>
            <w:gridSpan w:val="2"/>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b/>
                <w:sz w:val="24"/>
                <w:szCs w:val="24"/>
                <w:lang w:val="ro-RO"/>
              </w:rPr>
            </w:pPr>
            <w:r w:rsidRPr="00BD3349">
              <w:rPr>
                <w:rFonts w:ascii="Arial" w:eastAsia="Times New Roman" w:hAnsi="Arial" w:cs="Arial"/>
                <w:b/>
                <w:sz w:val="24"/>
                <w:szCs w:val="24"/>
                <w:lang w:val="ro-RO"/>
              </w:rPr>
              <w:t>Suprafaţa de pădure (ha)</w:t>
            </w:r>
          </w:p>
        </w:tc>
        <w:tc>
          <w:tcPr>
            <w:tcW w:w="3244" w:type="dxa"/>
            <w:gridSpan w:val="2"/>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b/>
                <w:sz w:val="24"/>
                <w:szCs w:val="24"/>
                <w:lang w:val="ro-RO"/>
              </w:rPr>
            </w:pPr>
            <w:r w:rsidRPr="00BD3349">
              <w:rPr>
                <w:rFonts w:ascii="Arial" w:eastAsia="Times New Roman" w:hAnsi="Arial" w:cs="Arial"/>
                <w:b/>
                <w:sz w:val="24"/>
                <w:szCs w:val="24"/>
                <w:lang w:val="ro-RO"/>
              </w:rPr>
              <w:t>Suprafaţa cu alte funcţii (ha)</w:t>
            </w:r>
          </w:p>
        </w:tc>
      </w:tr>
      <w:tr w:rsidR="00BD3349" w:rsidRPr="00BD3349" w:rsidTr="002403BF">
        <w:trPr>
          <w:trHeight w:val="577"/>
        </w:trPr>
        <w:tc>
          <w:tcPr>
            <w:tcW w:w="1701" w:type="dxa"/>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4"/>
                <w:szCs w:val="24"/>
                <w:lang w:val="ro-RO"/>
              </w:rPr>
            </w:pPr>
            <w:r w:rsidRPr="00BD3349">
              <w:rPr>
                <w:rFonts w:ascii="Arial" w:eastAsia="Times New Roman" w:hAnsi="Arial" w:cs="Arial"/>
                <w:sz w:val="24"/>
                <w:szCs w:val="24"/>
                <w:lang w:val="ro-RO"/>
              </w:rPr>
              <w:t>Proprietate de stat</w:t>
            </w:r>
          </w:p>
        </w:tc>
        <w:tc>
          <w:tcPr>
            <w:tcW w:w="1418" w:type="dxa"/>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4"/>
                <w:szCs w:val="24"/>
                <w:lang w:val="ro-RO"/>
              </w:rPr>
            </w:pPr>
            <w:r w:rsidRPr="00BD3349">
              <w:rPr>
                <w:rFonts w:ascii="Arial" w:eastAsia="Times New Roman" w:hAnsi="Arial" w:cs="Arial"/>
                <w:sz w:val="24"/>
                <w:szCs w:val="24"/>
                <w:lang w:val="ro-RO"/>
              </w:rPr>
              <w:t>Proprietate particulara</w:t>
            </w:r>
          </w:p>
        </w:tc>
        <w:tc>
          <w:tcPr>
            <w:tcW w:w="1559" w:type="dxa"/>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4"/>
                <w:szCs w:val="24"/>
                <w:lang w:val="ro-RO"/>
              </w:rPr>
            </w:pPr>
            <w:r w:rsidRPr="00BD3349">
              <w:rPr>
                <w:rFonts w:ascii="Arial" w:eastAsia="Times New Roman" w:hAnsi="Arial" w:cs="Arial"/>
                <w:sz w:val="24"/>
                <w:szCs w:val="24"/>
                <w:lang w:val="ro-RO"/>
              </w:rPr>
              <w:t>Proprietate de stat</w:t>
            </w:r>
          </w:p>
        </w:tc>
        <w:tc>
          <w:tcPr>
            <w:tcW w:w="1650" w:type="dxa"/>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4"/>
                <w:szCs w:val="24"/>
                <w:lang w:val="ro-RO"/>
              </w:rPr>
            </w:pPr>
            <w:r w:rsidRPr="00BD3349">
              <w:rPr>
                <w:rFonts w:ascii="Arial" w:eastAsia="Times New Roman" w:hAnsi="Arial" w:cs="Arial"/>
                <w:sz w:val="24"/>
                <w:szCs w:val="24"/>
                <w:lang w:val="ro-RO"/>
              </w:rPr>
              <w:t>Proprietate particulara</w:t>
            </w:r>
          </w:p>
        </w:tc>
        <w:tc>
          <w:tcPr>
            <w:tcW w:w="1510" w:type="dxa"/>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4"/>
                <w:szCs w:val="24"/>
                <w:lang w:val="ro-RO"/>
              </w:rPr>
            </w:pPr>
            <w:r w:rsidRPr="00BD3349">
              <w:rPr>
                <w:rFonts w:ascii="Arial" w:eastAsia="Times New Roman" w:hAnsi="Arial" w:cs="Arial"/>
                <w:sz w:val="24"/>
                <w:szCs w:val="24"/>
                <w:lang w:val="ro-RO"/>
              </w:rPr>
              <w:t>Proprietate de stat</w:t>
            </w:r>
          </w:p>
        </w:tc>
        <w:tc>
          <w:tcPr>
            <w:tcW w:w="1734" w:type="dxa"/>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4"/>
                <w:szCs w:val="24"/>
                <w:lang w:val="ro-RO"/>
              </w:rPr>
            </w:pPr>
            <w:r w:rsidRPr="00BD3349">
              <w:rPr>
                <w:rFonts w:ascii="Arial" w:eastAsia="Times New Roman" w:hAnsi="Arial" w:cs="Arial"/>
                <w:sz w:val="24"/>
                <w:szCs w:val="24"/>
                <w:lang w:val="ro-RO"/>
              </w:rPr>
              <w:t>Proprietate particulară</w:t>
            </w:r>
          </w:p>
        </w:tc>
      </w:tr>
      <w:tr w:rsidR="00BD3349" w:rsidRPr="00BD3349" w:rsidTr="002403BF">
        <w:trPr>
          <w:trHeight w:val="303"/>
        </w:trPr>
        <w:tc>
          <w:tcPr>
            <w:tcW w:w="1701" w:type="dxa"/>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b/>
                <w:sz w:val="24"/>
                <w:szCs w:val="24"/>
                <w:lang w:val="ro-RO"/>
              </w:rPr>
            </w:pPr>
            <w:r w:rsidRPr="00BD3349">
              <w:rPr>
                <w:rFonts w:ascii="Arial" w:eastAsia="Times New Roman" w:hAnsi="Arial" w:cs="Arial"/>
                <w:b/>
                <w:sz w:val="24"/>
                <w:szCs w:val="24"/>
                <w:lang w:val="ro-RO"/>
              </w:rPr>
              <w:t>47.308</w:t>
            </w:r>
          </w:p>
        </w:tc>
        <w:tc>
          <w:tcPr>
            <w:tcW w:w="1418" w:type="dxa"/>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b/>
                <w:sz w:val="24"/>
                <w:szCs w:val="24"/>
                <w:lang w:val="ro-RO"/>
              </w:rPr>
            </w:pPr>
            <w:r w:rsidRPr="00BD3349">
              <w:rPr>
                <w:rFonts w:ascii="Arial" w:eastAsia="Times New Roman" w:hAnsi="Arial" w:cs="Arial"/>
                <w:b/>
                <w:sz w:val="24"/>
                <w:szCs w:val="24"/>
                <w:lang w:val="ro-RO"/>
              </w:rPr>
              <w:t>13.394,9</w:t>
            </w:r>
          </w:p>
        </w:tc>
        <w:tc>
          <w:tcPr>
            <w:tcW w:w="1559" w:type="dxa"/>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b/>
                <w:sz w:val="24"/>
                <w:szCs w:val="24"/>
                <w:lang w:val="ro-RO"/>
              </w:rPr>
            </w:pPr>
            <w:r w:rsidRPr="00BD3349">
              <w:rPr>
                <w:rFonts w:ascii="Arial" w:eastAsia="Times New Roman" w:hAnsi="Arial" w:cs="Arial"/>
                <w:b/>
                <w:sz w:val="24"/>
                <w:szCs w:val="24"/>
                <w:lang w:val="ro-RO"/>
              </w:rPr>
              <w:t>46.367</w:t>
            </w:r>
          </w:p>
        </w:tc>
        <w:tc>
          <w:tcPr>
            <w:tcW w:w="1650" w:type="dxa"/>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b/>
                <w:sz w:val="24"/>
                <w:szCs w:val="24"/>
                <w:lang w:val="ro-RO"/>
              </w:rPr>
            </w:pPr>
            <w:r w:rsidRPr="00BD3349">
              <w:rPr>
                <w:rFonts w:ascii="Arial" w:eastAsia="Times New Roman" w:hAnsi="Arial" w:cs="Arial"/>
                <w:b/>
                <w:sz w:val="24"/>
                <w:szCs w:val="24"/>
                <w:lang w:val="ro-RO"/>
              </w:rPr>
              <w:t>13.292,8</w:t>
            </w:r>
          </w:p>
        </w:tc>
        <w:tc>
          <w:tcPr>
            <w:tcW w:w="1510" w:type="dxa"/>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b/>
                <w:sz w:val="24"/>
                <w:szCs w:val="24"/>
                <w:lang w:val="ro-RO"/>
              </w:rPr>
            </w:pPr>
            <w:r w:rsidRPr="00BD3349">
              <w:rPr>
                <w:rFonts w:ascii="Arial" w:eastAsia="Times New Roman" w:hAnsi="Arial" w:cs="Arial"/>
                <w:b/>
                <w:sz w:val="24"/>
                <w:szCs w:val="24"/>
                <w:lang w:val="ro-RO"/>
              </w:rPr>
              <w:t>941</w:t>
            </w:r>
          </w:p>
        </w:tc>
        <w:tc>
          <w:tcPr>
            <w:tcW w:w="1734" w:type="dxa"/>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b/>
                <w:sz w:val="24"/>
                <w:szCs w:val="24"/>
                <w:lang w:val="ro-RO"/>
              </w:rPr>
            </w:pPr>
            <w:r w:rsidRPr="00BD3349">
              <w:rPr>
                <w:rFonts w:ascii="Arial" w:eastAsia="Times New Roman" w:hAnsi="Arial" w:cs="Arial"/>
                <w:b/>
                <w:sz w:val="24"/>
                <w:szCs w:val="24"/>
                <w:lang w:val="ro-RO"/>
              </w:rPr>
              <w:t>102,1</w:t>
            </w:r>
          </w:p>
        </w:tc>
      </w:tr>
    </w:tbl>
    <w:p w:rsidR="00BD3349" w:rsidRPr="00BD3349" w:rsidRDefault="00BD3349" w:rsidP="00BD3349">
      <w:pPr>
        <w:keepNext/>
        <w:spacing w:after="0" w:line="240" w:lineRule="auto"/>
        <w:outlineLvl w:val="0"/>
        <w:rPr>
          <w:rFonts w:ascii="Arial" w:eastAsia="Times New Roman" w:hAnsi="Arial" w:cs="Arial"/>
          <w:lang w:eastAsia="ro-RO"/>
        </w:rPr>
      </w:pPr>
      <w:r w:rsidRPr="00BD3349">
        <w:rPr>
          <w:rFonts w:ascii="Arial" w:eastAsia="Times New Roman" w:hAnsi="Arial" w:cs="Arial"/>
          <w:lang w:eastAsia="ro-RO"/>
        </w:rPr>
        <w:t>(</w:t>
      </w:r>
      <w:r w:rsidRPr="00BD3349">
        <w:rPr>
          <w:rFonts w:ascii="Arial" w:eastAsia="Times New Roman" w:hAnsi="Arial" w:cs="Arial"/>
          <w:sz w:val="20"/>
          <w:szCs w:val="20"/>
          <w:lang w:eastAsia="ro-RO"/>
        </w:rPr>
        <w:t>sursa: Direcţia Silvică Vaslui, Direc</w:t>
      </w:r>
      <w:r w:rsidRPr="00BD3349">
        <w:rPr>
          <w:rFonts w:ascii="Arial" w:eastAsia="Times New Roman" w:hAnsi="Arial" w:cs="Arial"/>
          <w:sz w:val="20"/>
          <w:szCs w:val="20"/>
          <w:lang w:val="ro-RO" w:eastAsia="ro-RO"/>
        </w:rPr>
        <w:t>ţia Silvica Iaşi, Ocolul Silvic Griviţa şi Ocolul Silvic Bisericesc Iaşi</w:t>
      </w:r>
      <w:r w:rsidRPr="00BD3349">
        <w:rPr>
          <w:rFonts w:ascii="Arial" w:eastAsia="Times New Roman" w:hAnsi="Arial" w:cs="Arial"/>
          <w:sz w:val="20"/>
          <w:szCs w:val="20"/>
          <w:lang w:eastAsia="ro-RO"/>
        </w:rPr>
        <w:t>)</w:t>
      </w:r>
    </w:p>
    <w:p w:rsidR="00BD3349" w:rsidRPr="00BD3349" w:rsidRDefault="00BD3349" w:rsidP="00BD3349">
      <w:pPr>
        <w:spacing w:after="0" w:line="240" w:lineRule="auto"/>
        <w:rPr>
          <w:rFonts w:ascii="Times New Roman" w:eastAsia="SimSun" w:hAnsi="Times New Roman" w:cs="Times New Roman"/>
          <w:sz w:val="24"/>
          <w:szCs w:val="24"/>
          <w:lang w:eastAsia="ro-RO"/>
        </w:rPr>
      </w:pPr>
    </w:p>
    <w:p w:rsidR="00BD3349" w:rsidRPr="00BD3349" w:rsidRDefault="00BD3349" w:rsidP="00BD3349">
      <w:pPr>
        <w:tabs>
          <w:tab w:val="left" w:pos="1276"/>
        </w:tabs>
        <w:spacing w:after="0" w:line="240" w:lineRule="auto"/>
        <w:rPr>
          <w:rFonts w:ascii="Arial" w:eastAsia="SimSun" w:hAnsi="Arial" w:cs="Arial"/>
          <w:sz w:val="24"/>
          <w:szCs w:val="24"/>
          <w:lang w:val="ro-RO"/>
        </w:rPr>
      </w:pPr>
      <w:r w:rsidRPr="00BD3349">
        <w:rPr>
          <w:rFonts w:ascii="Arial" w:eastAsia="SimSun" w:hAnsi="Arial" w:cs="Arial"/>
          <w:sz w:val="24"/>
          <w:szCs w:val="24"/>
          <w:lang w:val="ro-RO"/>
        </w:rPr>
        <w:t>Figura VI.1. Evoluţia fondului forestier la nivelul judeţului Vaslui, în perioada 2011-2015</w:t>
      </w:r>
    </w:p>
    <w:p w:rsidR="00BD3349" w:rsidRPr="00BD3349" w:rsidRDefault="00BD3349" w:rsidP="00BD3349">
      <w:pPr>
        <w:tabs>
          <w:tab w:val="left" w:pos="1276"/>
        </w:tabs>
        <w:spacing w:after="0" w:line="240" w:lineRule="auto"/>
        <w:rPr>
          <w:rFonts w:ascii="Arial" w:eastAsia="SimSun" w:hAnsi="Arial" w:cs="Arial"/>
          <w:sz w:val="24"/>
          <w:szCs w:val="24"/>
          <w:lang w:val="ro-RO"/>
        </w:rPr>
      </w:pPr>
      <w:r w:rsidRPr="00BD3349">
        <w:rPr>
          <w:rFonts w:ascii="Arial" w:eastAsia="SimSun" w:hAnsi="Arial" w:cs="Arial"/>
          <w:noProof/>
          <w:sz w:val="24"/>
          <w:szCs w:val="24"/>
        </w:rPr>
        <w:drawing>
          <wp:inline distT="0" distB="0" distL="0" distR="0" wp14:anchorId="5CFF31A8" wp14:editId="4520EB3F">
            <wp:extent cx="6122894" cy="2572870"/>
            <wp:effectExtent l="0" t="0" r="0" b="0"/>
            <wp:docPr id="225" name="Chart 2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BD3349" w:rsidRPr="00BD3349" w:rsidRDefault="00BD3349" w:rsidP="00BD3349">
      <w:pPr>
        <w:tabs>
          <w:tab w:val="left" w:pos="1276"/>
        </w:tabs>
        <w:spacing w:after="0" w:line="240" w:lineRule="auto"/>
        <w:rPr>
          <w:rFonts w:ascii="Arial" w:eastAsia="SimSun" w:hAnsi="Arial" w:cs="Arial"/>
          <w:sz w:val="24"/>
          <w:szCs w:val="24"/>
          <w:lang w:val="ro-RO"/>
        </w:rPr>
      </w:pPr>
      <w:r w:rsidRPr="00BD3349">
        <w:rPr>
          <w:rFonts w:ascii="Arial" w:eastAsia="SimSun" w:hAnsi="Arial" w:cs="Arial"/>
          <w:sz w:val="24"/>
          <w:szCs w:val="24"/>
          <w:lang w:val="ro-RO"/>
        </w:rPr>
        <w:lastRenderedPageBreak/>
        <w:t>Figura VI.2. Evoluţia fondului forestier la nivelul judeţului Vaslui(ha/locuitor), în perioada 2011-2015</w:t>
      </w:r>
    </w:p>
    <w:p w:rsidR="00BD3349" w:rsidRPr="00BD3349" w:rsidRDefault="00BD3349" w:rsidP="00BD3349">
      <w:pPr>
        <w:tabs>
          <w:tab w:val="left" w:pos="1276"/>
        </w:tabs>
        <w:spacing w:after="0" w:line="240" w:lineRule="auto"/>
        <w:rPr>
          <w:rFonts w:ascii="Arial" w:eastAsia="SimSun" w:hAnsi="Arial" w:cs="Arial"/>
          <w:sz w:val="24"/>
          <w:szCs w:val="24"/>
          <w:lang w:val="ro-RO"/>
        </w:rPr>
      </w:pPr>
      <w:r w:rsidRPr="00BD3349">
        <w:rPr>
          <w:rFonts w:ascii="Arial" w:eastAsia="SimSun" w:hAnsi="Arial" w:cs="Arial"/>
          <w:noProof/>
          <w:sz w:val="24"/>
          <w:szCs w:val="24"/>
        </w:rPr>
        <w:drawing>
          <wp:inline distT="0" distB="0" distL="0" distR="0" wp14:anchorId="1AEDBB56" wp14:editId="2D3897DA">
            <wp:extent cx="5848709" cy="2035834"/>
            <wp:effectExtent l="0" t="0" r="0" b="0"/>
            <wp:docPr id="226" name="Chart 2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BD3349" w:rsidRPr="00BD3349" w:rsidRDefault="00BD3349" w:rsidP="00BD3349">
      <w:pPr>
        <w:tabs>
          <w:tab w:val="left" w:pos="1276"/>
        </w:tabs>
        <w:spacing w:after="0" w:line="240" w:lineRule="auto"/>
        <w:jc w:val="both"/>
        <w:rPr>
          <w:rFonts w:ascii="Arial" w:eastAsia="SimSun" w:hAnsi="Arial" w:cs="Arial"/>
          <w:sz w:val="24"/>
          <w:szCs w:val="24"/>
          <w:lang w:val="ro-RO"/>
        </w:rPr>
      </w:pPr>
      <w:r w:rsidRPr="00BD3349">
        <w:rPr>
          <w:rFonts w:ascii="Arial" w:eastAsia="SimSun" w:hAnsi="Arial" w:cs="Arial"/>
          <w:sz w:val="24"/>
          <w:szCs w:val="24"/>
          <w:lang w:val="ro-RO"/>
        </w:rPr>
        <w:t xml:space="preserve">              În ultimii ani, suprafaţa împădurită la nivelui judeţului a rămas relativ mică, împădurirea realizându-se în general pe suprafeţele parcurse de tăieri.</w:t>
      </w:r>
    </w:p>
    <w:p w:rsidR="00BD3349" w:rsidRPr="00BD3349" w:rsidRDefault="00BD3349" w:rsidP="00BD3349">
      <w:pPr>
        <w:spacing w:after="0" w:line="240" w:lineRule="auto"/>
        <w:ind w:right="-235" w:firstLine="360"/>
        <w:jc w:val="both"/>
        <w:rPr>
          <w:rFonts w:ascii="Arial" w:eastAsia="SimSun" w:hAnsi="Arial" w:cs="Arial"/>
          <w:sz w:val="24"/>
          <w:szCs w:val="24"/>
          <w:lang w:val="ro-RO"/>
        </w:rPr>
      </w:pPr>
    </w:p>
    <w:p w:rsidR="00BD3349" w:rsidRPr="00BD3349" w:rsidRDefault="00BD3349" w:rsidP="00BD3349">
      <w:pPr>
        <w:spacing w:after="0" w:line="240" w:lineRule="auto"/>
        <w:rPr>
          <w:rFonts w:ascii="Arial" w:eastAsia="SimSun" w:hAnsi="Arial" w:cs="Arial"/>
          <w:sz w:val="24"/>
          <w:szCs w:val="24"/>
          <w:lang w:val="ro-RO"/>
        </w:rPr>
      </w:pPr>
      <w:r w:rsidRPr="00BD3349">
        <w:rPr>
          <w:rFonts w:ascii="Arial" w:eastAsia="SimSun" w:hAnsi="Arial" w:cs="Arial"/>
          <w:sz w:val="24"/>
          <w:szCs w:val="24"/>
          <w:lang w:val="ro-RO"/>
        </w:rPr>
        <w:t xml:space="preserve">Tabelul VI.2. Evoluţia suprafeţelor împădurite (ha) la nivelul judeţului Vaslui </w:t>
      </w:r>
    </w:p>
    <w:tbl>
      <w:tblPr>
        <w:tblW w:w="9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
        <w:gridCol w:w="1597"/>
        <w:gridCol w:w="1631"/>
        <w:gridCol w:w="1631"/>
        <w:gridCol w:w="1631"/>
        <w:gridCol w:w="1631"/>
      </w:tblGrid>
      <w:tr w:rsidR="00BD3349" w:rsidRPr="00BD3349" w:rsidTr="002403BF">
        <w:trPr>
          <w:trHeight w:val="70"/>
        </w:trPr>
        <w:tc>
          <w:tcPr>
            <w:tcW w:w="1638" w:type="dxa"/>
            <w:vMerge w:val="restart"/>
            <w:tcBorders>
              <w:top w:val="single" w:sz="4" w:space="0" w:color="auto"/>
              <w:left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rPr>
                <w:rFonts w:ascii="Arial" w:eastAsia="Times New Roman" w:hAnsi="Arial" w:cs="Arial"/>
                <w:b/>
                <w:sz w:val="24"/>
                <w:szCs w:val="24"/>
                <w:lang w:val="ro-RO"/>
              </w:rPr>
            </w:pPr>
            <w:r w:rsidRPr="00BD3349">
              <w:rPr>
                <w:rFonts w:ascii="Arial" w:eastAsia="Times New Roman" w:hAnsi="Arial" w:cs="Arial"/>
                <w:b/>
                <w:sz w:val="24"/>
                <w:szCs w:val="24"/>
                <w:lang w:val="ro-RO"/>
              </w:rPr>
              <w:t>Judeţul Vaslui</w:t>
            </w:r>
          </w:p>
        </w:tc>
        <w:tc>
          <w:tcPr>
            <w:tcW w:w="8121" w:type="dxa"/>
            <w:gridSpan w:val="5"/>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b/>
                <w:sz w:val="24"/>
                <w:szCs w:val="24"/>
                <w:lang w:val="ro-RO"/>
              </w:rPr>
            </w:pPr>
            <w:r w:rsidRPr="00BD3349">
              <w:rPr>
                <w:rFonts w:ascii="Arial" w:eastAsia="Times New Roman" w:hAnsi="Arial" w:cs="Arial"/>
                <w:b/>
                <w:sz w:val="24"/>
                <w:szCs w:val="24"/>
                <w:lang w:val="ro-RO"/>
              </w:rPr>
              <w:t>ANUL</w:t>
            </w:r>
          </w:p>
        </w:tc>
      </w:tr>
      <w:tr w:rsidR="00BD3349" w:rsidRPr="00BD3349" w:rsidTr="002403BF">
        <w:trPr>
          <w:trHeight w:val="70"/>
        </w:trPr>
        <w:tc>
          <w:tcPr>
            <w:tcW w:w="0" w:type="auto"/>
            <w:vMerge/>
            <w:tcBorders>
              <w:left w:val="single" w:sz="4" w:space="0" w:color="auto"/>
              <w:right w:val="single" w:sz="4" w:space="0" w:color="auto"/>
            </w:tcBorders>
            <w:vAlign w:val="center"/>
          </w:tcPr>
          <w:p w:rsidR="00BD3349" w:rsidRPr="00BD3349" w:rsidRDefault="00BD3349" w:rsidP="00BD3349">
            <w:pPr>
              <w:spacing w:after="0" w:line="240" w:lineRule="auto"/>
              <w:rPr>
                <w:rFonts w:ascii="Arial" w:eastAsia="SimSun" w:hAnsi="Arial" w:cs="Arial"/>
                <w:b/>
                <w:sz w:val="24"/>
                <w:szCs w:val="24"/>
                <w:lang w:val="ro-RO"/>
              </w:rPr>
            </w:pPr>
          </w:p>
        </w:tc>
        <w:tc>
          <w:tcPr>
            <w:tcW w:w="1597"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b/>
                <w:sz w:val="24"/>
                <w:szCs w:val="24"/>
                <w:lang w:val="ro-RO"/>
              </w:rPr>
            </w:pPr>
            <w:r w:rsidRPr="00BD3349">
              <w:rPr>
                <w:rFonts w:ascii="Arial" w:eastAsia="Times New Roman" w:hAnsi="Arial" w:cs="Arial"/>
                <w:b/>
                <w:sz w:val="24"/>
                <w:szCs w:val="24"/>
                <w:lang w:val="ro-RO"/>
              </w:rPr>
              <w:t>2011</w:t>
            </w:r>
          </w:p>
        </w:tc>
        <w:tc>
          <w:tcPr>
            <w:tcW w:w="163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b/>
                <w:sz w:val="24"/>
                <w:szCs w:val="24"/>
                <w:lang w:val="ro-RO"/>
              </w:rPr>
            </w:pPr>
            <w:r w:rsidRPr="00BD3349">
              <w:rPr>
                <w:rFonts w:ascii="Arial" w:eastAsia="Times New Roman" w:hAnsi="Arial" w:cs="Arial"/>
                <w:b/>
                <w:sz w:val="24"/>
                <w:szCs w:val="24"/>
                <w:lang w:val="ro-RO"/>
              </w:rPr>
              <w:t>2012</w:t>
            </w:r>
          </w:p>
        </w:tc>
        <w:tc>
          <w:tcPr>
            <w:tcW w:w="163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b/>
                <w:sz w:val="24"/>
                <w:szCs w:val="24"/>
                <w:lang w:val="ro-RO"/>
              </w:rPr>
            </w:pPr>
            <w:r w:rsidRPr="00BD3349">
              <w:rPr>
                <w:rFonts w:ascii="Arial" w:eastAsia="Times New Roman" w:hAnsi="Arial" w:cs="Arial"/>
                <w:b/>
                <w:sz w:val="24"/>
                <w:szCs w:val="24"/>
                <w:lang w:val="ro-RO"/>
              </w:rPr>
              <w:t>2013</w:t>
            </w:r>
          </w:p>
        </w:tc>
        <w:tc>
          <w:tcPr>
            <w:tcW w:w="163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b/>
                <w:sz w:val="24"/>
                <w:szCs w:val="24"/>
                <w:lang w:val="ro-RO"/>
              </w:rPr>
            </w:pPr>
            <w:r w:rsidRPr="00BD3349">
              <w:rPr>
                <w:rFonts w:ascii="Arial" w:eastAsia="Times New Roman" w:hAnsi="Arial" w:cs="Arial"/>
                <w:b/>
                <w:sz w:val="24"/>
                <w:szCs w:val="24"/>
                <w:lang w:val="ro-RO"/>
              </w:rPr>
              <w:t>2014</w:t>
            </w:r>
          </w:p>
        </w:tc>
        <w:tc>
          <w:tcPr>
            <w:tcW w:w="163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b/>
                <w:sz w:val="24"/>
                <w:szCs w:val="24"/>
                <w:lang w:val="ro-RO"/>
              </w:rPr>
            </w:pPr>
            <w:r w:rsidRPr="00BD3349">
              <w:rPr>
                <w:rFonts w:ascii="Arial" w:eastAsia="Times New Roman" w:hAnsi="Arial" w:cs="Arial"/>
                <w:b/>
                <w:sz w:val="24"/>
                <w:szCs w:val="24"/>
                <w:lang w:val="ro-RO"/>
              </w:rPr>
              <w:t>2015</w:t>
            </w:r>
          </w:p>
        </w:tc>
      </w:tr>
      <w:tr w:rsidR="00BD3349" w:rsidRPr="00BD3349" w:rsidTr="002403BF">
        <w:trPr>
          <w:trHeight w:val="128"/>
        </w:trPr>
        <w:tc>
          <w:tcPr>
            <w:tcW w:w="1638" w:type="dxa"/>
            <w:vMerge/>
            <w:tcBorders>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rPr>
                <w:rFonts w:ascii="Arial" w:eastAsia="Times New Roman" w:hAnsi="Arial" w:cs="Arial"/>
                <w:b/>
                <w:sz w:val="24"/>
                <w:szCs w:val="24"/>
                <w:lang w:val="ro-RO"/>
              </w:rPr>
            </w:pPr>
          </w:p>
        </w:tc>
        <w:tc>
          <w:tcPr>
            <w:tcW w:w="1597"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4"/>
                <w:szCs w:val="24"/>
                <w:lang w:val="ro-RO"/>
              </w:rPr>
            </w:pPr>
            <w:r w:rsidRPr="00BD3349">
              <w:rPr>
                <w:rFonts w:ascii="Arial" w:eastAsia="Times New Roman" w:hAnsi="Arial" w:cs="Arial"/>
                <w:sz w:val="24"/>
                <w:szCs w:val="24"/>
                <w:lang w:val="ro-RO"/>
              </w:rPr>
              <w:t>98</w:t>
            </w:r>
          </w:p>
        </w:tc>
        <w:tc>
          <w:tcPr>
            <w:tcW w:w="163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4"/>
                <w:szCs w:val="24"/>
                <w:lang w:val="ro-RO"/>
              </w:rPr>
            </w:pPr>
            <w:r w:rsidRPr="00BD3349">
              <w:rPr>
                <w:rFonts w:ascii="Arial" w:eastAsia="Times New Roman" w:hAnsi="Arial" w:cs="Arial"/>
                <w:sz w:val="24"/>
                <w:szCs w:val="24"/>
                <w:lang w:val="ro-RO"/>
              </w:rPr>
              <w:t>59</w:t>
            </w:r>
          </w:p>
        </w:tc>
        <w:tc>
          <w:tcPr>
            <w:tcW w:w="163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4"/>
                <w:szCs w:val="24"/>
                <w:lang w:val="ro-RO"/>
              </w:rPr>
            </w:pPr>
            <w:r w:rsidRPr="00BD3349">
              <w:rPr>
                <w:rFonts w:ascii="Arial" w:eastAsia="Times New Roman" w:hAnsi="Arial" w:cs="Arial"/>
                <w:sz w:val="24"/>
                <w:szCs w:val="24"/>
                <w:lang w:val="ro-RO"/>
              </w:rPr>
              <w:t>92</w:t>
            </w:r>
          </w:p>
        </w:tc>
        <w:tc>
          <w:tcPr>
            <w:tcW w:w="163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4"/>
                <w:szCs w:val="24"/>
                <w:lang w:val="ro-RO"/>
              </w:rPr>
            </w:pPr>
            <w:r w:rsidRPr="00BD3349">
              <w:rPr>
                <w:rFonts w:ascii="Arial" w:eastAsia="Times New Roman" w:hAnsi="Arial" w:cs="Arial"/>
                <w:sz w:val="24"/>
                <w:szCs w:val="24"/>
                <w:lang w:val="ro-RO"/>
              </w:rPr>
              <w:t>69</w:t>
            </w:r>
          </w:p>
        </w:tc>
        <w:tc>
          <w:tcPr>
            <w:tcW w:w="163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4"/>
                <w:szCs w:val="24"/>
                <w:lang w:val="ro-RO"/>
              </w:rPr>
            </w:pPr>
            <w:r w:rsidRPr="00BD3349">
              <w:rPr>
                <w:rFonts w:ascii="Arial" w:eastAsia="Times New Roman" w:hAnsi="Arial" w:cs="Arial"/>
                <w:sz w:val="24"/>
                <w:szCs w:val="24"/>
                <w:lang w:val="ro-RO"/>
              </w:rPr>
              <w:t>106</w:t>
            </w:r>
          </w:p>
        </w:tc>
      </w:tr>
      <w:tr w:rsidR="00BD3349" w:rsidRPr="00BD3349" w:rsidTr="002403BF">
        <w:trPr>
          <w:trHeight w:val="292"/>
        </w:trPr>
        <w:tc>
          <w:tcPr>
            <w:tcW w:w="1638"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rPr>
                <w:rFonts w:ascii="Arial" w:eastAsia="Times New Roman" w:hAnsi="Arial" w:cs="Arial"/>
                <w:sz w:val="24"/>
                <w:szCs w:val="24"/>
                <w:lang w:val="ro-RO"/>
              </w:rPr>
            </w:pPr>
            <w:r w:rsidRPr="00BD3349">
              <w:rPr>
                <w:rFonts w:ascii="Arial" w:eastAsia="Times New Roman" w:hAnsi="Arial" w:cs="Arial"/>
                <w:sz w:val="24"/>
                <w:szCs w:val="24"/>
                <w:lang w:val="ro-RO"/>
              </w:rPr>
              <w:t>Total</w:t>
            </w:r>
          </w:p>
        </w:tc>
        <w:tc>
          <w:tcPr>
            <w:tcW w:w="1597"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4"/>
                <w:szCs w:val="24"/>
                <w:lang w:val="ro-RO"/>
              </w:rPr>
            </w:pPr>
            <w:r w:rsidRPr="00BD3349">
              <w:rPr>
                <w:rFonts w:ascii="Arial" w:eastAsia="Times New Roman" w:hAnsi="Arial" w:cs="Arial"/>
                <w:sz w:val="24"/>
                <w:szCs w:val="24"/>
                <w:lang w:val="ro-RO"/>
              </w:rPr>
              <w:t>98</w:t>
            </w:r>
          </w:p>
        </w:tc>
        <w:tc>
          <w:tcPr>
            <w:tcW w:w="163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4"/>
                <w:szCs w:val="24"/>
                <w:lang w:val="ro-RO"/>
              </w:rPr>
            </w:pPr>
            <w:r w:rsidRPr="00BD3349">
              <w:rPr>
                <w:rFonts w:ascii="Arial" w:eastAsia="Times New Roman" w:hAnsi="Arial" w:cs="Arial"/>
                <w:sz w:val="24"/>
                <w:szCs w:val="24"/>
                <w:lang w:val="ro-RO"/>
              </w:rPr>
              <w:t>59</w:t>
            </w:r>
          </w:p>
        </w:tc>
        <w:tc>
          <w:tcPr>
            <w:tcW w:w="163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4"/>
                <w:szCs w:val="24"/>
                <w:lang w:val="ro-RO"/>
              </w:rPr>
            </w:pPr>
            <w:r w:rsidRPr="00BD3349">
              <w:rPr>
                <w:rFonts w:ascii="Arial" w:eastAsia="Times New Roman" w:hAnsi="Arial" w:cs="Arial"/>
                <w:sz w:val="24"/>
                <w:szCs w:val="24"/>
                <w:lang w:val="ro-RO"/>
              </w:rPr>
              <w:t>92</w:t>
            </w:r>
          </w:p>
        </w:tc>
        <w:tc>
          <w:tcPr>
            <w:tcW w:w="163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4"/>
                <w:szCs w:val="24"/>
                <w:lang w:val="ro-RO"/>
              </w:rPr>
            </w:pPr>
            <w:r w:rsidRPr="00BD3349">
              <w:rPr>
                <w:rFonts w:ascii="Arial" w:eastAsia="Times New Roman" w:hAnsi="Arial" w:cs="Arial"/>
                <w:sz w:val="24"/>
                <w:szCs w:val="24"/>
                <w:lang w:val="ro-RO"/>
              </w:rPr>
              <w:t>69</w:t>
            </w:r>
          </w:p>
        </w:tc>
        <w:tc>
          <w:tcPr>
            <w:tcW w:w="163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4"/>
                <w:szCs w:val="24"/>
                <w:lang w:val="ro-RO"/>
              </w:rPr>
            </w:pPr>
            <w:r w:rsidRPr="00BD3349">
              <w:rPr>
                <w:rFonts w:ascii="Arial" w:eastAsia="Times New Roman" w:hAnsi="Arial" w:cs="Arial"/>
                <w:sz w:val="24"/>
                <w:szCs w:val="24"/>
                <w:lang w:val="ro-RO"/>
              </w:rPr>
              <w:t>106</w:t>
            </w:r>
          </w:p>
        </w:tc>
      </w:tr>
    </w:tbl>
    <w:p w:rsidR="00BD3349" w:rsidRPr="00BD3349" w:rsidRDefault="00BD3349" w:rsidP="00BD3349">
      <w:pPr>
        <w:tabs>
          <w:tab w:val="left" w:pos="1276"/>
        </w:tabs>
        <w:spacing w:after="0" w:line="240" w:lineRule="auto"/>
        <w:rPr>
          <w:rFonts w:ascii="Arial" w:eastAsia="Times New Roman" w:hAnsi="Arial" w:cs="Arial"/>
          <w:sz w:val="20"/>
          <w:szCs w:val="20"/>
          <w:lang w:eastAsia="ro-RO"/>
        </w:rPr>
      </w:pPr>
      <w:r w:rsidRPr="00BD3349">
        <w:rPr>
          <w:rFonts w:ascii="Arial" w:eastAsia="Times New Roman" w:hAnsi="Arial" w:cs="Arial"/>
          <w:lang w:eastAsia="ro-RO"/>
        </w:rPr>
        <w:t>(</w:t>
      </w:r>
      <w:r w:rsidRPr="00BD3349">
        <w:rPr>
          <w:rFonts w:ascii="Arial" w:eastAsia="Times New Roman" w:hAnsi="Arial" w:cs="Arial"/>
          <w:sz w:val="20"/>
          <w:szCs w:val="20"/>
          <w:lang w:eastAsia="ro-RO"/>
        </w:rPr>
        <w:t>sursa: Direcţia Silvică Vaslui, Direc</w:t>
      </w:r>
      <w:r w:rsidRPr="00BD3349">
        <w:rPr>
          <w:rFonts w:ascii="Arial" w:eastAsia="Times New Roman" w:hAnsi="Arial" w:cs="Arial"/>
          <w:sz w:val="20"/>
          <w:szCs w:val="20"/>
          <w:lang w:val="ro-RO" w:eastAsia="ro-RO"/>
        </w:rPr>
        <w:t>ţia Silvica Iaşi, Ocolul Silvic Griviţa şi Ocolul Silvic Bisericesc Iaşi</w:t>
      </w:r>
      <w:r w:rsidRPr="00BD3349">
        <w:rPr>
          <w:rFonts w:ascii="Arial" w:eastAsia="Times New Roman" w:hAnsi="Arial" w:cs="Arial"/>
          <w:sz w:val="20"/>
          <w:szCs w:val="20"/>
          <w:lang w:eastAsia="ro-RO"/>
        </w:rPr>
        <w:t>)</w:t>
      </w:r>
    </w:p>
    <w:p w:rsidR="00BD3349" w:rsidRPr="00BD3349" w:rsidRDefault="00BD3349" w:rsidP="00BD3349">
      <w:pPr>
        <w:tabs>
          <w:tab w:val="left" w:pos="1276"/>
        </w:tabs>
        <w:spacing w:after="0" w:line="240" w:lineRule="auto"/>
        <w:rPr>
          <w:rFonts w:ascii="Arial" w:eastAsia="SimSun" w:hAnsi="Arial" w:cs="Arial"/>
          <w:sz w:val="24"/>
          <w:szCs w:val="24"/>
          <w:lang w:val="ro-RO"/>
        </w:rPr>
      </w:pPr>
    </w:p>
    <w:p w:rsidR="00BD3349" w:rsidRPr="00BD3349" w:rsidRDefault="00BD3349" w:rsidP="00BD3349">
      <w:pPr>
        <w:tabs>
          <w:tab w:val="left" w:pos="1276"/>
        </w:tabs>
        <w:spacing w:after="0" w:line="240" w:lineRule="auto"/>
        <w:rPr>
          <w:rFonts w:ascii="Arial" w:eastAsia="SimSun" w:hAnsi="Arial" w:cs="Arial"/>
          <w:sz w:val="24"/>
          <w:szCs w:val="24"/>
          <w:lang w:val="ro-RO"/>
        </w:rPr>
      </w:pPr>
      <w:r w:rsidRPr="00BD3349">
        <w:rPr>
          <w:rFonts w:ascii="Arial" w:eastAsia="SimSun" w:hAnsi="Arial" w:cs="Arial"/>
          <w:sz w:val="24"/>
          <w:szCs w:val="24"/>
          <w:lang w:val="ro-RO"/>
        </w:rPr>
        <w:t>Figura VI.3. Evoluţia suprafeţelor împădurite (ha) la nivelul judeţului Vaslui, în perioada 2011-2015</w:t>
      </w:r>
    </w:p>
    <w:p w:rsidR="00BD3349" w:rsidRPr="00BD3349" w:rsidRDefault="00BD3349" w:rsidP="00BD3349">
      <w:pPr>
        <w:tabs>
          <w:tab w:val="left" w:pos="1276"/>
        </w:tabs>
        <w:spacing w:after="0" w:line="240" w:lineRule="auto"/>
        <w:rPr>
          <w:rFonts w:ascii="Arial" w:eastAsia="SimSun" w:hAnsi="Arial" w:cs="Arial"/>
          <w:sz w:val="24"/>
          <w:szCs w:val="24"/>
          <w:lang w:val="ro-RO"/>
        </w:rPr>
      </w:pPr>
      <w:r w:rsidRPr="00BD3349">
        <w:rPr>
          <w:rFonts w:ascii="Arial" w:eastAsia="SimSun" w:hAnsi="Arial" w:cs="Arial"/>
          <w:noProof/>
          <w:sz w:val="24"/>
          <w:szCs w:val="24"/>
        </w:rPr>
        <w:drawing>
          <wp:inline distT="0" distB="0" distL="0" distR="0" wp14:anchorId="6F265637" wp14:editId="2CC67BE2">
            <wp:extent cx="6176513" cy="1759788"/>
            <wp:effectExtent l="0" t="0" r="0" b="0"/>
            <wp:docPr id="227" name="Chart 2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BD3349" w:rsidRPr="00BD3349" w:rsidRDefault="00BD3349" w:rsidP="00BD3349">
      <w:pPr>
        <w:tabs>
          <w:tab w:val="left" w:pos="1276"/>
        </w:tabs>
        <w:spacing w:after="0" w:line="240" w:lineRule="auto"/>
        <w:rPr>
          <w:rFonts w:ascii="Arial" w:eastAsia="SimSun" w:hAnsi="Arial" w:cs="Arial"/>
          <w:b/>
          <w:sz w:val="24"/>
          <w:szCs w:val="24"/>
          <w:lang w:val="ro-RO"/>
        </w:rPr>
      </w:pPr>
      <w:r w:rsidRPr="00BD3349">
        <w:rPr>
          <w:rFonts w:ascii="Arial" w:eastAsia="SimSun" w:hAnsi="Arial" w:cs="Arial"/>
          <w:b/>
          <w:sz w:val="24"/>
          <w:szCs w:val="24"/>
          <w:lang w:val="ro-RO"/>
        </w:rPr>
        <w:t xml:space="preserve">   </w:t>
      </w:r>
    </w:p>
    <w:p w:rsidR="00BD3349" w:rsidRPr="00BD3349" w:rsidRDefault="00BD3349" w:rsidP="00BD3349">
      <w:pPr>
        <w:tabs>
          <w:tab w:val="left" w:pos="1276"/>
        </w:tabs>
        <w:spacing w:after="0" w:line="240" w:lineRule="auto"/>
        <w:rPr>
          <w:rFonts w:ascii="Arial" w:eastAsia="SimSun" w:hAnsi="Arial" w:cs="Arial"/>
          <w:b/>
          <w:sz w:val="24"/>
          <w:szCs w:val="24"/>
          <w:lang w:val="ro-RO"/>
        </w:rPr>
      </w:pPr>
    </w:p>
    <w:p w:rsidR="00BD3349" w:rsidRPr="00BD3349" w:rsidRDefault="00BD3349" w:rsidP="00BD3349">
      <w:pPr>
        <w:tabs>
          <w:tab w:val="left" w:pos="1276"/>
        </w:tabs>
        <w:spacing w:after="0" w:line="240" w:lineRule="auto"/>
        <w:rPr>
          <w:rFonts w:ascii="Arial" w:eastAsia="SimSun" w:hAnsi="Arial" w:cs="Arial"/>
          <w:b/>
          <w:i/>
          <w:sz w:val="24"/>
          <w:szCs w:val="24"/>
          <w:lang w:val="ro-RO"/>
        </w:rPr>
      </w:pPr>
      <w:r w:rsidRPr="00BD3349">
        <w:rPr>
          <w:rFonts w:ascii="Arial" w:eastAsia="SimSun" w:hAnsi="Arial" w:cs="Arial"/>
          <w:b/>
          <w:sz w:val="24"/>
          <w:szCs w:val="24"/>
          <w:lang w:val="ro-RO"/>
        </w:rPr>
        <w:t xml:space="preserve"> VI.1.2. </w:t>
      </w:r>
      <w:r w:rsidRPr="00BD3349">
        <w:rPr>
          <w:rFonts w:ascii="Arial" w:eastAsia="SimSun" w:hAnsi="Arial" w:cs="Arial"/>
          <w:b/>
          <w:i/>
          <w:sz w:val="24"/>
          <w:szCs w:val="24"/>
          <w:lang w:val="ro-RO"/>
        </w:rPr>
        <w:t xml:space="preserve">Distribuţia pădurilor după principalele forme de relief </w:t>
      </w:r>
    </w:p>
    <w:p w:rsidR="00BD3349" w:rsidRPr="00BD3349" w:rsidRDefault="00BD3349" w:rsidP="00BD3349">
      <w:pPr>
        <w:tabs>
          <w:tab w:val="left" w:pos="1276"/>
        </w:tabs>
        <w:spacing w:after="0" w:line="240" w:lineRule="auto"/>
        <w:rPr>
          <w:rFonts w:ascii="Arial" w:eastAsia="SimSun" w:hAnsi="Arial" w:cs="Arial"/>
          <w:i/>
          <w:sz w:val="24"/>
          <w:szCs w:val="24"/>
          <w:lang w:val="ro-RO"/>
        </w:rPr>
      </w:pPr>
      <w:r>
        <w:rPr>
          <w:rFonts w:ascii="Arial" w:eastAsia="SimSun" w:hAnsi="Arial" w:cs="Arial"/>
          <w:b/>
          <w:i/>
          <w:sz w:val="24"/>
          <w:szCs w:val="24"/>
          <w:lang w:val="ro-RO"/>
        </w:rPr>
        <w:tab/>
      </w:r>
    </w:p>
    <w:p w:rsidR="00BD3349" w:rsidRPr="00BD3349" w:rsidRDefault="00BD3349" w:rsidP="00BD3349">
      <w:pPr>
        <w:tabs>
          <w:tab w:val="left" w:pos="720"/>
          <w:tab w:val="center" w:pos="4703"/>
          <w:tab w:val="right" w:pos="9406"/>
        </w:tabs>
        <w:spacing w:after="0" w:line="240" w:lineRule="auto"/>
        <w:jc w:val="both"/>
        <w:rPr>
          <w:rFonts w:ascii="Arial" w:eastAsia="Times New Roman" w:hAnsi="Arial" w:cs="Arial"/>
          <w:sz w:val="24"/>
          <w:szCs w:val="24"/>
          <w:lang w:val="ro-RO"/>
        </w:rPr>
      </w:pPr>
      <w:r w:rsidRPr="00BD3349">
        <w:rPr>
          <w:rFonts w:ascii="Arial" w:eastAsia="Times New Roman" w:hAnsi="Arial" w:cs="Arial"/>
          <w:sz w:val="24"/>
          <w:szCs w:val="24"/>
          <w:lang w:val="ro-RO"/>
        </w:rPr>
        <w:t>Tabelul VI.3. Distribuţia pădurilor după principalele forme de relief, la nivelul judeţului Vaslui, în anul 2015</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1701"/>
        <w:gridCol w:w="2126"/>
        <w:gridCol w:w="1802"/>
      </w:tblGrid>
      <w:tr w:rsidR="00BD3349" w:rsidRPr="00BD3349" w:rsidTr="002403BF">
        <w:trPr>
          <w:jc w:val="center"/>
        </w:trPr>
        <w:tc>
          <w:tcPr>
            <w:tcW w:w="2977" w:type="dxa"/>
            <w:vMerge w:val="restart"/>
            <w:tcBorders>
              <w:top w:val="single" w:sz="4" w:space="0" w:color="auto"/>
              <w:left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rPr>
                <w:rFonts w:ascii="Arial" w:eastAsia="Times New Roman" w:hAnsi="Arial" w:cs="Arial"/>
                <w:b/>
                <w:sz w:val="24"/>
                <w:szCs w:val="24"/>
                <w:lang w:val="ro-RO"/>
              </w:rPr>
            </w:pPr>
            <w:r w:rsidRPr="00BD3349">
              <w:rPr>
                <w:rFonts w:ascii="Arial" w:eastAsia="Times New Roman" w:hAnsi="Arial" w:cs="Arial"/>
                <w:b/>
                <w:sz w:val="24"/>
                <w:szCs w:val="24"/>
                <w:lang w:val="ro-RO"/>
              </w:rPr>
              <w:t xml:space="preserve">Judeţul </w:t>
            </w:r>
            <w:r w:rsidRPr="00BD3349">
              <w:rPr>
                <w:rFonts w:ascii="Arial" w:eastAsia="Times New Roman" w:hAnsi="Arial" w:cs="Arial"/>
                <w:sz w:val="24"/>
                <w:szCs w:val="24"/>
                <w:lang w:val="ro-RO"/>
              </w:rPr>
              <w:t>Vaslui</w:t>
            </w:r>
          </w:p>
        </w:tc>
        <w:tc>
          <w:tcPr>
            <w:tcW w:w="170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b/>
                <w:sz w:val="24"/>
                <w:szCs w:val="24"/>
                <w:lang w:val="ro-RO"/>
              </w:rPr>
            </w:pPr>
            <w:r w:rsidRPr="00BD3349">
              <w:rPr>
                <w:rFonts w:ascii="Arial" w:eastAsia="Times New Roman" w:hAnsi="Arial" w:cs="Arial"/>
                <w:b/>
                <w:sz w:val="24"/>
                <w:szCs w:val="24"/>
                <w:lang w:val="ro-RO"/>
              </w:rPr>
              <w:t>Munte(%)</w:t>
            </w:r>
          </w:p>
        </w:tc>
        <w:tc>
          <w:tcPr>
            <w:tcW w:w="2126"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b/>
                <w:sz w:val="24"/>
                <w:szCs w:val="24"/>
                <w:lang w:val="ro-RO"/>
              </w:rPr>
            </w:pPr>
            <w:r w:rsidRPr="00BD3349">
              <w:rPr>
                <w:rFonts w:ascii="Arial" w:eastAsia="Times New Roman" w:hAnsi="Arial" w:cs="Arial"/>
                <w:b/>
                <w:sz w:val="24"/>
                <w:szCs w:val="24"/>
                <w:lang w:val="ro-RO"/>
              </w:rPr>
              <w:t>Deal(%)</w:t>
            </w:r>
          </w:p>
        </w:tc>
        <w:tc>
          <w:tcPr>
            <w:tcW w:w="1802"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b/>
                <w:sz w:val="24"/>
                <w:szCs w:val="24"/>
                <w:lang w:val="ro-RO"/>
              </w:rPr>
            </w:pPr>
            <w:r w:rsidRPr="00BD3349">
              <w:rPr>
                <w:rFonts w:ascii="Arial" w:eastAsia="Times New Roman" w:hAnsi="Arial" w:cs="Arial"/>
                <w:b/>
                <w:sz w:val="24"/>
                <w:szCs w:val="24"/>
                <w:lang w:val="ro-RO"/>
              </w:rPr>
              <w:t>Câmpie(%)</w:t>
            </w:r>
          </w:p>
        </w:tc>
      </w:tr>
      <w:tr w:rsidR="00BD3349" w:rsidRPr="00BD3349" w:rsidTr="002403BF">
        <w:trPr>
          <w:jc w:val="center"/>
        </w:trPr>
        <w:tc>
          <w:tcPr>
            <w:tcW w:w="2977" w:type="dxa"/>
            <w:vMerge/>
            <w:tcBorders>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4"/>
                <w:szCs w:val="24"/>
                <w:lang w:val="ro-RO"/>
              </w:rPr>
            </w:pPr>
          </w:p>
        </w:tc>
        <w:tc>
          <w:tcPr>
            <w:tcW w:w="170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4"/>
                <w:szCs w:val="24"/>
                <w:lang w:val="ro-RO"/>
              </w:rPr>
            </w:pPr>
            <w:r w:rsidRPr="00BD3349">
              <w:rPr>
                <w:rFonts w:ascii="Arial" w:eastAsia="Times New Roman" w:hAnsi="Arial" w:cs="Arial"/>
                <w:sz w:val="24"/>
                <w:szCs w:val="24"/>
                <w:lang w:val="ro-RO"/>
              </w:rPr>
              <w:t>-</w:t>
            </w:r>
          </w:p>
        </w:tc>
        <w:tc>
          <w:tcPr>
            <w:tcW w:w="2126"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4"/>
                <w:szCs w:val="24"/>
                <w:lang w:val="ro-RO"/>
              </w:rPr>
            </w:pPr>
            <w:r w:rsidRPr="00BD3349">
              <w:rPr>
                <w:rFonts w:ascii="Arial" w:eastAsia="Times New Roman" w:hAnsi="Arial" w:cs="Arial"/>
                <w:sz w:val="24"/>
                <w:szCs w:val="24"/>
                <w:lang w:val="ro-RO"/>
              </w:rPr>
              <w:t>19</w:t>
            </w:r>
          </w:p>
        </w:tc>
        <w:tc>
          <w:tcPr>
            <w:tcW w:w="1802"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4"/>
                <w:szCs w:val="24"/>
                <w:lang w:val="ro-RO"/>
              </w:rPr>
            </w:pPr>
            <w:r w:rsidRPr="00BD3349">
              <w:rPr>
                <w:rFonts w:ascii="Arial" w:eastAsia="Times New Roman" w:hAnsi="Arial" w:cs="Arial"/>
                <w:sz w:val="24"/>
                <w:szCs w:val="24"/>
                <w:lang w:val="ro-RO"/>
              </w:rPr>
              <w:t>81</w:t>
            </w:r>
          </w:p>
        </w:tc>
      </w:tr>
    </w:tbl>
    <w:p w:rsidR="00BD3349" w:rsidRPr="00BD3349" w:rsidRDefault="00BD3349" w:rsidP="00BD3349">
      <w:pPr>
        <w:spacing w:after="0" w:line="240" w:lineRule="auto"/>
        <w:rPr>
          <w:rFonts w:ascii="Arial" w:eastAsia="SimSun" w:hAnsi="Arial" w:cs="Arial"/>
          <w:lang w:val="en-GB"/>
        </w:rPr>
      </w:pPr>
      <w:r w:rsidRPr="00BD3349">
        <w:rPr>
          <w:rFonts w:ascii="Times New Roman" w:eastAsia="SimSun" w:hAnsi="Times New Roman" w:cs="Arial"/>
          <w:i/>
          <w:sz w:val="20"/>
          <w:szCs w:val="24"/>
          <w:lang w:val="en-GB"/>
        </w:rPr>
        <w:t xml:space="preserve">   </w:t>
      </w:r>
      <w:r w:rsidRPr="00BD3349">
        <w:rPr>
          <w:rFonts w:ascii="Arial" w:eastAsia="SimSun" w:hAnsi="Arial" w:cs="Arial"/>
          <w:lang w:val="en-GB"/>
        </w:rPr>
        <w:t>(sursa: Direcţia Silvică Vaslui)</w:t>
      </w:r>
    </w:p>
    <w:p w:rsidR="00BD3349" w:rsidRPr="00BD3349" w:rsidRDefault="00BD3349" w:rsidP="00BD3349">
      <w:pPr>
        <w:tabs>
          <w:tab w:val="left" w:pos="1276"/>
        </w:tabs>
        <w:spacing w:after="0" w:line="240" w:lineRule="auto"/>
        <w:rPr>
          <w:rFonts w:ascii="Arial" w:eastAsia="SimSun" w:hAnsi="Arial" w:cs="Arial"/>
          <w:sz w:val="24"/>
          <w:szCs w:val="24"/>
          <w:lang w:val="ro-RO"/>
        </w:rPr>
      </w:pPr>
    </w:p>
    <w:p w:rsidR="00BD3349" w:rsidRPr="00BD3349" w:rsidRDefault="00BD3349" w:rsidP="00BD3349">
      <w:pPr>
        <w:tabs>
          <w:tab w:val="left" w:pos="1276"/>
        </w:tabs>
        <w:spacing w:after="0" w:line="240" w:lineRule="auto"/>
        <w:rPr>
          <w:rFonts w:ascii="Arial" w:eastAsia="SimSun" w:hAnsi="Arial" w:cs="Arial"/>
          <w:sz w:val="24"/>
          <w:szCs w:val="24"/>
          <w:lang w:val="ro-RO"/>
        </w:rPr>
      </w:pPr>
      <w:r w:rsidRPr="00BD3349">
        <w:rPr>
          <w:rFonts w:ascii="Arial" w:eastAsia="SimSun" w:hAnsi="Arial" w:cs="Arial"/>
          <w:sz w:val="24"/>
          <w:szCs w:val="24"/>
          <w:lang w:val="ro-RO"/>
        </w:rPr>
        <w:lastRenderedPageBreak/>
        <w:t xml:space="preserve">Figura VI.4. </w:t>
      </w:r>
      <w:r w:rsidRPr="00BD3349">
        <w:rPr>
          <w:rFonts w:ascii="Arial" w:eastAsia="SimSun" w:hAnsi="Arial" w:cs="Arial"/>
          <w:sz w:val="24"/>
          <w:szCs w:val="24"/>
          <w:lang w:val="en-GB"/>
        </w:rPr>
        <w:t>Distribuţia pădurilor după principalele forme de relief, în anul 2015</w:t>
      </w:r>
    </w:p>
    <w:p w:rsidR="00BD3349" w:rsidRPr="00BD3349" w:rsidRDefault="00BD3349" w:rsidP="00BD3349">
      <w:pPr>
        <w:tabs>
          <w:tab w:val="left" w:pos="1276"/>
        </w:tabs>
        <w:spacing w:after="0" w:line="240" w:lineRule="auto"/>
        <w:jc w:val="center"/>
        <w:rPr>
          <w:rFonts w:ascii="Arial" w:eastAsia="SimSun" w:hAnsi="Arial" w:cs="Arial"/>
          <w:i/>
          <w:sz w:val="24"/>
          <w:szCs w:val="24"/>
          <w:lang w:val="ro-RO"/>
        </w:rPr>
      </w:pPr>
      <w:r w:rsidRPr="00BD3349">
        <w:rPr>
          <w:rFonts w:ascii="Arial" w:eastAsia="SimSun" w:hAnsi="Arial" w:cs="Arial"/>
          <w:i/>
          <w:noProof/>
          <w:sz w:val="24"/>
          <w:szCs w:val="24"/>
        </w:rPr>
        <w:drawing>
          <wp:inline distT="0" distB="0" distL="0" distR="0" wp14:anchorId="5F7465D5" wp14:editId="0F738C40">
            <wp:extent cx="5257800" cy="2066925"/>
            <wp:effectExtent l="0" t="0" r="0" b="0"/>
            <wp:docPr id="228" name="Chart 2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BD3349" w:rsidRPr="00BD3349" w:rsidRDefault="00BD3349" w:rsidP="00BD3349">
      <w:pPr>
        <w:tabs>
          <w:tab w:val="left" w:pos="1276"/>
        </w:tabs>
        <w:spacing w:after="0" w:line="240" w:lineRule="auto"/>
        <w:rPr>
          <w:rFonts w:ascii="Arial" w:eastAsia="SimSun" w:hAnsi="Arial" w:cs="Arial"/>
          <w:b/>
          <w:sz w:val="24"/>
          <w:szCs w:val="24"/>
          <w:lang w:val="ro-RO"/>
        </w:rPr>
      </w:pPr>
      <w:r w:rsidRPr="00BD3349">
        <w:rPr>
          <w:rFonts w:ascii="Arial" w:eastAsia="SimSun" w:hAnsi="Arial" w:cs="Arial"/>
          <w:b/>
          <w:sz w:val="24"/>
          <w:szCs w:val="24"/>
          <w:lang w:val="ro-RO"/>
        </w:rPr>
        <w:t xml:space="preserve">    </w:t>
      </w:r>
    </w:p>
    <w:p w:rsidR="00B635CB" w:rsidRDefault="00B635CB" w:rsidP="00BD3349">
      <w:pPr>
        <w:tabs>
          <w:tab w:val="left" w:pos="1276"/>
        </w:tabs>
        <w:spacing w:after="0" w:line="240" w:lineRule="auto"/>
        <w:rPr>
          <w:rFonts w:ascii="Arial" w:eastAsia="SimSun" w:hAnsi="Arial" w:cs="Arial"/>
          <w:b/>
          <w:sz w:val="24"/>
          <w:szCs w:val="24"/>
          <w:lang w:val="ro-RO"/>
        </w:rPr>
      </w:pPr>
    </w:p>
    <w:p w:rsidR="00BD3349" w:rsidRPr="00BD3349" w:rsidRDefault="00BD3349" w:rsidP="00BD3349">
      <w:pPr>
        <w:tabs>
          <w:tab w:val="left" w:pos="1276"/>
        </w:tabs>
        <w:spacing w:after="0" w:line="240" w:lineRule="auto"/>
        <w:rPr>
          <w:rFonts w:ascii="Arial" w:eastAsia="SimSun" w:hAnsi="Arial" w:cs="Arial"/>
          <w:b/>
          <w:i/>
          <w:sz w:val="24"/>
          <w:szCs w:val="24"/>
          <w:lang w:val="ro-RO"/>
        </w:rPr>
      </w:pPr>
      <w:r w:rsidRPr="00BD3349">
        <w:rPr>
          <w:rFonts w:ascii="Arial" w:eastAsia="SimSun" w:hAnsi="Arial" w:cs="Arial"/>
          <w:b/>
          <w:sz w:val="24"/>
          <w:szCs w:val="24"/>
          <w:lang w:val="ro-RO"/>
        </w:rPr>
        <w:t xml:space="preserve">VI.1.3. </w:t>
      </w:r>
      <w:r w:rsidRPr="00BD3349">
        <w:rPr>
          <w:rFonts w:ascii="Arial" w:eastAsia="SimSun" w:hAnsi="Arial" w:cs="Arial"/>
          <w:b/>
          <w:i/>
          <w:sz w:val="24"/>
          <w:szCs w:val="24"/>
          <w:lang w:val="ro-RO"/>
        </w:rPr>
        <w:t xml:space="preserve">Starea de sănătate a pădurilor </w:t>
      </w:r>
    </w:p>
    <w:p w:rsidR="00BD3349" w:rsidRPr="00BD3349" w:rsidRDefault="00BD3349" w:rsidP="00BD3349">
      <w:pPr>
        <w:tabs>
          <w:tab w:val="left" w:pos="1276"/>
        </w:tabs>
        <w:spacing w:after="0" w:line="240" w:lineRule="auto"/>
        <w:rPr>
          <w:rFonts w:ascii="Arial" w:eastAsia="SimSun" w:hAnsi="Arial" w:cs="Arial"/>
          <w:b/>
          <w:i/>
          <w:sz w:val="24"/>
          <w:szCs w:val="24"/>
          <w:lang w:val="ro-RO"/>
        </w:rPr>
      </w:pPr>
    </w:p>
    <w:p w:rsidR="00BD3349" w:rsidRPr="00BD3349" w:rsidRDefault="00BD3349" w:rsidP="00BD3349">
      <w:pPr>
        <w:spacing w:after="0" w:line="240" w:lineRule="auto"/>
        <w:ind w:right="-235" w:firstLine="720"/>
        <w:jc w:val="both"/>
        <w:rPr>
          <w:rFonts w:ascii="Arial" w:eastAsia="SimSun" w:hAnsi="Arial" w:cs="Arial"/>
          <w:sz w:val="24"/>
          <w:szCs w:val="24"/>
          <w:lang w:val="ro-RO"/>
        </w:rPr>
      </w:pPr>
      <w:r w:rsidRPr="00BD3349">
        <w:rPr>
          <w:rFonts w:ascii="Arial" w:eastAsia="SimSun" w:hAnsi="Arial" w:cs="Arial"/>
          <w:sz w:val="24"/>
          <w:szCs w:val="24"/>
          <w:lang w:val="ro-RO"/>
        </w:rPr>
        <w:t xml:space="preserve">Starea de sănătate a pădurilor din judeţul Vaslui este afectată datorită deficitului hidric şi excesului termic, specifice condiţiilor de stepă şi silvostepă. </w:t>
      </w:r>
    </w:p>
    <w:p w:rsidR="00BD3349" w:rsidRPr="00BD3349" w:rsidRDefault="00BD3349" w:rsidP="00BD3349">
      <w:pPr>
        <w:spacing w:after="0" w:line="240" w:lineRule="auto"/>
        <w:ind w:right="-716" w:firstLine="360"/>
        <w:jc w:val="both"/>
        <w:rPr>
          <w:rFonts w:ascii="Arial" w:eastAsia="SimSun" w:hAnsi="Arial" w:cs="Arial"/>
          <w:sz w:val="24"/>
          <w:szCs w:val="24"/>
          <w:lang w:val="ro-RO"/>
        </w:rPr>
      </w:pPr>
    </w:p>
    <w:p w:rsidR="00BD3349" w:rsidRPr="00BD3349" w:rsidRDefault="00BD3349" w:rsidP="00BD3349">
      <w:pPr>
        <w:spacing w:after="0" w:line="240" w:lineRule="auto"/>
        <w:rPr>
          <w:rFonts w:ascii="Arial" w:eastAsia="SimSun" w:hAnsi="Arial" w:cs="Arial"/>
          <w:sz w:val="24"/>
          <w:szCs w:val="24"/>
          <w:lang w:val="en-GB"/>
        </w:rPr>
      </w:pPr>
      <w:r w:rsidRPr="00BD3349">
        <w:rPr>
          <w:rFonts w:ascii="Arial" w:eastAsia="SimSun" w:hAnsi="Arial" w:cs="Arial"/>
          <w:sz w:val="24"/>
          <w:szCs w:val="24"/>
          <w:lang w:val="en-GB"/>
        </w:rPr>
        <w:t>Tabelul VI.4. Starea de sănătate a pădurilor la nivel de judeţ în anul 2015</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701"/>
        <w:gridCol w:w="3260"/>
        <w:gridCol w:w="1276"/>
        <w:gridCol w:w="2551"/>
        <w:gridCol w:w="1134"/>
      </w:tblGrid>
      <w:tr w:rsidR="00BD3349" w:rsidRPr="00BD3349" w:rsidTr="002403BF">
        <w:trPr>
          <w:trHeight w:val="433"/>
        </w:trPr>
        <w:tc>
          <w:tcPr>
            <w:tcW w:w="426" w:type="dxa"/>
            <w:vMerge w:val="restart"/>
            <w:tcBorders>
              <w:top w:val="single" w:sz="4" w:space="0" w:color="auto"/>
              <w:left w:val="single" w:sz="4" w:space="0" w:color="auto"/>
              <w:right w:val="single" w:sz="4" w:space="0" w:color="auto"/>
            </w:tcBorders>
            <w:textDirection w:val="btLr"/>
          </w:tcPr>
          <w:p w:rsidR="00BD3349" w:rsidRPr="00BD3349" w:rsidRDefault="00BD3349" w:rsidP="00BD3349">
            <w:pPr>
              <w:tabs>
                <w:tab w:val="left" w:pos="2160"/>
                <w:tab w:val="left" w:leader="dot" w:pos="8640"/>
              </w:tabs>
              <w:spacing w:after="0" w:line="240" w:lineRule="auto"/>
              <w:jc w:val="center"/>
              <w:rPr>
                <w:rFonts w:ascii="Arial" w:eastAsia="SimSun" w:hAnsi="Arial" w:cs="Arial"/>
                <w:b/>
                <w:sz w:val="20"/>
                <w:szCs w:val="20"/>
                <w:lang w:val="ro-RO"/>
              </w:rPr>
            </w:pPr>
            <w:r w:rsidRPr="00BD3349">
              <w:rPr>
                <w:rFonts w:ascii="Arial" w:eastAsia="SimSun" w:hAnsi="Arial" w:cs="Arial"/>
                <w:b/>
                <w:sz w:val="20"/>
                <w:szCs w:val="20"/>
                <w:lang w:val="ro-RO"/>
              </w:rPr>
              <w:t>Judeţul Vaslui</w:t>
            </w:r>
          </w:p>
          <w:p w:rsidR="00BD3349" w:rsidRPr="00BD3349" w:rsidRDefault="00BD3349" w:rsidP="00BD3349">
            <w:pPr>
              <w:tabs>
                <w:tab w:val="left" w:pos="2160"/>
                <w:tab w:val="left" w:leader="dot" w:pos="8640"/>
              </w:tabs>
              <w:spacing w:after="0" w:line="240" w:lineRule="auto"/>
              <w:jc w:val="center"/>
              <w:rPr>
                <w:rFonts w:ascii="Arial" w:eastAsia="SimSun" w:hAnsi="Arial" w:cs="Arial"/>
                <w:b/>
                <w:sz w:val="20"/>
                <w:szCs w:val="20"/>
                <w:lang w:val="ro-RO"/>
              </w:rPr>
            </w:pPr>
          </w:p>
          <w:p w:rsidR="00BD3349" w:rsidRPr="00BD3349" w:rsidRDefault="00BD3349" w:rsidP="00BD3349">
            <w:pPr>
              <w:tabs>
                <w:tab w:val="left" w:pos="2160"/>
                <w:tab w:val="left" w:leader="dot" w:pos="8640"/>
              </w:tabs>
              <w:spacing w:after="0" w:line="240" w:lineRule="auto"/>
              <w:jc w:val="center"/>
              <w:rPr>
                <w:rFonts w:ascii="Arial" w:eastAsia="SimSun" w:hAnsi="Arial" w:cs="Arial"/>
                <w:b/>
                <w:sz w:val="20"/>
                <w:szCs w:val="20"/>
                <w:lang w:val="ro-RO"/>
              </w:rPr>
            </w:pPr>
          </w:p>
          <w:p w:rsidR="00BD3349" w:rsidRPr="00BD3349" w:rsidRDefault="00BD3349" w:rsidP="00BD3349">
            <w:pPr>
              <w:tabs>
                <w:tab w:val="left" w:pos="2160"/>
                <w:tab w:val="left" w:leader="dot" w:pos="8640"/>
              </w:tabs>
              <w:spacing w:after="0" w:line="240" w:lineRule="auto"/>
              <w:jc w:val="center"/>
              <w:rPr>
                <w:rFonts w:ascii="Arial" w:eastAsia="SimSun" w:hAnsi="Arial" w:cs="Arial"/>
                <w:b/>
                <w:sz w:val="20"/>
                <w:szCs w:val="20"/>
                <w:lang w:val="ro-RO"/>
              </w:rPr>
            </w:pPr>
          </w:p>
          <w:p w:rsidR="00BD3349" w:rsidRPr="00BD3349" w:rsidRDefault="00BD3349" w:rsidP="00BD3349">
            <w:pPr>
              <w:tabs>
                <w:tab w:val="left" w:pos="2160"/>
                <w:tab w:val="left" w:leader="dot" w:pos="8640"/>
              </w:tabs>
              <w:spacing w:after="0" w:line="240" w:lineRule="auto"/>
              <w:jc w:val="center"/>
              <w:rPr>
                <w:rFonts w:ascii="Arial" w:eastAsia="SimSun" w:hAnsi="Arial" w:cs="Arial"/>
                <w:b/>
                <w:sz w:val="20"/>
                <w:szCs w:val="20"/>
                <w:lang w:val="ro-RO"/>
              </w:rPr>
            </w:pPr>
          </w:p>
        </w:tc>
        <w:tc>
          <w:tcPr>
            <w:tcW w:w="170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b/>
                <w:sz w:val="20"/>
                <w:szCs w:val="20"/>
                <w:lang w:val="ro-RO"/>
              </w:rPr>
            </w:pPr>
            <w:r w:rsidRPr="00BD3349">
              <w:rPr>
                <w:rFonts w:ascii="Arial" w:eastAsia="SimSun" w:hAnsi="Arial" w:cs="Arial"/>
                <w:b/>
                <w:sz w:val="20"/>
                <w:szCs w:val="20"/>
                <w:lang w:val="ro-RO"/>
              </w:rPr>
              <w:t>Tip de pădure</w:t>
            </w:r>
          </w:p>
        </w:tc>
        <w:tc>
          <w:tcPr>
            <w:tcW w:w="3260"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b/>
                <w:sz w:val="20"/>
                <w:szCs w:val="20"/>
                <w:lang w:val="ro-RO"/>
              </w:rPr>
            </w:pPr>
            <w:r w:rsidRPr="00BD3349">
              <w:rPr>
                <w:rFonts w:ascii="Arial" w:eastAsia="SimSun" w:hAnsi="Arial" w:cs="Arial"/>
                <w:b/>
                <w:sz w:val="20"/>
                <w:szCs w:val="20"/>
                <w:lang w:val="ro-RO"/>
              </w:rPr>
              <w:t>Specia de insectă defoliatoare/</w:t>
            </w:r>
          </w:p>
          <w:p w:rsidR="00BD3349" w:rsidRPr="00BD3349" w:rsidRDefault="00BD3349" w:rsidP="00BD3349">
            <w:pPr>
              <w:tabs>
                <w:tab w:val="left" w:pos="2160"/>
                <w:tab w:val="left" w:leader="dot" w:pos="8640"/>
              </w:tabs>
              <w:spacing w:after="0" w:line="240" w:lineRule="auto"/>
              <w:jc w:val="center"/>
              <w:rPr>
                <w:rFonts w:ascii="Arial" w:eastAsia="SimSun" w:hAnsi="Arial" w:cs="Arial"/>
                <w:b/>
                <w:sz w:val="20"/>
                <w:szCs w:val="20"/>
                <w:lang w:val="ro-RO"/>
              </w:rPr>
            </w:pPr>
            <w:r w:rsidRPr="00BD3349">
              <w:rPr>
                <w:rFonts w:ascii="Arial" w:eastAsia="SimSun" w:hAnsi="Arial" w:cs="Arial"/>
                <w:b/>
                <w:sz w:val="20"/>
                <w:szCs w:val="20"/>
                <w:lang w:val="ro-RO"/>
              </w:rPr>
              <w:t>parazit vegetal</w:t>
            </w:r>
          </w:p>
        </w:tc>
        <w:tc>
          <w:tcPr>
            <w:tcW w:w="1276"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b/>
                <w:sz w:val="20"/>
                <w:szCs w:val="20"/>
                <w:lang w:val="ro-RO"/>
              </w:rPr>
            </w:pPr>
            <w:r w:rsidRPr="00BD3349">
              <w:rPr>
                <w:rFonts w:ascii="Arial" w:eastAsia="SimSun" w:hAnsi="Arial" w:cs="Arial"/>
                <w:b/>
                <w:sz w:val="20"/>
                <w:szCs w:val="20"/>
                <w:lang w:val="ro-RO"/>
              </w:rPr>
              <w:t>Suprafaţa (ha)</w:t>
            </w:r>
          </w:p>
        </w:tc>
        <w:tc>
          <w:tcPr>
            <w:tcW w:w="255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b/>
                <w:sz w:val="20"/>
                <w:szCs w:val="20"/>
                <w:lang w:val="ro-RO"/>
              </w:rPr>
            </w:pPr>
            <w:r w:rsidRPr="00BD3349">
              <w:rPr>
                <w:rFonts w:ascii="Arial" w:eastAsia="SimSun" w:hAnsi="Arial" w:cs="Arial"/>
                <w:b/>
                <w:sz w:val="20"/>
                <w:szCs w:val="20"/>
                <w:lang w:val="ro-RO"/>
              </w:rPr>
              <w:t>Tratamente aplicate</w:t>
            </w:r>
          </w:p>
        </w:tc>
        <w:tc>
          <w:tcPr>
            <w:tcW w:w="113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b/>
                <w:sz w:val="20"/>
                <w:szCs w:val="20"/>
                <w:lang w:val="ro-RO"/>
              </w:rPr>
            </w:pPr>
            <w:r w:rsidRPr="00BD3349">
              <w:rPr>
                <w:rFonts w:ascii="Arial" w:eastAsia="SimSun" w:hAnsi="Arial" w:cs="Arial"/>
                <w:b/>
                <w:sz w:val="20"/>
                <w:szCs w:val="20"/>
                <w:lang w:val="ro-RO"/>
              </w:rPr>
              <w:t>Suprafaţa (ha)</w:t>
            </w:r>
          </w:p>
        </w:tc>
      </w:tr>
      <w:tr w:rsidR="00BD3349" w:rsidRPr="00BD3349" w:rsidTr="002403BF">
        <w:trPr>
          <w:trHeight w:val="94"/>
        </w:trPr>
        <w:tc>
          <w:tcPr>
            <w:tcW w:w="426" w:type="dxa"/>
            <w:vMerge/>
            <w:tcBorders>
              <w:left w:val="single" w:sz="4" w:space="0" w:color="auto"/>
              <w:right w:val="single" w:sz="4" w:space="0" w:color="auto"/>
            </w:tcBorders>
            <w:textDirection w:val="btLr"/>
          </w:tcPr>
          <w:p w:rsidR="00BD3349" w:rsidRPr="00BD3349" w:rsidRDefault="00BD3349" w:rsidP="00BD3349">
            <w:pPr>
              <w:tabs>
                <w:tab w:val="left" w:pos="2160"/>
                <w:tab w:val="left" w:leader="dot" w:pos="8640"/>
              </w:tabs>
              <w:spacing w:after="0" w:line="240" w:lineRule="auto"/>
              <w:rPr>
                <w:rFonts w:ascii="Arial" w:eastAsia="SimSun" w:hAnsi="Arial" w:cs="Arial"/>
                <w:b/>
                <w:sz w:val="20"/>
                <w:szCs w:val="20"/>
                <w:lang w:val="ro-RO"/>
              </w:rPr>
            </w:pPr>
          </w:p>
        </w:tc>
        <w:tc>
          <w:tcPr>
            <w:tcW w:w="1701" w:type="dxa"/>
            <w:vMerge w:val="restart"/>
            <w:tcBorders>
              <w:top w:val="single" w:sz="4" w:space="0" w:color="auto"/>
              <w:left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rPr>
                <w:rFonts w:ascii="Arial" w:eastAsia="SimSun" w:hAnsi="Arial" w:cs="Arial"/>
                <w:b/>
                <w:sz w:val="18"/>
                <w:szCs w:val="18"/>
                <w:lang w:val="ro-RO"/>
              </w:rPr>
            </w:pPr>
            <w:r w:rsidRPr="00BD3349">
              <w:rPr>
                <w:rFonts w:ascii="Arial" w:eastAsia="SimSun" w:hAnsi="Arial" w:cs="Arial"/>
                <w:sz w:val="18"/>
                <w:szCs w:val="18"/>
                <w:lang w:val="ro-RO"/>
              </w:rPr>
              <w:t>Pădure de foioase</w:t>
            </w:r>
          </w:p>
        </w:tc>
        <w:tc>
          <w:tcPr>
            <w:tcW w:w="3260" w:type="dxa"/>
            <w:tcBorders>
              <w:top w:val="single" w:sz="4" w:space="0" w:color="auto"/>
              <w:left w:val="single" w:sz="4" w:space="0" w:color="auto"/>
              <w:bottom w:val="single" w:sz="4" w:space="0" w:color="auto"/>
              <w:right w:val="single" w:sz="4" w:space="0" w:color="auto"/>
            </w:tcBorders>
          </w:tcPr>
          <w:p w:rsidR="00BD3349" w:rsidRPr="00B635CB" w:rsidRDefault="00BD3349" w:rsidP="00BD3349">
            <w:pPr>
              <w:tabs>
                <w:tab w:val="left" w:pos="2160"/>
                <w:tab w:val="left" w:leader="dot" w:pos="8640"/>
              </w:tabs>
              <w:spacing w:after="0" w:line="240" w:lineRule="auto"/>
              <w:rPr>
                <w:rFonts w:ascii="Arial" w:eastAsia="SimSun" w:hAnsi="Arial" w:cs="Arial"/>
                <w:i/>
                <w:sz w:val="20"/>
                <w:szCs w:val="20"/>
                <w:lang w:val="ro-RO"/>
              </w:rPr>
            </w:pPr>
            <w:r w:rsidRPr="00B635CB">
              <w:rPr>
                <w:rFonts w:ascii="Arial" w:eastAsia="SimSun" w:hAnsi="Arial" w:cs="Arial"/>
                <w:i/>
                <w:sz w:val="20"/>
                <w:szCs w:val="20"/>
                <w:lang w:val="ro-RO"/>
              </w:rPr>
              <w:t>Oidium – Microsphaera alphitoides</w:t>
            </w:r>
          </w:p>
        </w:tc>
        <w:tc>
          <w:tcPr>
            <w:tcW w:w="1276"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20"/>
                <w:szCs w:val="20"/>
                <w:lang w:val="ro-RO"/>
              </w:rPr>
            </w:pPr>
            <w:r w:rsidRPr="00BD3349">
              <w:rPr>
                <w:rFonts w:ascii="Arial" w:eastAsia="SimSun" w:hAnsi="Arial" w:cs="Arial"/>
                <w:sz w:val="20"/>
                <w:szCs w:val="20"/>
                <w:lang w:val="ro-RO"/>
              </w:rPr>
              <w:t>6</w:t>
            </w:r>
          </w:p>
        </w:tc>
        <w:tc>
          <w:tcPr>
            <w:tcW w:w="255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eastAsia="SimSun" w:hAnsi="Arial" w:cs="Arial"/>
                <w:sz w:val="20"/>
                <w:szCs w:val="20"/>
                <w:lang w:val="ro-RO"/>
              </w:rPr>
            </w:pPr>
            <w:r w:rsidRPr="00BD3349">
              <w:rPr>
                <w:rFonts w:ascii="Arial" w:eastAsia="SimSun" w:hAnsi="Arial" w:cs="Arial"/>
                <w:sz w:val="20"/>
                <w:szCs w:val="20"/>
                <w:lang w:val="ro-RO"/>
              </w:rPr>
              <w:t>Stropiri cu produsele Bumper, Microthiol</w:t>
            </w:r>
          </w:p>
        </w:tc>
        <w:tc>
          <w:tcPr>
            <w:tcW w:w="113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20"/>
                <w:szCs w:val="20"/>
                <w:lang w:val="ro-RO"/>
              </w:rPr>
            </w:pPr>
            <w:r w:rsidRPr="00BD3349">
              <w:rPr>
                <w:rFonts w:ascii="Arial" w:eastAsia="SimSun" w:hAnsi="Arial" w:cs="Arial"/>
                <w:sz w:val="20"/>
                <w:szCs w:val="20"/>
                <w:lang w:val="ro-RO"/>
              </w:rPr>
              <w:t>6</w:t>
            </w:r>
          </w:p>
        </w:tc>
      </w:tr>
      <w:tr w:rsidR="00BD3349" w:rsidRPr="00BD3349" w:rsidTr="002403BF">
        <w:trPr>
          <w:trHeight w:val="94"/>
        </w:trPr>
        <w:tc>
          <w:tcPr>
            <w:tcW w:w="426" w:type="dxa"/>
            <w:vMerge/>
            <w:tcBorders>
              <w:left w:val="single" w:sz="4" w:space="0" w:color="auto"/>
              <w:right w:val="single" w:sz="4" w:space="0" w:color="auto"/>
            </w:tcBorders>
            <w:textDirection w:val="btLr"/>
          </w:tcPr>
          <w:p w:rsidR="00BD3349" w:rsidRPr="00BD3349" w:rsidRDefault="00BD3349" w:rsidP="00BD3349">
            <w:pPr>
              <w:tabs>
                <w:tab w:val="left" w:pos="2160"/>
                <w:tab w:val="left" w:leader="dot" w:pos="8640"/>
              </w:tabs>
              <w:spacing w:after="0" w:line="240" w:lineRule="auto"/>
              <w:rPr>
                <w:rFonts w:ascii="Arial" w:eastAsia="SimSun" w:hAnsi="Arial" w:cs="Arial"/>
                <w:b/>
                <w:sz w:val="20"/>
                <w:szCs w:val="20"/>
                <w:lang w:val="ro-RO"/>
              </w:rPr>
            </w:pPr>
          </w:p>
        </w:tc>
        <w:tc>
          <w:tcPr>
            <w:tcW w:w="1701" w:type="dxa"/>
            <w:vMerge/>
            <w:tcBorders>
              <w:top w:val="single" w:sz="4" w:space="0" w:color="auto"/>
              <w:left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rPr>
                <w:rFonts w:ascii="Arial" w:eastAsia="SimSun" w:hAnsi="Arial" w:cs="Arial"/>
                <w:sz w:val="18"/>
                <w:szCs w:val="18"/>
                <w:lang w:val="ro-RO"/>
              </w:rPr>
            </w:pPr>
          </w:p>
        </w:tc>
        <w:tc>
          <w:tcPr>
            <w:tcW w:w="3260" w:type="dxa"/>
            <w:tcBorders>
              <w:top w:val="single" w:sz="4" w:space="0" w:color="auto"/>
              <w:left w:val="single" w:sz="4" w:space="0" w:color="auto"/>
              <w:bottom w:val="single" w:sz="4" w:space="0" w:color="auto"/>
              <w:right w:val="single" w:sz="4" w:space="0" w:color="auto"/>
            </w:tcBorders>
          </w:tcPr>
          <w:p w:rsidR="00BD3349" w:rsidRPr="00B635CB" w:rsidRDefault="00BD3349" w:rsidP="00BD3349">
            <w:pPr>
              <w:tabs>
                <w:tab w:val="left" w:pos="2160"/>
                <w:tab w:val="left" w:leader="dot" w:pos="8640"/>
              </w:tabs>
              <w:spacing w:after="0" w:line="240" w:lineRule="auto"/>
              <w:rPr>
                <w:rFonts w:ascii="Arial" w:eastAsia="SimSun" w:hAnsi="Arial" w:cs="Arial"/>
                <w:i/>
                <w:sz w:val="20"/>
                <w:szCs w:val="20"/>
                <w:lang w:val="ro-RO"/>
              </w:rPr>
            </w:pPr>
            <w:r w:rsidRPr="00B635CB">
              <w:rPr>
                <w:rFonts w:ascii="Arial" w:eastAsia="SimSun" w:hAnsi="Arial" w:cs="Arial"/>
                <w:i/>
                <w:sz w:val="20"/>
                <w:szCs w:val="20"/>
                <w:lang w:val="ro-RO"/>
              </w:rPr>
              <w:t xml:space="preserve">Tortrix viridana </w:t>
            </w:r>
          </w:p>
        </w:tc>
        <w:tc>
          <w:tcPr>
            <w:tcW w:w="1276"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20"/>
                <w:szCs w:val="20"/>
                <w:lang w:val="ro-RO"/>
              </w:rPr>
            </w:pPr>
            <w:r w:rsidRPr="00BD3349">
              <w:rPr>
                <w:rFonts w:ascii="Arial" w:eastAsia="SimSun" w:hAnsi="Arial" w:cs="Arial"/>
                <w:sz w:val="20"/>
                <w:szCs w:val="20"/>
                <w:lang w:val="ro-RO"/>
              </w:rPr>
              <w:t>1575.65</w:t>
            </w:r>
          </w:p>
        </w:tc>
        <w:tc>
          <w:tcPr>
            <w:tcW w:w="255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rPr>
                <w:rFonts w:ascii="Arial" w:eastAsia="SimSun" w:hAnsi="Arial" w:cs="Arial"/>
                <w:sz w:val="20"/>
                <w:szCs w:val="20"/>
                <w:lang w:val="ro-RO"/>
              </w:rPr>
            </w:pPr>
            <w:r w:rsidRPr="00BD3349">
              <w:rPr>
                <w:rFonts w:ascii="Arial" w:eastAsia="SimSun" w:hAnsi="Arial" w:cs="Arial"/>
                <w:sz w:val="20"/>
                <w:szCs w:val="20"/>
                <w:lang w:val="ro-RO"/>
              </w:rPr>
              <w:t>fără tratament</w:t>
            </w:r>
          </w:p>
        </w:tc>
        <w:tc>
          <w:tcPr>
            <w:tcW w:w="113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20"/>
                <w:szCs w:val="20"/>
                <w:lang w:val="ro-RO"/>
              </w:rPr>
            </w:pPr>
          </w:p>
        </w:tc>
      </w:tr>
      <w:tr w:rsidR="00BD3349" w:rsidRPr="00BD3349" w:rsidTr="002403BF">
        <w:trPr>
          <w:trHeight w:val="94"/>
        </w:trPr>
        <w:tc>
          <w:tcPr>
            <w:tcW w:w="426" w:type="dxa"/>
            <w:vMerge/>
            <w:tcBorders>
              <w:left w:val="single" w:sz="4" w:space="0" w:color="auto"/>
              <w:right w:val="single" w:sz="4" w:space="0" w:color="auto"/>
            </w:tcBorders>
            <w:textDirection w:val="btLr"/>
          </w:tcPr>
          <w:p w:rsidR="00BD3349" w:rsidRPr="00BD3349" w:rsidRDefault="00BD3349" w:rsidP="00BD3349">
            <w:pPr>
              <w:tabs>
                <w:tab w:val="left" w:pos="2160"/>
                <w:tab w:val="left" w:leader="dot" w:pos="8640"/>
              </w:tabs>
              <w:spacing w:after="0" w:line="240" w:lineRule="auto"/>
              <w:rPr>
                <w:rFonts w:ascii="Arial" w:eastAsia="SimSun" w:hAnsi="Arial" w:cs="Arial"/>
                <w:b/>
                <w:sz w:val="20"/>
                <w:szCs w:val="20"/>
                <w:lang w:val="ro-RO"/>
              </w:rPr>
            </w:pPr>
          </w:p>
        </w:tc>
        <w:tc>
          <w:tcPr>
            <w:tcW w:w="1701" w:type="dxa"/>
            <w:vMerge/>
            <w:tcBorders>
              <w:left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18"/>
                <w:szCs w:val="18"/>
                <w:lang w:val="ro-RO"/>
              </w:rPr>
            </w:pPr>
          </w:p>
        </w:tc>
        <w:tc>
          <w:tcPr>
            <w:tcW w:w="3260" w:type="dxa"/>
            <w:tcBorders>
              <w:top w:val="single" w:sz="4" w:space="0" w:color="auto"/>
              <w:left w:val="single" w:sz="4" w:space="0" w:color="auto"/>
              <w:bottom w:val="single" w:sz="4" w:space="0" w:color="auto"/>
              <w:right w:val="single" w:sz="4" w:space="0" w:color="auto"/>
            </w:tcBorders>
          </w:tcPr>
          <w:p w:rsidR="00BD3349" w:rsidRPr="00B635CB" w:rsidRDefault="00BD3349" w:rsidP="00BD3349">
            <w:pPr>
              <w:tabs>
                <w:tab w:val="left" w:pos="2160"/>
                <w:tab w:val="left" w:leader="dot" w:pos="8640"/>
              </w:tabs>
              <w:spacing w:after="0" w:line="240" w:lineRule="auto"/>
              <w:rPr>
                <w:rFonts w:ascii="Arial" w:eastAsia="SimSun" w:hAnsi="Arial" w:cs="Arial"/>
                <w:i/>
                <w:sz w:val="20"/>
                <w:szCs w:val="20"/>
                <w:lang w:val="ro-RO"/>
              </w:rPr>
            </w:pPr>
            <w:r w:rsidRPr="00B635CB">
              <w:rPr>
                <w:rFonts w:ascii="Arial" w:eastAsia="SimSun" w:hAnsi="Arial" w:cs="Arial"/>
                <w:i/>
                <w:sz w:val="20"/>
                <w:szCs w:val="20"/>
                <w:lang w:val="ro-RO"/>
              </w:rPr>
              <w:t>Geometridae (cotari)</w:t>
            </w:r>
          </w:p>
        </w:tc>
        <w:tc>
          <w:tcPr>
            <w:tcW w:w="1276"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20"/>
                <w:szCs w:val="20"/>
                <w:lang w:val="ro-RO"/>
              </w:rPr>
            </w:pPr>
            <w:r w:rsidRPr="00BD3349">
              <w:rPr>
                <w:rFonts w:ascii="Arial" w:eastAsia="SimSun" w:hAnsi="Arial" w:cs="Arial"/>
                <w:sz w:val="20"/>
                <w:szCs w:val="20"/>
                <w:lang w:val="ro-RO"/>
              </w:rPr>
              <w:t>1609.65</w:t>
            </w:r>
          </w:p>
        </w:tc>
        <w:tc>
          <w:tcPr>
            <w:tcW w:w="255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Times New Roman" w:eastAsia="SimSun" w:hAnsi="Times New Roman" w:cs="Times New Roman"/>
                <w:sz w:val="24"/>
                <w:szCs w:val="24"/>
                <w:lang w:val="en-GB"/>
              </w:rPr>
            </w:pPr>
            <w:r w:rsidRPr="00BD3349">
              <w:rPr>
                <w:rFonts w:ascii="Arial" w:eastAsia="SimSun" w:hAnsi="Arial" w:cs="Arial"/>
                <w:sz w:val="20"/>
                <w:szCs w:val="20"/>
                <w:lang w:val="ro-RO"/>
              </w:rPr>
              <w:t>fără tratament</w:t>
            </w:r>
          </w:p>
        </w:tc>
        <w:tc>
          <w:tcPr>
            <w:tcW w:w="113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20"/>
                <w:szCs w:val="20"/>
                <w:lang w:val="ro-RO"/>
              </w:rPr>
            </w:pPr>
          </w:p>
        </w:tc>
      </w:tr>
      <w:tr w:rsidR="00BD3349" w:rsidRPr="00BD3349" w:rsidTr="002403BF">
        <w:trPr>
          <w:trHeight w:val="94"/>
        </w:trPr>
        <w:tc>
          <w:tcPr>
            <w:tcW w:w="426" w:type="dxa"/>
            <w:vMerge/>
            <w:tcBorders>
              <w:left w:val="single" w:sz="4" w:space="0" w:color="auto"/>
              <w:right w:val="single" w:sz="4" w:space="0" w:color="auto"/>
            </w:tcBorders>
            <w:textDirection w:val="btLr"/>
          </w:tcPr>
          <w:p w:rsidR="00BD3349" w:rsidRPr="00BD3349" w:rsidRDefault="00BD3349" w:rsidP="00BD3349">
            <w:pPr>
              <w:tabs>
                <w:tab w:val="left" w:pos="2160"/>
                <w:tab w:val="left" w:leader="dot" w:pos="8640"/>
              </w:tabs>
              <w:spacing w:after="0" w:line="240" w:lineRule="auto"/>
              <w:rPr>
                <w:rFonts w:ascii="Arial" w:eastAsia="SimSun" w:hAnsi="Arial" w:cs="Arial"/>
                <w:b/>
                <w:sz w:val="20"/>
                <w:szCs w:val="20"/>
                <w:lang w:val="ro-RO"/>
              </w:rPr>
            </w:pPr>
          </w:p>
        </w:tc>
        <w:tc>
          <w:tcPr>
            <w:tcW w:w="1701" w:type="dxa"/>
            <w:vMerge/>
            <w:tcBorders>
              <w:left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18"/>
                <w:szCs w:val="18"/>
                <w:lang w:val="ro-RO"/>
              </w:rPr>
            </w:pPr>
          </w:p>
        </w:tc>
        <w:tc>
          <w:tcPr>
            <w:tcW w:w="3260" w:type="dxa"/>
            <w:tcBorders>
              <w:top w:val="single" w:sz="4" w:space="0" w:color="auto"/>
              <w:left w:val="single" w:sz="4" w:space="0" w:color="auto"/>
              <w:bottom w:val="single" w:sz="4" w:space="0" w:color="auto"/>
              <w:right w:val="single" w:sz="4" w:space="0" w:color="auto"/>
            </w:tcBorders>
          </w:tcPr>
          <w:p w:rsidR="00BD3349" w:rsidRPr="00B635CB" w:rsidRDefault="00BD3349" w:rsidP="00BD3349">
            <w:pPr>
              <w:tabs>
                <w:tab w:val="left" w:pos="2160"/>
                <w:tab w:val="left" w:leader="dot" w:pos="8640"/>
              </w:tabs>
              <w:spacing w:after="0" w:line="240" w:lineRule="auto"/>
              <w:rPr>
                <w:rFonts w:ascii="Arial" w:eastAsia="SimSun" w:hAnsi="Arial" w:cs="Arial"/>
                <w:i/>
                <w:sz w:val="20"/>
                <w:szCs w:val="20"/>
                <w:lang w:val="ro-RO"/>
              </w:rPr>
            </w:pPr>
            <w:r w:rsidRPr="00B635CB">
              <w:rPr>
                <w:rFonts w:ascii="Arial" w:eastAsia="SimSun" w:hAnsi="Arial" w:cs="Arial"/>
                <w:i/>
                <w:sz w:val="20"/>
                <w:szCs w:val="20"/>
                <w:lang w:val="ro-RO"/>
              </w:rPr>
              <w:t>Parectopa robiniella</w:t>
            </w:r>
          </w:p>
        </w:tc>
        <w:tc>
          <w:tcPr>
            <w:tcW w:w="1276"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20"/>
                <w:szCs w:val="20"/>
                <w:lang w:val="ro-RO"/>
              </w:rPr>
            </w:pPr>
            <w:r w:rsidRPr="00BD3349">
              <w:rPr>
                <w:rFonts w:ascii="Arial" w:eastAsia="SimSun" w:hAnsi="Arial" w:cs="Arial"/>
                <w:sz w:val="20"/>
                <w:szCs w:val="20"/>
                <w:lang w:val="ro-RO"/>
              </w:rPr>
              <w:t>154</w:t>
            </w:r>
          </w:p>
        </w:tc>
        <w:tc>
          <w:tcPr>
            <w:tcW w:w="255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Times New Roman" w:eastAsia="SimSun" w:hAnsi="Times New Roman" w:cs="Times New Roman"/>
                <w:sz w:val="24"/>
                <w:szCs w:val="24"/>
                <w:lang w:val="en-GB"/>
              </w:rPr>
            </w:pPr>
            <w:r w:rsidRPr="00BD3349">
              <w:rPr>
                <w:rFonts w:ascii="Arial" w:eastAsia="SimSun" w:hAnsi="Arial" w:cs="Arial"/>
                <w:sz w:val="20"/>
                <w:szCs w:val="20"/>
                <w:lang w:val="ro-RO"/>
              </w:rPr>
              <w:t>fără tratament</w:t>
            </w:r>
          </w:p>
        </w:tc>
        <w:tc>
          <w:tcPr>
            <w:tcW w:w="113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20"/>
                <w:szCs w:val="20"/>
                <w:lang w:val="ro-RO"/>
              </w:rPr>
            </w:pPr>
          </w:p>
        </w:tc>
      </w:tr>
      <w:tr w:rsidR="00BD3349" w:rsidRPr="00BD3349" w:rsidTr="002403BF">
        <w:trPr>
          <w:trHeight w:val="94"/>
        </w:trPr>
        <w:tc>
          <w:tcPr>
            <w:tcW w:w="426" w:type="dxa"/>
            <w:vMerge/>
            <w:tcBorders>
              <w:left w:val="single" w:sz="4" w:space="0" w:color="auto"/>
              <w:right w:val="single" w:sz="4" w:space="0" w:color="auto"/>
            </w:tcBorders>
            <w:textDirection w:val="btLr"/>
          </w:tcPr>
          <w:p w:rsidR="00BD3349" w:rsidRPr="00BD3349" w:rsidRDefault="00BD3349" w:rsidP="00BD3349">
            <w:pPr>
              <w:tabs>
                <w:tab w:val="left" w:pos="2160"/>
                <w:tab w:val="left" w:leader="dot" w:pos="8640"/>
              </w:tabs>
              <w:spacing w:after="0" w:line="240" w:lineRule="auto"/>
              <w:rPr>
                <w:rFonts w:ascii="Arial" w:eastAsia="SimSun" w:hAnsi="Arial" w:cs="Arial"/>
                <w:b/>
                <w:sz w:val="20"/>
                <w:szCs w:val="20"/>
                <w:lang w:val="ro-RO"/>
              </w:rPr>
            </w:pPr>
          </w:p>
        </w:tc>
        <w:tc>
          <w:tcPr>
            <w:tcW w:w="1701" w:type="dxa"/>
            <w:vMerge/>
            <w:tcBorders>
              <w:left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18"/>
                <w:szCs w:val="18"/>
                <w:lang w:val="ro-RO"/>
              </w:rPr>
            </w:pPr>
          </w:p>
        </w:tc>
        <w:tc>
          <w:tcPr>
            <w:tcW w:w="3260" w:type="dxa"/>
            <w:tcBorders>
              <w:top w:val="single" w:sz="4" w:space="0" w:color="auto"/>
              <w:left w:val="single" w:sz="4" w:space="0" w:color="auto"/>
              <w:bottom w:val="single" w:sz="4" w:space="0" w:color="auto"/>
              <w:right w:val="single" w:sz="4" w:space="0" w:color="auto"/>
            </w:tcBorders>
          </w:tcPr>
          <w:p w:rsidR="00BD3349" w:rsidRPr="00B635CB" w:rsidRDefault="00BD3349" w:rsidP="00BD3349">
            <w:pPr>
              <w:tabs>
                <w:tab w:val="left" w:pos="2160"/>
                <w:tab w:val="left" w:leader="dot" w:pos="8640"/>
              </w:tabs>
              <w:spacing w:after="0" w:line="240" w:lineRule="auto"/>
              <w:rPr>
                <w:rFonts w:ascii="Arial" w:eastAsia="SimSun" w:hAnsi="Arial" w:cs="Arial"/>
                <w:i/>
                <w:sz w:val="20"/>
                <w:szCs w:val="20"/>
                <w:lang w:val="ro-RO"/>
              </w:rPr>
            </w:pPr>
            <w:r w:rsidRPr="00B635CB">
              <w:rPr>
                <w:rFonts w:ascii="Arial" w:eastAsia="SimSun" w:hAnsi="Arial" w:cs="Arial"/>
                <w:i/>
                <w:sz w:val="20"/>
                <w:szCs w:val="20"/>
                <w:lang w:val="ro-RO"/>
              </w:rPr>
              <w:t>Stereonichus fraxini</w:t>
            </w:r>
          </w:p>
        </w:tc>
        <w:tc>
          <w:tcPr>
            <w:tcW w:w="1276"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20"/>
                <w:szCs w:val="20"/>
                <w:lang w:val="ro-RO"/>
              </w:rPr>
            </w:pPr>
            <w:r w:rsidRPr="00BD3349">
              <w:rPr>
                <w:rFonts w:ascii="Arial" w:eastAsia="SimSun" w:hAnsi="Arial" w:cs="Arial"/>
                <w:sz w:val="20"/>
                <w:szCs w:val="20"/>
                <w:lang w:val="ro-RO"/>
              </w:rPr>
              <w:t>761.75</w:t>
            </w:r>
          </w:p>
        </w:tc>
        <w:tc>
          <w:tcPr>
            <w:tcW w:w="255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eastAsia="SimSun" w:hAnsi="Arial" w:cs="Arial"/>
                <w:sz w:val="20"/>
                <w:szCs w:val="20"/>
                <w:lang w:val="en-GB"/>
              </w:rPr>
            </w:pPr>
            <w:r w:rsidRPr="00BD3349">
              <w:rPr>
                <w:rFonts w:ascii="Arial" w:eastAsia="SimSun" w:hAnsi="Arial" w:cs="Arial"/>
                <w:sz w:val="20"/>
                <w:szCs w:val="20"/>
                <w:lang w:val="ro-RO"/>
              </w:rPr>
              <w:t>fără tratament</w:t>
            </w:r>
          </w:p>
        </w:tc>
        <w:tc>
          <w:tcPr>
            <w:tcW w:w="113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20"/>
                <w:szCs w:val="20"/>
                <w:lang w:val="ro-RO"/>
              </w:rPr>
            </w:pPr>
          </w:p>
        </w:tc>
      </w:tr>
      <w:tr w:rsidR="00BD3349" w:rsidRPr="00BD3349" w:rsidTr="002403BF">
        <w:trPr>
          <w:trHeight w:val="151"/>
        </w:trPr>
        <w:tc>
          <w:tcPr>
            <w:tcW w:w="426" w:type="dxa"/>
            <w:vMerge/>
            <w:tcBorders>
              <w:left w:val="single" w:sz="4" w:space="0" w:color="auto"/>
              <w:right w:val="single" w:sz="4" w:space="0" w:color="auto"/>
            </w:tcBorders>
            <w:textDirection w:val="btLr"/>
          </w:tcPr>
          <w:p w:rsidR="00BD3349" w:rsidRPr="00BD3349" w:rsidRDefault="00BD3349" w:rsidP="00BD3349">
            <w:pPr>
              <w:tabs>
                <w:tab w:val="left" w:pos="2160"/>
                <w:tab w:val="left" w:leader="dot" w:pos="8640"/>
              </w:tabs>
              <w:spacing w:after="0" w:line="240" w:lineRule="auto"/>
              <w:rPr>
                <w:rFonts w:ascii="Arial" w:eastAsia="SimSun" w:hAnsi="Arial" w:cs="Arial"/>
                <w:b/>
                <w:sz w:val="20"/>
                <w:szCs w:val="20"/>
                <w:lang w:val="ro-RO"/>
              </w:rPr>
            </w:pPr>
          </w:p>
        </w:tc>
        <w:tc>
          <w:tcPr>
            <w:tcW w:w="1701" w:type="dxa"/>
            <w:vMerge/>
            <w:tcBorders>
              <w:left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18"/>
                <w:szCs w:val="18"/>
                <w:lang w:val="ro-RO"/>
              </w:rPr>
            </w:pPr>
          </w:p>
        </w:tc>
        <w:tc>
          <w:tcPr>
            <w:tcW w:w="3260" w:type="dxa"/>
            <w:tcBorders>
              <w:top w:val="single" w:sz="4" w:space="0" w:color="auto"/>
              <w:left w:val="single" w:sz="4" w:space="0" w:color="auto"/>
              <w:bottom w:val="single" w:sz="4" w:space="0" w:color="auto"/>
              <w:right w:val="single" w:sz="4" w:space="0" w:color="auto"/>
            </w:tcBorders>
          </w:tcPr>
          <w:p w:rsidR="00BD3349" w:rsidRPr="00B635CB" w:rsidRDefault="00BD3349" w:rsidP="00BD3349">
            <w:pPr>
              <w:tabs>
                <w:tab w:val="left" w:pos="2160"/>
                <w:tab w:val="left" w:leader="dot" w:pos="8640"/>
              </w:tabs>
              <w:spacing w:after="0" w:line="240" w:lineRule="auto"/>
              <w:rPr>
                <w:rFonts w:ascii="Arial" w:eastAsia="SimSun" w:hAnsi="Arial" w:cs="Arial"/>
                <w:i/>
                <w:sz w:val="20"/>
                <w:szCs w:val="20"/>
                <w:lang w:val="ro-RO"/>
              </w:rPr>
            </w:pPr>
            <w:r w:rsidRPr="00B635CB">
              <w:rPr>
                <w:rFonts w:ascii="Arial" w:eastAsia="SimSun" w:hAnsi="Arial" w:cs="Arial"/>
                <w:i/>
                <w:sz w:val="20"/>
                <w:szCs w:val="20"/>
                <w:lang w:val="ro-RO"/>
              </w:rPr>
              <w:t>Melasoma populi</w:t>
            </w:r>
          </w:p>
        </w:tc>
        <w:tc>
          <w:tcPr>
            <w:tcW w:w="1276"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20"/>
                <w:szCs w:val="20"/>
                <w:lang w:val="ro-RO"/>
              </w:rPr>
            </w:pPr>
            <w:r w:rsidRPr="00BD3349">
              <w:rPr>
                <w:rFonts w:ascii="Arial" w:eastAsia="SimSun" w:hAnsi="Arial" w:cs="Arial"/>
                <w:sz w:val="20"/>
                <w:szCs w:val="20"/>
                <w:lang w:val="ro-RO"/>
              </w:rPr>
              <w:t>77</w:t>
            </w:r>
          </w:p>
        </w:tc>
        <w:tc>
          <w:tcPr>
            <w:tcW w:w="255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eastAsia="SimSun" w:hAnsi="Arial" w:cs="Arial"/>
                <w:color w:val="FF0000"/>
                <w:sz w:val="20"/>
                <w:szCs w:val="20"/>
                <w:lang w:val="en-GB"/>
              </w:rPr>
            </w:pPr>
            <w:r w:rsidRPr="00BD3349">
              <w:rPr>
                <w:rFonts w:ascii="Arial" w:eastAsia="SimSun" w:hAnsi="Arial" w:cs="Arial"/>
                <w:sz w:val="20"/>
                <w:szCs w:val="20"/>
                <w:lang w:val="ro-RO"/>
              </w:rPr>
              <w:t>fără tratament</w:t>
            </w:r>
          </w:p>
        </w:tc>
        <w:tc>
          <w:tcPr>
            <w:tcW w:w="113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20"/>
                <w:szCs w:val="20"/>
                <w:lang w:val="ro-RO"/>
              </w:rPr>
            </w:pPr>
          </w:p>
        </w:tc>
      </w:tr>
      <w:tr w:rsidR="00BD3349" w:rsidRPr="00BD3349" w:rsidTr="002403BF">
        <w:trPr>
          <w:trHeight w:val="70"/>
        </w:trPr>
        <w:tc>
          <w:tcPr>
            <w:tcW w:w="426" w:type="dxa"/>
            <w:vMerge/>
            <w:tcBorders>
              <w:left w:val="single" w:sz="4" w:space="0" w:color="auto"/>
              <w:right w:val="single" w:sz="4" w:space="0" w:color="auto"/>
            </w:tcBorders>
            <w:textDirection w:val="btLr"/>
          </w:tcPr>
          <w:p w:rsidR="00BD3349" w:rsidRPr="00BD3349" w:rsidRDefault="00BD3349" w:rsidP="00BD3349">
            <w:pPr>
              <w:tabs>
                <w:tab w:val="left" w:pos="2160"/>
                <w:tab w:val="left" w:leader="dot" w:pos="8640"/>
              </w:tabs>
              <w:spacing w:after="0" w:line="240" w:lineRule="auto"/>
              <w:rPr>
                <w:rFonts w:ascii="Arial" w:eastAsia="SimSun" w:hAnsi="Arial" w:cs="Arial"/>
                <w:b/>
                <w:sz w:val="20"/>
                <w:szCs w:val="20"/>
                <w:lang w:val="ro-RO"/>
              </w:rPr>
            </w:pPr>
          </w:p>
        </w:tc>
        <w:tc>
          <w:tcPr>
            <w:tcW w:w="1701" w:type="dxa"/>
            <w:vMerge/>
            <w:tcBorders>
              <w:left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18"/>
                <w:szCs w:val="18"/>
                <w:lang w:val="ro-RO"/>
              </w:rPr>
            </w:pPr>
          </w:p>
        </w:tc>
        <w:tc>
          <w:tcPr>
            <w:tcW w:w="3260" w:type="dxa"/>
            <w:tcBorders>
              <w:top w:val="single" w:sz="4" w:space="0" w:color="auto"/>
              <w:left w:val="single" w:sz="4" w:space="0" w:color="auto"/>
              <w:bottom w:val="single" w:sz="4" w:space="0" w:color="auto"/>
              <w:right w:val="single" w:sz="4" w:space="0" w:color="auto"/>
            </w:tcBorders>
          </w:tcPr>
          <w:p w:rsidR="00BD3349" w:rsidRPr="00B635CB" w:rsidRDefault="00BD3349" w:rsidP="00BD3349">
            <w:pPr>
              <w:tabs>
                <w:tab w:val="left" w:pos="2160"/>
                <w:tab w:val="left" w:leader="dot" w:pos="8640"/>
              </w:tabs>
              <w:spacing w:after="0" w:line="240" w:lineRule="auto"/>
              <w:rPr>
                <w:rFonts w:ascii="Arial" w:eastAsia="SimSun" w:hAnsi="Arial" w:cs="Arial"/>
                <w:i/>
                <w:sz w:val="20"/>
                <w:szCs w:val="20"/>
                <w:lang w:val="ro-RO"/>
              </w:rPr>
            </w:pPr>
            <w:r w:rsidRPr="00B635CB">
              <w:rPr>
                <w:rFonts w:ascii="Arial" w:eastAsia="SimSun" w:hAnsi="Arial" w:cs="Arial"/>
                <w:i/>
                <w:sz w:val="20"/>
                <w:szCs w:val="20"/>
                <w:lang w:val="ro-RO"/>
              </w:rPr>
              <w:t>Aphrophora alni</w:t>
            </w:r>
          </w:p>
        </w:tc>
        <w:tc>
          <w:tcPr>
            <w:tcW w:w="1276"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20"/>
                <w:szCs w:val="20"/>
                <w:lang w:val="ro-RO"/>
              </w:rPr>
            </w:pPr>
            <w:r w:rsidRPr="00BD3349">
              <w:rPr>
                <w:rFonts w:ascii="Arial" w:eastAsia="SimSun" w:hAnsi="Arial" w:cs="Arial"/>
                <w:sz w:val="20"/>
                <w:szCs w:val="20"/>
                <w:lang w:val="ro-RO"/>
              </w:rPr>
              <w:t>205</w:t>
            </w:r>
          </w:p>
        </w:tc>
        <w:tc>
          <w:tcPr>
            <w:tcW w:w="255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eastAsia="SimSun" w:hAnsi="Arial" w:cs="Arial"/>
                <w:color w:val="FF0000"/>
                <w:sz w:val="20"/>
                <w:szCs w:val="20"/>
                <w:lang w:val="en-GB"/>
              </w:rPr>
            </w:pPr>
            <w:r w:rsidRPr="00BD3349">
              <w:rPr>
                <w:rFonts w:ascii="Arial" w:eastAsia="SimSun" w:hAnsi="Arial" w:cs="Arial"/>
                <w:sz w:val="20"/>
                <w:szCs w:val="20"/>
                <w:lang w:val="ro-RO"/>
              </w:rPr>
              <w:t>fără tratament</w:t>
            </w:r>
          </w:p>
        </w:tc>
        <w:tc>
          <w:tcPr>
            <w:tcW w:w="113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20"/>
                <w:szCs w:val="20"/>
                <w:lang w:val="ro-RO"/>
              </w:rPr>
            </w:pPr>
          </w:p>
        </w:tc>
      </w:tr>
      <w:tr w:rsidR="00BD3349" w:rsidRPr="00BD3349" w:rsidTr="002403BF">
        <w:trPr>
          <w:trHeight w:val="70"/>
        </w:trPr>
        <w:tc>
          <w:tcPr>
            <w:tcW w:w="426" w:type="dxa"/>
            <w:vMerge/>
            <w:tcBorders>
              <w:left w:val="single" w:sz="4" w:space="0" w:color="auto"/>
              <w:right w:val="single" w:sz="4" w:space="0" w:color="auto"/>
            </w:tcBorders>
            <w:textDirection w:val="btLr"/>
          </w:tcPr>
          <w:p w:rsidR="00BD3349" w:rsidRPr="00BD3349" w:rsidRDefault="00BD3349" w:rsidP="00BD3349">
            <w:pPr>
              <w:tabs>
                <w:tab w:val="left" w:pos="2160"/>
                <w:tab w:val="left" w:leader="dot" w:pos="8640"/>
              </w:tabs>
              <w:spacing w:after="0" w:line="240" w:lineRule="auto"/>
              <w:rPr>
                <w:rFonts w:ascii="Arial" w:eastAsia="SimSun" w:hAnsi="Arial" w:cs="Arial"/>
                <w:b/>
                <w:sz w:val="20"/>
                <w:szCs w:val="20"/>
                <w:lang w:val="ro-RO"/>
              </w:rPr>
            </w:pPr>
          </w:p>
        </w:tc>
        <w:tc>
          <w:tcPr>
            <w:tcW w:w="1701" w:type="dxa"/>
            <w:vMerge/>
            <w:tcBorders>
              <w:left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18"/>
                <w:szCs w:val="18"/>
                <w:lang w:val="ro-RO"/>
              </w:rPr>
            </w:pPr>
          </w:p>
        </w:tc>
        <w:tc>
          <w:tcPr>
            <w:tcW w:w="3260" w:type="dxa"/>
            <w:tcBorders>
              <w:top w:val="single" w:sz="4" w:space="0" w:color="auto"/>
              <w:left w:val="single" w:sz="4" w:space="0" w:color="auto"/>
              <w:bottom w:val="single" w:sz="4" w:space="0" w:color="auto"/>
              <w:right w:val="single" w:sz="4" w:space="0" w:color="auto"/>
            </w:tcBorders>
          </w:tcPr>
          <w:p w:rsidR="00BD3349" w:rsidRPr="00B635CB" w:rsidRDefault="00BD3349" w:rsidP="00BD3349">
            <w:pPr>
              <w:tabs>
                <w:tab w:val="left" w:pos="2160"/>
                <w:tab w:val="left" w:leader="dot" w:pos="8640"/>
              </w:tabs>
              <w:spacing w:after="0" w:line="240" w:lineRule="auto"/>
              <w:rPr>
                <w:rFonts w:ascii="Arial" w:eastAsia="SimSun" w:hAnsi="Arial" w:cs="Arial"/>
                <w:i/>
                <w:sz w:val="20"/>
                <w:szCs w:val="20"/>
                <w:lang w:val="ro-RO"/>
              </w:rPr>
            </w:pPr>
            <w:r w:rsidRPr="00B635CB">
              <w:rPr>
                <w:rFonts w:ascii="Arial" w:eastAsia="SimSun" w:hAnsi="Arial" w:cs="Arial"/>
                <w:i/>
                <w:sz w:val="20"/>
                <w:szCs w:val="20"/>
                <w:lang w:val="ro-RO"/>
              </w:rPr>
              <w:t>Armillaria mellea</w:t>
            </w:r>
          </w:p>
        </w:tc>
        <w:tc>
          <w:tcPr>
            <w:tcW w:w="1276"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20"/>
                <w:szCs w:val="20"/>
                <w:lang w:val="ro-RO"/>
              </w:rPr>
            </w:pPr>
            <w:r w:rsidRPr="00BD3349">
              <w:rPr>
                <w:rFonts w:ascii="Arial" w:eastAsia="SimSun" w:hAnsi="Arial" w:cs="Arial"/>
                <w:sz w:val="20"/>
                <w:szCs w:val="20"/>
                <w:lang w:val="ro-RO"/>
              </w:rPr>
              <w:t>100</w:t>
            </w:r>
          </w:p>
        </w:tc>
        <w:tc>
          <w:tcPr>
            <w:tcW w:w="255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eastAsia="SimSun" w:hAnsi="Arial" w:cs="Arial"/>
                <w:color w:val="FF0000"/>
                <w:sz w:val="20"/>
                <w:szCs w:val="20"/>
                <w:lang w:val="ro-RO"/>
              </w:rPr>
            </w:pPr>
            <w:r w:rsidRPr="00BD3349">
              <w:rPr>
                <w:rFonts w:ascii="Arial" w:eastAsia="SimSun" w:hAnsi="Arial" w:cs="Arial"/>
                <w:sz w:val="20"/>
                <w:szCs w:val="20"/>
                <w:lang w:val="ro-RO"/>
              </w:rPr>
              <w:t>fără tratament</w:t>
            </w:r>
          </w:p>
        </w:tc>
        <w:tc>
          <w:tcPr>
            <w:tcW w:w="113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20"/>
                <w:szCs w:val="20"/>
                <w:lang w:val="ro-RO"/>
              </w:rPr>
            </w:pPr>
          </w:p>
        </w:tc>
      </w:tr>
      <w:tr w:rsidR="00BD3349" w:rsidRPr="00BD3349" w:rsidTr="002403BF">
        <w:trPr>
          <w:trHeight w:val="259"/>
        </w:trPr>
        <w:tc>
          <w:tcPr>
            <w:tcW w:w="426" w:type="dxa"/>
            <w:vMerge/>
            <w:tcBorders>
              <w:left w:val="single" w:sz="4" w:space="0" w:color="auto"/>
              <w:right w:val="single" w:sz="4" w:space="0" w:color="auto"/>
            </w:tcBorders>
            <w:textDirection w:val="btLr"/>
          </w:tcPr>
          <w:p w:rsidR="00BD3349" w:rsidRPr="00BD3349" w:rsidRDefault="00BD3349" w:rsidP="00BD3349">
            <w:pPr>
              <w:tabs>
                <w:tab w:val="left" w:pos="2160"/>
                <w:tab w:val="left" w:leader="dot" w:pos="8640"/>
              </w:tabs>
              <w:spacing w:after="0" w:line="240" w:lineRule="auto"/>
              <w:rPr>
                <w:rFonts w:ascii="Arial" w:eastAsia="SimSun" w:hAnsi="Arial" w:cs="Arial"/>
                <w:b/>
                <w:sz w:val="20"/>
                <w:szCs w:val="20"/>
                <w:lang w:val="ro-RO"/>
              </w:rPr>
            </w:pPr>
          </w:p>
        </w:tc>
        <w:tc>
          <w:tcPr>
            <w:tcW w:w="1701" w:type="dxa"/>
            <w:tcBorders>
              <w:left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rPr>
                <w:rFonts w:ascii="Arial" w:eastAsia="SimSun" w:hAnsi="Arial" w:cs="Arial"/>
                <w:sz w:val="18"/>
                <w:szCs w:val="18"/>
                <w:lang w:val="ro-RO"/>
              </w:rPr>
            </w:pPr>
            <w:r w:rsidRPr="00BD3349">
              <w:rPr>
                <w:rFonts w:ascii="Arial" w:eastAsia="SimSun" w:hAnsi="Arial" w:cs="Arial"/>
                <w:sz w:val="18"/>
                <w:szCs w:val="18"/>
                <w:lang w:val="ro-RO"/>
              </w:rPr>
              <w:t>Pădure de conifere</w:t>
            </w:r>
          </w:p>
        </w:tc>
        <w:tc>
          <w:tcPr>
            <w:tcW w:w="3260" w:type="dxa"/>
            <w:tcBorders>
              <w:top w:val="single" w:sz="4" w:space="0" w:color="auto"/>
              <w:left w:val="single" w:sz="4" w:space="0" w:color="auto"/>
              <w:bottom w:val="single" w:sz="4" w:space="0" w:color="auto"/>
              <w:right w:val="single" w:sz="4" w:space="0" w:color="auto"/>
            </w:tcBorders>
          </w:tcPr>
          <w:p w:rsidR="00BD3349" w:rsidRPr="00B635CB" w:rsidRDefault="00BD3349" w:rsidP="00BD3349">
            <w:pPr>
              <w:tabs>
                <w:tab w:val="left" w:pos="2160"/>
                <w:tab w:val="left" w:leader="dot" w:pos="8640"/>
              </w:tabs>
              <w:spacing w:after="0" w:line="240" w:lineRule="auto"/>
              <w:rPr>
                <w:rFonts w:ascii="Arial" w:eastAsia="SimSun" w:hAnsi="Arial" w:cs="Arial"/>
                <w:i/>
                <w:sz w:val="20"/>
                <w:szCs w:val="20"/>
                <w:lang w:val="ro-RO"/>
              </w:rPr>
            </w:pPr>
            <w:r w:rsidRPr="00B635CB">
              <w:rPr>
                <w:rFonts w:ascii="Arial" w:eastAsia="SimSun" w:hAnsi="Arial" w:cs="Arial"/>
                <w:i/>
                <w:sz w:val="20"/>
                <w:szCs w:val="20"/>
                <w:lang w:val="ro-RO"/>
              </w:rPr>
              <w:t>IPS Duplicatus</w:t>
            </w:r>
          </w:p>
        </w:tc>
        <w:tc>
          <w:tcPr>
            <w:tcW w:w="1276"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20"/>
                <w:szCs w:val="20"/>
                <w:lang w:val="ro-RO"/>
              </w:rPr>
            </w:pPr>
            <w:r w:rsidRPr="00BD3349">
              <w:rPr>
                <w:rFonts w:ascii="Arial" w:eastAsia="SimSun" w:hAnsi="Arial" w:cs="Arial"/>
                <w:sz w:val="20"/>
                <w:szCs w:val="20"/>
                <w:lang w:val="ro-RO"/>
              </w:rPr>
              <w:t>41</w:t>
            </w:r>
          </w:p>
        </w:tc>
        <w:tc>
          <w:tcPr>
            <w:tcW w:w="255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eastAsia="SimSun" w:hAnsi="Arial" w:cs="Arial"/>
                <w:sz w:val="20"/>
                <w:szCs w:val="20"/>
                <w:lang w:val="ro-RO"/>
              </w:rPr>
            </w:pPr>
            <w:r w:rsidRPr="00BD3349">
              <w:rPr>
                <w:rFonts w:ascii="Arial" w:eastAsia="SimSun" w:hAnsi="Arial" w:cs="Arial"/>
                <w:sz w:val="20"/>
                <w:szCs w:val="20"/>
                <w:lang w:val="ro-RO"/>
              </w:rPr>
              <w:t>Curse feronomonale cu Atradup</w:t>
            </w:r>
          </w:p>
        </w:tc>
        <w:tc>
          <w:tcPr>
            <w:tcW w:w="113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20"/>
                <w:szCs w:val="20"/>
                <w:lang w:val="ro-RO"/>
              </w:rPr>
            </w:pPr>
            <w:r w:rsidRPr="00BD3349">
              <w:rPr>
                <w:rFonts w:ascii="Arial" w:eastAsia="SimSun" w:hAnsi="Arial" w:cs="Arial"/>
                <w:sz w:val="20"/>
                <w:szCs w:val="20"/>
                <w:lang w:val="ro-RO"/>
              </w:rPr>
              <w:t>41</w:t>
            </w:r>
          </w:p>
        </w:tc>
      </w:tr>
      <w:tr w:rsidR="00BD3349" w:rsidRPr="00BD3349" w:rsidTr="002403BF">
        <w:trPr>
          <w:trHeight w:val="70"/>
        </w:trPr>
        <w:tc>
          <w:tcPr>
            <w:tcW w:w="426" w:type="dxa"/>
            <w:vMerge/>
            <w:tcBorders>
              <w:left w:val="single" w:sz="4" w:space="0" w:color="auto"/>
              <w:right w:val="single" w:sz="4" w:space="0" w:color="auto"/>
            </w:tcBorders>
            <w:textDirection w:val="btLr"/>
          </w:tcPr>
          <w:p w:rsidR="00BD3349" w:rsidRPr="00BD3349" w:rsidRDefault="00BD3349" w:rsidP="00BD3349">
            <w:pPr>
              <w:tabs>
                <w:tab w:val="left" w:pos="2160"/>
                <w:tab w:val="left" w:leader="dot" w:pos="8640"/>
              </w:tabs>
              <w:spacing w:after="0" w:line="240" w:lineRule="auto"/>
              <w:rPr>
                <w:rFonts w:ascii="Arial" w:eastAsia="SimSun" w:hAnsi="Arial" w:cs="Arial"/>
                <w:b/>
                <w:sz w:val="20"/>
                <w:szCs w:val="20"/>
                <w:lang w:val="ro-RO"/>
              </w:rPr>
            </w:pPr>
          </w:p>
        </w:tc>
        <w:tc>
          <w:tcPr>
            <w:tcW w:w="1701" w:type="dxa"/>
            <w:tcBorders>
              <w:left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rPr>
                <w:rFonts w:ascii="Arial" w:eastAsia="SimSun" w:hAnsi="Arial" w:cs="Arial"/>
                <w:sz w:val="18"/>
                <w:szCs w:val="18"/>
                <w:lang w:val="ro-RO"/>
              </w:rPr>
            </w:pPr>
            <w:r w:rsidRPr="00BD3349">
              <w:rPr>
                <w:rFonts w:ascii="Arial" w:eastAsia="SimSun" w:hAnsi="Arial" w:cs="Arial"/>
                <w:sz w:val="18"/>
                <w:szCs w:val="18"/>
                <w:lang w:val="ro-RO"/>
              </w:rPr>
              <w:t>Pădure de amestec</w:t>
            </w:r>
          </w:p>
        </w:tc>
        <w:tc>
          <w:tcPr>
            <w:tcW w:w="3260" w:type="dxa"/>
            <w:tcBorders>
              <w:top w:val="single" w:sz="4" w:space="0" w:color="auto"/>
              <w:left w:val="single" w:sz="4" w:space="0" w:color="auto"/>
              <w:bottom w:val="single" w:sz="4" w:space="0" w:color="auto"/>
              <w:right w:val="single" w:sz="4" w:space="0" w:color="auto"/>
            </w:tcBorders>
          </w:tcPr>
          <w:p w:rsidR="00BD3349" w:rsidRPr="00B635CB" w:rsidRDefault="00BD3349" w:rsidP="00BD3349">
            <w:pPr>
              <w:tabs>
                <w:tab w:val="left" w:pos="2160"/>
                <w:tab w:val="left" w:leader="dot" w:pos="8640"/>
              </w:tabs>
              <w:spacing w:after="0" w:line="240" w:lineRule="auto"/>
              <w:rPr>
                <w:rFonts w:ascii="Arial" w:eastAsia="SimSun" w:hAnsi="Arial" w:cs="Arial"/>
                <w:i/>
                <w:sz w:val="20"/>
                <w:szCs w:val="20"/>
                <w:lang w:val="ro-RO"/>
              </w:rPr>
            </w:pPr>
            <w:r w:rsidRPr="00B635CB">
              <w:rPr>
                <w:rFonts w:ascii="Arial" w:eastAsia="SimSun" w:hAnsi="Arial" w:cs="Arial"/>
                <w:i/>
                <w:sz w:val="20"/>
                <w:szCs w:val="20"/>
                <w:lang w:val="ro-RO"/>
              </w:rPr>
              <w:t>-</w:t>
            </w:r>
          </w:p>
        </w:tc>
        <w:tc>
          <w:tcPr>
            <w:tcW w:w="1276"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20"/>
                <w:szCs w:val="20"/>
                <w:lang w:val="ro-RO"/>
              </w:rPr>
            </w:pPr>
            <w:r w:rsidRPr="00BD3349">
              <w:rPr>
                <w:rFonts w:ascii="Arial" w:eastAsia="SimSun" w:hAnsi="Arial" w:cs="Arial"/>
                <w:sz w:val="20"/>
                <w:szCs w:val="20"/>
                <w:lang w:val="ro-RO"/>
              </w:rPr>
              <w:t>-</w:t>
            </w:r>
          </w:p>
        </w:tc>
        <w:tc>
          <w:tcPr>
            <w:tcW w:w="255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eastAsia="SimSun" w:hAnsi="Arial" w:cs="Arial"/>
                <w:sz w:val="20"/>
                <w:szCs w:val="20"/>
                <w:lang w:val="en-GB"/>
              </w:rPr>
            </w:pPr>
            <w:r w:rsidRPr="00BD3349">
              <w:rPr>
                <w:rFonts w:ascii="Arial" w:eastAsia="SimSun" w:hAnsi="Arial" w:cs="Arial"/>
                <w:sz w:val="20"/>
                <w:szCs w:val="20"/>
                <w:lang w:val="en-GB"/>
              </w:rPr>
              <w:t>-</w:t>
            </w:r>
          </w:p>
        </w:tc>
        <w:tc>
          <w:tcPr>
            <w:tcW w:w="113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20"/>
                <w:szCs w:val="20"/>
                <w:lang w:val="ro-RO"/>
              </w:rPr>
            </w:pPr>
            <w:r w:rsidRPr="00BD3349">
              <w:rPr>
                <w:rFonts w:ascii="Arial" w:eastAsia="SimSun" w:hAnsi="Arial" w:cs="Arial"/>
                <w:sz w:val="20"/>
                <w:szCs w:val="20"/>
                <w:lang w:val="ro-RO"/>
              </w:rPr>
              <w:t>-</w:t>
            </w:r>
          </w:p>
        </w:tc>
      </w:tr>
      <w:tr w:rsidR="00BD3349" w:rsidRPr="00BD3349" w:rsidTr="002403BF">
        <w:trPr>
          <w:trHeight w:val="70"/>
        </w:trPr>
        <w:tc>
          <w:tcPr>
            <w:tcW w:w="426" w:type="dxa"/>
            <w:vMerge/>
            <w:tcBorders>
              <w:left w:val="single" w:sz="4" w:space="0" w:color="auto"/>
              <w:right w:val="single" w:sz="4" w:space="0" w:color="auto"/>
            </w:tcBorders>
            <w:textDirection w:val="btLr"/>
          </w:tcPr>
          <w:p w:rsidR="00BD3349" w:rsidRPr="00BD3349" w:rsidRDefault="00BD3349" w:rsidP="00BD3349">
            <w:pPr>
              <w:tabs>
                <w:tab w:val="left" w:pos="2160"/>
                <w:tab w:val="left" w:leader="dot" w:pos="8640"/>
              </w:tabs>
              <w:spacing w:after="0" w:line="240" w:lineRule="auto"/>
              <w:rPr>
                <w:rFonts w:ascii="Arial" w:eastAsia="SimSun" w:hAnsi="Arial" w:cs="Arial"/>
                <w:b/>
                <w:sz w:val="20"/>
                <w:szCs w:val="20"/>
                <w:lang w:val="ro-RO"/>
              </w:rPr>
            </w:pPr>
          </w:p>
        </w:tc>
        <w:tc>
          <w:tcPr>
            <w:tcW w:w="1701" w:type="dxa"/>
            <w:tcBorders>
              <w:left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rPr>
                <w:rFonts w:ascii="Arial" w:eastAsia="SimSun" w:hAnsi="Arial" w:cs="Arial"/>
                <w:sz w:val="18"/>
                <w:szCs w:val="18"/>
                <w:lang w:val="ro-RO"/>
              </w:rPr>
            </w:pPr>
            <w:r w:rsidRPr="00BD3349">
              <w:rPr>
                <w:rFonts w:ascii="Arial" w:eastAsia="SimSun" w:hAnsi="Arial" w:cs="Arial"/>
                <w:sz w:val="18"/>
                <w:szCs w:val="18"/>
                <w:lang w:val="ro-RO"/>
              </w:rPr>
              <w:t>Plantaţii tinere de molid, brad, larice</w:t>
            </w:r>
          </w:p>
        </w:tc>
        <w:tc>
          <w:tcPr>
            <w:tcW w:w="3260" w:type="dxa"/>
            <w:tcBorders>
              <w:top w:val="single" w:sz="4" w:space="0" w:color="auto"/>
              <w:left w:val="single" w:sz="4" w:space="0" w:color="auto"/>
              <w:bottom w:val="single" w:sz="4" w:space="0" w:color="auto"/>
              <w:right w:val="single" w:sz="4" w:space="0" w:color="auto"/>
            </w:tcBorders>
          </w:tcPr>
          <w:p w:rsidR="00BD3349" w:rsidRPr="00B635CB" w:rsidRDefault="00BD3349" w:rsidP="00BD3349">
            <w:pPr>
              <w:tabs>
                <w:tab w:val="left" w:pos="2160"/>
                <w:tab w:val="left" w:leader="dot" w:pos="8640"/>
              </w:tabs>
              <w:spacing w:after="0" w:line="240" w:lineRule="auto"/>
              <w:rPr>
                <w:rFonts w:ascii="Arial" w:eastAsia="SimSun" w:hAnsi="Arial" w:cs="Arial"/>
                <w:i/>
                <w:sz w:val="20"/>
                <w:szCs w:val="20"/>
                <w:lang w:val="ro-RO"/>
              </w:rPr>
            </w:pPr>
            <w:r w:rsidRPr="00B635CB">
              <w:rPr>
                <w:rFonts w:ascii="Arial" w:eastAsia="SimSun" w:hAnsi="Arial" w:cs="Arial"/>
                <w:i/>
                <w:sz w:val="20"/>
                <w:szCs w:val="20"/>
                <w:lang w:val="ro-RO"/>
              </w:rPr>
              <w:t>-</w:t>
            </w:r>
          </w:p>
        </w:tc>
        <w:tc>
          <w:tcPr>
            <w:tcW w:w="1276"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20"/>
                <w:szCs w:val="20"/>
                <w:lang w:val="ro-RO"/>
              </w:rPr>
            </w:pPr>
            <w:r w:rsidRPr="00BD3349">
              <w:rPr>
                <w:rFonts w:ascii="Arial" w:eastAsia="SimSun" w:hAnsi="Arial" w:cs="Arial"/>
                <w:sz w:val="20"/>
                <w:szCs w:val="20"/>
                <w:lang w:val="ro-RO"/>
              </w:rPr>
              <w:t>-</w:t>
            </w:r>
          </w:p>
        </w:tc>
        <w:tc>
          <w:tcPr>
            <w:tcW w:w="255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eastAsia="SimSun" w:hAnsi="Arial" w:cs="Arial"/>
                <w:sz w:val="20"/>
                <w:szCs w:val="20"/>
                <w:lang w:val="en-GB"/>
              </w:rPr>
            </w:pPr>
            <w:r w:rsidRPr="00BD3349">
              <w:rPr>
                <w:rFonts w:ascii="Arial" w:eastAsia="SimSun" w:hAnsi="Arial" w:cs="Arial"/>
                <w:sz w:val="20"/>
                <w:szCs w:val="20"/>
                <w:lang w:val="en-GB"/>
              </w:rPr>
              <w:t>-</w:t>
            </w:r>
          </w:p>
        </w:tc>
        <w:tc>
          <w:tcPr>
            <w:tcW w:w="113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20"/>
                <w:szCs w:val="20"/>
                <w:lang w:val="ro-RO"/>
              </w:rPr>
            </w:pPr>
            <w:r w:rsidRPr="00BD3349">
              <w:rPr>
                <w:rFonts w:ascii="Arial" w:eastAsia="SimSun" w:hAnsi="Arial" w:cs="Arial"/>
                <w:sz w:val="20"/>
                <w:szCs w:val="20"/>
                <w:lang w:val="ro-RO"/>
              </w:rPr>
              <w:t>-</w:t>
            </w:r>
          </w:p>
        </w:tc>
      </w:tr>
      <w:tr w:rsidR="00BD3349" w:rsidRPr="00BD3349" w:rsidTr="002403BF">
        <w:trPr>
          <w:trHeight w:val="70"/>
        </w:trPr>
        <w:tc>
          <w:tcPr>
            <w:tcW w:w="426" w:type="dxa"/>
            <w:vMerge/>
            <w:tcBorders>
              <w:left w:val="single" w:sz="4" w:space="0" w:color="auto"/>
              <w:right w:val="single" w:sz="4" w:space="0" w:color="auto"/>
            </w:tcBorders>
            <w:textDirection w:val="btLr"/>
          </w:tcPr>
          <w:p w:rsidR="00BD3349" w:rsidRPr="00BD3349" w:rsidRDefault="00BD3349" w:rsidP="00BD3349">
            <w:pPr>
              <w:tabs>
                <w:tab w:val="left" w:pos="2160"/>
                <w:tab w:val="left" w:leader="dot" w:pos="8640"/>
              </w:tabs>
              <w:spacing w:after="0" w:line="240" w:lineRule="auto"/>
              <w:rPr>
                <w:rFonts w:ascii="Arial" w:eastAsia="SimSun" w:hAnsi="Arial" w:cs="Arial"/>
                <w:b/>
                <w:sz w:val="20"/>
                <w:szCs w:val="20"/>
                <w:lang w:val="ro-RO"/>
              </w:rPr>
            </w:pPr>
          </w:p>
        </w:tc>
        <w:tc>
          <w:tcPr>
            <w:tcW w:w="1701" w:type="dxa"/>
            <w:vMerge w:val="restart"/>
            <w:tcBorders>
              <w:left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rPr>
                <w:rFonts w:ascii="Arial" w:eastAsia="SimSun" w:hAnsi="Arial" w:cs="Arial"/>
                <w:sz w:val="18"/>
                <w:szCs w:val="18"/>
                <w:lang w:val="ro-RO"/>
              </w:rPr>
            </w:pPr>
            <w:r w:rsidRPr="00BD3349">
              <w:rPr>
                <w:rFonts w:ascii="Arial" w:eastAsia="SimSun" w:hAnsi="Arial" w:cs="Arial"/>
                <w:sz w:val="18"/>
                <w:szCs w:val="18"/>
                <w:lang w:val="ro-RO"/>
              </w:rPr>
              <w:t>Pepiniere</w:t>
            </w:r>
          </w:p>
        </w:tc>
        <w:tc>
          <w:tcPr>
            <w:tcW w:w="3260" w:type="dxa"/>
            <w:tcBorders>
              <w:top w:val="single" w:sz="4" w:space="0" w:color="auto"/>
              <w:left w:val="single" w:sz="4" w:space="0" w:color="auto"/>
              <w:bottom w:val="single" w:sz="4" w:space="0" w:color="auto"/>
              <w:right w:val="single" w:sz="4" w:space="0" w:color="auto"/>
            </w:tcBorders>
          </w:tcPr>
          <w:p w:rsidR="00BD3349" w:rsidRPr="00B635CB" w:rsidRDefault="00BD3349" w:rsidP="00BD3349">
            <w:pPr>
              <w:tabs>
                <w:tab w:val="left" w:pos="2160"/>
                <w:tab w:val="left" w:leader="dot" w:pos="8640"/>
              </w:tabs>
              <w:spacing w:after="0" w:line="240" w:lineRule="auto"/>
              <w:rPr>
                <w:rFonts w:ascii="Arial" w:eastAsia="SimSun" w:hAnsi="Arial" w:cs="Arial"/>
                <w:i/>
                <w:sz w:val="20"/>
                <w:szCs w:val="20"/>
                <w:lang w:val="ro-RO"/>
              </w:rPr>
            </w:pPr>
            <w:r w:rsidRPr="00B635CB">
              <w:rPr>
                <w:rFonts w:ascii="Arial" w:eastAsia="SimSun" w:hAnsi="Arial" w:cs="Arial"/>
                <w:i/>
                <w:sz w:val="20"/>
                <w:szCs w:val="20"/>
                <w:lang w:val="ro-RO"/>
              </w:rPr>
              <w:t>Melasoma Populi</w:t>
            </w:r>
          </w:p>
        </w:tc>
        <w:tc>
          <w:tcPr>
            <w:tcW w:w="1276" w:type="dxa"/>
            <w:tcBorders>
              <w:top w:val="single" w:sz="4" w:space="0" w:color="auto"/>
              <w:left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20"/>
                <w:szCs w:val="20"/>
                <w:lang w:val="ro-RO"/>
              </w:rPr>
            </w:pPr>
            <w:r w:rsidRPr="00BD3349">
              <w:rPr>
                <w:rFonts w:ascii="Arial" w:eastAsia="SimSun" w:hAnsi="Arial" w:cs="Arial"/>
                <w:sz w:val="20"/>
                <w:szCs w:val="20"/>
                <w:lang w:val="ro-RO"/>
              </w:rPr>
              <w:t>4.5</w:t>
            </w:r>
          </w:p>
        </w:tc>
        <w:tc>
          <w:tcPr>
            <w:tcW w:w="2551" w:type="dxa"/>
            <w:tcBorders>
              <w:top w:val="single" w:sz="4" w:space="0" w:color="auto"/>
              <w:left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rPr>
                <w:rFonts w:ascii="Arial" w:eastAsia="SimSun" w:hAnsi="Arial" w:cs="Arial"/>
                <w:sz w:val="20"/>
                <w:szCs w:val="20"/>
                <w:lang w:val="ro-RO"/>
              </w:rPr>
            </w:pPr>
            <w:r w:rsidRPr="00BD3349">
              <w:rPr>
                <w:rFonts w:ascii="Arial" w:eastAsia="SimSun" w:hAnsi="Arial" w:cs="Arial"/>
                <w:sz w:val="20"/>
                <w:szCs w:val="20"/>
                <w:lang w:val="ro-RO"/>
              </w:rPr>
              <w:t>Actara 25 W.G.</w:t>
            </w:r>
          </w:p>
        </w:tc>
        <w:tc>
          <w:tcPr>
            <w:tcW w:w="1134" w:type="dxa"/>
            <w:tcBorders>
              <w:top w:val="single" w:sz="4" w:space="0" w:color="auto"/>
              <w:left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20"/>
                <w:szCs w:val="20"/>
                <w:lang w:val="ro-RO"/>
              </w:rPr>
            </w:pPr>
            <w:r w:rsidRPr="00BD3349">
              <w:rPr>
                <w:rFonts w:ascii="Arial" w:eastAsia="SimSun" w:hAnsi="Arial" w:cs="Arial"/>
                <w:sz w:val="20"/>
                <w:szCs w:val="20"/>
                <w:lang w:val="ro-RO"/>
              </w:rPr>
              <w:t>4.5</w:t>
            </w:r>
          </w:p>
        </w:tc>
      </w:tr>
      <w:tr w:rsidR="00BD3349" w:rsidRPr="00BD3349" w:rsidTr="002403BF">
        <w:trPr>
          <w:trHeight w:val="132"/>
        </w:trPr>
        <w:tc>
          <w:tcPr>
            <w:tcW w:w="426" w:type="dxa"/>
            <w:vMerge/>
            <w:tcBorders>
              <w:left w:val="single" w:sz="4" w:space="0" w:color="auto"/>
              <w:right w:val="single" w:sz="4" w:space="0" w:color="auto"/>
            </w:tcBorders>
            <w:textDirection w:val="btLr"/>
          </w:tcPr>
          <w:p w:rsidR="00BD3349" w:rsidRPr="00BD3349" w:rsidRDefault="00BD3349" w:rsidP="00BD3349">
            <w:pPr>
              <w:tabs>
                <w:tab w:val="left" w:pos="2160"/>
                <w:tab w:val="left" w:leader="dot" w:pos="8640"/>
              </w:tabs>
              <w:spacing w:after="0" w:line="240" w:lineRule="auto"/>
              <w:rPr>
                <w:rFonts w:ascii="Arial" w:eastAsia="SimSun" w:hAnsi="Arial" w:cs="Arial"/>
                <w:b/>
                <w:sz w:val="20"/>
                <w:szCs w:val="20"/>
                <w:lang w:val="ro-RO"/>
              </w:rPr>
            </w:pPr>
          </w:p>
        </w:tc>
        <w:tc>
          <w:tcPr>
            <w:tcW w:w="1701" w:type="dxa"/>
            <w:vMerge/>
            <w:tcBorders>
              <w:left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rPr>
                <w:rFonts w:ascii="Arial" w:eastAsia="SimSun" w:hAnsi="Arial" w:cs="Arial"/>
                <w:sz w:val="18"/>
                <w:szCs w:val="18"/>
                <w:lang w:val="ro-RO"/>
              </w:rPr>
            </w:pPr>
          </w:p>
        </w:tc>
        <w:tc>
          <w:tcPr>
            <w:tcW w:w="3260" w:type="dxa"/>
            <w:tcBorders>
              <w:top w:val="single" w:sz="4" w:space="0" w:color="auto"/>
              <w:left w:val="single" w:sz="4" w:space="0" w:color="auto"/>
              <w:bottom w:val="single" w:sz="4" w:space="0" w:color="auto"/>
              <w:right w:val="single" w:sz="4" w:space="0" w:color="auto"/>
            </w:tcBorders>
          </w:tcPr>
          <w:p w:rsidR="00BD3349" w:rsidRPr="00B635CB" w:rsidRDefault="00BD3349" w:rsidP="00BD3349">
            <w:pPr>
              <w:tabs>
                <w:tab w:val="left" w:pos="2160"/>
                <w:tab w:val="left" w:leader="dot" w:pos="8640"/>
              </w:tabs>
              <w:spacing w:after="0" w:line="240" w:lineRule="auto"/>
              <w:rPr>
                <w:rFonts w:ascii="Arial" w:eastAsia="SimSun" w:hAnsi="Arial" w:cs="Arial"/>
                <w:i/>
                <w:sz w:val="20"/>
                <w:szCs w:val="20"/>
                <w:lang w:val="ro-RO"/>
              </w:rPr>
            </w:pPr>
            <w:r w:rsidRPr="00B635CB">
              <w:rPr>
                <w:rFonts w:ascii="Arial" w:eastAsia="SimSun" w:hAnsi="Arial" w:cs="Arial"/>
                <w:i/>
                <w:sz w:val="20"/>
                <w:szCs w:val="20"/>
                <w:lang w:val="ro-RO"/>
              </w:rPr>
              <w:t>Fusarium sp.</w:t>
            </w:r>
          </w:p>
        </w:tc>
        <w:tc>
          <w:tcPr>
            <w:tcW w:w="1276" w:type="dxa"/>
            <w:tcBorders>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20"/>
                <w:szCs w:val="20"/>
                <w:lang w:val="ro-RO"/>
              </w:rPr>
            </w:pPr>
            <w:r w:rsidRPr="00BD3349">
              <w:rPr>
                <w:rFonts w:ascii="Arial" w:eastAsia="SimSun" w:hAnsi="Arial" w:cs="Arial"/>
                <w:sz w:val="20"/>
                <w:szCs w:val="20"/>
                <w:lang w:val="ro-RO"/>
              </w:rPr>
              <w:t>1.0</w:t>
            </w:r>
          </w:p>
        </w:tc>
        <w:tc>
          <w:tcPr>
            <w:tcW w:w="2551" w:type="dxa"/>
            <w:tcBorders>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rPr>
                <w:rFonts w:ascii="Arial" w:eastAsia="SimSun" w:hAnsi="Arial" w:cs="Arial"/>
                <w:sz w:val="20"/>
                <w:szCs w:val="20"/>
                <w:lang w:val="ro-RO"/>
              </w:rPr>
            </w:pPr>
            <w:r w:rsidRPr="00BD3349">
              <w:rPr>
                <w:rFonts w:ascii="Arial" w:eastAsia="SimSun" w:hAnsi="Arial" w:cs="Arial"/>
                <w:sz w:val="20"/>
                <w:szCs w:val="20"/>
                <w:lang w:val="ro-RO"/>
              </w:rPr>
              <w:t>Topsin M70</w:t>
            </w:r>
          </w:p>
        </w:tc>
        <w:tc>
          <w:tcPr>
            <w:tcW w:w="1134" w:type="dxa"/>
            <w:tcBorders>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20"/>
                <w:szCs w:val="20"/>
                <w:lang w:val="ro-RO"/>
              </w:rPr>
            </w:pPr>
            <w:r w:rsidRPr="00BD3349">
              <w:rPr>
                <w:rFonts w:ascii="Arial" w:eastAsia="SimSun" w:hAnsi="Arial" w:cs="Arial"/>
                <w:sz w:val="20"/>
                <w:szCs w:val="20"/>
                <w:lang w:val="ro-RO"/>
              </w:rPr>
              <w:t>1.0</w:t>
            </w:r>
          </w:p>
        </w:tc>
      </w:tr>
      <w:tr w:rsidR="00BD3349" w:rsidRPr="00BD3349" w:rsidTr="002403BF">
        <w:trPr>
          <w:trHeight w:val="134"/>
        </w:trPr>
        <w:tc>
          <w:tcPr>
            <w:tcW w:w="426" w:type="dxa"/>
            <w:vMerge/>
            <w:tcBorders>
              <w:left w:val="single" w:sz="4" w:space="0" w:color="auto"/>
              <w:right w:val="single" w:sz="4" w:space="0" w:color="auto"/>
            </w:tcBorders>
            <w:textDirection w:val="btLr"/>
          </w:tcPr>
          <w:p w:rsidR="00BD3349" w:rsidRPr="00BD3349" w:rsidRDefault="00BD3349" w:rsidP="00BD3349">
            <w:pPr>
              <w:tabs>
                <w:tab w:val="left" w:pos="2160"/>
                <w:tab w:val="left" w:leader="dot" w:pos="8640"/>
              </w:tabs>
              <w:spacing w:after="0" w:line="240" w:lineRule="auto"/>
              <w:rPr>
                <w:rFonts w:ascii="Arial" w:eastAsia="SimSun" w:hAnsi="Arial" w:cs="Arial"/>
                <w:b/>
                <w:sz w:val="20"/>
                <w:szCs w:val="20"/>
                <w:lang w:val="ro-RO"/>
              </w:rPr>
            </w:pPr>
          </w:p>
        </w:tc>
        <w:tc>
          <w:tcPr>
            <w:tcW w:w="1701" w:type="dxa"/>
            <w:vMerge/>
            <w:tcBorders>
              <w:left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rPr>
                <w:rFonts w:ascii="Arial" w:eastAsia="SimSun" w:hAnsi="Arial" w:cs="Arial"/>
                <w:sz w:val="18"/>
                <w:szCs w:val="18"/>
                <w:lang w:val="ro-RO"/>
              </w:rPr>
            </w:pPr>
          </w:p>
        </w:tc>
        <w:tc>
          <w:tcPr>
            <w:tcW w:w="3260" w:type="dxa"/>
            <w:tcBorders>
              <w:top w:val="single" w:sz="4" w:space="0" w:color="auto"/>
              <w:left w:val="single" w:sz="4" w:space="0" w:color="auto"/>
              <w:bottom w:val="single" w:sz="4" w:space="0" w:color="auto"/>
              <w:right w:val="single" w:sz="4" w:space="0" w:color="auto"/>
            </w:tcBorders>
          </w:tcPr>
          <w:p w:rsidR="00BD3349" w:rsidRPr="00B635CB" w:rsidRDefault="00BD3349" w:rsidP="00BD3349">
            <w:pPr>
              <w:tabs>
                <w:tab w:val="left" w:pos="2160"/>
                <w:tab w:val="left" w:leader="dot" w:pos="8640"/>
              </w:tabs>
              <w:spacing w:after="0" w:line="240" w:lineRule="auto"/>
              <w:rPr>
                <w:rFonts w:ascii="Arial" w:eastAsia="SimSun" w:hAnsi="Arial" w:cs="Arial"/>
                <w:i/>
                <w:sz w:val="20"/>
                <w:szCs w:val="20"/>
                <w:lang w:val="ro-RO"/>
              </w:rPr>
            </w:pPr>
            <w:r w:rsidRPr="00B635CB">
              <w:rPr>
                <w:rFonts w:ascii="Arial" w:eastAsia="SimSun" w:hAnsi="Arial" w:cs="Arial"/>
                <w:i/>
                <w:sz w:val="20"/>
                <w:szCs w:val="20"/>
                <w:lang w:val="ro-RO"/>
              </w:rPr>
              <w:t>Oidium sp.</w:t>
            </w:r>
          </w:p>
        </w:tc>
        <w:tc>
          <w:tcPr>
            <w:tcW w:w="1276"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20"/>
                <w:szCs w:val="20"/>
                <w:lang w:val="ro-RO"/>
              </w:rPr>
            </w:pPr>
            <w:r w:rsidRPr="00BD3349">
              <w:rPr>
                <w:rFonts w:ascii="Arial" w:eastAsia="SimSun" w:hAnsi="Arial" w:cs="Arial"/>
                <w:sz w:val="20"/>
                <w:szCs w:val="20"/>
                <w:lang w:val="ro-RO"/>
              </w:rPr>
              <w:t>3.2</w:t>
            </w:r>
          </w:p>
        </w:tc>
        <w:tc>
          <w:tcPr>
            <w:tcW w:w="255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rPr>
                <w:rFonts w:ascii="Arial" w:eastAsia="SimSun" w:hAnsi="Arial" w:cs="Arial"/>
                <w:sz w:val="20"/>
                <w:szCs w:val="20"/>
                <w:lang w:val="ro-RO"/>
              </w:rPr>
            </w:pPr>
            <w:r w:rsidRPr="00BD3349">
              <w:rPr>
                <w:rFonts w:ascii="Arial" w:eastAsia="SimSun" w:hAnsi="Arial" w:cs="Arial"/>
                <w:sz w:val="20"/>
                <w:szCs w:val="20"/>
                <w:lang w:val="ro-RO"/>
              </w:rPr>
              <w:t>Bumper 250 E.C.</w:t>
            </w:r>
          </w:p>
        </w:tc>
        <w:tc>
          <w:tcPr>
            <w:tcW w:w="113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20"/>
                <w:szCs w:val="20"/>
                <w:lang w:val="ro-RO"/>
              </w:rPr>
            </w:pPr>
            <w:r w:rsidRPr="00BD3349">
              <w:rPr>
                <w:rFonts w:ascii="Arial" w:eastAsia="SimSun" w:hAnsi="Arial" w:cs="Arial"/>
                <w:sz w:val="20"/>
                <w:szCs w:val="20"/>
                <w:lang w:val="ro-RO"/>
              </w:rPr>
              <w:t>3.2</w:t>
            </w:r>
          </w:p>
        </w:tc>
      </w:tr>
      <w:tr w:rsidR="00BD3349" w:rsidRPr="00BD3349" w:rsidTr="002403BF">
        <w:trPr>
          <w:trHeight w:val="312"/>
        </w:trPr>
        <w:tc>
          <w:tcPr>
            <w:tcW w:w="426" w:type="dxa"/>
            <w:vMerge/>
            <w:tcBorders>
              <w:left w:val="single" w:sz="4" w:space="0" w:color="auto"/>
              <w:bottom w:val="single" w:sz="4" w:space="0" w:color="auto"/>
              <w:right w:val="single" w:sz="4" w:space="0" w:color="auto"/>
            </w:tcBorders>
            <w:textDirection w:val="btLr"/>
          </w:tcPr>
          <w:p w:rsidR="00BD3349" w:rsidRPr="00BD3349" w:rsidRDefault="00BD3349" w:rsidP="00BD3349">
            <w:pPr>
              <w:tabs>
                <w:tab w:val="left" w:pos="2160"/>
                <w:tab w:val="left" w:leader="dot" w:pos="8640"/>
              </w:tabs>
              <w:spacing w:after="0" w:line="240" w:lineRule="auto"/>
              <w:rPr>
                <w:rFonts w:ascii="Arial" w:eastAsia="SimSun" w:hAnsi="Arial" w:cs="Arial"/>
                <w:b/>
                <w:sz w:val="20"/>
                <w:szCs w:val="20"/>
                <w:lang w:val="ro-RO"/>
              </w:rPr>
            </w:pPr>
          </w:p>
        </w:tc>
        <w:tc>
          <w:tcPr>
            <w:tcW w:w="1701" w:type="dxa"/>
            <w:tcBorders>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rPr>
                <w:rFonts w:ascii="Arial" w:eastAsia="SimSun" w:hAnsi="Arial" w:cs="Arial"/>
                <w:sz w:val="18"/>
                <w:szCs w:val="18"/>
                <w:lang w:val="ro-RO"/>
              </w:rPr>
            </w:pPr>
            <w:r w:rsidRPr="00BD3349">
              <w:rPr>
                <w:rFonts w:ascii="Arial" w:eastAsia="SimSun" w:hAnsi="Arial" w:cs="Arial"/>
                <w:sz w:val="18"/>
                <w:szCs w:val="18"/>
                <w:lang w:val="ro-RO"/>
              </w:rPr>
              <w:t>Răchitării</w:t>
            </w:r>
          </w:p>
        </w:tc>
        <w:tc>
          <w:tcPr>
            <w:tcW w:w="3260"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rPr>
                <w:rFonts w:ascii="Arial" w:eastAsia="SimSun" w:hAnsi="Arial" w:cs="Arial"/>
                <w:sz w:val="20"/>
                <w:szCs w:val="20"/>
                <w:lang w:val="ro-RO"/>
              </w:rPr>
            </w:pPr>
            <w:r w:rsidRPr="00BD3349">
              <w:rPr>
                <w:rFonts w:ascii="Arial" w:eastAsia="SimSun" w:hAnsi="Arial" w:cs="Arial"/>
                <w:sz w:val="20"/>
                <w:szCs w:val="20"/>
                <w:lang w:val="ro-RO"/>
              </w:rPr>
              <w:t>-</w:t>
            </w:r>
          </w:p>
        </w:tc>
        <w:tc>
          <w:tcPr>
            <w:tcW w:w="1276"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20"/>
                <w:szCs w:val="20"/>
                <w:lang w:val="ro-RO"/>
              </w:rPr>
            </w:pPr>
            <w:r w:rsidRPr="00BD3349">
              <w:rPr>
                <w:rFonts w:ascii="Arial" w:eastAsia="SimSun" w:hAnsi="Arial" w:cs="Arial"/>
                <w:sz w:val="20"/>
                <w:szCs w:val="20"/>
                <w:lang w:val="ro-RO"/>
              </w:rPr>
              <w:t>-</w:t>
            </w:r>
          </w:p>
        </w:tc>
        <w:tc>
          <w:tcPr>
            <w:tcW w:w="255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rPr>
                <w:rFonts w:ascii="Arial" w:eastAsia="SimSun" w:hAnsi="Arial" w:cs="Arial"/>
                <w:sz w:val="20"/>
                <w:szCs w:val="20"/>
                <w:lang w:val="ro-RO"/>
              </w:rPr>
            </w:pPr>
            <w:r w:rsidRPr="00BD3349">
              <w:rPr>
                <w:rFonts w:ascii="Arial" w:eastAsia="SimSun" w:hAnsi="Arial" w:cs="Arial"/>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20"/>
                <w:szCs w:val="20"/>
                <w:lang w:val="ro-RO"/>
              </w:rPr>
            </w:pPr>
            <w:r w:rsidRPr="00BD3349">
              <w:rPr>
                <w:rFonts w:ascii="Arial" w:eastAsia="SimSun" w:hAnsi="Arial" w:cs="Arial"/>
                <w:sz w:val="20"/>
                <w:szCs w:val="20"/>
                <w:lang w:val="ro-RO"/>
              </w:rPr>
              <w:t>-</w:t>
            </w:r>
          </w:p>
        </w:tc>
      </w:tr>
    </w:tbl>
    <w:p w:rsidR="00BD3349" w:rsidRPr="00BD3349" w:rsidRDefault="00BD3349" w:rsidP="00BD3349">
      <w:pPr>
        <w:tabs>
          <w:tab w:val="left" w:pos="1276"/>
        </w:tabs>
        <w:spacing w:after="0" w:line="240" w:lineRule="auto"/>
        <w:rPr>
          <w:rFonts w:ascii="Arial" w:eastAsia="Times New Roman" w:hAnsi="Arial" w:cs="Arial"/>
          <w:sz w:val="20"/>
          <w:szCs w:val="20"/>
          <w:lang w:eastAsia="ro-RO"/>
        </w:rPr>
      </w:pPr>
      <w:r w:rsidRPr="00BD3349">
        <w:rPr>
          <w:rFonts w:ascii="Arial" w:eastAsia="Times New Roman" w:hAnsi="Arial" w:cs="Arial"/>
          <w:lang w:eastAsia="ro-RO"/>
        </w:rPr>
        <w:t>(</w:t>
      </w:r>
      <w:r w:rsidRPr="00BD3349">
        <w:rPr>
          <w:rFonts w:ascii="Arial" w:eastAsia="Times New Roman" w:hAnsi="Arial" w:cs="Arial"/>
          <w:sz w:val="20"/>
          <w:szCs w:val="20"/>
          <w:lang w:eastAsia="ro-RO"/>
        </w:rPr>
        <w:t>sursa: Direcţia Silvică Vaslui, Direc</w:t>
      </w:r>
      <w:r w:rsidRPr="00BD3349">
        <w:rPr>
          <w:rFonts w:ascii="Arial" w:eastAsia="Times New Roman" w:hAnsi="Arial" w:cs="Arial"/>
          <w:sz w:val="20"/>
          <w:szCs w:val="20"/>
          <w:lang w:val="ro-RO" w:eastAsia="ro-RO"/>
        </w:rPr>
        <w:t>ţia Silvica Iaşi, Ocolul Silvic Griviţa şi Ocolul Silvic Bisericesc Iaşi</w:t>
      </w:r>
      <w:r w:rsidRPr="00BD3349">
        <w:rPr>
          <w:rFonts w:ascii="Arial" w:eastAsia="Times New Roman" w:hAnsi="Arial" w:cs="Arial"/>
          <w:sz w:val="20"/>
          <w:szCs w:val="20"/>
          <w:lang w:eastAsia="ro-RO"/>
        </w:rPr>
        <w:t>)</w:t>
      </w:r>
    </w:p>
    <w:p w:rsidR="00B635CB" w:rsidRDefault="00B635CB" w:rsidP="00BD3349">
      <w:pPr>
        <w:spacing w:after="0" w:line="360" w:lineRule="auto"/>
        <w:jc w:val="both"/>
        <w:rPr>
          <w:rFonts w:ascii="Arial" w:eastAsia="SimSun" w:hAnsi="Arial" w:cs="Arial"/>
          <w:b/>
          <w:sz w:val="24"/>
          <w:szCs w:val="24"/>
          <w:lang w:val="ro-RO"/>
        </w:rPr>
      </w:pPr>
    </w:p>
    <w:p w:rsidR="00BD3349" w:rsidRPr="00BD3349" w:rsidRDefault="00BD3349" w:rsidP="00BD3349">
      <w:pPr>
        <w:spacing w:after="0" w:line="360" w:lineRule="auto"/>
        <w:jc w:val="both"/>
        <w:rPr>
          <w:rFonts w:ascii="Arial" w:eastAsia="SimSun" w:hAnsi="Arial" w:cs="Arial"/>
          <w:b/>
          <w:i/>
          <w:sz w:val="24"/>
          <w:szCs w:val="24"/>
          <w:lang w:val="ro-RO"/>
        </w:rPr>
      </w:pPr>
      <w:r w:rsidRPr="00BD3349">
        <w:rPr>
          <w:rFonts w:ascii="Arial" w:eastAsia="SimSun" w:hAnsi="Arial" w:cs="Arial"/>
          <w:b/>
          <w:sz w:val="24"/>
          <w:szCs w:val="24"/>
          <w:lang w:val="ro-RO"/>
        </w:rPr>
        <w:t xml:space="preserve">VI.1.4. </w:t>
      </w:r>
      <w:r w:rsidRPr="00BD3349">
        <w:rPr>
          <w:rFonts w:ascii="Arial" w:eastAsia="SimSun" w:hAnsi="Arial" w:cs="Arial"/>
          <w:b/>
          <w:i/>
          <w:sz w:val="24"/>
          <w:szCs w:val="24"/>
          <w:lang w:val="ro-RO"/>
        </w:rPr>
        <w:t>Suprafeţe de păduri regenerate</w:t>
      </w:r>
    </w:p>
    <w:p w:rsidR="00BD3349" w:rsidRPr="00BD3349" w:rsidRDefault="00BD3349" w:rsidP="00BD3349">
      <w:pPr>
        <w:spacing w:after="0" w:line="240" w:lineRule="auto"/>
        <w:ind w:right="-235" w:firstLine="720"/>
        <w:jc w:val="both"/>
        <w:rPr>
          <w:rFonts w:ascii="Arial" w:eastAsia="SimSun" w:hAnsi="Arial" w:cs="Arial"/>
          <w:sz w:val="24"/>
          <w:szCs w:val="24"/>
          <w:lang w:val="ro-RO"/>
        </w:rPr>
      </w:pPr>
      <w:r w:rsidRPr="00BD3349">
        <w:rPr>
          <w:rFonts w:ascii="Arial" w:eastAsia="SimSun" w:hAnsi="Arial" w:cs="Arial"/>
          <w:sz w:val="24"/>
          <w:szCs w:val="24"/>
          <w:lang w:val="ro-RO"/>
        </w:rPr>
        <w:t>Extinderea suprafeţei pădurilor se face prin regenerarea tuturor suprafeţelor de pădure de pe care s-a recoltat masă lemnoasă, împădurirea terenurilor fără vegetaţie forestieră şi reconstrucţia ecologică a terenurilor afectate de fenomene de degradare.</w:t>
      </w:r>
    </w:p>
    <w:p w:rsidR="00BD3349" w:rsidRPr="00BD3349" w:rsidRDefault="00BD3349" w:rsidP="00BD3349">
      <w:pPr>
        <w:spacing w:after="0" w:line="240" w:lineRule="auto"/>
        <w:jc w:val="both"/>
        <w:rPr>
          <w:rFonts w:ascii="Arial" w:eastAsia="SimSun" w:hAnsi="Arial" w:cs="Arial"/>
          <w:sz w:val="24"/>
          <w:szCs w:val="24"/>
          <w:lang w:val="ro-RO"/>
        </w:rPr>
      </w:pPr>
      <w:r w:rsidRPr="00BD3349">
        <w:rPr>
          <w:rFonts w:ascii="Arial" w:eastAsia="SimSun" w:hAnsi="Arial" w:cs="Arial"/>
          <w:sz w:val="24"/>
          <w:szCs w:val="24"/>
          <w:lang w:val="ro-RO"/>
        </w:rPr>
        <w:lastRenderedPageBreak/>
        <w:t>Tabelul VI.5.  Suprafeţe de păduri regenerate în 2015, la nivel de judeţ</w:t>
      </w:r>
    </w:p>
    <w:tbl>
      <w:tblPr>
        <w:tblW w:w="8249" w:type="dxa"/>
        <w:jc w:val="center"/>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
        <w:gridCol w:w="5387"/>
        <w:gridCol w:w="1999"/>
      </w:tblGrid>
      <w:tr w:rsidR="00BD3349" w:rsidRPr="00BD3349" w:rsidTr="002403BF">
        <w:trPr>
          <w:jc w:val="center"/>
        </w:trPr>
        <w:tc>
          <w:tcPr>
            <w:tcW w:w="863" w:type="dxa"/>
            <w:vMerge w:val="restart"/>
            <w:textDirection w:val="btLr"/>
          </w:tcPr>
          <w:p w:rsidR="00BD3349" w:rsidRPr="00BD3349" w:rsidRDefault="00BD3349" w:rsidP="00BD3349">
            <w:pPr>
              <w:tabs>
                <w:tab w:val="left" w:pos="720"/>
                <w:tab w:val="center" w:pos="4153"/>
                <w:tab w:val="center" w:pos="4703"/>
                <w:tab w:val="right" w:pos="8306"/>
                <w:tab w:val="right" w:pos="9406"/>
              </w:tabs>
              <w:spacing w:after="0" w:line="240" w:lineRule="auto"/>
              <w:ind w:left="113" w:right="113"/>
              <w:rPr>
                <w:rFonts w:ascii="Arial" w:eastAsia="Times New Roman" w:hAnsi="Arial" w:cs="Arial"/>
                <w:b/>
                <w:sz w:val="20"/>
                <w:szCs w:val="20"/>
                <w:lang w:val="ro-RO"/>
              </w:rPr>
            </w:pPr>
            <w:r w:rsidRPr="00BD3349">
              <w:rPr>
                <w:rFonts w:ascii="Arial" w:eastAsia="Times New Roman" w:hAnsi="Arial" w:cs="Arial"/>
                <w:b/>
                <w:sz w:val="20"/>
                <w:szCs w:val="20"/>
                <w:lang w:val="ro-RO"/>
              </w:rPr>
              <w:t>Judeţul Vaslui</w:t>
            </w:r>
          </w:p>
        </w:tc>
        <w:tc>
          <w:tcPr>
            <w:tcW w:w="5387" w:type="dxa"/>
          </w:tcPr>
          <w:p w:rsidR="00BD3349" w:rsidRPr="00BD3349" w:rsidRDefault="00BD3349" w:rsidP="00BD3349">
            <w:pPr>
              <w:tabs>
                <w:tab w:val="left" w:pos="720"/>
                <w:tab w:val="center" w:pos="4153"/>
                <w:tab w:val="center" w:pos="4703"/>
                <w:tab w:val="right" w:pos="8306"/>
                <w:tab w:val="right" w:pos="9406"/>
              </w:tabs>
              <w:spacing w:after="0" w:line="240" w:lineRule="auto"/>
              <w:jc w:val="center"/>
              <w:rPr>
                <w:rFonts w:ascii="Arial" w:eastAsia="Times New Roman" w:hAnsi="Arial" w:cs="Arial"/>
                <w:b/>
                <w:sz w:val="20"/>
                <w:szCs w:val="20"/>
                <w:lang w:val="ro-RO"/>
              </w:rPr>
            </w:pPr>
            <w:r w:rsidRPr="00BD3349">
              <w:rPr>
                <w:rFonts w:ascii="Arial" w:eastAsia="Times New Roman" w:hAnsi="Arial" w:cs="Arial"/>
                <w:b/>
                <w:sz w:val="20"/>
                <w:szCs w:val="20"/>
                <w:lang w:val="ro-RO"/>
              </w:rPr>
              <w:t>Tip de regenerare</w:t>
            </w:r>
          </w:p>
        </w:tc>
        <w:tc>
          <w:tcPr>
            <w:tcW w:w="1999" w:type="dxa"/>
          </w:tcPr>
          <w:p w:rsidR="00BD3349" w:rsidRPr="00BD3349" w:rsidRDefault="00BD3349" w:rsidP="00BD3349">
            <w:pPr>
              <w:tabs>
                <w:tab w:val="left" w:pos="720"/>
                <w:tab w:val="center" w:pos="4153"/>
                <w:tab w:val="center" w:pos="4703"/>
                <w:tab w:val="right" w:pos="8306"/>
                <w:tab w:val="right" w:pos="9406"/>
              </w:tabs>
              <w:spacing w:after="0" w:line="240" w:lineRule="auto"/>
              <w:jc w:val="center"/>
              <w:rPr>
                <w:rFonts w:ascii="Arial" w:eastAsia="Times New Roman" w:hAnsi="Arial" w:cs="Arial"/>
                <w:b/>
                <w:sz w:val="20"/>
                <w:szCs w:val="20"/>
                <w:lang w:val="ro-RO"/>
              </w:rPr>
            </w:pPr>
            <w:r w:rsidRPr="00BD3349">
              <w:rPr>
                <w:rFonts w:ascii="Arial" w:eastAsia="Times New Roman" w:hAnsi="Arial" w:cs="Arial"/>
                <w:b/>
                <w:sz w:val="20"/>
                <w:szCs w:val="20"/>
                <w:lang w:val="ro-RO"/>
              </w:rPr>
              <w:t>Suprafaţa (ha)</w:t>
            </w:r>
          </w:p>
        </w:tc>
      </w:tr>
      <w:tr w:rsidR="00BD3349" w:rsidRPr="00BD3349" w:rsidTr="002403BF">
        <w:trPr>
          <w:jc w:val="center"/>
        </w:trPr>
        <w:tc>
          <w:tcPr>
            <w:tcW w:w="863" w:type="dxa"/>
            <w:vMerge/>
            <w:vAlign w:val="center"/>
          </w:tcPr>
          <w:p w:rsidR="00BD3349" w:rsidRPr="00BD3349" w:rsidRDefault="00BD3349" w:rsidP="00BD3349">
            <w:pPr>
              <w:spacing w:after="0" w:line="240" w:lineRule="auto"/>
              <w:rPr>
                <w:rFonts w:ascii="Arial" w:eastAsia="SimSun" w:hAnsi="Arial" w:cs="Arial"/>
                <w:b/>
                <w:sz w:val="20"/>
                <w:szCs w:val="20"/>
                <w:lang w:val="ro-RO"/>
              </w:rPr>
            </w:pPr>
          </w:p>
        </w:tc>
        <w:tc>
          <w:tcPr>
            <w:tcW w:w="5387" w:type="dxa"/>
          </w:tcPr>
          <w:p w:rsidR="00BD3349" w:rsidRPr="00BD3349" w:rsidRDefault="00BD3349" w:rsidP="00BD3349">
            <w:pPr>
              <w:tabs>
                <w:tab w:val="left" w:pos="720"/>
                <w:tab w:val="center" w:pos="4153"/>
                <w:tab w:val="center" w:pos="4703"/>
                <w:tab w:val="right" w:pos="8306"/>
                <w:tab w:val="right" w:pos="9406"/>
              </w:tabs>
              <w:spacing w:after="0" w:line="240" w:lineRule="auto"/>
              <w:rPr>
                <w:rFonts w:ascii="Arial" w:eastAsia="Times New Roman" w:hAnsi="Arial" w:cs="Arial"/>
                <w:b/>
                <w:sz w:val="20"/>
                <w:szCs w:val="20"/>
                <w:lang w:val="ro-RO"/>
              </w:rPr>
            </w:pPr>
            <w:r w:rsidRPr="00BD3349">
              <w:rPr>
                <w:rFonts w:ascii="Arial" w:eastAsia="Times New Roman" w:hAnsi="Arial" w:cs="Arial"/>
                <w:b/>
                <w:sz w:val="20"/>
                <w:szCs w:val="20"/>
                <w:lang w:val="ro-RO"/>
              </w:rPr>
              <w:t>Regenerare naturală:</w:t>
            </w:r>
          </w:p>
        </w:tc>
        <w:tc>
          <w:tcPr>
            <w:tcW w:w="1999" w:type="dxa"/>
          </w:tcPr>
          <w:p w:rsidR="00BD3349" w:rsidRPr="00BD3349" w:rsidRDefault="00BD3349" w:rsidP="00BD3349">
            <w:pPr>
              <w:tabs>
                <w:tab w:val="left" w:pos="720"/>
                <w:tab w:val="center" w:pos="4153"/>
                <w:tab w:val="center" w:pos="4703"/>
                <w:tab w:val="right" w:pos="8306"/>
                <w:tab w:val="right" w:pos="9406"/>
              </w:tabs>
              <w:spacing w:after="0" w:line="264" w:lineRule="auto"/>
              <w:jc w:val="center"/>
              <w:rPr>
                <w:rFonts w:ascii="Arial" w:eastAsia="Times New Roman" w:hAnsi="Arial" w:cs="Arial"/>
                <w:sz w:val="20"/>
                <w:szCs w:val="20"/>
                <w:lang w:val="ro-RO"/>
              </w:rPr>
            </w:pPr>
          </w:p>
        </w:tc>
      </w:tr>
      <w:tr w:rsidR="00BD3349" w:rsidRPr="00BD3349" w:rsidTr="002403BF">
        <w:trPr>
          <w:jc w:val="center"/>
        </w:trPr>
        <w:tc>
          <w:tcPr>
            <w:tcW w:w="863" w:type="dxa"/>
            <w:vMerge/>
            <w:vAlign w:val="center"/>
          </w:tcPr>
          <w:p w:rsidR="00BD3349" w:rsidRPr="00BD3349" w:rsidRDefault="00BD3349" w:rsidP="00BD3349">
            <w:pPr>
              <w:spacing w:after="0" w:line="240" w:lineRule="auto"/>
              <w:rPr>
                <w:rFonts w:ascii="Arial" w:eastAsia="SimSun" w:hAnsi="Arial" w:cs="Arial"/>
                <w:b/>
                <w:sz w:val="20"/>
                <w:szCs w:val="20"/>
                <w:lang w:val="ro-RO"/>
              </w:rPr>
            </w:pPr>
          </w:p>
        </w:tc>
        <w:tc>
          <w:tcPr>
            <w:tcW w:w="5387" w:type="dxa"/>
          </w:tcPr>
          <w:p w:rsidR="00BD3349" w:rsidRPr="00BD3349" w:rsidRDefault="00BD3349" w:rsidP="00BD3349">
            <w:pPr>
              <w:tabs>
                <w:tab w:val="left" w:pos="720"/>
                <w:tab w:val="center" w:pos="4153"/>
                <w:tab w:val="center" w:pos="4703"/>
                <w:tab w:val="right" w:pos="8306"/>
                <w:tab w:val="right" w:pos="9406"/>
              </w:tabs>
              <w:spacing w:after="0" w:line="240" w:lineRule="auto"/>
              <w:rPr>
                <w:rFonts w:ascii="Arial" w:eastAsia="Times New Roman" w:hAnsi="Arial" w:cs="Arial"/>
                <w:sz w:val="20"/>
                <w:szCs w:val="20"/>
                <w:lang w:val="ro-RO"/>
              </w:rPr>
            </w:pPr>
            <w:r w:rsidRPr="00BD3349">
              <w:rPr>
                <w:rFonts w:ascii="Arial" w:eastAsia="Times New Roman" w:hAnsi="Arial" w:cs="Arial"/>
                <w:sz w:val="20"/>
                <w:szCs w:val="20"/>
                <w:lang w:val="ro-RO"/>
              </w:rPr>
              <w:t>- în fondul forestier</w:t>
            </w:r>
          </w:p>
        </w:tc>
        <w:tc>
          <w:tcPr>
            <w:tcW w:w="1999" w:type="dxa"/>
          </w:tcPr>
          <w:p w:rsidR="00BD3349" w:rsidRPr="00BD3349" w:rsidRDefault="00BD3349" w:rsidP="00BD3349">
            <w:pPr>
              <w:tabs>
                <w:tab w:val="left" w:pos="720"/>
                <w:tab w:val="center" w:pos="4153"/>
                <w:tab w:val="center" w:pos="4703"/>
                <w:tab w:val="right" w:pos="8306"/>
                <w:tab w:val="right" w:pos="9406"/>
              </w:tabs>
              <w:spacing w:after="0" w:line="264"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376</w:t>
            </w:r>
          </w:p>
        </w:tc>
      </w:tr>
      <w:tr w:rsidR="00BD3349" w:rsidRPr="00BD3349" w:rsidTr="002403BF">
        <w:trPr>
          <w:jc w:val="center"/>
        </w:trPr>
        <w:tc>
          <w:tcPr>
            <w:tcW w:w="863" w:type="dxa"/>
            <w:vMerge/>
            <w:vAlign w:val="center"/>
          </w:tcPr>
          <w:p w:rsidR="00BD3349" w:rsidRPr="00BD3349" w:rsidRDefault="00BD3349" w:rsidP="00BD3349">
            <w:pPr>
              <w:spacing w:after="0" w:line="240" w:lineRule="auto"/>
              <w:rPr>
                <w:rFonts w:ascii="Arial" w:eastAsia="SimSun" w:hAnsi="Arial" w:cs="Arial"/>
                <w:b/>
                <w:sz w:val="20"/>
                <w:szCs w:val="20"/>
                <w:lang w:val="ro-RO"/>
              </w:rPr>
            </w:pPr>
          </w:p>
        </w:tc>
        <w:tc>
          <w:tcPr>
            <w:tcW w:w="5387" w:type="dxa"/>
          </w:tcPr>
          <w:p w:rsidR="00BD3349" w:rsidRPr="00BD3349" w:rsidRDefault="00BD3349" w:rsidP="00BD3349">
            <w:pPr>
              <w:tabs>
                <w:tab w:val="left" w:pos="720"/>
                <w:tab w:val="center" w:pos="4153"/>
                <w:tab w:val="center" w:pos="4703"/>
                <w:tab w:val="right" w:pos="8306"/>
                <w:tab w:val="right" w:pos="9406"/>
              </w:tabs>
              <w:spacing w:after="0" w:line="240" w:lineRule="auto"/>
              <w:rPr>
                <w:rFonts w:ascii="Arial" w:eastAsia="Times New Roman" w:hAnsi="Arial" w:cs="Arial"/>
                <w:sz w:val="20"/>
                <w:szCs w:val="20"/>
                <w:lang w:val="ro-RO"/>
              </w:rPr>
            </w:pPr>
            <w:r w:rsidRPr="00BD3349">
              <w:rPr>
                <w:rFonts w:ascii="Arial" w:eastAsia="Times New Roman" w:hAnsi="Arial" w:cs="Arial"/>
                <w:sz w:val="20"/>
                <w:szCs w:val="20"/>
                <w:lang w:val="ro-RO"/>
              </w:rPr>
              <w:t>- în alte terenuri în afara fondului forestier</w:t>
            </w:r>
          </w:p>
        </w:tc>
        <w:tc>
          <w:tcPr>
            <w:tcW w:w="1999" w:type="dxa"/>
          </w:tcPr>
          <w:p w:rsidR="00BD3349" w:rsidRPr="00BD3349" w:rsidRDefault="00BD3349" w:rsidP="00BD3349">
            <w:pPr>
              <w:tabs>
                <w:tab w:val="left" w:pos="720"/>
                <w:tab w:val="center" w:pos="4153"/>
                <w:tab w:val="center" w:pos="4703"/>
                <w:tab w:val="right" w:pos="8306"/>
                <w:tab w:val="right" w:pos="9406"/>
              </w:tabs>
              <w:spacing w:after="0" w:line="264"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w:t>
            </w:r>
          </w:p>
        </w:tc>
      </w:tr>
      <w:tr w:rsidR="00BD3349" w:rsidRPr="00BD3349" w:rsidTr="002403BF">
        <w:trPr>
          <w:jc w:val="center"/>
        </w:trPr>
        <w:tc>
          <w:tcPr>
            <w:tcW w:w="863" w:type="dxa"/>
            <w:vMerge/>
            <w:vAlign w:val="center"/>
          </w:tcPr>
          <w:p w:rsidR="00BD3349" w:rsidRPr="00BD3349" w:rsidRDefault="00BD3349" w:rsidP="00BD3349">
            <w:pPr>
              <w:spacing w:after="0" w:line="240" w:lineRule="auto"/>
              <w:rPr>
                <w:rFonts w:ascii="Arial" w:eastAsia="SimSun" w:hAnsi="Arial" w:cs="Arial"/>
                <w:b/>
                <w:sz w:val="20"/>
                <w:szCs w:val="20"/>
                <w:lang w:val="ro-RO"/>
              </w:rPr>
            </w:pPr>
          </w:p>
        </w:tc>
        <w:tc>
          <w:tcPr>
            <w:tcW w:w="5387" w:type="dxa"/>
          </w:tcPr>
          <w:p w:rsidR="00BD3349" w:rsidRPr="00BD3349" w:rsidRDefault="00BD3349" w:rsidP="00BD3349">
            <w:pPr>
              <w:tabs>
                <w:tab w:val="left" w:pos="720"/>
                <w:tab w:val="center" w:pos="4153"/>
                <w:tab w:val="center" w:pos="4703"/>
                <w:tab w:val="right" w:pos="8306"/>
                <w:tab w:val="right" w:pos="9406"/>
              </w:tabs>
              <w:spacing w:after="0" w:line="240" w:lineRule="auto"/>
              <w:rPr>
                <w:rFonts w:ascii="Arial" w:eastAsia="Times New Roman" w:hAnsi="Arial" w:cs="Arial"/>
                <w:b/>
                <w:sz w:val="20"/>
                <w:szCs w:val="20"/>
                <w:lang w:val="ro-RO"/>
              </w:rPr>
            </w:pPr>
            <w:r w:rsidRPr="00BD3349">
              <w:rPr>
                <w:rFonts w:ascii="Arial" w:eastAsia="Times New Roman" w:hAnsi="Arial" w:cs="Arial"/>
                <w:b/>
                <w:sz w:val="20"/>
                <w:szCs w:val="20"/>
                <w:lang w:val="ro-RO"/>
              </w:rPr>
              <w:t>Împăduriri (plantări):</w:t>
            </w:r>
          </w:p>
        </w:tc>
        <w:tc>
          <w:tcPr>
            <w:tcW w:w="1999" w:type="dxa"/>
          </w:tcPr>
          <w:p w:rsidR="00BD3349" w:rsidRPr="00BD3349" w:rsidRDefault="00BD3349" w:rsidP="00BD3349">
            <w:pPr>
              <w:tabs>
                <w:tab w:val="left" w:pos="720"/>
                <w:tab w:val="center" w:pos="4153"/>
                <w:tab w:val="center" w:pos="4703"/>
                <w:tab w:val="right" w:pos="8306"/>
                <w:tab w:val="right" w:pos="9406"/>
              </w:tabs>
              <w:spacing w:after="0" w:line="264" w:lineRule="auto"/>
              <w:jc w:val="center"/>
              <w:rPr>
                <w:rFonts w:ascii="Arial" w:eastAsia="Times New Roman" w:hAnsi="Arial" w:cs="Arial"/>
                <w:sz w:val="20"/>
                <w:szCs w:val="20"/>
                <w:lang w:val="ro-RO"/>
              </w:rPr>
            </w:pPr>
          </w:p>
        </w:tc>
      </w:tr>
      <w:tr w:rsidR="00BD3349" w:rsidRPr="00BD3349" w:rsidTr="002403BF">
        <w:trPr>
          <w:jc w:val="center"/>
        </w:trPr>
        <w:tc>
          <w:tcPr>
            <w:tcW w:w="863" w:type="dxa"/>
            <w:vMerge/>
          </w:tcPr>
          <w:p w:rsidR="00BD3349" w:rsidRPr="00BD3349" w:rsidRDefault="00BD3349" w:rsidP="00BD3349">
            <w:pPr>
              <w:tabs>
                <w:tab w:val="left" w:pos="720"/>
                <w:tab w:val="center" w:pos="4153"/>
                <w:tab w:val="center" w:pos="4703"/>
                <w:tab w:val="right" w:pos="8306"/>
                <w:tab w:val="right" w:pos="9406"/>
              </w:tabs>
              <w:spacing w:after="0" w:line="240" w:lineRule="auto"/>
              <w:rPr>
                <w:rFonts w:ascii="Arial" w:eastAsia="Times New Roman" w:hAnsi="Arial" w:cs="Arial"/>
                <w:sz w:val="20"/>
                <w:szCs w:val="20"/>
                <w:lang w:val="ro-RO"/>
              </w:rPr>
            </w:pPr>
          </w:p>
        </w:tc>
        <w:tc>
          <w:tcPr>
            <w:tcW w:w="5387" w:type="dxa"/>
          </w:tcPr>
          <w:p w:rsidR="00BD3349" w:rsidRPr="00BD3349" w:rsidRDefault="00BD3349" w:rsidP="00BD3349">
            <w:pPr>
              <w:tabs>
                <w:tab w:val="left" w:pos="720"/>
                <w:tab w:val="center" w:pos="4153"/>
                <w:tab w:val="center" w:pos="4703"/>
                <w:tab w:val="right" w:pos="8306"/>
                <w:tab w:val="right" w:pos="9406"/>
              </w:tabs>
              <w:spacing w:after="0" w:line="240" w:lineRule="auto"/>
              <w:rPr>
                <w:rFonts w:ascii="Arial" w:eastAsia="Times New Roman" w:hAnsi="Arial" w:cs="Arial"/>
                <w:sz w:val="20"/>
                <w:szCs w:val="20"/>
                <w:lang w:val="ro-RO"/>
              </w:rPr>
            </w:pPr>
            <w:r w:rsidRPr="00BD3349">
              <w:rPr>
                <w:rFonts w:ascii="Arial" w:eastAsia="Times New Roman" w:hAnsi="Arial" w:cs="Arial"/>
                <w:sz w:val="20"/>
                <w:szCs w:val="20"/>
                <w:lang w:val="ro-RO"/>
              </w:rPr>
              <w:t>- în fondul forestier</w:t>
            </w:r>
          </w:p>
        </w:tc>
        <w:tc>
          <w:tcPr>
            <w:tcW w:w="1999" w:type="dxa"/>
          </w:tcPr>
          <w:p w:rsidR="00BD3349" w:rsidRPr="00BD3349" w:rsidRDefault="00BD3349" w:rsidP="00BD3349">
            <w:pPr>
              <w:tabs>
                <w:tab w:val="left" w:pos="720"/>
                <w:tab w:val="center" w:pos="4153"/>
                <w:tab w:val="center" w:pos="4703"/>
                <w:tab w:val="right" w:pos="8306"/>
                <w:tab w:val="right" w:pos="9406"/>
              </w:tabs>
              <w:spacing w:after="0" w:line="264"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106</w:t>
            </w:r>
          </w:p>
        </w:tc>
      </w:tr>
      <w:tr w:rsidR="00BD3349" w:rsidRPr="00BD3349" w:rsidTr="002403BF">
        <w:trPr>
          <w:jc w:val="center"/>
        </w:trPr>
        <w:tc>
          <w:tcPr>
            <w:tcW w:w="863" w:type="dxa"/>
            <w:vMerge/>
          </w:tcPr>
          <w:p w:rsidR="00BD3349" w:rsidRPr="00BD3349" w:rsidRDefault="00BD3349" w:rsidP="00BD3349">
            <w:pPr>
              <w:tabs>
                <w:tab w:val="left" w:pos="720"/>
                <w:tab w:val="center" w:pos="4153"/>
                <w:tab w:val="center" w:pos="4703"/>
                <w:tab w:val="right" w:pos="8306"/>
                <w:tab w:val="right" w:pos="9406"/>
              </w:tabs>
              <w:spacing w:after="0" w:line="240" w:lineRule="auto"/>
              <w:rPr>
                <w:rFonts w:ascii="Arial" w:eastAsia="Times New Roman" w:hAnsi="Arial" w:cs="Arial"/>
                <w:sz w:val="20"/>
                <w:szCs w:val="20"/>
                <w:lang w:val="ro-RO"/>
              </w:rPr>
            </w:pPr>
          </w:p>
        </w:tc>
        <w:tc>
          <w:tcPr>
            <w:tcW w:w="5387" w:type="dxa"/>
          </w:tcPr>
          <w:p w:rsidR="00BD3349" w:rsidRPr="00BD3349" w:rsidRDefault="00BD3349" w:rsidP="00BD3349">
            <w:pPr>
              <w:tabs>
                <w:tab w:val="left" w:pos="720"/>
                <w:tab w:val="center" w:pos="4153"/>
                <w:tab w:val="center" w:pos="4703"/>
                <w:tab w:val="right" w:pos="8306"/>
                <w:tab w:val="right" w:pos="9406"/>
              </w:tabs>
              <w:spacing w:after="0" w:line="240" w:lineRule="auto"/>
              <w:rPr>
                <w:rFonts w:ascii="Arial" w:eastAsia="Times New Roman" w:hAnsi="Arial" w:cs="Arial"/>
                <w:sz w:val="20"/>
                <w:szCs w:val="20"/>
                <w:lang w:val="ro-RO"/>
              </w:rPr>
            </w:pPr>
            <w:r w:rsidRPr="00BD3349">
              <w:rPr>
                <w:rFonts w:ascii="Arial" w:eastAsia="Times New Roman" w:hAnsi="Arial" w:cs="Arial"/>
                <w:sz w:val="20"/>
                <w:szCs w:val="20"/>
                <w:lang w:val="ro-RO"/>
              </w:rPr>
              <w:t>- în alte terenuri în afara fondului forestier</w:t>
            </w:r>
          </w:p>
        </w:tc>
        <w:tc>
          <w:tcPr>
            <w:tcW w:w="1999" w:type="dxa"/>
          </w:tcPr>
          <w:p w:rsidR="00BD3349" w:rsidRPr="00BD3349" w:rsidRDefault="00BD3349" w:rsidP="00BD3349">
            <w:pPr>
              <w:tabs>
                <w:tab w:val="left" w:pos="720"/>
                <w:tab w:val="center" w:pos="4153"/>
                <w:tab w:val="center" w:pos="4703"/>
                <w:tab w:val="right" w:pos="8306"/>
                <w:tab w:val="right" w:pos="9406"/>
              </w:tabs>
              <w:spacing w:after="0" w:line="264"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w:t>
            </w:r>
          </w:p>
        </w:tc>
      </w:tr>
      <w:tr w:rsidR="00BD3349" w:rsidRPr="00BD3349" w:rsidTr="002403BF">
        <w:trPr>
          <w:jc w:val="center"/>
        </w:trPr>
        <w:tc>
          <w:tcPr>
            <w:tcW w:w="6250" w:type="dxa"/>
            <w:gridSpan w:val="2"/>
          </w:tcPr>
          <w:p w:rsidR="00BD3349" w:rsidRPr="00BD3349" w:rsidRDefault="00BD3349" w:rsidP="00BD3349">
            <w:pPr>
              <w:tabs>
                <w:tab w:val="left" w:pos="720"/>
                <w:tab w:val="center" w:pos="4153"/>
                <w:tab w:val="center" w:pos="4703"/>
                <w:tab w:val="right" w:pos="8306"/>
                <w:tab w:val="right" w:pos="9406"/>
              </w:tabs>
              <w:spacing w:after="0" w:line="240" w:lineRule="auto"/>
              <w:jc w:val="center"/>
              <w:rPr>
                <w:rFonts w:ascii="Arial" w:eastAsia="Times New Roman" w:hAnsi="Arial" w:cs="Arial"/>
                <w:b/>
                <w:sz w:val="20"/>
                <w:szCs w:val="20"/>
                <w:lang w:val="ro-RO"/>
              </w:rPr>
            </w:pPr>
            <w:r w:rsidRPr="00BD3349">
              <w:rPr>
                <w:rFonts w:ascii="Arial" w:eastAsia="Times New Roman" w:hAnsi="Arial" w:cs="Arial"/>
                <w:b/>
                <w:sz w:val="20"/>
                <w:szCs w:val="20"/>
                <w:lang w:val="ro-RO"/>
              </w:rPr>
              <w:t>TOTAL</w:t>
            </w:r>
          </w:p>
        </w:tc>
        <w:tc>
          <w:tcPr>
            <w:tcW w:w="1999" w:type="dxa"/>
          </w:tcPr>
          <w:p w:rsidR="00BD3349" w:rsidRPr="00BD3349" w:rsidRDefault="00BD3349" w:rsidP="00BD3349">
            <w:pPr>
              <w:tabs>
                <w:tab w:val="left" w:pos="720"/>
                <w:tab w:val="center" w:pos="4153"/>
                <w:tab w:val="center" w:pos="4703"/>
                <w:tab w:val="right" w:pos="8306"/>
                <w:tab w:val="right" w:pos="9406"/>
              </w:tabs>
              <w:spacing w:after="0" w:line="240" w:lineRule="auto"/>
              <w:jc w:val="center"/>
              <w:rPr>
                <w:rFonts w:ascii="Arial" w:eastAsia="Times New Roman" w:hAnsi="Arial" w:cs="Arial"/>
                <w:b/>
                <w:sz w:val="20"/>
                <w:szCs w:val="20"/>
                <w:lang w:val="ro-RO"/>
              </w:rPr>
            </w:pPr>
            <w:r w:rsidRPr="00BD3349">
              <w:rPr>
                <w:rFonts w:ascii="Arial" w:eastAsia="Times New Roman" w:hAnsi="Arial" w:cs="Arial"/>
                <w:b/>
                <w:sz w:val="20"/>
                <w:szCs w:val="20"/>
                <w:lang w:val="ro-RO"/>
              </w:rPr>
              <w:t>482</w:t>
            </w:r>
          </w:p>
        </w:tc>
      </w:tr>
    </w:tbl>
    <w:p w:rsidR="00BD3349" w:rsidRPr="00BD3349" w:rsidRDefault="00BD3349" w:rsidP="00BD3349">
      <w:pPr>
        <w:tabs>
          <w:tab w:val="left" w:pos="1276"/>
        </w:tabs>
        <w:spacing w:after="0" w:line="240" w:lineRule="auto"/>
        <w:rPr>
          <w:rFonts w:ascii="Arial" w:eastAsia="Times New Roman" w:hAnsi="Arial" w:cs="Arial"/>
          <w:sz w:val="20"/>
          <w:szCs w:val="20"/>
          <w:lang w:eastAsia="ro-RO"/>
        </w:rPr>
      </w:pPr>
      <w:r w:rsidRPr="00BD3349">
        <w:rPr>
          <w:rFonts w:ascii="Arial" w:eastAsia="Times New Roman" w:hAnsi="Arial" w:cs="Arial"/>
          <w:lang w:eastAsia="ro-RO"/>
        </w:rPr>
        <w:t xml:space="preserve">         (</w:t>
      </w:r>
      <w:r w:rsidRPr="00BD3349">
        <w:rPr>
          <w:rFonts w:ascii="Arial" w:eastAsia="Times New Roman" w:hAnsi="Arial" w:cs="Arial"/>
          <w:sz w:val="20"/>
          <w:szCs w:val="20"/>
          <w:lang w:eastAsia="ro-RO"/>
        </w:rPr>
        <w:t>sursa: Direcţia Silvică Vaslui, Direc</w:t>
      </w:r>
      <w:r w:rsidRPr="00BD3349">
        <w:rPr>
          <w:rFonts w:ascii="Arial" w:eastAsia="Times New Roman" w:hAnsi="Arial" w:cs="Arial"/>
          <w:sz w:val="20"/>
          <w:szCs w:val="20"/>
          <w:lang w:val="ro-RO" w:eastAsia="ro-RO"/>
        </w:rPr>
        <w:t>ţia Silvica Iaşi</w:t>
      </w:r>
      <w:r w:rsidRPr="00BD3349">
        <w:rPr>
          <w:rFonts w:ascii="Arial" w:eastAsia="Times New Roman" w:hAnsi="Arial" w:cs="Arial"/>
          <w:sz w:val="20"/>
          <w:szCs w:val="20"/>
          <w:lang w:eastAsia="ro-RO"/>
        </w:rPr>
        <w:t>)</w:t>
      </w:r>
    </w:p>
    <w:p w:rsidR="00BD3349" w:rsidRPr="00BD3349" w:rsidRDefault="00BD3349" w:rsidP="00BD3349">
      <w:pPr>
        <w:spacing w:after="0" w:line="240" w:lineRule="auto"/>
        <w:jc w:val="both"/>
        <w:rPr>
          <w:rFonts w:ascii="Arial" w:eastAsia="SimSun" w:hAnsi="Arial" w:cs="Arial"/>
          <w:sz w:val="24"/>
          <w:szCs w:val="24"/>
          <w:lang w:val="ro-RO"/>
        </w:rPr>
      </w:pPr>
    </w:p>
    <w:p w:rsidR="00BD3349" w:rsidRPr="00BD3349" w:rsidRDefault="00BD3349" w:rsidP="00BD3349">
      <w:pPr>
        <w:spacing w:after="0" w:line="240" w:lineRule="auto"/>
        <w:jc w:val="both"/>
        <w:rPr>
          <w:rFonts w:ascii="Arial" w:eastAsia="SimSun" w:hAnsi="Arial" w:cs="Arial"/>
          <w:sz w:val="24"/>
          <w:szCs w:val="24"/>
          <w:lang w:val="en-GB"/>
        </w:rPr>
      </w:pPr>
      <w:r w:rsidRPr="00BD3349">
        <w:rPr>
          <w:rFonts w:ascii="Arial" w:eastAsia="SimSun" w:hAnsi="Arial" w:cs="Arial"/>
          <w:sz w:val="24"/>
          <w:szCs w:val="24"/>
          <w:lang w:val="ro-RO"/>
        </w:rPr>
        <w:t xml:space="preserve">Figura VI.5. </w:t>
      </w:r>
      <w:r w:rsidRPr="00BD3349">
        <w:rPr>
          <w:rFonts w:ascii="Arial" w:eastAsia="SimSun" w:hAnsi="Arial" w:cs="Arial"/>
          <w:sz w:val="24"/>
          <w:szCs w:val="24"/>
          <w:lang w:val="en-GB"/>
        </w:rPr>
        <w:t>Evoluţia suprafeţelor de păduri regenerate la nivelul judeţului Vaslui, în perioada 2011-2015</w:t>
      </w:r>
    </w:p>
    <w:p w:rsidR="00BD3349" w:rsidRPr="00BD3349" w:rsidRDefault="00BD3349" w:rsidP="00BD3349">
      <w:pPr>
        <w:spacing w:after="0" w:line="240" w:lineRule="auto"/>
        <w:jc w:val="both"/>
        <w:rPr>
          <w:rFonts w:ascii="Arial" w:eastAsia="SimSun" w:hAnsi="Arial" w:cs="Arial"/>
          <w:sz w:val="24"/>
          <w:szCs w:val="24"/>
          <w:lang w:val="ro-RO"/>
        </w:rPr>
      </w:pPr>
      <w:r w:rsidRPr="00BD3349">
        <w:rPr>
          <w:rFonts w:ascii="Arial" w:eastAsia="SimSun" w:hAnsi="Arial" w:cs="Arial"/>
          <w:noProof/>
          <w:sz w:val="24"/>
          <w:szCs w:val="24"/>
        </w:rPr>
        <w:drawing>
          <wp:inline distT="0" distB="0" distL="0" distR="0" wp14:anchorId="36E48999" wp14:editId="787F8CCB">
            <wp:extent cx="5862918" cy="2178424"/>
            <wp:effectExtent l="0" t="0" r="0" b="0"/>
            <wp:docPr id="229" name="Chart 2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BD3349" w:rsidRPr="00BD3349" w:rsidRDefault="00BD3349" w:rsidP="00BD3349">
      <w:pPr>
        <w:spacing w:after="0" w:line="240" w:lineRule="auto"/>
        <w:jc w:val="both"/>
        <w:rPr>
          <w:rFonts w:ascii="Arial" w:eastAsia="SimSun" w:hAnsi="Arial" w:cs="Arial"/>
          <w:sz w:val="24"/>
          <w:szCs w:val="24"/>
          <w:lang w:val="ro-RO"/>
        </w:rPr>
      </w:pPr>
      <w:r w:rsidRPr="00BD3349">
        <w:rPr>
          <w:rFonts w:ascii="Arial" w:eastAsia="SimSun" w:hAnsi="Arial" w:cs="Arial"/>
          <w:sz w:val="24"/>
          <w:szCs w:val="24"/>
          <w:lang w:val="ro-RO"/>
        </w:rPr>
        <w:t>Tabelul VI.6. Totalul suprafeţelor împădurite pe categorii de terenuri la nivel de judeţ, în anul 2015</w:t>
      </w:r>
    </w:p>
    <w:tbl>
      <w:tblPr>
        <w:tblW w:w="970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7350"/>
        <w:gridCol w:w="1764"/>
      </w:tblGrid>
      <w:tr w:rsidR="00BD3349" w:rsidRPr="00BD3349" w:rsidTr="002403BF">
        <w:trPr>
          <w:trHeight w:val="236"/>
        </w:trPr>
        <w:tc>
          <w:tcPr>
            <w:tcW w:w="588" w:type="dxa"/>
            <w:vMerge w:val="restart"/>
            <w:textDirection w:val="btLr"/>
            <w:vAlign w:val="center"/>
          </w:tcPr>
          <w:p w:rsidR="00BD3349" w:rsidRPr="00BD3349" w:rsidRDefault="00BD3349" w:rsidP="00BD3349">
            <w:pPr>
              <w:tabs>
                <w:tab w:val="left" w:pos="720"/>
                <w:tab w:val="center" w:pos="4153"/>
                <w:tab w:val="center" w:pos="4703"/>
                <w:tab w:val="right" w:pos="8306"/>
                <w:tab w:val="right" w:pos="9406"/>
              </w:tabs>
              <w:spacing w:after="0" w:line="240" w:lineRule="auto"/>
              <w:ind w:left="113" w:right="113"/>
              <w:jc w:val="center"/>
              <w:rPr>
                <w:rFonts w:ascii="Arial" w:eastAsia="Times New Roman" w:hAnsi="Arial" w:cs="Arial"/>
                <w:b/>
                <w:sz w:val="20"/>
                <w:szCs w:val="20"/>
                <w:lang w:val="ro-RO"/>
              </w:rPr>
            </w:pPr>
            <w:r w:rsidRPr="00BD3349">
              <w:rPr>
                <w:rFonts w:ascii="Arial" w:eastAsia="Times New Roman" w:hAnsi="Arial" w:cs="Arial"/>
                <w:b/>
                <w:sz w:val="20"/>
                <w:szCs w:val="20"/>
                <w:lang w:val="ro-RO"/>
              </w:rPr>
              <w:t>Judeţul Vaslui</w:t>
            </w:r>
          </w:p>
          <w:p w:rsidR="00BD3349" w:rsidRPr="00BD3349" w:rsidRDefault="00BD3349" w:rsidP="00BD3349">
            <w:pPr>
              <w:tabs>
                <w:tab w:val="left" w:pos="720"/>
                <w:tab w:val="center" w:pos="4153"/>
                <w:tab w:val="center" w:pos="4703"/>
                <w:tab w:val="right" w:pos="8306"/>
                <w:tab w:val="right" w:pos="9406"/>
              </w:tabs>
              <w:spacing w:after="0" w:line="240" w:lineRule="auto"/>
              <w:ind w:left="113" w:right="113"/>
              <w:jc w:val="center"/>
              <w:rPr>
                <w:rFonts w:ascii="Arial" w:eastAsia="Times New Roman" w:hAnsi="Arial" w:cs="Arial"/>
                <w:b/>
                <w:sz w:val="20"/>
                <w:szCs w:val="20"/>
                <w:lang w:val="ro-RO"/>
              </w:rPr>
            </w:pPr>
          </w:p>
        </w:tc>
        <w:tc>
          <w:tcPr>
            <w:tcW w:w="7350" w:type="dxa"/>
          </w:tcPr>
          <w:p w:rsidR="00BD3349" w:rsidRPr="00BD3349" w:rsidRDefault="00BD3349" w:rsidP="00BD3349">
            <w:pPr>
              <w:tabs>
                <w:tab w:val="left" w:pos="720"/>
                <w:tab w:val="center" w:pos="4153"/>
                <w:tab w:val="center" w:pos="4703"/>
                <w:tab w:val="right" w:pos="8306"/>
                <w:tab w:val="right" w:pos="9406"/>
              </w:tabs>
              <w:spacing w:after="0" w:line="240" w:lineRule="auto"/>
              <w:jc w:val="center"/>
              <w:rPr>
                <w:rFonts w:ascii="Arial" w:eastAsia="Times New Roman" w:hAnsi="Arial" w:cs="Arial"/>
                <w:b/>
                <w:sz w:val="20"/>
                <w:szCs w:val="20"/>
                <w:lang w:val="ro-RO"/>
              </w:rPr>
            </w:pPr>
            <w:r w:rsidRPr="00BD3349">
              <w:rPr>
                <w:rFonts w:ascii="Arial" w:eastAsia="Times New Roman" w:hAnsi="Arial" w:cs="Arial"/>
                <w:b/>
                <w:sz w:val="20"/>
                <w:szCs w:val="20"/>
                <w:lang w:val="ro-RO"/>
              </w:rPr>
              <w:t>Tip de teren</w:t>
            </w:r>
          </w:p>
        </w:tc>
        <w:tc>
          <w:tcPr>
            <w:tcW w:w="1764" w:type="dxa"/>
          </w:tcPr>
          <w:p w:rsidR="00BD3349" w:rsidRPr="00BD3349" w:rsidRDefault="00BD3349" w:rsidP="00BD3349">
            <w:pPr>
              <w:tabs>
                <w:tab w:val="left" w:pos="720"/>
                <w:tab w:val="center" w:pos="4153"/>
                <w:tab w:val="center" w:pos="4703"/>
                <w:tab w:val="right" w:pos="8306"/>
                <w:tab w:val="right" w:pos="9406"/>
              </w:tabs>
              <w:spacing w:after="0" w:line="240" w:lineRule="auto"/>
              <w:jc w:val="center"/>
              <w:rPr>
                <w:rFonts w:ascii="Arial" w:eastAsia="Times New Roman" w:hAnsi="Arial" w:cs="Arial"/>
                <w:b/>
                <w:sz w:val="20"/>
                <w:szCs w:val="20"/>
                <w:lang w:val="ro-RO"/>
              </w:rPr>
            </w:pPr>
            <w:r w:rsidRPr="00BD3349">
              <w:rPr>
                <w:rFonts w:ascii="Arial" w:eastAsia="Times New Roman" w:hAnsi="Arial" w:cs="Arial"/>
                <w:b/>
                <w:sz w:val="20"/>
                <w:szCs w:val="20"/>
                <w:lang w:val="ro-RO"/>
              </w:rPr>
              <w:t>Suprafaţa (ha)</w:t>
            </w:r>
          </w:p>
        </w:tc>
      </w:tr>
      <w:tr w:rsidR="00BD3349" w:rsidRPr="00BD3349" w:rsidTr="002403BF">
        <w:trPr>
          <w:trHeight w:val="73"/>
        </w:trPr>
        <w:tc>
          <w:tcPr>
            <w:tcW w:w="588" w:type="dxa"/>
            <w:vMerge/>
            <w:vAlign w:val="center"/>
          </w:tcPr>
          <w:p w:rsidR="00BD3349" w:rsidRPr="00BD3349" w:rsidRDefault="00BD3349" w:rsidP="00BD3349">
            <w:pPr>
              <w:spacing w:after="0" w:line="240" w:lineRule="auto"/>
              <w:rPr>
                <w:rFonts w:ascii="Arial" w:eastAsia="SimSun" w:hAnsi="Arial" w:cs="Arial"/>
                <w:b/>
                <w:sz w:val="20"/>
                <w:szCs w:val="20"/>
                <w:lang w:val="ro-RO"/>
              </w:rPr>
            </w:pPr>
          </w:p>
        </w:tc>
        <w:tc>
          <w:tcPr>
            <w:tcW w:w="7350" w:type="dxa"/>
          </w:tcPr>
          <w:p w:rsidR="00BD3349" w:rsidRPr="00BD3349" w:rsidRDefault="00BD3349" w:rsidP="00BD3349">
            <w:pPr>
              <w:tabs>
                <w:tab w:val="left" w:pos="720"/>
                <w:tab w:val="center" w:pos="4153"/>
                <w:tab w:val="center" w:pos="4703"/>
                <w:tab w:val="right" w:pos="8306"/>
                <w:tab w:val="right" w:pos="9406"/>
              </w:tabs>
              <w:spacing w:after="0" w:line="240" w:lineRule="auto"/>
              <w:rPr>
                <w:rFonts w:ascii="Arial" w:eastAsia="Times New Roman" w:hAnsi="Arial" w:cs="Arial"/>
                <w:sz w:val="20"/>
                <w:szCs w:val="20"/>
                <w:lang w:val="ro-RO"/>
              </w:rPr>
            </w:pPr>
            <w:r w:rsidRPr="00BD3349">
              <w:rPr>
                <w:rFonts w:ascii="Arial" w:eastAsia="Times New Roman" w:hAnsi="Arial" w:cs="Arial"/>
                <w:b/>
                <w:sz w:val="20"/>
                <w:szCs w:val="20"/>
                <w:lang w:val="ro-RO"/>
              </w:rPr>
              <w:t>în fondul forestier</w:t>
            </w:r>
            <w:r w:rsidRPr="00BD3349">
              <w:rPr>
                <w:rFonts w:ascii="Arial" w:eastAsia="Times New Roman" w:hAnsi="Arial" w:cs="Arial"/>
                <w:sz w:val="20"/>
                <w:szCs w:val="20"/>
                <w:lang w:val="ro-RO"/>
              </w:rPr>
              <w:t>:</w:t>
            </w:r>
          </w:p>
        </w:tc>
        <w:tc>
          <w:tcPr>
            <w:tcW w:w="1764" w:type="dxa"/>
          </w:tcPr>
          <w:p w:rsidR="00BD3349" w:rsidRPr="00BD3349" w:rsidRDefault="00BD3349" w:rsidP="00BD3349">
            <w:pPr>
              <w:tabs>
                <w:tab w:val="left" w:pos="720"/>
                <w:tab w:val="center" w:pos="4153"/>
                <w:tab w:val="center" w:pos="4703"/>
                <w:tab w:val="right" w:pos="8306"/>
                <w:tab w:val="right" w:pos="9406"/>
              </w:tabs>
              <w:spacing w:after="0" w:line="264" w:lineRule="auto"/>
              <w:jc w:val="center"/>
              <w:rPr>
                <w:rFonts w:ascii="Arial" w:eastAsia="Times New Roman" w:hAnsi="Arial" w:cs="Arial"/>
                <w:sz w:val="20"/>
                <w:szCs w:val="20"/>
                <w:lang w:val="ro-RO"/>
              </w:rPr>
            </w:pPr>
          </w:p>
        </w:tc>
      </w:tr>
      <w:tr w:rsidR="00BD3349" w:rsidRPr="00BD3349" w:rsidTr="002403BF">
        <w:trPr>
          <w:trHeight w:val="151"/>
        </w:trPr>
        <w:tc>
          <w:tcPr>
            <w:tcW w:w="588" w:type="dxa"/>
            <w:vMerge/>
            <w:vAlign w:val="center"/>
          </w:tcPr>
          <w:p w:rsidR="00BD3349" w:rsidRPr="00BD3349" w:rsidRDefault="00BD3349" w:rsidP="00BD3349">
            <w:pPr>
              <w:spacing w:after="0" w:line="240" w:lineRule="auto"/>
              <w:rPr>
                <w:rFonts w:ascii="Arial" w:eastAsia="SimSun" w:hAnsi="Arial" w:cs="Arial"/>
                <w:b/>
                <w:sz w:val="20"/>
                <w:szCs w:val="20"/>
                <w:lang w:val="ro-RO"/>
              </w:rPr>
            </w:pPr>
          </w:p>
        </w:tc>
        <w:tc>
          <w:tcPr>
            <w:tcW w:w="7350" w:type="dxa"/>
          </w:tcPr>
          <w:p w:rsidR="00BD3349" w:rsidRPr="00BD3349" w:rsidRDefault="00BD3349" w:rsidP="00BD3349">
            <w:pPr>
              <w:tabs>
                <w:tab w:val="left" w:pos="720"/>
                <w:tab w:val="center" w:pos="4153"/>
                <w:tab w:val="center" w:pos="4703"/>
                <w:tab w:val="right" w:pos="8306"/>
                <w:tab w:val="right" w:pos="9406"/>
              </w:tabs>
              <w:spacing w:after="0" w:line="240" w:lineRule="auto"/>
              <w:rPr>
                <w:rFonts w:ascii="Arial" w:eastAsia="Times New Roman" w:hAnsi="Arial" w:cs="Arial"/>
                <w:sz w:val="20"/>
                <w:szCs w:val="20"/>
                <w:lang w:val="ro-RO"/>
              </w:rPr>
            </w:pPr>
            <w:r w:rsidRPr="00BD3349">
              <w:rPr>
                <w:rFonts w:ascii="Arial" w:eastAsia="Times New Roman" w:hAnsi="Arial" w:cs="Arial"/>
                <w:sz w:val="20"/>
                <w:szCs w:val="20"/>
                <w:lang w:val="ro-RO"/>
              </w:rPr>
              <w:t>- pe suprafeţe parcurse cu tăieri de regenerare</w:t>
            </w:r>
          </w:p>
        </w:tc>
        <w:tc>
          <w:tcPr>
            <w:tcW w:w="1764" w:type="dxa"/>
          </w:tcPr>
          <w:p w:rsidR="00BD3349" w:rsidRPr="00BD3349" w:rsidRDefault="00BD3349" w:rsidP="00BD3349">
            <w:pPr>
              <w:tabs>
                <w:tab w:val="left" w:pos="720"/>
                <w:tab w:val="center" w:pos="4153"/>
                <w:tab w:val="center" w:pos="4703"/>
                <w:tab w:val="right" w:pos="8306"/>
                <w:tab w:val="right" w:pos="9406"/>
              </w:tabs>
              <w:spacing w:after="0" w:line="264"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89</w:t>
            </w:r>
          </w:p>
        </w:tc>
      </w:tr>
      <w:tr w:rsidR="00BD3349" w:rsidRPr="00BD3349" w:rsidTr="002403BF">
        <w:trPr>
          <w:trHeight w:val="151"/>
        </w:trPr>
        <w:tc>
          <w:tcPr>
            <w:tcW w:w="588" w:type="dxa"/>
            <w:vMerge/>
            <w:vAlign w:val="center"/>
          </w:tcPr>
          <w:p w:rsidR="00BD3349" w:rsidRPr="00BD3349" w:rsidRDefault="00BD3349" w:rsidP="00BD3349">
            <w:pPr>
              <w:spacing w:after="0" w:line="240" w:lineRule="auto"/>
              <w:rPr>
                <w:rFonts w:ascii="Arial" w:eastAsia="SimSun" w:hAnsi="Arial" w:cs="Arial"/>
                <w:b/>
                <w:sz w:val="20"/>
                <w:szCs w:val="20"/>
                <w:lang w:val="ro-RO"/>
              </w:rPr>
            </w:pPr>
          </w:p>
        </w:tc>
        <w:tc>
          <w:tcPr>
            <w:tcW w:w="7350" w:type="dxa"/>
          </w:tcPr>
          <w:p w:rsidR="00BD3349" w:rsidRPr="00BD3349" w:rsidRDefault="00BD3349" w:rsidP="00BD3349">
            <w:pPr>
              <w:tabs>
                <w:tab w:val="left" w:pos="720"/>
                <w:tab w:val="center" w:pos="4153"/>
                <w:tab w:val="center" w:pos="4703"/>
                <w:tab w:val="right" w:pos="8306"/>
                <w:tab w:val="right" w:pos="9406"/>
              </w:tabs>
              <w:spacing w:after="0" w:line="240" w:lineRule="auto"/>
              <w:rPr>
                <w:rFonts w:ascii="Arial" w:eastAsia="Times New Roman" w:hAnsi="Arial" w:cs="Arial"/>
                <w:sz w:val="20"/>
                <w:szCs w:val="20"/>
                <w:lang w:val="ro-RO"/>
              </w:rPr>
            </w:pPr>
            <w:r w:rsidRPr="00BD3349">
              <w:rPr>
                <w:rFonts w:ascii="Arial" w:eastAsia="Times New Roman" w:hAnsi="Arial" w:cs="Arial"/>
                <w:sz w:val="20"/>
                <w:szCs w:val="20"/>
                <w:lang w:val="ro-RO"/>
              </w:rPr>
              <w:t>- substituiri şi refaceri de arborete slab productive</w:t>
            </w:r>
          </w:p>
        </w:tc>
        <w:tc>
          <w:tcPr>
            <w:tcW w:w="1764" w:type="dxa"/>
          </w:tcPr>
          <w:p w:rsidR="00BD3349" w:rsidRPr="00BD3349" w:rsidRDefault="00BD3349" w:rsidP="00BD3349">
            <w:pPr>
              <w:tabs>
                <w:tab w:val="left" w:pos="720"/>
                <w:tab w:val="center" w:pos="4153"/>
                <w:tab w:val="center" w:pos="4703"/>
                <w:tab w:val="right" w:pos="8306"/>
                <w:tab w:val="right" w:pos="9406"/>
              </w:tabs>
              <w:spacing w:after="0" w:line="264"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11</w:t>
            </w:r>
          </w:p>
        </w:tc>
      </w:tr>
      <w:tr w:rsidR="00BD3349" w:rsidRPr="00BD3349" w:rsidTr="002403BF">
        <w:trPr>
          <w:trHeight w:val="151"/>
        </w:trPr>
        <w:tc>
          <w:tcPr>
            <w:tcW w:w="588" w:type="dxa"/>
            <w:vMerge/>
            <w:vAlign w:val="center"/>
          </w:tcPr>
          <w:p w:rsidR="00BD3349" w:rsidRPr="00BD3349" w:rsidRDefault="00BD3349" w:rsidP="00BD3349">
            <w:pPr>
              <w:spacing w:after="0" w:line="240" w:lineRule="auto"/>
              <w:rPr>
                <w:rFonts w:ascii="Arial" w:eastAsia="SimSun" w:hAnsi="Arial" w:cs="Arial"/>
                <w:b/>
                <w:sz w:val="20"/>
                <w:szCs w:val="20"/>
                <w:lang w:val="ro-RO"/>
              </w:rPr>
            </w:pPr>
          </w:p>
        </w:tc>
        <w:tc>
          <w:tcPr>
            <w:tcW w:w="7350" w:type="dxa"/>
          </w:tcPr>
          <w:p w:rsidR="00BD3349" w:rsidRPr="00BD3349" w:rsidRDefault="00BD3349" w:rsidP="00BD3349">
            <w:pPr>
              <w:tabs>
                <w:tab w:val="left" w:pos="720"/>
                <w:tab w:val="center" w:pos="4153"/>
                <w:tab w:val="center" w:pos="4703"/>
                <w:tab w:val="right" w:pos="8306"/>
                <w:tab w:val="right" w:pos="9406"/>
              </w:tabs>
              <w:spacing w:after="0" w:line="240" w:lineRule="auto"/>
              <w:rPr>
                <w:rFonts w:ascii="Arial" w:eastAsia="Times New Roman" w:hAnsi="Arial" w:cs="Arial"/>
                <w:sz w:val="20"/>
                <w:szCs w:val="20"/>
                <w:lang w:val="ro-RO"/>
              </w:rPr>
            </w:pPr>
            <w:r w:rsidRPr="00BD3349">
              <w:rPr>
                <w:rFonts w:ascii="Arial" w:eastAsia="Times New Roman" w:hAnsi="Arial" w:cs="Arial"/>
                <w:sz w:val="20"/>
                <w:szCs w:val="20"/>
                <w:lang w:val="ro-RO"/>
              </w:rPr>
              <w:t>- poieni şi goluri neregenerate</w:t>
            </w:r>
          </w:p>
        </w:tc>
        <w:tc>
          <w:tcPr>
            <w:tcW w:w="1764" w:type="dxa"/>
          </w:tcPr>
          <w:p w:rsidR="00BD3349" w:rsidRPr="00BD3349" w:rsidRDefault="00BD3349" w:rsidP="00BD3349">
            <w:pPr>
              <w:tabs>
                <w:tab w:val="left" w:pos="720"/>
                <w:tab w:val="center" w:pos="4153"/>
                <w:tab w:val="center" w:pos="4703"/>
                <w:tab w:val="right" w:pos="8306"/>
                <w:tab w:val="right" w:pos="9406"/>
              </w:tabs>
              <w:spacing w:after="0" w:line="264"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6</w:t>
            </w:r>
          </w:p>
        </w:tc>
      </w:tr>
      <w:tr w:rsidR="00BD3349" w:rsidRPr="00BD3349" w:rsidTr="002403BF">
        <w:trPr>
          <w:trHeight w:val="151"/>
        </w:trPr>
        <w:tc>
          <w:tcPr>
            <w:tcW w:w="588" w:type="dxa"/>
            <w:vMerge/>
            <w:vAlign w:val="center"/>
          </w:tcPr>
          <w:p w:rsidR="00BD3349" w:rsidRPr="00BD3349" w:rsidRDefault="00BD3349" w:rsidP="00BD3349">
            <w:pPr>
              <w:spacing w:after="0" w:line="240" w:lineRule="auto"/>
              <w:rPr>
                <w:rFonts w:ascii="Arial" w:eastAsia="SimSun" w:hAnsi="Arial" w:cs="Arial"/>
                <w:b/>
                <w:sz w:val="20"/>
                <w:szCs w:val="20"/>
                <w:lang w:val="ro-RO"/>
              </w:rPr>
            </w:pPr>
          </w:p>
        </w:tc>
        <w:tc>
          <w:tcPr>
            <w:tcW w:w="7350" w:type="dxa"/>
          </w:tcPr>
          <w:p w:rsidR="00BD3349" w:rsidRPr="00BD3349" w:rsidRDefault="00BD3349" w:rsidP="00BD3349">
            <w:pPr>
              <w:tabs>
                <w:tab w:val="left" w:pos="720"/>
                <w:tab w:val="center" w:pos="4153"/>
                <w:tab w:val="center" w:pos="4703"/>
                <w:tab w:val="right" w:pos="8306"/>
                <w:tab w:val="right" w:pos="9406"/>
              </w:tabs>
              <w:spacing w:after="0" w:line="240" w:lineRule="auto"/>
              <w:rPr>
                <w:rFonts w:ascii="Arial" w:eastAsia="Times New Roman" w:hAnsi="Arial" w:cs="Arial"/>
                <w:sz w:val="20"/>
                <w:szCs w:val="20"/>
                <w:lang w:val="ro-RO"/>
              </w:rPr>
            </w:pPr>
            <w:r w:rsidRPr="00BD3349">
              <w:rPr>
                <w:rFonts w:ascii="Arial" w:eastAsia="Times New Roman" w:hAnsi="Arial" w:cs="Arial"/>
                <w:sz w:val="20"/>
                <w:szCs w:val="20"/>
                <w:lang w:val="ro-RO"/>
              </w:rPr>
              <w:t>- terenuri degradate din fondul forestier</w:t>
            </w:r>
          </w:p>
        </w:tc>
        <w:tc>
          <w:tcPr>
            <w:tcW w:w="1764" w:type="dxa"/>
          </w:tcPr>
          <w:p w:rsidR="00BD3349" w:rsidRPr="00BD3349" w:rsidRDefault="00BD3349" w:rsidP="00BD3349">
            <w:pPr>
              <w:tabs>
                <w:tab w:val="left" w:pos="720"/>
                <w:tab w:val="center" w:pos="4153"/>
                <w:tab w:val="center" w:pos="4703"/>
                <w:tab w:val="right" w:pos="8306"/>
                <w:tab w:val="right" w:pos="9406"/>
              </w:tabs>
              <w:spacing w:after="0" w:line="264"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w:t>
            </w:r>
          </w:p>
        </w:tc>
      </w:tr>
      <w:tr w:rsidR="00BD3349" w:rsidRPr="00BD3349" w:rsidTr="002403BF">
        <w:trPr>
          <w:trHeight w:val="73"/>
        </w:trPr>
        <w:tc>
          <w:tcPr>
            <w:tcW w:w="588" w:type="dxa"/>
            <w:vMerge/>
            <w:vAlign w:val="center"/>
          </w:tcPr>
          <w:p w:rsidR="00BD3349" w:rsidRPr="00BD3349" w:rsidRDefault="00BD3349" w:rsidP="00BD3349">
            <w:pPr>
              <w:spacing w:after="0" w:line="240" w:lineRule="auto"/>
              <w:rPr>
                <w:rFonts w:ascii="Arial" w:eastAsia="SimSun" w:hAnsi="Arial" w:cs="Arial"/>
                <w:b/>
                <w:sz w:val="20"/>
                <w:szCs w:val="20"/>
                <w:lang w:val="ro-RO"/>
              </w:rPr>
            </w:pPr>
          </w:p>
        </w:tc>
        <w:tc>
          <w:tcPr>
            <w:tcW w:w="7350" w:type="dxa"/>
          </w:tcPr>
          <w:p w:rsidR="00BD3349" w:rsidRPr="00BD3349" w:rsidRDefault="00BD3349" w:rsidP="00BD3349">
            <w:pPr>
              <w:tabs>
                <w:tab w:val="left" w:pos="720"/>
                <w:tab w:val="center" w:pos="4153"/>
                <w:tab w:val="center" w:pos="4703"/>
                <w:tab w:val="right" w:pos="8306"/>
                <w:tab w:val="right" w:pos="9406"/>
              </w:tabs>
              <w:spacing w:after="0" w:line="240" w:lineRule="auto"/>
              <w:rPr>
                <w:rFonts w:ascii="Arial" w:eastAsia="Times New Roman" w:hAnsi="Arial" w:cs="Arial"/>
                <w:sz w:val="20"/>
                <w:szCs w:val="20"/>
                <w:lang w:val="ro-RO"/>
              </w:rPr>
            </w:pPr>
            <w:r w:rsidRPr="00BD3349">
              <w:rPr>
                <w:rFonts w:ascii="Arial" w:eastAsia="Times New Roman" w:hAnsi="Arial" w:cs="Arial"/>
                <w:sz w:val="20"/>
                <w:szCs w:val="20"/>
                <w:lang w:val="ro-RO"/>
              </w:rPr>
              <w:t>- perdele forestiere de protecţie</w:t>
            </w:r>
          </w:p>
        </w:tc>
        <w:tc>
          <w:tcPr>
            <w:tcW w:w="1764" w:type="dxa"/>
          </w:tcPr>
          <w:p w:rsidR="00BD3349" w:rsidRPr="00BD3349" w:rsidRDefault="00BD3349" w:rsidP="00BD3349">
            <w:pPr>
              <w:tabs>
                <w:tab w:val="left" w:pos="720"/>
                <w:tab w:val="center" w:pos="4153"/>
                <w:tab w:val="center" w:pos="4703"/>
                <w:tab w:val="right" w:pos="8306"/>
                <w:tab w:val="right" w:pos="9406"/>
              </w:tabs>
              <w:spacing w:after="0" w:line="264"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w:t>
            </w:r>
          </w:p>
        </w:tc>
      </w:tr>
      <w:tr w:rsidR="00BD3349" w:rsidRPr="00BD3349" w:rsidTr="002403BF">
        <w:trPr>
          <w:trHeight w:val="151"/>
        </w:trPr>
        <w:tc>
          <w:tcPr>
            <w:tcW w:w="588" w:type="dxa"/>
            <w:vMerge/>
            <w:vAlign w:val="center"/>
          </w:tcPr>
          <w:p w:rsidR="00BD3349" w:rsidRPr="00BD3349" w:rsidRDefault="00BD3349" w:rsidP="00BD3349">
            <w:pPr>
              <w:spacing w:after="0" w:line="240" w:lineRule="auto"/>
              <w:rPr>
                <w:rFonts w:ascii="Arial" w:eastAsia="SimSun" w:hAnsi="Arial" w:cs="Arial"/>
                <w:b/>
                <w:sz w:val="20"/>
                <w:szCs w:val="20"/>
                <w:lang w:val="ro-RO"/>
              </w:rPr>
            </w:pPr>
          </w:p>
        </w:tc>
        <w:tc>
          <w:tcPr>
            <w:tcW w:w="7350" w:type="dxa"/>
          </w:tcPr>
          <w:p w:rsidR="00BD3349" w:rsidRPr="00BD3349" w:rsidRDefault="00BD3349" w:rsidP="00BD3349">
            <w:pPr>
              <w:tabs>
                <w:tab w:val="left" w:pos="720"/>
                <w:tab w:val="center" w:pos="4153"/>
                <w:tab w:val="center" w:pos="4703"/>
                <w:tab w:val="right" w:pos="8306"/>
                <w:tab w:val="right" w:pos="9406"/>
              </w:tabs>
              <w:spacing w:after="0" w:line="240" w:lineRule="auto"/>
              <w:rPr>
                <w:rFonts w:ascii="Arial" w:eastAsia="Times New Roman" w:hAnsi="Arial" w:cs="Arial"/>
                <w:b/>
                <w:sz w:val="20"/>
                <w:szCs w:val="20"/>
                <w:lang w:val="ro-RO"/>
              </w:rPr>
            </w:pPr>
            <w:r w:rsidRPr="00BD3349">
              <w:rPr>
                <w:rFonts w:ascii="Arial" w:eastAsia="Times New Roman" w:hAnsi="Arial" w:cs="Arial"/>
                <w:b/>
                <w:sz w:val="20"/>
                <w:szCs w:val="20"/>
                <w:lang w:val="ro-RO"/>
              </w:rPr>
              <w:t>în alte terenuri în afara fondului forestier:</w:t>
            </w:r>
          </w:p>
        </w:tc>
        <w:tc>
          <w:tcPr>
            <w:tcW w:w="1764" w:type="dxa"/>
          </w:tcPr>
          <w:p w:rsidR="00BD3349" w:rsidRPr="00BD3349" w:rsidRDefault="00BD3349" w:rsidP="00BD3349">
            <w:pPr>
              <w:tabs>
                <w:tab w:val="left" w:pos="720"/>
                <w:tab w:val="center" w:pos="4153"/>
                <w:tab w:val="center" w:pos="4703"/>
                <w:tab w:val="right" w:pos="8306"/>
                <w:tab w:val="right" w:pos="9406"/>
              </w:tabs>
              <w:spacing w:after="0" w:line="264"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w:t>
            </w:r>
          </w:p>
        </w:tc>
      </w:tr>
      <w:tr w:rsidR="00BD3349" w:rsidRPr="00BD3349" w:rsidTr="002403BF">
        <w:trPr>
          <w:trHeight w:val="73"/>
        </w:trPr>
        <w:tc>
          <w:tcPr>
            <w:tcW w:w="588" w:type="dxa"/>
            <w:vMerge/>
            <w:vAlign w:val="center"/>
          </w:tcPr>
          <w:p w:rsidR="00BD3349" w:rsidRPr="00BD3349" w:rsidRDefault="00BD3349" w:rsidP="00BD3349">
            <w:pPr>
              <w:spacing w:after="0" w:line="240" w:lineRule="auto"/>
              <w:rPr>
                <w:rFonts w:ascii="Arial" w:eastAsia="SimSun" w:hAnsi="Arial" w:cs="Arial"/>
                <w:b/>
                <w:sz w:val="20"/>
                <w:szCs w:val="20"/>
                <w:lang w:val="ro-RO"/>
              </w:rPr>
            </w:pPr>
          </w:p>
        </w:tc>
        <w:tc>
          <w:tcPr>
            <w:tcW w:w="7350" w:type="dxa"/>
          </w:tcPr>
          <w:p w:rsidR="00BD3349" w:rsidRPr="00BD3349" w:rsidRDefault="00BD3349" w:rsidP="00BD3349">
            <w:pPr>
              <w:tabs>
                <w:tab w:val="left" w:pos="720"/>
                <w:tab w:val="center" w:pos="4153"/>
                <w:tab w:val="center" w:pos="4703"/>
                <w:tab w:val="right" w:pos="8306"/>
                <w:tab w:val="right" w:pos="9406"/>
              </w:tabs>
              <w:spacing w:after="0" w:line="240" w:lineRule="auto"/>
              <w:rPr>
                <w:rFonts w:ascii="Arial" w:eastAsia="Times New Roman" w:hAnsi="Arial" w:cs="Arial"/>
                <w:sz w:val="20"/>
                <w:szCs w:val="20"/>
                <w:lang w:val="ro-RO"/>
              </w:rPr>
            </w:pPr>
            <w:r w:rsidRPr="00BD3349">
              <w:rPr>
                <w:rFonts w:ascii="Arial" w:eastAsia="Times New Roman" w:hAnsi="Arial" w:cs="Arial"/>
                <w:sz w:val="20"/>
                <w:szCs w:val="20"/>
                <w:lang w:val="ro-RO"/>
              </w:rPr>
              <w:t>- împăduriri antierozionala</w:t>
            </w:r>
          </w:p>
        </w:tc>
        <w:tc>
          <w:tcPr>
            <w:tcW w:w="1764" w:type="dxa"/>
          </w:tcPr>
          <w:p w:rsidR="00BD3349" w:rsidRPr="00BD3349" w:rsidRDefault="00BD3349" w:rsidP="00BD3349">
            <w:pPr>
              <w:tabs>
                <w:tab w:val="left" w:pos="720"/>
                <w:tab w:val="center" w:pos="4153"/>
                <w:tab w:val="center" w:pos="4703"/>
                <w:tab w:val="right" w:pos="8306"/>
                <w:tab w:val="right" w:pos="9406"/>
              </w:tabs>
              <w:spacing w:after="0" w:line="264"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w:t>
            </w:r>
          </w:p>
        </w:tc>
      </w:tr>
      <w:tr w:rsidR="00BD3349" w:rsidRPr="00BD3349" w:rsidTr="002403BF">
        <w:trPr>
          <w:trHeight w:val="73"/>
        </w:trPr>
        <w:tc>
          <w:tcPr>
            <w:tcW w:w="588" w:type="dxa"/>
            <w:vMerge/>
            <w:vAlign w:val="center"/>
          </w:tcPr>
          <w:p w:rsidR="00BD3349" w:rsidRPr="00BD3349" w:rsidRDefault="00BD3349" w:rsidP="00BD3349">
            <w:pPr>
              <w:spacing w:after="0" w:line="240" w:lineRule="auto"/>
              <w:rPr>
                <w:rFonts w:ascii="Arial" w:eastAsia="SimSun" w:hAnsi="Arial" w:cs="Arial"/>
                <w:b/>
                <w:sz w:val="20"/>
                <w:szCs w:val="20"/>
                <w:lang w:val="ro-RO"/>
              </w:rPr>
            </w:pPr>
          </w:p>
        </w:tc>
        <w:tc>
          <w:tcPr>
            <w:tcW w:w="7350" w:type="dxa"/>
          </w:tcPr>
          <w:p w:rsidR="00BD3349" w:rsidRPr="00BD3349" w:rsidRDefault="00BD3349" w:rsidP="00BD3349">
            <w:pPr>
              <w:tabs>
                <w:tab w:val="left" w:pos="645"/>
                <w:tab w:val="left" w:pos="720"/>
                <w:tab w:val="center" w:pos="2099"/>
                <w:tab w:val="center" w:pos="4153"/>
                <w:tab w:val="center" w:pos="4703"/>
                <w:tab w:val="right" w:pos="8306"/>
                <w:tab w:val="right" w:pos="9406"/>
              </w:tabs>
              <w:spacing w:after="0" w:line="240" w:lineRule="auto"/>
              <w:rPr>
                <w:rFonts w:ascii="Arial" w:eastAsia="Times New Roman" w:hAnsi="Arial" w:cs="Arial"/>
                <w:sz w:val="20"/>
                <w:szCs w:val="20"/>
                <w:lang w:val="ro-RO"/>
              </w:rPr>
            </w:pPr>
            <w:r w:rsidRPr="00BD3349">
              <w:rPr>
                <w:rFonts w:ascii="Arial" w:eastAsia="Times New Roman" w:hAnsi="Arial" w:cs="Arial"/>
                <w:sz w:val="20"/>
                <w:szCs w:val="20"/>
                <w:lang w:val="ro-RO"/>
              </w:rPr>
              <w:t>- perdele forestiere de protecţie</w:t>
            </w:r>
          </w:p>
        </w:tc>
        <w:tc>
          <w:tcPr>
            <w:tcW w:w="1764" w:type="dxa"/>
          </w:tcPr>
          <w:p w:rsidR="00BD3349" w:rsidRPr="00BD3349" w:rsidRDefault="00BD3349" w:rsidP="00BD3349">
            <w:pPr>
              <w:tabs>
                <w:tab w:val="left" w:pos="720"/>
                <w:tab w:val="center" w:pos="4153"/>
                <w:tab w:val="center" w:pos="4703"/>
                <w:tab w:val="right" w:pos="8306"/>
                <w:tab w:val="right" w:pos="9406"/>
              </w:tabs>
              <w:spacing w:after="0" w:line="264"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w:t>
            </w:r>
          </w:p>
        </w:tc>
      </w:tr>
      <w:tr w:rsidR="00BD3349" w:rsidRPr="00BD3349" w:rsidTr="002403BF">
        <w:trPr>
          <w:trHeight w:val="251"/>
        </w:trPr>
        <w:tc>
          <w:tcPr>
            <w:tcW w:w="7938" w:type="dxa"/>
            <w:gridSpan w:val="2"/>
          </w:tcPr>
          <w:p w:rsidR="00BD3349" w:rsidRPr="00BD3349" w:rsidRDefault="00BD3349" w:rsidP="00BD3349">
            <w:pPr>
              <w:tabs>
                <w:tab w:val="left" w:pos="720"/>
                <w:tab w:val="center" w:pos="4153"/>
                <w:tab w:val="center" w:pos="4703"/>
                <w:tab w:val="right" w:pos="8306"/>
                <w:tab w:val="right" w:pos="9406"/>
              </w:tabs>
              <w:spacing w:after="0" w:line="240" w:lineRule="auto"/>
              <w:jc w:val="center"/>
              <w:rPr>
                <w:rFonts w:ascii="Arial" w:eastAsia="Times New Roman" w:hAnsi="Arial" w:cs="Arial"/>
                <w:b/>
                <w:sz w:val="20"/>
                <w:szCs w:val="20"/>
                <w:lang w:val="ro-RO"/>
              </w:rPr>
            </w:pPr>
            <w:r w:rsidRPr="00BD3349">
              <w:rPr>
                <w:rFonts w:ascii="Arial" w:eastAsia="Times New Roman" w:hAnsi="Arial" w:cs="Arial"/>
                <w:b/>
                <w:sz w:val="20"/>
                <w:szCs w:val="20"/>
                <w:lang w:val="ro-RO"/>
              </w:rPr>
              <w:t>TOTAL</w:t>
            </w:r>
          </w:p>
        </w:tc>
        <w:tc>
          <w:tcPr>
            <w:tcW w:w="1764" w:type="dxa"/>
          </w:tcPr>
          <w:p w:rsidR="00BD3349" w:rsidRPr="00BD3349" w:rsidRDefault="00BD3349" w:rsidP="00BD3349">
            <w:pPr>
              <w:tabs>
                <w:tab w:val="left" w:pos="720"/>
                <w:tab w:val="center" w:pos="4153"/>
                <w:tab w:val="center" w:pos="4703"/>
                <w:tab w:val="right" w:pos="8306"/>
                <w:tab w:val="right" w:pos="9406"/>
              </w:tabs>
              <w:spacing w:after="0" w:line="240" w:lineRule="auto"/>
              <w:jc w:val="center"/>
              <w:rPr>
                <w:rFonts w:ascii="Arial" w:eastAsia="Times New Roman" w:hAnsi="Arial" w:cs="Arial"/>
                <w:b/>
                <w:sz w:val="20"/>
                <w:szCs w:val="20"/>
                <w:lang w:val="ro-RO"/>
              </w:rPr>
            </w:pPr>
            <w:r w:rsidRPr="00BD3349">
              <w:rPr>
                <w:rFonts w:ascii="Arial" w:eastAsia="Times New Roman" w:hAnsi="Arial" w:cs="Arial"/>
                <w:b/>
                <w:sz w:val="20"/>
                <w:szCs w:val="20"/>
                <w:lang w:val="ro-RO"/>
              </w:rPr>
              <w:t>106</w:t>
            </w:r>
          </w:p>
        </w:tc>
      </w:tr>
    </w:tbl>
    <w:p w:rsidR="00BD3349" w:rsidRDefault="00BD3349" w:rsidP="00BD3349">
      <w:pPr>
        <w:tabs>
          <w:tab w:val="left" w:pos="1276"/>
        </w:tabs>
        <w:spacing w:after="0" w:line="240" w:lineRule="auto"/>
        <w:rPr>
          <w:rFonts w:ascii="Arial" w:eastAsia="Times New Roman" w:hAnsi="Arial" w:cs="Arial"/>
          <w:sz w:val="20"/>
          <w:szCs w:val="20"/>
          <w:lang w:eastAsia="ro-RO"/>
        </w:rPr>
      </w:pPr>
      <w:r w:rsidRPr="00BD3349">
        <w:rPr>
          <w:rFonts w:ascii="Arial" w:eastAsia="Times New Roman" w:hAnsi="Arial" w:cs="Arial"/>
          <w:lang w:eastAsia="ro-RO"/>
        </w:rPr>
        <w:t xml:space="preserve">  (</w:t>
      </w:r>
      <w:r w:rsidRPr="00BD3349">
        <w:rPr>
          <w:rFonts w:ascii="Arial" w:eastAsia="Times New Roman" w:hAnsi="Arial" w:cs="Arial"/>
          <w:sz w:val="20"/>
          <w:szCs w:val="20"/>
          <w:lang w:eastAsia="ro-RO"/>
        </w:rPr>
        <w:t>sursa: Direcţia Silvică Vaslui, Direc</w:t>
      </w:r>
      <w:r w:rsidRPr="00BD3349">
        <w:rPr>
          <w:rFonts w:ascii="Arial" w:eastAsia="Times New Roman" w:hAnsi="Arial" w:cs="Arial"/>
          <w:sz w:val="20"/>
          <w:szCs w:val="20"/>
          <w:lang w:val="ro-RO" w:eastAsia="ro-RO"/>
        </w:rPr>
        <w:t>ţia Silvica Iaşi</w:t>
      </w:r>
      <w:r w:rsidRPr="00BD3349">
        <w:rPr>
          <w:rFonts w:ascii="Arial" w:eastAsia="Times New Roman" w:hAnsi="Arial" w:cs="Arial"/>
          <w:sz w:val="20"/>
          <w:szCs w:val="20"/>
          <w:lang w:eastAsia="ro-RO"/>
        </w:rPr>
        <w:t>)</w:t>
      </w:r>
    </w:p>
    <w:p w:rsidR="00BD3349" w:rsidRDefault="00BD3349" w:rsidP="00BD3349">
      <w:pPr>
        <w:tabs>
          <w:tab w:val="left" w:pos="1276"/>
        </w:tabs>
        <w:spacing w:after="0" w:line="240" w:lineRule="auto"/>
        <w:rPr>
          <w:rFonts w:ascii="Arial" w:eastAsia="Times New Roman" w:hAnsi="Arial" w:cs="Arial"/>
          <w:sz w:val="20"/>
          <w:szCs w:val="20"/>
          <w:lang w:eastAsia="ro-RO"/>
        </w:rPr>
      </w:pPr>
    </w:p>
    <w:p w:rsidR="00BD3349" w:rsidRPr="00BD3349" w:rsidRDefault="00BD3349" w:rsidP="00BD3349">
      <w:pPr>
        <w:spacing w:after="0" w:line="240" w:lineRule="auto"/>
        <w:jc w:val="both"/>
        <w:rPr>
          <w:rFonts w:ascii="Arial" w:eastAsia="SimSun" w:hAnsi="Arial" w:cs="Arial"/>
          <w:sz w:val="24"/>
          <w:szCs w:val="24"/>
          <w:lang w:val="ro-RO"/>
        </w:rPr>
      </w:pPr>
      <w:r w:rsidRPr="00BD3349">
        <w:rPr>
          <w:rFonts w:ascii="Arial" w:eastAsia="SimSun" w:hAnsi="Arial" w:cs="Arial"/>
          <w:sz w:val="24"/>
          <w:szCs w:val="24"/>
          <w:lang w:val="ro-RO"/>
        </w:rPr>
        <w:t xml:space="preserve"> Tabelul VI.7. Suprafeţe de împăduriri pe specii în anul 2015, la nivel de judeţ</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3405"/>
        <w:gridCol w:w="3075"/>
      </w:tblGrid>
      <w:tr w:rsidR="00BD3349" w:rsidRPr="00BD3349" w:rsidTr="002403BF">
        <w:tc>
          <w:tcPr>
            <w:tcW w:w="1417" w:type="dxa"/>
            <w:vMerge w:val="restart"/>
          </w:tcPr>
          <w:p w:rsidR="00BD3349" w:rsidRPr="00BD3349" w:rsidRDefault="00BD3349" w:rsidP="00BD3349">
            <w:pPr>
              <w:tabs>
                <w:tab w:val="left" w:pos="720"/>
                <w:tab w:val="center" w:pos="4153"/>
                <w:tab w:val="center" w:pos="4703"/>
                <w:tab w:val="right" w:pos="8306"/>
                <w:tab w:val="right" w:pos="9406"/>
              </w:tabs>
              <w:spacing w:after="0" w:line="240" w:lineRule="auto"/>
              <w:jc w:val="center"/>
              <w:rPr>
                <w:rFonts w:ascii="Arial" w:eastAsia="Times New Roman" w:hAnsi="Arial" w:cs="Arial"/>
                <w:b/>
                <w:sz w:val="20"/>
                <w:szCs w:val="20"/>
                <w:lang w:val="ro-RO"/>
              </w:rPr>
            </w:pPr>
            <w:r w:rsidRPr="00BD3349">
              <w:rPr>
                <w:rFonts w:ascii="Arial" w:eastAsia="Times New Roman" w:hAnsi="Arial" w:cs="Arial"/>
                <w:b/>
                <w:sz w:val="20"/>
                <w:szCs w:val="20"/>
                <w:lang w:val="ro-RO"/>
              </w:rPr>
              <w:t>Judeţul Vaslui</w:t>
            </w:r>
          </w:p>
        </w:tc>
        <w:tc>
          <w:tcPr>
            <w:tcW w:w="3405" w:type="dxa"/>
          </w:tcPr>
          <w:p w:rsidR="00BD3349" w:rsidRPr="00BD3349" w:rsidRDefault="00BD3349" w:rsidP="00BD3349">
            <w:pPr>
              <w:tabs>
                <w:tab w:val="left" w:pos="720"/>
                <w:tab w:val="center" w:pos="4153"/>
                <w:tab w:val="center" w:pos="4703"/>
                <w:tab w:val="right" w:pos="8306"/>
                <w:tab w:val="right" w:pos="9406"/>
              </w:tabs>
              <w:spacing w:after="0" w:line="240" w:lineRule="auto"/>
              <w:jc w:val="center"/>
              <w:rPr>
                <w:rFonts w:ascii="Arial" w:eastAsia="Times New Roman" w:hAnsi="Arial" w:cs="Arial"/>
                <w:b/>
                <w:sz w:val="20"/>
                <w:szCs w:val="20"/>
                <w:lang w:val="ro-RO"/>
              </w:rPr>
            </w:pPr>
            <w:r w:rsidRPr="00BD3349">
              <w:rPr>
                <w:rFonts w:ascii="Arial" w:eastAsia="Times New Roman" w:hAnsi="Arial" w:cs="Arial"/>
                <w:b/>
                <w:sz w:val="20"/>
                <w:szCs w:val="20"/>
                <w:lang w:val="ro-RO"/>
              </w:rPr>
              <w:t>Specii</w:t>
            </w:r>
          </w:p>
        </w:tc>
        <w:tc>
          <w:tcPr>
            <w:tcW w:w="3075" w:type="dxa"/>
          </w:tcPr>
          <w:p w:rsidR="00BD3349" w:rsidRPr="00BD3349" w:rsidRDefault="00BD3349" w:rsidP="00BD3349">
            <w:pPr>
              <w:tabs>
                <w:tab w:val="left" w:pos="720"/>
                <w:tab w:val="center" w:pos="4153"/>
                <w:tab w:val="center" w:pos="4703"/>
                <w:tab w:val="right" w:pos="8306"/>
                <w:tab w:val="right" w:pos="9406"/>
              </w:tabs>
              <w:spacing w:after="0" w:line="240" w:lineRule="auto"/>
              <w:jc w:val="center"/>
              <w:rPr>
                <w:rFonts w:ascii="Arial" w:eastAsia="Times New Roman" w:hAnsi="Arial" w:cs="Arial"/>
                <w:b/>
                <w:sz w:val="20"/>
                <w:szCs w:val="20"/>
                <w:lang w:val="ro-RO"/>
              </w:rPr>
            </w:pPr>
            <w:r w:rsidRPr="00BD3349">
              <w:rPr>
                <w:rFonts w:ascii="Arial" w:eastAsia="Times New Roman" w:hAnsi="Arial" w:cs="Arial"/>
                <w:b/>
                <w:sz w:val="20"/>
                <w:szCs w:val="20"/>
                <w:lang w:val="ro-RO"/>
              </w:rPr>
              <w:t>Suprafaţa (ha)</w:t>
            </w:r>
          </w:p>
        </w:tc>
      </w:tr>
      <w:tr w:rsidR="00BD3349" w:rsidRPr="00BD3349" w:rsidTr="002403BF">
        <w:tc>
          <w:tcPr>
            <w:tcW w:w="1417" w:type="dxa"/>
            <w:vMerge/>
            <w:vAlign w:val="center"/>
          </w:tcPr>
          <w:p w:rsidR="00BD3349" w:rsidRPr="00BD3349" w:rsidRDefault="00BD3349" w:rsidP="00BD3349">
            <w:pPr>
              <w:spacing w:after="0" w:line="240" w:lineRule="auto"/>
              <w:rPr>
                <w:rFonts w:ascii="Arial" w:eastAsia="SimSun" w:hAnsi="Arial" w:cs="Arial"/>
                <w:b/>
                <w:sz w:val="20"/>
                <w:szCs w:val="20"/>
                <w:lang w:val="ro-RO"/>
              </w:rPr>
            </w:pPr>
          </w:p>
        </w:tc>
        <w:tc>
          <w:tcPr>
            <w:tcW w:w="3405" w:type="dxa"/>
          </w:tcPr>
          <w:p w:rsidR="00BD3349" w:rsidRPr="00BD3349" w:rsidRDefault="00BD3349" w:rsidP="00BD3349">
            <w:pPr>
              <w:tabs>
                <w:tab w:val="left" w:pos="720"/>
                <w:tab w:val="center" w:pos="4153"/>
                <w:tab w:val="center" w:pos="4703"/>
                <w:tab w:val="right" w:pos="8306"/>
                <w:tab w:val="right" w:pos="9406"/>
              </w:tabs>
              <w:spacing w:after="0" w:line="240" w:lineRule="auto"/>
              <w:rPr>
                <w:rFonts w:ascii="Arial" w:eastAsia="Times New Roman" w:hAnsi="Arial" w:cs="Arial"/>
                <w:sz w:val="20"/>
                <w:szCs w:val="20"/>
                <w:lang w:val="ro-RO"/>
              </w:rPr>
            </w:pPr>
            <w:r w:rsidRPr="00BD3349">
              <w:rPr>
                <w:rFonts w:ascii="Arial" w:eastAsia="Times New Roman" w:hAnsi="Arial" w:cs="Arial"/>
                <w:sz w:val="20"/>
                <w:szCs w:val="20"/>
                <w:lang w:val="ro-RO"/>
              </w:rPr>
              <w:t>foioase</w:t>
            </w:r>
          </w:p>
        </w:tc>
        <w:tc>
          <w:tcPr>
            <w:tcW w:w="3075" w:type="dxa"/>
          </w:tcPr>
          <w:p w:rsidR="00BD3349" w:rsidRPr="00BD3349" w:rsidRDefault="00BD3349" w:rsidP="00BD3349">
            <w:pPr>
              <w:tabs>
                <w:tab w:val="left" w:pos="720"/>
                <w:tab w:val="center" w:pos="4153"/>
                <w:tab w:val="center" w:pos="4703"/>
                <w:tab w:val="right" w:pos="8306"/>
                <w:tab w:val="right" w:pos="9406"/>
              </w:tabs>
              <w:spacing w:after="0" w:line="264"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106</w:t>
            </w:r>
          </w:p>
        </w:tc>
      </w:tr>
      <w:tr w:rsidR="00BD3349" w:rsidRPr="00BD3349" w:rsidTr="002403BF">
        <w:tc>
          <w:tcPr>
            <w:tcW w:w="1417" w:type="dxa"/>
            <w:vMerge/>
            <w:vAlign w:val="center"/>
          </w:tcPr>
          <w:p w:rsidR="00BD3349" w:rsidRPr="00BD3349" w:rsidRDefault="00BD3349" w:rsidP="00BD3349">
            <w:pPr>
              <w:spacing w:after="0" w:line="240" w:lineRule="auto"/>
              <w:rPr>
                <w:rFonts w:ascii="Arial" w:eastAsia="SimSun" w:hAnsi="Arial" w:cs="Arial"/>
                <w:b/>
                <w:sz w:val="20"/>
                <w:szCs w:val="20"/>
                <w:lang w:val="ro-RO"/>
              </w:rPr>
            </w:pPr>
          </w:p>
        </w:tc>
        <w:tc>
          <w:tcPr>
            <w:tcW w:w="3405" w:type="dxa"/>
          </w:tcPr>
          <w:p w:rsidR="00BD3349" w:rsidRPr="00BD3349" w:rsidRDefault="00BD3349" w:rsidP="00BD3349">
            <w:pPr>
              <w:tabs>
                <w:tab w:val="left" w:pos="720"/>
                <w:tab w:val="center" w:pos="4153"/>
                <w:tab w:val="center" w:pos="4703"/>
                <w:tab w:val="right" w:pos="8306"/>
                <w:tab w:val="right" w:pos="9406"/>
              </w:tabs>
              <w:spacing w:after="0" w:line="240" w:lineRule="auto"/>
              <w:rPr>
                <w:rFonts w:ascii="Arial" w:eastAsia="Times New Roman" w:hAnsi="Arial" w:cs="Arial"/>
                <w:sz w:val="20"/>
                <w:szCs w:val="20"/>
                <w:lang w:val="ro-RO"/>
              </w:rPr>
            </w:pPr>
            <w:r w:rsidRPr="00BD3349">
              <w:rPr>
                <w:rFonts w:ascii="Arial" w:eastAsia="Times New Roman" w:hAnsi="Arial" w:cs="Arial"/>
                <w:sz w:val="20"/>
                <w:szCs w:val="20"/>
                <w:lang w:val="ro-RO"/>
              </w:rPr>
              <w:t>răşinoase</w:t>
            </w:r>
          </w:p>
        </w:tc>
        <w:tc>
          <w:tcPr>
            <w:tcW w:w="3075" w:type="dxa"/>
          </w:tcPr>
          <w:p w:rsidR="00BD3349" w:rsidRPr="00BD3349" w:rsidRDefault="00BD3349" w:rsidP="00BD3349">
            <w:pPr>
              <w:tabs>
                <w:tab w:val="left" w:pos="720"/>
                <w:tab w:val="center" w:pos="4153"/>
                <w:tab w:val="center" w:pos="4703"/>
                <w:tab w:val="right" w:pos="8306"/>
                <w:tab w:val="right" w:pos="9406"/>
              </w:tabs>
              <w:spacing w:after="0" w:line="264"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w:t>
            </w:r>
          </w:p>
        </w:tc>
      </w:tr>
      <w:tr w:rsidR="00BD3349" w:rsidRPr="00BD3349" w:rsidTr="002403BF">
        <w:tc>
          <w:tcPr>
            <w:tcW w:w="4822" w:type="dxa"/>
            <w:gridSpan w:val="2"/>
          </w:tcPr>
          <w:p w:rsidR="00BD3349" w:rsidRPr="00BD3349" w:rsidRDefault="00BD3349" w:rsidP="00BD3349">
            <w:pPr>
              <w:tabs>
                <w:tab w:val="left" w:pos="720"/>
                <w:tab w:val="center" w:pos="4153"/>
                <w:tab w:val="center" w:pos="4703"/>
                <w:tab w:val="right" w:pos="8306"/>
                <w:tab w:val="right" w:pos="9406"/>
              </w:tabs>
              <w:spacing w:after="0" w:line="240" w:lineRule="auto"/>
              <w:jc w:val="center"/>
              <w:rPr>
                <w:rFonts w:ascii="Arial" w:eastAsia="Times New Roman" w:hAnsi="Arial" w:cs="Arial"/>
                <w:b/>
                <w:sz w:val="20"/>
                <w:szCs w:val="20"/>
                <w:lang w:val="ro-RO"/>
              </w:rPr>
            </w:pPr>
            <w:r w:rsidRPr="00BD3349">
              <w:rPr>
                <w:rFonts w:ascii="Arial" w:eastAsia="Times New Roman" w:hAnsi="Arial" w:cs="Arial"/>
                <w:b/>
                <w:sz w:val="20"/>
                <w:szCs w:val="20"/>
                <w:lang w:val="ro-RO"/>
              </w:rPr>
              <w:t>TOTAL</w:t>
            </w:r>
          </w:p>
        </w:tc>
        <w:tc>
          <w:tcPr>
            <w:tcW w:w="3075" w:type="dxa"/>
          </w:tcPr>
          <w:p w:rsidR="00BD3349" w:rsidRPr="00BD3349" w:rsidRDefault="00BD3349" w:rsidP="00BD3349">
            <w:pPr>
              <w:tabs>
                <w:tab w:val="left" w:pos="720"/>
                <w:tab w:val="center" w:pos="4153"/>
                <w:tab w:val="center" w:pos="4703"/>
                <w:tab w:val="right" w:pos="8306"/>
                <w:tab w:val="right" w:pos="9406"/>
              </w:tabs>
              <w:spacing w:after="0" w:line="240" w:lineRule="auto"/>
              <w:jc w:val="center"/>
              <w:rPr>
                <w:rFonts w:ascii="Arial" w:eastAsia="Times New Roman" w:hAnsi="Arial" w:cs="Arial"/>
                <w:b/>
                <w:sz w:val="20"/>
                <w:szCs w:val="20"/>
                <w:lang w:val="ro-RO"/>
              </w:rPr>
            </w:pPr>
            <w:r w:rsidRPr="00BD3349">
              <w:rPr>
                <w:rFonts w:ascii="Arial" w:eastAsia="Times New Roman" w:hAnsi="Arial" w:cs="Arial"/>
                <w:b/>
                <w:sz w:val="20"/>
                <w:szCs w:val="20"/>
                <w:lang w:val="ro-RO"/>
              </w:rPr>
              <w:t>106</w:t>
            </w:r>
          </w:p>
        </w:tc>
      </w:tr>
    </w:tbl>
    <w:p w:rsidR="00BD3349" w:rsidRPr="00BD3349" w:rsidRDefault="00BD3349" w:rsidP="00BD3349">
      <w:pPr>
        <w:tabs>
          <w:tab w:val="left" w:pos="1276"/>
        </w:tabs>
        <w:spacing w:after="0" w:line="240" w:lineRule="auto"/>
        <w:rPr>
          <w:rFonts w:ascii="Arial" w:eastAsia="Times New Roman" w:hAnsi="Arial" w:cs="Arial"/>
          <w:sz w:val="20"/>
          <w:szCs w:val="20"/>
          <w:lang w:eastAsia="ro-RO"/>
        </w:rPr>
      </w:pPr>
      <w:r w:rsidRPr="00BD3349">
        <w:rPr>
          <w:rFonts w:ascii="Arial" w:eastAsia="SimSun" w:hAnsi="Arial" w:cs="Arial"/>
          <w:sz w:val="24"/>
          <w:szCs w:val="24"/>
          <w:lang w:val="en-GB"/>
        </w:rPr>
        <w:t xml:space="preserve">        </w:t>
      </w:r>
      <w:r w:rsidRPr="00BD3349">
        <w:rPr>
          <w:rFonts w:ascii="Arial" w:eastAsia="Times New Roman" w:hAnsi="Arial" w:cs="Arial"/>
          <w:lang w:eastAsia="ro-RO"/>
        </w:rPr>
        <w:t xml:space="preserve">      (</w:t>
      </w:r>
      <w:r w:rsidRPr="00BD3349">
        <w:rPr>
          <w:rFonts w:ascii="Arial" w:eastAsia="Times New Roman" w:hAnsi="Arial" w:cs="Arial"/>
          <w:sz w:val="20"/>
          <w:szCs w:val="20"/>
          <w:lang w:eastAsia="ro-RO"/>
        </w:rPr>
        <w:t>sursa: Direcţia Silvică Vaslui, Direc</w:t>
      </w:r>
      <w:r w:rsidRPr="00BD3349">
        <w:rPr>
          <w:rFonts w:ascii="Arial" w:eastAsia="Times New Roman" w:hAnsi="Arial" w:cs="Arial"/>
          <w:sz w:val="20"/>
          <w:szCs w:val="20"/>
          <w:lang w:val="ro-RO" w:eastAsia="ro-RO"/>
        </w:rPr>
        <w:t>ţia Silvica Iaşi</w:t>
      </w:r>
      <w:r w:rsidRPr="00BD3349">
        <w:rPr>
          <w:rFonts w:ascii="Arial" w:eastAsia="Times New Roman" w:hAnsi="Arial" w:cs="Arial"/>
          <w:sz w:val="20"/>
          <w:szCs w:val="20"/>
          <w:lang w:eastAsia="ro-RO"/>
        </w:rPr>
        <w:t>)</w:t>
      </w:r>
    </w:p>
    <w:p w:rsidR="00BD3349" w:rsidRPr="00BD3349" w:rsidRDefault="00BD3349" w:rsidP="00BD3349">
      <w:pPr>
        <w:spacing w:after="0" w:line="360" w:lineRule="auto"/>
        <w:ind w:left="360"/>
        <w:jc w:val="both"/>
        <w:rPr>
          <w:rFonts w:ascii="Arial" w:eastAsia="SimSun" w:hAnsi="Arial" w:cs="Arial"/>
          <w:sz w:val="20"/>
          <w:szCs w:val="20"/>
          <w:lang w:val="en-GB"/>
        </w:rPr>
      </w:pPr>
    </w:p>
    <w:p w:rsidR="00BD3349" w:rsidRPr="00BD3349" w:rsidRDefault="00BD3349" w:rsidP="00BD3349">
      <w:pPr>
        <w:tabs>
          <w:tab w:val="left" w:pos="1276"/>
        </w:tabs>
        <w:spacing w:after="0" w:line="240" w:lineRule="auto"/>
        <w:rPr>
          <w:rFonts w:ascii="Arial" w:eastAsia="SimSun" w:hAnsi="Arial" w:cs="Arial"/>
          <w:b/>
          <w:i/>
          <w:sz w:val="24"/>
          <w:szCs w:val="24"/>
          <w:lang w:val="ro-RO"/>
        </w:rPr>
      </w:pPr>
      <w:r w:rsidRPr="00BD3349">
        <w:rPr>
          <w:rFonts w:ascii="Arial" w:eastAsia="SimSun" w:hAnsi="Arial" w:cs="Arial"/>
          <w:b/>
          <w:sz w:val="24"/>
          <w:szCs w:val="24"/>
          <w:lang w:val="ro-RO"/>
        </w:rPr>
        <w:lastRenderedPageBreak/>
        <w:t xml:space="preserve">   VI.1.5. </w:t>
      </w:r>
      <w:r w:rsidRPr="00BD3349">
        <w:rPr>
          <w:rFonts w:ascii="Arial" w:eastAsia="SimSun" w:hAnsi="Arial" w:cs="Arial"/>
          <w:b/>
          <w:i/>
          <w:sz w:val="24"/>
          <w:szCs w:val="24"/>
          <w:lang w:val="ro-RO"/>
        </w:rPr>
        <w:t>Zone cu deficit de vegetaţie forestieră şi disponibilităţi de împădurire</w:t>
      </w:r>
    </w:p>
    <w:p w:rsidR="00BD3349" w:rsidRPr="00BD3349" w:rsidRDefault="00BD3349" w:rsidP="00BD3349">
      <w:pPr>
        <w:tabs>
          <w:tab w:val="left" w:pos="1276"/>
        </w:tabs>
        <w:spacing w:after="0" w:line="240" w:lineRule="auto"/>
        <w:rPr>
          <w:rFonts w:ascii="Arial" w:eastAsia="SimSun" w:hAnsi="Arial" w:cs="Arial"/>
          <w:b/>
          <w:i/>
          <w:sz w:val="24"/>
          <w:szCs w:val="24"/>
          <w:lang w:val="ro-RO"/>
        </w:rPr>
      </w:pPr>
      <w:r w:rsidRPr="00BD3349">
        <w:rPr>
          <w:rFonts w:ascii="Arial" w:eastAsia="SimSun" w:hAnsi="Arial" w:cs="Arial"/>
          <w:b/>
          <w:i/>
          <w:sz w:val="24"/>
          <w:szCs w:val="24"/>
          <w:lang w:val="ro-RO"/>
        </w:rPr>
        <w:t xml:space="preserve"> </w:t>
      </w:r>
      <w:r w:rsidRPr="00BD3349">
        <w:rPr>
          <w:rFonts w:ascii="Arial" w:eastAsia="SimSun" w:hAnsi="Arial" w:cs="Arial"/>
          <w:b/>
          <w:i/>
          <w:sz w:val="24"/>
          <w:szCs w:val="24"/>
          <w:lang w:val="ro-RO"/>
        </w:rPr>
        <w:tab/>
      </w:r>
    </w:p>
    <w:p w:rsidR="00BD3349" w:rsidRPr="00BD3349" w:rsidRDefault="00BD3349" w:rsidP="00BD3349">
      <w:pPr>
        <w:tabs>
          <w:tab w:val="left" w:pos="720"/>
          <w:tab w:val="center" w:pos="4703"/>
          <w:tab w:val="right" w:pos="9406"/>
        </w:tabs>
        <w:spacing w:after="0" w:line="240" w:lineRule="auto"/>
        <w:ind w:right="-235"/>
        <w:jc w:val="both"/>
        <w:rPr>
          <w:rFonts w:ascii="Arial" w:eastAsia="Times New Roman" w:hAnsi="Arial" w:cs="Arial"/>
          <w:sz w:val="24"/>
          <w:szCs w:val="24"/>
          <w:lang w:val="ro-RO"/>
        </w:rPr>
      </w:pPr>
      <w:r w:rsidRPr="00BD3349">
        <w:rPr>
          <w:rFonts w:ascii="Arial" w:eastAsia="Times New Roman" w:hAnsi="Arial" w:cs="Arial"/>
          <w:sz w:val="24"/>
          <w:szCs w:val="24"/>
          <w:lang w:val="ro-RO"/>
        </w:rPr>
        <w:tab/>
        <w:t>Zonele cu deficit de vegetaţie forestieră sunt situate în partea de est şi sud-est al judeţului. Cauza acestui deficit fiind defrişările masive până în 1989 şi redarea terenurilor circuitului agricol.</w:t>
      </w:r>
    </w:p>
    <w:p w:rsidR="00BD3349" w:rsidRPr="00BD3349" w:rsidRDefault="00BD3349" w:rsidP="00BD3349">
      <w:pPr>
        <w:tabs>
          <w:tab w:val="left" w:pos="720"/>
          <w:tab w:val="center" w:pos="4703"/>
          <w:tab w:val="right" w:pos="9406"/>
        </w:tabs>
        <w:spacing w:after="0" w:line="240" w:lineRule="auto"/>
        <w:ind w:right="-235"/>
        <w:jc w:val="both"/>
        <w:rPr>
          <w:rFonts w:ascii="Arial" w:eastAsia="Times New Roman" w:hAnsi="Arial" w:cs="Arial"/>
          <w:sz w:val="24"/>
          <w:szCs w:val="24"/>
          <w:lang w:val="ro-RO"/>
        </w:rPr>
      </w:pPr>
    </w:p>
    <w:p w:rsidR="00BD3349" w:rsidRPr="00BD3349" w:rsidRDefault="00BD3349" w:rsidP="00BD3349">
      <w:pPr>
        <w:spacing w:after="0" w:line="240" w:lineRule="auto"/>
        <w:jc w:val="both"/>
        <w:rPr>
          <w:rFonts w:ascii="Arial" w:eastAsia="SimSun" w:hAnsi="Arial" w:cs="Arial"/>
          <w:sz w:val="24"/>
          <w:szCs w:val="24"/>
          <w:lang w:val="ro-RO"/>
        </w:rPr>
      </w:pPr>
      <w:r w:rsidRPr="00BD3349">
        <w:rPr>
          <w:rFonts w:ascii="Arial" w:eastAsia="SimSun" w:hAnsi="Arial" w:cs="Arial"/>
          <w:sz w:val="24"/>
          <w:szCs w:val="24"/>
          <w:lang w:val="ro-RO"/>
        </w:rPr>
        <w:t>Tabelul VI.8. Disponibilităţi de împădurire la nivel de judeţ - anul 2014</w:t>
      </w:r>
    </w:p>
    <w:tbl>
      <w:tblPr>
        <w:tblW w:w="84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5086"/>
        <w:gridCol w:w="2480"/>
      </w:tblGrid>
      <w:tr w:rsidR="00BD3349" w:rsidRPr="00BD3349" w:rsidTr="002403BF">
        <w:tc>
          <w:tcPr>
            <w:tcW w:w="85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64" w:lineRule="auto"/>
              <w:jc w:val="both"/>
              <w:rPr>
                <w:rFonts w:ascii="Arial" w:eastAsia="Times New Roman" w:hAnsi="Arial" w:cs="Arial"/>
                <w:b/>
                <w:sz w:val="20"/>
                <w:szCs w:val="20"/>
                <w:lang w:val="ro-RO"/>
              </w:rPr>
            </w:pPr>
            <w:r w:rsidRPr="00BD3349">
              <w:rPr>
                <w:rFonts w:ascii="Arial" w:eastAsia="Times New Roman" w:hAnsi="Arial" w:cs="Arial"/>
                <w:b/>
                <w:sz w:val="20"/>
                <w:szCs w:val="20"/>
                <w:lang w:val="ro-RO"/>
              </w:rPr>
              <w:t>Nr.crt.</w:t>
            </w:r>
          </w:p>
        </w:tc>
        <w:tc>
          <w:tcPr>
            <w:tcW w:w="5086"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64" w:lineRule="auto"/>
              <w:jc w:val="center"/>
              <w:rPr>
                <w:rFonts w:ascii="Arial" w:eastAsia="Times New Roman" w:hAnsi="Arial" w:cs="Arial"/>
                <w:b/>
                <w:sz w:val="20"/>
                <w:szCs w:val="20"/>
                <w:lang w:val="ro-RO"/>
              </w:rPr>
            </w:pPr>
            <w:r w:rsidRPr="00BD3349">
              <w:rPr>
                <w:rFonts w:ascii="Arial" w:eastAsia="Times New Roman" w:hAnsi="Arial" w:cs="Arial"/>
                <w:b/>
                <w:sz w:val="20"/>
                <w:szCs w:val="20"/>
                <w:lang w:val="ro-RO"/>
              </w:rPr>
              <w:t>Localitate</w:t>
            </w:r>
          </w:p>
        </w:tc>
        <w:tc>
          <w:tcPr>
            <w:tcW w:w="2480"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64" w:lineRule="auto"/>
              <w:jc w:val="center"/>
              <w:rPr>
                <w:rFonts w:ascii="Arial" w:eastAsia="Times New Roman" w:hAnsi="Arial" w:cs="Arial"/>
                <w:b/>
                <w:sz w:val="20"/>
                <w:szCs w:val="20"/>
                <w:lang w:val="ro-RO"/>
              </w:rPr>
            </w:pPr>
            <w:r w:rsidRPr="00BD3349">
              <w:rPr>
                <w:rFonts w:ascii="Arial" w:eastAsia="Times New Roman" w:hAnsi="Arial" w:cs="Arial"/>
                <w:b/>
                <w:sz w:val="20"/>
                <w:szCs w:val="20"/>
                <w:lang w:val="ro-RO"/>
              </w:rPr>
              <w:t>Suprafaţă(ha)</w:t>
            </w:r>
          </w:p>
        </w:tc>
      </w:tr>
      <w:tr w:rsidR="00BD3349" w:rsidRPr="00BD3349" w:rsidTr="002403BF">
        <w:tc>
          <w:tcPr>
            <w:tcW w:w="85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64" w:lineRule="auto"/>
              <w:jc w:val="both"/>
              <w:rPr>
                <w:rFonts w:ascii="Arial" w:eastAsia="Times New Roman" w:hAnsi="Arial" w:cs="Arial"/>
                <w:sz w:val="20"/>
                <w:szCs w:val="20"/>
                <w:lang w:val="ro-RO"/>
              </w:rPr>
            </w:pPr>
            <w:r w:rsidRPr="00BD3349">
              <w:rPr>
                <w:rFonts w:ascii="Arial" w:eastAsia="Times New Roman" w:hAnsi="Arial" w:cs="Arial"/>
                <w:sz w:val="20"/>
                <w:szCs w:val="20"/>
                <w:lang w:val="ro-RO"/>
              </w:rPr>
              <w:t>1.</w:t>
            </w:r>
          </w:p>
        </w:tc>
        <w:tc>
          <w:tcPr>
            <w:tcW w:w="5086" w:type="dxa"/>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eastAsia="SimSun" w:hAnsi="Arial" w:cs="Arial"/>
                <w:sz w:val="20"/>
                <w:szCs w:val="20"/>
                <w:lang w:val="ro-RO"/>
              </w:rPr>
            </w:pPr>
            <w:r w:rsidRPr="00BD3349">
              <w:rPr>
                <w:rFonts w:ascii="Arial" w:eastAsia="SimSun" w:hAnsi="Arial" w:cs="Arial"/>
                <w:sz w:val="20"/>
                <w:szCs w:val="20"/>
                <w:lang w:val="ro-RO"/>
              </w:rPr>
              <w:t>Fălciu, Berezeni, Lunca Banului, Stănileşti, Drânceni, Mărăseni, Ştefan cel Mare, Micleşti, Corodeşti</w:t>
            </w:r>
          </w:p>
        </w:tc>
        <w:tc>
          <w:tcPr>
            <w:tcW w:w="2480" w:type="dxa"/>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jc w:val="center"/>
              <w:rPr>
                <w:rFonts w:ascii="Arial" w:eastAsia="SimSun" w:hAnsi="Arial" w:cs="Arial"/>
                <w:sz w:val="20"/>
                <w:szCs w:val="20"/>
                <w:lang w:val="ro-RO"/>
              </w:rPr>
            </w:pPr>
            <w:r w:rsidRPr="00BD3349">
              <w:rPr>
                <w:rFonts w:ascii="Arial" w:eastAsia="SimSun" w:hAnsi="Arial" w:cs="Arial"/>
                <w:sz w:val="20"/>
                <w:szCs w:val="20"/>
                <w:lang w:val="ro-RO"/>
              </w:rPr>
              <w:t>72</w:t>
            </w:r>
          </w:p>
        </w:tc>
      </w:tr>
    </w:tbl>
    <w:p w:rsidR="00BD3349" w:rsidRPr="00BD3349" w:rsidRDefault="00BD3349" w:rsidP="00BD3349">
      <w:pPr>
        <w:spacing w:after="0" w:line="360" w:lineRule="auto"/>
        <w:ind w:left="360"/>
        <w:jc w:val="both"/>
        <w:rPr>
          <w:rFonts w:ascii="Arial" w:eastAsia="SimSun" w:hAnsi="Arial" w:cs="Arial"/>
          <w:b/>
          <w:sz w:val="20"/>
          <w:szCs w:val="20"/>
          <w:lang w:val="ro-RO"/>
        </w:rPr>
      </w:pPr>
      <w:r w:rsidRPr="00BD3349">
        <w:rPr>
          <w:rFonts w:ascii="Arial" w:eastAsia="SimSun" w:hAnsi="Arial" w:cs="Arial"/>
          <w:sz w:val="20"/>
          <w:szCs w:val="20"/>
          <w:lang w:val="en-GB"/>
        </w:rPr>
        <w:t xml:space="preserve">            (sursa: Direcţia Silvică Vaslui)</w:t>
      </w:r>
    </w:p>
    <w:p w:rsidR="00BD3349" w:rsidRPr="00BD3349" w:rsidRDefault="00BD3349" w:rsidP="00BD3349">
      <w:pPr>
        <w:spacing w:after="0" w:line="240" w:lineRule="auto"/>
        <w:rPr>
          <w:rFonts w:ascii="Arial" w:eastAsia="SimSun" w:hAnsi="Arial" w:cs="Arial"/>
          <w:b/>
          <w:sz w:val="24"/>
          <w:szCs w:val="24"/>
          <w:lang w:val="ro-RO"/>
        </w:rPr>
      </w:pPr>
    </w:p>
    <w:p w:rsidR="00BD3349" w:rsidRPr="00BD3349" w:rsidRDefault="00BD3349" w:rsidP="00BD3349">
      <w:pPr>
        <w:spacing w:after="0" w:line="240" w:lineRule="auto"/>
        <w:rPr>
          <w:rFonts w:ascii="Arial" w:eastAsia="SimSun" w:hAnsi="Arial" w:cs="Arial"/>
          <w:b/>
          <w:sz w:val="24"/>
          <w:szCs w:val="24"/>
          <w:lang w:val="ro-RO"/>
        </w:rPr>
      </w:pPr>
      <w:r w:rsidRPr="00BD3349">
        <w:rPr>
          <w:rFonts w:ascii="Arial" w:eastAsia="SimSun" w:hAnsi="Arial" w:cs="Arial"/>
          <w:b/>
          <w:sz w:val="24"/>
          <w:szCs w:val="24"/>
          <w:lang w:val="ro-RO"/>
        </w:rPr>
        <w:t xml:space="preserve">VI.2. Ameninţări şi presiuni exercitate asupra pădurilor </w:t>
      </w:r>
      <w:r w:rsidRPr="00BD3349">
        <w:rPr>
          <w:rFonts w:ascii="Arial" w:eastAsia="SimSun" w:hAnsi="Arial" w:cs="Arial"/>
          <w:b/>
          <w:sz w:val="24"/>
          <w:szCs w:val="24"/>
          <w:lang w:val="ro-RO"/>
        </w:rPr>
        <w:tab/>
      </w:r>
    </w:p>
    <w:p w:rsidR="00BD3349" w:rsidRPr="00BD3349" w:rsidRDefault="00BD3349" w:rsidP="00BD3349">
      <w:pPr>
        <w:spacing w:after="0" w:line="240" w:lineRule="auto"/>
        <w:rPr>
          <w:rFonts w:ascii="Arial" w:eastAsia="SimSun" w:hAnsi="Arial" w:cs="Arial"/>
          <w:b/>
          <w:sz w:val="24"/>
          <w:szCs w:val="24"/>
          <w:lang w:val="ro-RO"/>
        </w:rPr>
      </w:pPr>
    </w:p>
    <w:p w:rsidR="00BD3349" w:rsidRPr="00BD3349" w:rsidRDefault="00BD3349" w:rsidP="00BD3349">
      <w:pPr>
        <w:autoSpaceDE w:val="0"/>
        <w:autoSpaceDN w:val="0"/>
        <w:adjustRightInd w:val="0"/>
        <w:spacing w:after="0" w:line="240" w:lineRule="auto"/>
        <w:jc w:val="both"/>
        <w:rPr>
          <w:rFonts w:ascii="Arial" w:eastAsia="Times New Roman" w:hAnsi="Arial" w:cs="Arial"/>
          <w:sz w:val="24"/>
          <w:szCs w:val="24"/>
        </w:rPr>
      </w:pPr>
      <w:r w:rsidRPr="00BD3349">
        <w:rPr>
          <w:rFonts w:ascii="Arial" w:eastAsia="SimSun" w:hAnsi="Arial" w:cs="Arial"/>
          <w:b/>
          <w:sz w:val="24"/>
          <w:szCs w:val="24"/>
          <w:lang w:val="ro-RO"/>
        </w:rPr>
        <w:t xml:space="preserve">    </w:t>
      </w:r>
      <w:r w:rsidRPr="00BD3349">
        <w:rPr>
          <w:rFonts w:ascii="Arial" w:eastAsia="Times New Roman" w:hAnsi="Arial" w:cs="Arial"/>
          <w:sz w:val="24"/>
          <w:szCs w:val="24"/>
        </w:rPr>
        <w:t>Deşi relativ diminuat faţă de anul precedent, fenomenul tăierilor ilegale a persistat şi în anul 2015, fiind indentificaţi următorii factori favorizanţi ai acestuia:</w:t>
      </w:r>
    </w:p>
    <w:p w:rsidR="00BD3349" w:rsidRPr="00BD3349" w:rsidRDefault="00BD3349" w:rsidP="005910C7">
      <w:pPr>
        <w:numPr>
          <w:ilvl w:val="0"/>
          <w:numId w:val="15"/>
        </w:numPr>
        <w:autoSpaceDE w:val="0"/>
        <w:autoSpaceDN w:val="0"/>
        <w:adjustRightInd w:val="0"/>
        <w:spacing w:after="0" w:line="240" w:lineRule="auto"/>
        <w:jc w:val="both"/>
        <w:rPr>
          <w:rFonts w:ascii="Arial" w:eastAsia="Times New Roman" w:hAnsi="Arial" w:cs="Arial"/>
          <w:sz w:val="24"/>
          <w:szCs w:val="24"/>
        </w:rPr>
      </w:pPr>
      <w:r w:rsidRPr="00BD3349">
        <w:rPr>
          <w:rFonts w:ascii="Arial" w:eastAsia="Times New Roman" w:hAnsi="Arial" w:cs="Arial"/>
          <w:sz w:val="24"/>
          <w:szCs w:val="24"/>
        </w:rPr>
        <w:t>nivelul scăzut al veniturilor locuitorilor din zonele afectate de tăieri ilegale, fapt ce a determinat căutarea de surse de venituri pe seama pădurilor;</w:t>
      </w:r>
    </w:p>
    <w:p w:rsidR="00BD3349" w:rsidRPr="00BD3349" w:rsidRDefault="00BD3349" w:rsidP="005910C7">
      <w:pPr>
        <w:numPr>
          <w:ilvl w:val="0"/>
          <w:numId w:val="15"/>
        </w:numPr>
        <w:autoSpaceDE w:val="0"/>
        <w:autoSpaceDN w:val="0"/>
        <w:adjustRightInd w:val="0"/>
        <w:spacing w:after="0" w:line="240" w:lineRule="auto"/>
        <w:jc w:val="both"/>
        <w:rPr>
          <w:rFonts w:ascii="Arial" w:eastAsia="Times New Roman" w:hAnsi="Arial" w:cs="Arial"/>
          <w:sz w:val="24"/>
          <w:szCs w:val="24"/>
        </w:rPr>
      </w:pPr>
      <w:r w:rsidRPr="00BD3349">
        <w:rPr>
          <w:rFonts w:ascii="Arial" w:eastAsia="Times New Roman" w:hAnsi="Arial" w:cs="Arial"/>
          <w:sz w:val="24"/>
          <w:szCs w:val="24"/>
        </w:rPr>
        <w:t>nefinalizarea cadastrului general şi a publicităţii imobiliare, ceea ce permite circuite de tranzacţionare a terenurilor forestiere/masei lemnoase pe picior cu sustragerea de la prevederile legale privind administrarea sau asigurarea de servicii în regim silvic;</w:t>
      </w:r>
    </w:p>
    <w:p w:rsidR="00BD3349" w:rsidRPr="00BD3349" w:rsidRDefault="00BD3349" w:rsidP="005910C7">
      <w:pPr>
        <w:numPr>
          <w:ilvl w:val="0"/>
          <w:numId w:val="15"/>
        </w:numPr>
        <w:autoSpaceDE w:val="0"/>
        <w:autoSpaceDN w:val="0"/>
        <w:adjustRightInd w:val="0"/>
        <w:spacing w:after="0" w:line="240" w:lineRule="auto"/>
        <w:jc w:val="both"/>
        <w:rPr>
          <w:rFonts w:ascii="Arial" w:eastAsia="Times New Roman" w:hAnsi="Arial" w:cs="Arial"/>
          <w:sz w:val="24"/>
          <w:szCs w:val="24"/>
        </w:rPr>
      </w:pPr>
      <w:r w:rsidRPr="00BD3349">
        <w:rPr>
          <w:rFonts w:ascii="Arial" w:eastAsia="Times New Roman" w:hAnsi="Arial" w:cs="Arial"/>
          <w:sz w:val="24"/>
          <w:szCs w:val="24"/>
        </w:rPr>
        <w:t>neasigurarea serviciilor silvice, respectiv a pazei fondului forestier privat de către proprietari;</w:t>
      </w:r>
    </w:p>
    <w:p w:rsidR="00BD3349" w:rsidRPr="00BD3349" w:rsidRDefault="00BD3349" w:rsidP="005910C7">
      <w:pPr>
        <w:numPr>
          <w:ilvl w:val="0"/>
          <w:numId w:val="15"/>
        </w:numPr>
        <w:autoSpaceDE w:val="0"/>
        <w:autoSpaceDN w:val="0"/>
        <w:adjustRightInd w:val="0"/>
        <w:spacing w:after="0" w:line="240" w:lineRule="auto"/>
        <w:jc w:val="both"/>
        <w:rPr>
          <w:rFonts w:ascii="Arial" w:eastAsia="Times New Roman" w:hAnsi="Arial" w:cs="Arial"/>
          <w:sz w:val="24"/>
          <w:szCs w:val="24"/>
        </w:rPr>
      </w:pPr>
      <w:r w:rsidRPr="00BD3349">
        <w:rPr>
          <w:rFonts w:ascii="Arial" w:eastAsia="Times New Roman" w:hAnsi="Arial" w:cs="Arial"/>
          <w:sz w:val="24"/>
          <w:szCs w:val="24"/>
        </w:rPr>
        <w:t>insuficienţa personalului de control al regimului silvic în raport cu gradul mare de diversitate al categoriilor de proprietate forestieră, cu numărul foarte mare al proprietăţilor şi cu gradul mare de dispersie şi fragmentare a proprietăţilor forestiere aparţinând persoanelor fizice;</w:t>
      </w:r>
    </w:p>
    <w:p w:rsidR="00BD3349" w:rsidRPr="00BD3349" w:rsidRDefault="00BD3349" w:rsidP="005910C7">
      <w:pPr>
        <w:numPr>
          <w:ilvl w:val="0"/>
          <w:numId w:val="15"/>
        </w:numPr>
        <w:autoSpaceDE w:val="0"/>
        <w:autoSpaceDN w:val="0"/>
        <w:adjustRightInd w:val="0"/>
        <w:spacing w:after="0" w:line="240" w:lineRule="auto"/>
        <w:jc w:val="both"/>
        <w:rPr>
          <w:rFonts w:ascii="Arial" w:eastAsia="Times New Roman" w:hAnsi="Arial" w:cs="Arial"/>
          <w:sz w:val="24"/>
          <w:szCs w:val="24"/>
        </w:rPr>
      </w:pPr>
      <w:r w:rsidRPr="00BD3349">
        <w:rPr>
          <w:rFonts w:ascii="Arial" w:eastAsia="Times New Roman" w:hAnsi="Arial" w:cs="Arial"/>
          <w:sz w:val="24"/>
          <w:szCs w:val="24"/>
        </w:rPr>
        <w:t>crearea circuitelor economice fictive;</w:t>
      </w:r>
    </w:p>
    <w:p w:rsidR="00BD3349" w:rsidRPr="00BD3349" w:rsidRDefault="00BD3349" w:rsidP="005910C7">
      <w:pPr>
        <w:numPr>
          <w:ilvl w:val="0"/>
          <w:numId w:val="15"/>
        </w:numPr>
        <w:autoSpaceDE w:val="0"/>
        <w:autoSpaceDN w:val="0"/>
        <w:adjustRightInd w:val="0"/>
        <w:spacing w:after="0" w:line="240" w:lineRule="auto"/>
        <w:jc w:val="both"/>
        <w:rPr>
          <w:rFonts w:ascii="Arial" w:eastAsia="Times New Roman" w:hAnsi="Arial" w:cs="Arial"/>
          <w:sz w:val="24"/>
          <w:szCs w:val="24"/>
        </w:rPr>
      </w:pPr>
      <w:r w:rsidRPr="00BD3349">
        <w:rPr>
          <w:rFonts w:ascii="Arial" w:eastAsia="Times New Roman" w:hAnsi="Arial" w:cs="Arial"/>
          <w:sz w:val="24"/>
          <w:szCs w:val="24"/>
        </w:rPr>
        <w:t>dezvoltarea necontrolată a capacităţilor de prelucrare primară a lemnului, cu mult peste mărimea resurselor forestiere constituite legal;</w:t>
      </w:r>
    </w:p>
    <w:p w:rsidR="00BD3349" w:rsidRPr="00BD3349" w:rsidRDefault="00BD3349" w:rsidP="005910C7">
      <w:pPr>
        <w:numPr>
          <w:ilvl w:val="0"/>
          <w:numId w:val="15"/>
        </w:numPr>
        <w:autoSpaceDE w:val="0"/>
        <w:autoSpaceDN w:val="0"/>
        <w:adjustRightInd w:val="0"/>
        <w:spacing w:after="0" w:line="240" w:lineRule="auto"/>
        <w:jc w:val="both"/>
        <w:rPr>
          <w:rFonts w:ascii="Arial" w:eastAsia="Times New Roman" w:hAnsi="Arial" w:cs="Arial"/>
          <w:sz w:val="24"/>
          <w:szCs w:val="24"/>
        </w:rPr>
      </w:pPr>
      <w:r w:rsidRPr="00BD3349">
        <w:rPr>
          <w:rFonts w:ascii="Arial" w:eastAsia="Times New Roman" w:hAnsi="Arial" w:cs="Arial"/>
          <w:sz w:val="24"/>
          <w:szCs w:val="24"/>
        </w:rPr>
        <w:t>constituirea unor reţele de comercializare ilicită a lemnului în zonele deficitare în păduri, de către întreprinzători care forţează resursa din judeţele cu suprafaţă mare de pădure;</w:t>
      </w:r>
    </w:p>
    <w:p w:rsidR="00BD3349" w:rsidRPr="00BD3349" w:rsidRDefault="00BD3349" w:rsidP="005910C7">
      <w:pPr>
        <w:numPr>
          <w:ilvl w:val="0"/>
          <w:numId w:val="15"/>
        </w:numPr>
        <w:autoSpaceDE w:val="0"/>
        <w:autoSpaceDN w:val="0"/>
        <w:adjustRightInd w:val="0"/>
        <w:spacing w:after="0" w:line="240" w:lineRule="auto"/>
        <w:jc w:val="both"/>
        <w:rPr>
          <w:rFonts w:ascii="Arial" w:eastAsia="Times New Roman" w:hAnsi="Arial" w:cs="Arial"/>
          <w:sz w:val="24"/>
          <w:szCs w:val="24"/>
        </w:rPr>
      </w:pPr>
      <w:r w:rsidRPr="00BD3349">
        <w:rPr>
          <w:rFonts w:ascii="Arial" w:eastAsia="Times New Roman" w:hAnsi="Arial" w:cs="Arial"/>
          <w:sz w:val="24"/>
          <w:szCs w:val="24"/>
        </w:rPr>
        <w:t>criza surselor convenţionale de energie, corelată cu lipsa strategiilor de valorificare a lemnului mărunt şi a resturilor de exploatare în scopuri energetice, exprimată în sustragerea şi risipirea resursei de lemn valoros; printre altele, aceasta a condus la debranşarea consumatorilor de la reţeaua de gaz natural şi trecerea la încălzirea pe bază de lemn, de regulă apt pentru utilizări industriale;</w:t>
      </w:r>
    </w:p>
    <w:p w:rsidR="00BD3349" w:rsidRPr="00BD3349" w:rsidRDefault="00BD3349" w:rsidP="005910C7">
      <w:pPr>
        <w:numPr>
          <w:ilvl w:val="0"/>
          <w:numId w:val="15"/>
        </w:numPr>
        <w:autoSpaceDE w:val="0"/>
        <w:autoSpaceDN w:val="0"/>
        <w:adjustRightInd w:val="0"/>
        <w:spacing w:after="0" w:line="240" w:lineRule="auto"/>
        <w:jc w:val="both"/>
        <w:rPr>
          <w:rFonts w:ascii="Arial" w:eastAsia="Times New Roman" w:hAnsi="Arial" w:cs="Arial"/>
          <w:sz w:val="24"/>
          <w:szCs w:val="24"/>
        </w:rPr>
      </w:pPr>
      <w:r w:rsidRPr="00BD3349">
        <w:rPr>
          <w:rFonts w:ascii="Arial" w:eastAsia="Times New Roman" w:hAnsi="Arial" w:cs="Arial"/>
          <w:sz w:val="24"/>
          <w:szCs w:val="24"/>
        </w:rPr>
        <w:t>neimplicarea autorităţilor statului în obligarea proprietarilor să împădurească, prin cheltuială proprie sau prin titluri executorii, suprafeţele de pe care lemnul a fost exploatat abuziv;</w:t>
      </w:r>
    </w:p>
    <w:p w:rsidR="00BD3349" w:rsidRPr="00BD3349" w:rsidRDefault="00BD3349" w:rsidP="005910C7">
      <w:pPr>
        <w:numPr>
          <w:ilvl w:val="0"/>
          <w:numId w:val="15"/>
        </w:numPr>
        <w:autoSpaceDE w:val="0"/>
        <w:autoSpaceDN w:val="0"/>
        <w:adjustRightInd w:val="0"/>
        <w:spacing w:after="0" w:line="240" w:lineRule="auto"/>
        <w:jc w:val="both"/>
        <w:rPr>
          <w:rFonts w:ascii="Arial" w:eastAsia="Times New Roman" w:hAnsi="Arial" w:cs="Arial"/>
          <w:sz w:val="24"/>
          <w:szCs w:val="24"/>
        </w:rPr>
      </w:pPr>
      <w:r w:rsidRPr="00BD3349">
        <w:rPr>
          <w:rFonts w:ascii="Arial" w:eastAsia="Times New Roman" w:hAnsi="Arial" w:cs="Arial"/>
          <w:sz w:val="24"/>
          <w:szCs w:val="24"/>
        </w:rPr>
        <w:t>sustragerea şi risipirea resursei de lemn de către societăţi comerciale care desfăşoară activităţi de exploatare a lemnului, fără îndeplinirea condiţiilor de dotare şi a condiţiilor de încadrare cu personal de specialitate;</w:t>
      </w:r>
    </w:p>
    <w:p w:rsidR="00BD3349" w:rsidRPr="00BD3349" w:rsidRDefault="00BD3349" w:rsidP="005910C7">
      <w:pPr>
        <w:numPr>
          <w:ilvl w:val="0"/>
          <w:numId w:val="15"/>
        </w:numPr>
        <w:autoSpaceDE w:val="0"/>
        <w:autoSpaceDN w:val="0"/>
        <w:adjustRightInd w:val="0"/>
        <w:spacing w:after="0" w:line="240" w:lineRule="auto"/>
        <w:jc w:val="both"/>
        <w:rPr>
          <w:rFonts w:ascii="Arial" w:eastAsia="Times New Roman" w:hAnsi="Arial" w:cs="Arial"/>
          <w:sz w:val="24"/>
          <w:szCs w:val="24"/>
        </w:rPr>
      </w:pPr>
      <w:r w:rsidRPr="00BD3349">
        <w:rPr>
          <w:rFonts w:ascii="Arial" w:eastAsia="Times New Roman" w:hAnsi="Arial" w:cs="Arial"/>
          <w:sz w:val="24"/>
          <w:szCs w:val="24"/>
        </w:rPr>
        <w:t xml:space="preserve"> lipsa de implicare a organelor locale, altele decât cele silvice;</w:t>
      </w:r>
    </w:p>
    <w:p w:rsidR="00BD3349" w:rsidRPr="00BD3349" w:rsidRDefault="00BD3349" w:rsidP="005910C7">
      <w:pPr>
        <w:numPr>
          <w:ilvl w:val="0"/>
          <w:numId w:val="15"/>
        </w:numPr>
        <w:autoSpaceDE w:val="0"/>
        <w:autoSpaceDN w:val="0"/>
        <w:adjustRightInd w:val="0"/>
        <w:spacing w:after="0" w:line="240" w:lineRule="auto"/>
        <w:jc w:val="both"/>
        <w:rPr>
          <w:rFonts w:ascii="Arial" w:eastAsia="Times New Roman" w:hAnsi="Arial" w:cs="Arial"/>
          <w:sz w:val="24"/>
          <w:szCs w:val="24"/>
        </w:rPr>
      </w:pPr>
      <w:r w:rsidRPr="00BD3349">
        <w:rPr>
          <w:rFonts w:ascii="Arial" w:eastAsia="Times New Roman" w:hAnsi="Arial" w:cs="Arial"/>
          <w:sz w:val="24"/>
          <w:szCs w:val="24"/>
        </w:rPr>
        <w:lastRenderedPageBreak/>
        <w:t>lipsa de celeritate a instrumentării cazurilor penale din domeniul forestier şi al comerţului cu material lemnoase;</w:t>
      </w:r>
    </w:p>
    <w:p w:rsidR="00BD3349" w:rsidRPr="00BD3349" w:rsidRDefault="00BD3349" w:rsidP="005910C7">
      <w:pPr>
        <w:numPr>
          <w:ilvl w:val="0"/>
          <w:numId w:val="15"/>
        </w:numPr>
        <w:autoSpaceDE w:val="0"/>
        <w:autoSpaceDN w:val="0"/>
        <w:adjustRightInd w:val="0"/>
        <w:spacing w:after="0" w:line="240" w:lineRule="auto"/>
        <w:jc w:val="both"/>
        <w:rPr>
          <w:rFonts w:ascii="Arial" w:eastAsia="Times New Roman" w:hAnsi="Arial" w:cs="Arial"/>
          <w:sz w:val="24"/>
          <w:szCs w:val="24"/>
        </w:rPr>
      </w:pPr>
      <w:r w:rsidRPr="00BD3349">
        <w:rPr>
          <w:rFonts w:ascii="Arial" w:eastAsia="Times New Roman" w:hAnsi="Arial" w:cs="Arial"/>
          <w:sz w:val="24"/>
          <w:szCs w:val="24"/>
        </w:rPr>
        <w:t>neconcordanţa între unele reglementări privitoare la regimul silvic şi prevederile Constituţiei României privitoare la dreptul de proprietate şi la modul în care aceasta se manifestă.</w:t>
      </w:r>
    </w:p>
    <w:p w:rsidR="00BD3349" w:rsidRPr="00BD3349" w:rsidRDefault="00BD3349" w:rsidP="00BD3349">
      <w:pPr>
        <w:tabs>
          <w:tab w:val="left" w:pos="1276"/>
        </w:tabs>
        <w:spacing w:after="0" w:line="240" w:lineRule="auto"/>
        <w:rPr>
          <w:rFonts w:ascii="Arial" w:eastAsia="SimSun" w:hAnsi="Arial" w:cs="Arial"/>
          <w:b/>
          <w:sz w:val="24"/>
          <w:szCs w:val="24"/>
          <w:lang w:val="ro-RO"/>
        </w:rPr>
      </w:pPr>
    </w:p>
    <w:p w:rsidR="00BD3349" w:rsidRPr="00BD3349" w:rsidRDefault="00BD3349" w:rsidP="00BD3349">
      <w:pPr>
        <w:tabs>
          <w:tab w:val="left" w:pos="1276"/>
        </w:tabs>
        <w:spacing w:after="0" w:line="240" w:lineRule="auto"/>
        <w:rPr>
          <w:rFonts w:ascii="Arial" w:eastAsia="SimSun" w:hAnsi="Arial" w:cs="Arial"/>
          <w:b/>
          <w:i/>
          <w:sz w:val="24"/>
          <w:szCs w:val="24"/>
          <w:lang w:val="ro-RO"/>
        </w:rPr>
      </w:pPr>
      <w:r w:rsidRPr="00BD3349">
        <w:rPr>
          <w:rFonts w:ascii="Arial" w:eastAsia="SimSun" w:hAnsi="Arial" w:cs="Arial"/>
          <w:b/>
          <w:sz w:val="24"/>
          <w:szCs w:val="24"/>
          <w:lang w:val="ro-RO"/>
        </w:rPr>
        <w:t xml:space="preserve">VI.2.1. </w:t>
      </w:r>
      <w:r w:rsidRPr="00BD3349">
        <w:rPr>
          <w:rFonts w:ascii="Arial" w:eastAsia="SimSun" w:hAnsi="Arial" w:cs="Arial"/>
          <w:b/>
          <w:i/>
          <w:sz w:val="24"/>
          <w:szCs w:val="24"/>
          <w:lang w:val="ro-RO"/>
        </w:rPr>
        <w:t xml:space="preserve">Suprafeţe de pădure parcurse cu tăieri </w:t>
      </w:r>
    </w:p>
    <w:p w:rsidR="00BD3349" w:rsidRPr="00BD3349" w:rsidRDefault="00BD3349" w:rsidP="00BD3349">
      <w:pPr>
        <w:tabs>
          <w:tab w:val="left" w:pos="1276"/>
        </w:tabs>
        <w:spacing w:after="0" w:line="240" w:lineRule="auto"/>
        <w:rPr>
          <w:rFonts w:ascii="Arial" w:eastAsia="SimSun" w:hAnsi="Arial" w:cs="Arial"/>
          <w:i/>
          <w:color w:val="FF0000"/>
          <w:sz w:val="24"/>
          <w:szCs w:val="24"/>
          <w:lang w:val="ro-RO"/>
        </w:rPr>
      </w:pPr>
    </w:p>
    <w:p w:rsidR="00BD3349" w:rsidRPr="00BD3349" w:rsidRDefault="00BD3349" w:rsidP="00BD3349">
      <w:pPr>
        <w:spacing w:after="0" w:line="240" w:lineRule="auto"/>
        <w:ind w:right="-716"/>
        <w:jc w:val="both"/>
        <w:rPr>
          <w:rFonts w:ascii="Arial" w:eastAsia="SimSun" w:hAnsi="Arial" w:cs="Arial"/>
          <w:sz w:val="24"/>
          <w:szCs w:val="24"/>
          <w:lang w:val="ro-RO"/>
        </w:rPr>
      </w:pPr>
      <w:r w:rsidRPr="00BD3349">
        <w:rPr>
          <w:rFonts w:ascii="Arial" w:eastAsia="SimSun" w:hAnsi="Arial" w:cs="Arial"/>
          <w:sz w:val="24"/>
          <w:szCs w:val="24"/>
          <w:lang w:val="ro-RO"/>
        </w:rPr>
        <w:t>Tabelul VI.9. Suprafaţa totală parcursă cu tăieri la nivel de judeţ, în perioada 2011 – 2015</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6096"/>
        <w:gridCol w:w="708"/>
        <w:gridCol w:w="709"/>
        <w:gridCol w:w="709"/>
        <w:gridCol w:w="709"/>
        <w:gridCol w:w="708"/>
      </w:tblGrid>
      <w:tr w:rsidR="00BD3349" w:rsidRPr="00BD3349" w:rsidTr="00B635CB">
        <w:tc>
          <w:tcPr>
            <w:tcW w:w="425" w:type="dxa"/>
            <w:vMerge w:val="restart"/>
            <w:tcBorders>
              <w:top w:val="single" w:sz="4" w:space="0" w:color="auto"/>
              <w:left w:val="single" w:sz="4" w:space="0" w:color="auto"/>
              <w:bottom w:val="single" w:sz="4" w:space="0" w:color="auto"/>
              <w:right w:val="single" w:sz="4" w:space="0" w:color="auto"/>
            </w:tcBorders>
            <w:textDirection w:val="btLr"/>
          </w:tcPr>
          <w:p w:rsidR="00BD3349" w:rsidRPr="00BD3349" w:rsidRDefault="00BD3349" w:rsidP="00BD3349">
            <w:pPr>
              <w:tabs>
                <w:tab w:val="left" w:pos="720"/>
                <w:tab w:val="center" w:pos="4703"/>
                <w:tab w:val="right" w:pos="9406"/>
              </w:tabs>
              <w:spacing w:after="0" w:line="240" w:lineRule="auto"/>
              <w:ind w:left="113" w:right="113"/>
              <w:jc w:val="center"/>
              <w:rPr>
                <w:rFonts w:ascii="Arial" w:eastAsia="Times New Roman" w:hAnsi="Arial" w:cs="Arial"/>
                <w:b/>
                <w:lang w:val="ro-RO"/>
              </w:rPr>
            </w:pPr>
            <w:r w:rsidRPr="00BD3349">
              <w:rPr>
                <w:rFonts w:ascii="Arial" w:eastAsia="Times New Roman" w:hAnsi="Arial" w:cs="Arial"/>
                <w:b/>
                <w:lang w:val="ro-RO"/>
              </w:rPr>
              <w:t>Judeţul  Vaslui</w:t>
            </w:r>
          </w:p>
        </w:tc>
        <w:tc>
          <w:tcPr>
            <w:tcW w:w="6096" w:type="dxa"/>
            <w:vMerge w:val="restart"/>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b/>
                <w:sz w:val="20"/>
                <w:szCs w:val="20"/>
                <w:lang w:val="ro-RO"/>
              </w:rPr>
            </w:pPr>
            <w:r w:rsidRPr="00BD3349">
              <w:rPr>
                <w:rFonts w:ascii="Arial" w:eastAsia="Times New Roman" w:hAnsi="Arial" w:cs="Arial"/>
                <w:b/>
                <w:sz w:val="20"/>
                <w:szCs w:val="20"/>
                <w:lang w:val="ro-RO"/>
              </w:rPr>
              <w:t>Tip de tăiere</w:t>
            </w:r>
          </w:p>
        </w:tc>
        <w:tc>
          <w:tcPr>
            <w:tcW w:w="3543" w:type="dxa"/>
            <w:gridSpan w:val="5"/>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b/>
                <w:sz w:val="20"/>
                <w:szCs w:val="20"/>
                <w:lang w:val="ro-RO"/>
              </w:rPr>
            </w:pPr>
            <w:r w:rsidRPr="00BD3349">
              <w:rPr>
                <w:rFonts w:ascii="Arial" w:eastAsia="Times New Roman" w:hAnsi="Arial" w:cs="Arial"/>
                <w:b/>
                <w:sz w:val="20"/>
                <w:szCs w:val="20"/>
                <w:lang w:val="ro-RO"/>
              </w:rPr>
              <w:t>Suprafaţa(ha)</w:t>
            </w:r>
          </w:p>
        </w:tc>
      </w:tr>
      <w:tr w:rsidR="00BD3349" w:rsidRPr="00BD3349" w:rsidTr="00B635CB">
        <w:tc>
          <w:tcPr>
            <w:tcW w:w="425" w:type="dxa"/>
            <w:vMerge/>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eastAsia="SimSun" w:hAnsi="Arial" w:cs="Arial"/>
                <w:b/>
                <w:lang w:val="ro-RO"/>
              </w:rPr>
            </w:pPr>
          </w:p>
        </w:tc>
        <w:tc>
          <w:tcPr>
            <w:tcW w:w="6096" w:type="dxa"/>
            <w:vMerge/>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eastAsia="SimSun" w:hAnsi="Arial" w:cs="Arial"/>
                <w:b/>
                <w:sz w:val="20"/>
                <w:szCs w:val="20"/>
                <w:lang w:val="ro-RO"/>
              </w:rPr>
            </w:pPr>
          </w:p>
        </w:tc>
        <w:tc>
          <w:tcPr>
            <w:tcW w:w="708"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b/>
                <w:sz w:val="20"/>
                <w:szCs w:val="20"/>
                <w:lang w:val="ro-RO"/>
              </w:rPr>
            </w:pPr>
            <w:r w:rsidRPr="00BD3349">
              <w:rPr>
                <w:rFonts w:ascii="Arial" w:eastAsia="Times New Roman" w:hAnsi="Arial" w:cs="Arial"/>
                <w:b/>
                <w:sz w:val="20"/>
                <w:szCs w:val="20"/>
                <w:lang w:val="ro-RO"/>
              </w:rPr>
              <w:t>2011</w:t>
            </w:r>
          </w:p>
        </w:tc>
        <w:tc>
          <w:tcPr>
            <w:tcW w:w="709"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b/>
                <w:sz w:val="20"/>
                <w:szCs w:val="20"/>
                <w:lang w:val="ro-RO"/>
              </w:rPr>
            </w:pPr>
            <w:r w:rsidRPr="00BD3349">
              <w:rPr>
                <w:rFonts w:ascii="Arial" w:eastAsia="Times New Roman" w:hAnsi="Arial" w:cs="Arial"/>
                <w:b/>
                <w:sz w:val="20"/>
                <w:szCs w:val="20"/>
                <w:lang w:val="ro-RO"/>
              </w:rPr>
              <w:t>2012</w:t>
            </w:r>
          </w:p>
        </w:tc>
        <w:tc>
          <w:tcPr>
            <w:tcW w:w="709"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b/>
                <w:sz w:val="20"/>
                <w:szCs w:val="20"/>
                <w:lang w:val="ro-RO"/>
              </w:rPr>
            </w:pPr>
            <w:r w:rsidRPr="00BD3349">
              <w:rPr>
                <w:rFonts w:ascii="Arial" w:eastAsia="Times New Roman" w:hAnsi="Arial" w:cs="Arial"/>
                <w:b/>
                <w:sz w:val="20"/>
                <w:szCs w:val="20"/>
                <w:lang w:val="ro-RO"/>
              </w:rPr>
              <w:t>2013</w:t>
            </w:r>
          </w:p>
        </w:tc>
        <w:tc>
          <w:tcPr>
            <w:tcW w:w="709"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b/>
                <w:sz w:val="20"/>
                <w:szCs w:val="20"/>
                <w:lang w:val="ro-RO"/>
              </w:rPr>
            </w:pPr>
            <w:r w:rsidRPr="00BD3349">
              <w:rPr>
                <w:rFonts w:ascii="Arial" w:eastAsia="Times New Roman" w:hAnsi="Arial" w:cs="Arial"/>
                <w:b/>
                <w:sz w:val="20"/>
                <w:szCs w:val="20"/>
                <w:lang w:val="ro-RO"/>
              </w:rPr>
              <w:t>2014</w:t>
            </w:r>
          </w:p>
        </w:tc>
        <w:tc>
          <w:tcPr>
            <w:tcW w:w="708"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b/>
                <w:sz w:val="20"/>
                <w:szCs w:val="20"/>
                <w:lang w:val="ro-RO"/>
              </w:rPr>
            </w:pPr>
            <w:r w:rsidRPr="00BD3349">
              <w:rPr>
                <w:rFonts w:ascii="Arial" w:eastAsia="Times New Roman" w:hAnsi="Arial" w:cs="Arial"/>
                <w:b/>
                <w:sz w:val="20"/>
                <w:szCs w:val="20"/>
                <w:lang w:val="ro-RO"/>
              </w:rPr>
              <w:t>2015</w:t>
            </w:r>
          </w:p>
        </w:tc>
      </w:tr>
      <w:tr w:rsidR="00BD3349" w:rsidRPr="00BD3349" w:rsidTr="00B635CB">
        <w:tc>
          <w:tcPr>
            <w:tcW w:w="425" w:type="dxa"/>
            <w:vMerge/>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eastAsia="SimSun" w:hAnsi="Arial" w:cs="Arial"/>
                <w:b/>
                <w:lang w:val="ro-RO"/>
              </w:rPr>
            </w:pPr>
          </w:p>
        </w:tc>
        <w:tc>
          <w:tcPr>
            <w:tcW w:w="6096"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rPr>
                <w:rFonts w:ascii="Arial" w:eastAsia="Times New Roman" w:hAnsi="Arial" w:cs="Arial"/>
                <w:sz w:val="20"/>
                <w:szCs w:val="20"/>
                <w:lang w:val="ro-RO"/>
              </w:rPr>
            </w:pPr>
            <w:r w:rsidRPr="00BD3349">
              <w:rPr>
                <w:rFonts w:ascii="Arial" w:eastAsia="Times New Roman" w:hAnsi="Arial" w:cs="Arial"/>
                <w:sz w:val="20"/>
                <w:szCs w:val="20"/>
                <w:lang w:val="ro-RO"/>
              </w:rPr>
              <w:t>Tăieri succesive</w:t>
            </w:r>
          </w:p>
        </w:tc>
        <w:tc>
          <w:tcPr>
            <w:tcW w:w="708"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w:t>
            </w:r>
          </w:p>
        </w:tc>
        <w:tc>
          <w:tcPr>
            <w:tcW w:w="709"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w:t>
            </w:r>
          </w:p>
        </w:tc>
        <w:tc>
          <w:tcPr>
            <w:tcW w:w="709"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w:t>
            </w:r>
          </w:p>
        </w:tc>
        <w:tc>
          <w:tcPr>
            <w:tcW w:w="709"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w:t>
            </w:r>
          </w:p>
        </w:tc>
        <w:tc>
          <w:tcPr>
            <w:tcW w:w="708"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p>
        </w:tc>
      </w:tr>
      <w:tr w:rsidR="00BD3349" w:rsidRPr="00BD3349" w:rsidTr="00B635CB">
        <w:trPr>
          <w:trHeight w:val="70"/>
        </w:trPr>
        <w:tc>
          <w:tcPr>
            <w:tcW w:w="425" w:type="dxa"/>
            <w:vMerge/>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eastAsia="SimSun" w:hAnsi="Arial" w:cs="Arial"/>
                <w:b/>
                <w:lang w:val="ro-RO"/>
              </w:rPr>
            </w:pPr>
          </w:p>
        </w:tc>
        <w:tc>
          <w:tcPr>
            <w:tcW w:w="6096"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eastAsia="SimSun" w:hAnsi="Arial" w:cs="Arial"/>
                <w:sz w:val="20"/>
                <w:szCs w:val="20"/>
                <w:lang w:val="ro-RO"/>
              </w:rPr>
            </w:pPr>
            <w:r w:rsidRPr="00BD3349">
              <w:rPr>
                <w:rFonts w:ascii="Arial" w:eastAsia="SimSun" w:hAnsi="Arial" w:cs="Arial"/>
                <w:sz w:val="20"/>
                <w:szCs w:val="20"/>
                <w:lang w:val="ro-RO"/>
              </w:rPr>
              <w:t>Tăieri grădinărit</w:t>
            </w:r>
          </w:p>
        </w:tc>
        <w:tc>
          <w:tcPr>
            <w:tcW w:w="708"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w:t>
            </w:r>
          </w:p>
        </w:tc>
        <w:tc>
          <w:tcPr>
            <w:tcW w:w="709"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w:t>
            </w:r>
          </w:p>
        </w:tc>
        <w:tc>
          <w:tcPr>
            <w:tcW w:w="709"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w:t>
            </w:r>
          </w:p>
        </w:tc>
        <w:tc>
          <w:tcPr>
            <w:tcW w:w="709"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w:t>
            </w:r>
          </w:p>
        </w:tc>
        <w:tc>
          <w:tcPr>
            <w:tcW w:w="708"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p>
        </w:tc>
      </w:tr>
      <w:tr w:rsidR="00BD3349" w:rsidRPr="00BD3349" w:rsidTr="00B635CB">
        <w:tc>
          <w:tcPr>
            <w:tcW w:w="425" w:type="dxa"/>
            <w:vMerge/>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eastAsia="SimSun" w:hAnsi="Arial" w:cs="Arial"/>
                <w:b/>
                <w:lang w:val="ro-RO"/>
              </w:rPr>
            </w:pPr>
          </w:p>
        </w:tc>
        <w:tc>
          <w:tcPr>
            <w:tcW w:w="6096"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eastAsia="SimSun" w:hAnsi="Arial" w:cs="Arial"/>
                <w:sz w:val="20"/>
                <w:szCs w:val="20"/>
                <w:lang w:val="en-GB"/>
              </w:rPr>
            </w:pPr>
            <w:r w:rsidRPr="00BD3349">
              <w:rPr>
                <w:rFonts w:ascii="Arial" w:eastAsia="SimSun" w:hAnsi="Arial" w:cs="Arial"/>
                <w:sz w:val="20"/>
                <w:szCs w:val="20"/>
                <w:lang w:val="ro-RO"/>
              </w:rPr>
              <w:t>Tăieri progresive</w:t>
            </w:r>
          </w:p>
        </w:tc>
        <w:tc>
          <w:tcPr>
            <w:tcW w:w="708"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684</w:t>
            </w:r>
          </w:p>
        </w:tc>
        <w:tc>
          <w:tcPr>
            <w:tcW w:w="709"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598</w:t>
            </w:r>
          </w:p>
        </w:tc>
        <w:tc>
          <w:tcPr>
            <w:tcW w:w="709"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551</w:t>
            </w:r>
          </w:p>
        </w:tc>
        <w:tc>
          <w:tcPr>
            <w:tcW w:w="709"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470</w:t>
            </w:r>
          </w:p>
        </w:tc>
        <w:tc>
          <w:tcPr>
            <w:tcW w:w="708"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444</w:t>
            </w:r>
          </w:p>
        </w:tc>
      </w:tr>
      <w:tr w:rsidR="00BD3349" w:rsidRPr="00BD3349" w:rsidTr="00B635CB">
        <w:tc>
          <w:tcPr>
            <w:tcW w:w="425" w:type="dxa"/>
            <w:vMerge/>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eastAsia="SimSun" w:hAnsi="Arial" w:cs="Arial"/>
                <w:b/>
                <w:lang w:val="ro-RO"/>
              </w:rPr>
            </w:pPr>
          </w:p>
        </w:tc>
        <w:tc>
          <w:tcPr>
            <w:tcW w:w="6096"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spacing w:after="0" w:line="240" w:lineRule="auto"/>
              <w:rPr>
                <w:rFonts w:ascii="Arial" w:eastAsia="SimSun" w:hAnsi="Arial" w:cs="Arial"/>
                <w:sz w:val="20"/>
                <w:szCs w:val="20"/>
                <w:lang w:val="en-GB"/>
              </w:rPr>
            </w:pPr>
            <w:r w:rsidRPr="00BD3349">
              <w:rPr>
                <w:rFonts w:ascii="Arial" w:eastAsia="SimSun" w:hAnsi="Arial" w:cs="Arial"/>
                <w:sz w:val="20"/>
                <w:szCs w:val="20"/>
                <w:lang w:val="ro-RO"/>
              </w:rPr>
              <w:t>Tăieri rase</w:t>
            </w:r>
          </w:p>
        </w:tc>
        <w:tc>
          <w:tcPr>
            <w:tcW w:w="708"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27</w:t>
            </w:r>
          </w:p>
        </w:tc>
        <w:tc>
          <w:tcPr>
            <w:tcW w:w="709"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69</w:t>
            </w:r>
          </w:p>
        </w:tc>
        <w:tc>
          <w:tcPr>
            <w:tcW w:w="709"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52</w:t>
            </w:r>
          </w:p>
        </w:tc>
        <w:tc>
          <w:tcPr>
            <w:tcW w:w="709"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229</w:t>
            </w:r>
          </w:p>
        </w:tc>
        <w:tc>
          <w:tcPr>
            <w:tcW w:w="708"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49</w:t>
            </w:r>
          </w:p>
        </w:tc>
      </w:tr>
      <w:tr w:rsidR="00BD3349" w:rsidRPr="00BD3349" w:rsidTr="00B635CB">
        <w:tc>
          <w:tcPr>
            <w:tcW w:w="425" w:type="dxa"/>
            <w:vMerge/>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eastAsia="SimSun" w:hAnsi="Arial" w:cs="Arial"/>
                <w:b/>
                <w:lang w:val="ro-RO"/>
              </w:rPr>
            </w:pPr>
          </w:p>
        </w:tc>
        <w:tc>
          <w:tcPr>
            <w:tcW w:w="6096"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rPr>
                <w:rFonts w:ascii="Arial" w:eastAsia="Times New Roman" w:hAnsi="Arial" w:cs="Arial"/>
                <w:sz w:val="20"/>
                <w:szCs w:val="20"/>
                <w:lang w:val="ro-RO"/>
              </w:rPr>
            </w:pPr>
            <w:r w:rsidRPr="00BD3349">
              <w:rPr>
                <w:rFonts w:ascii="Arial" w:eastAsia="Times New Roman" w:hAnsi="Arial" w:cs="Arial"/>
                <w:sz w:val="20"/>
                <w:szCs w:val="20"/>
                <w:lang w:val="ro-RO"/>
              </w:rPr>
              <w:t>Tăieri de regenerare în crâng</w:t>
            </w:r>
          </w:p>
        </w:tc>
        <w:tc>
          <w:tcPr>
            <w:tcW w:w="708"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308</w:t>
            </w:r>
          </w:p>
        </w:tc>
        <w:tc>
          <w:tcPr>
            <w:tcW w:w="709"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301</w:t>
            </w:r>
          </w:p>
        </w:tc>
        <w:tc>
          <w:tcPr>
            <w:tcW w:w="709"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250</w:t>
            </w:r>
          </w:p>
        </w:tc>
        <w:tc>
          <w:tcPr>
            <w:tcW w:w="709"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293</w:t>
            </w:r>
          </w:p>
        </w:tc>
        <w:tc>
          <w:tcPr>
            <w:tcW w:w="708"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253</w:t>
            </w:r>
          </w:p>
        </w:tc>
      </w:tr>
      <w:tr w:rsidR="00BD3349" w:rsidRPr="00BD3349" w:rsidTr="00B635CB">
        <w:tc>
          <w:tcPr>
            <w:tcW w:w="425" w:type="dxa"/>
            <w:vMerge/>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eastAsia="SimSun" w:hAnsi="Arial" w:cs="Arial"/>
                <w:b/>
                <w:lang w:val="ro-RO"/>
              </w:rPr>
            </w:pPr>
          </w:p>
        </w:tc>
        <w:tc>
          <w:tcPr>
            <w:tcW w:w="6096" w:type="dxa"/>
            <w:tcBorders>
              <w:top w:val="single" w:sz="4" w:space="0" w:color="auto"/>
              <w:left w:val="single" w:sz="4" w:space="0" w:color="auto"/>
              <w:bottom w:val="single" w:sz="4" w:space="0" w:color="auto"/>
              <w:right w:val="single" w:sz="4" w:space="0" w:color="auto"/>
            </w:tcBorders>
          </w:tcPr>
          <w:p w:rsidR="00BD3349" w:rsidRPr="00BD3349" w:rsidRDefault="00B635CB" w:rsidP="00BD3349">
            <w:pPr>
              <w:tabs>
                <w:tab w:val="left" w:pos="720"/>
                <w:tab w:val="center" w:pos="4703"/>
                <w:tab w:val="right" w:pos="9406"/>
              </w:tabs>
              <w:spacing w:after="0" w:line="240" w:lineRule="auto"/>
              <w:rPr>
                <w:rFonts w:ascii="Arial" w:eastAsia="Times New Roman" w:hAnsi="Arial" w:cs="Arial"/>
                <w:sz w:val="20"/>
                <w:szCs w:val="20"/>
                <w:lang w:val="ro-RO"/>
              </w:rPr>
            </w:pPr>
            <w:r>
              <w:rPr>
                <w:rFonts w:ascii="Arial" w:eastAsia="Times New Roman" w:hAnsi="Arial" w:cs="Arial"/>
                <w:sz w:val="20"/>
                <w:szCs w:val="20"/>
                <w:lang w:val="ro-RO"/>
              </w:rPr>
              <w:t>Tăieri de substituire/</w:t>
            </w:r>
            <w:r w:rsidR="00BD3349" w:rsidRPr="00BD3349">
              <w:rPr>
                <w:rFonts w:ascii="Arial" w:eastAsia="Times New Roman" w:hAnsi="Arial" w:cs="Arial"/>
                <w:sz w:val="20"/>
                <w:szCs w:val="20"/>
                <w:lang w:val="ro-RO"/>
              </w:rPr>
              <w:t>refacere a arboretelui slab productiv/degradat</w:t>
            </w:r>
          </w:p>
        </w:tc>
        <w:tc>
          <w:tcPr>
            <w:tcW w:w="708"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8</w:t>
            </w:r>
          </w:p>
        </w:tc>
        <w:tc>
          <w:tcPr>
            <w:tcW w:w="709"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7</w:t>
            </w:r>
          </w:p>
        </w:tc>
        <w:tc>
          <w:tcPr>
            <w:tcW w:w="709"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9</w:t>
            </w:r>
          </w:p>
        </w:tc>
        <w:tc>
          <w:tcPr>
            <w:tcW w:w="709"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4</w:t>
            </w:r>
          </w:p>
        </w:tc>
        <w:tc>
          <w:tcPr>
            <w:tcW w:w="708"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p>
        </w:tc>
      </w:tr>
      <w:tr w:rsidR="00BD3349" w:rsidRPr="00BD3349" w:rsidTr="00B635CB">
        <w:tc>
          <w:tcPr>
            <w:tcW w:w="425" w:type="dxa"/>
            <w:vMerge/>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eastAsia="SimSun" w:hAnsi="Arial" w:cs="Arial"/>
                <w:b/>
                <w:lang w:val="ro-RO"/>
              </w:rPr>
            </w:pPr>
          </w:p>
        </w:tc>
        <w:tc>
          <w:tcPr>
            <w:tcW w:w="6096"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rPr>
                <w:rFonts w:ascii="Arial" w:eastAsia="Times New Roman" w:hAnsi="Arial" w:cs="Arial"/>
                <w:sz w:val="20"/>
                <w:szCs w:val="20"/>
                <w:lang w:val="ro-RO"/>
              </w:rPr>
            </w:pPr>
            <w:r w:rsidRPr="00BD3349">
              <w:rPr>
                <w:rFonts w:ascii="Arial" w:eastAsia="Times New Roman" w:hAnsi="Arial" w:cs="Arial"/>
                <w:sz w:val="20"/>
                <w:szCs w:val="20"/>
                <w:lang w:val="ro-RO"/>
              </w:rPr>
              <w:t>Tăieri de conservare</w:t>
            </w:r>
          </w:p>
        </w:tc>
        <w:tc>
          <w:tcPr>
            <w:tcW w:w="708"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156</w:t>
            </w:r>
          </w:p>
        </w:tc>
        <w:tc>
          <w:tcPr>
            <w:tcW w:w="709"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169</w:t>
            </w:r>
          </w:p>
        </w:tc>
        <w:tc>
          <w:tcPr>
            <w:tcW w:w="709"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164</w:t>
            </w:r>
          </w:p>
        </w:tc>
        <w:tc>
          <w:tcPr>
            <w:tcW w:w="709"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145</w:t>
            </w:r>
          </w:p>
        </w:tc>
        <w:tc>
          <w:tcPr>
            <w:tcW w:w="708"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150</w:t>
            </w:r>
          </w:p>
        </w:tc>
      </w:tr>
      <w:tr w:rsidR="00BD3349" w:rsidRPr="00BD3349" w:rsidTr="00B635CB">
        <w:tc>
          <w:tcPr>
            <w:tcW w:w="6521" w:type="dxa"/>
            <w:gridSpan w:val="2"/>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tabs>
                <w:tab w:val="left" w:pos="720"/>
                <w:tab w:val="center" w:pos="4703"/>
                <w:tab w:val="right" w:pos="9406"/>
              </w:tabs>
              <w:spacing w:after="0" w:line="240" w:lineRule="auto"/>
              <w:rPr>
                <w:rFonts w:ascii="Arial" w:eastAsia="Times New Roman" w:hAnsi="Arial" w:cs="Arial"/>
                <w:b/>
                <w:sz w:val="20"/>
                <w:szCs w:val="20"/>
                <w:lang w:val="ro-RO"/>
              </w:rPr>
            </w:pPr>
            <w:r w:rsidRPr="00BD3349">
              <w:rPr>
                <w:rFonts w:ascii="Arial" w:eastAsia="Times New Roman" w:hAnsi="Arial" w:cs="Arial"/>
                <w:b/>
                <w:sz w:val="20"/>
                <w:szCs w:val="20"/>
                <w:lang w:val="ro-RO"/>
              </w:rPr>
              <w:t>Suprafaţa totală parcursă cu tăieri</w:t>
            </w:r>
          </w:p>
        </w:tc>
        <w:tc>
          <w:tcPr>
            <w:tcW w:w="708"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b/>
                <w:sz w:val="20"/>
                <w:szCs w:val="20"/>
                <w:lang w:val="ro-RO"/>
              </w:rPr>
            </w:pPr>
            <w:r w:rsidRPr="00BD3349">
              <w:rPr>
                <w:rFonts w:ascii="Arial" w:eastAsia="Times New Roman" w:hAnsi="Arial" w:cs="Arial"/>
                <w:b/>
                <w:sz w:val="20"/>
                <w:szCs w:val="20"/>
                <w:lang w:val="ro-RO"/>
              </w:rPr>
              <w:t>1183</w:t>
            </w:r>
          </w:p>
        </w:tc>
        <w:tc>
          <w:tcPr>
            <w:tcW w:w="709"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b/>
                <w:sz w:val="20"/>
                <w:szCs w:val="20"/>
                <w:lang w:val="ro-RO"/>
              </w:rPr>
            </w:pPr>
            <w:r w:rsidRPr="00BD3349">
              <w:rPr>
                <w:rFonts w:ascii="Arial" w:eastAsia="Times New Roman" w:hAnsi="Arial" w:cs="Arial"/>
                <w:b/>
                <w:sz w:val="20"/>
                <w:szCs w:val="20"/>
                <w:lang w:val="ro-RO"/>
              </w:rPr>
              <w:t>1144</w:t>
            </w:r>
          </w:p>
        </w:tc>
        <w:tc>
          <w:tcPr>
            <w:tcW w:w="709"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b/>
                <w:sz w:val="20"/>
                <w:szCs w:val="20"/>
                <w:lang w:val="ro-RO"/>
              </w:rPr>
            </w:pPr>
            <w:r w:rsidRPr="00BD3349">
              <w:rPr>
                <w:rFonts w:ascii="Arial" w:eastAsia="Times New Roman" w:hAnsi="Arial" w:cs="Arial"/>
                <w:b/>
                <w:sz w:val="20"/>
                <w:szCs w:val="20"/>
                <w:lang w:val="ro-RO"/>
              </w:rPr>
              <w:t>1026</w:t>
            </w:r>
          </w:p>
        </w:tc>
        <w:tc>
          <w:tcPr>
            <w:tcW w:w="709"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b/>
                <w:sz w:val="20"/>
                <w:szCs w:val="20"/>
                <w:lang w:val="ro-RO"/>
              </w:rPr>
            </w:pPr>
            <w:r w:rsidRPr="00BD3349">
              <w:rPr>
                <w:rFonts w:ascii="Arial" w:eastAsia="Times New Roman" w:hAnsi="Arial" w:cs="Arial"/>
                <w:b/>
                <w:sz w:val="20"/>
                <w:szCs w:val="20"/>
                <w:lang w:val="ro-RO"/>
              </w:rPr>
              <w:t>1141</w:t>
            </w:r>
          </w:p>
        </w:tc>
        <w:tc>
          <w:tcPr>
            <w:tcW w:w="708"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b/>
                <w:sz w:val="20"/>
                <w:szCs w:val="20"/>
                <w:lang w:val="ro-RO"/>
              </w:rPr>
            </w:pPr>
            <w:r w:rsidRPr="00BD3349">
              <w:rPr>
                <w:rFonts w:ascii="Arial" w:eastAsia="Times New Roman" w:hAnsi="Arial" w:cs="Arial"/>
                <w:b/>
                <w:sz w:val="20"/>
                <w:szCs w:val="20"/>
                <w:lang w:val="ro-RO"/>
              </w:rPr>
              <w:t>896</w:t>
            </w:r>
          </w:p>
        </w:tc>
      </w:tr>
    </w:tbl>
    <w:p w:rsidR="00BD3349" w:rsidRPr="00BD3349" w:rsidRDefault="00BD3349" w:rsidP="00BD3349">
      <w:pPr>
        <w:spacing w:after="0" w:line="240" w:lineRule="auto"/>
        <w:ind w:right="-235"/>
        <w:jc w:val="both"/>
        <w:rPr>
          <w:rFonts w:ascii="Arial" w:eastAsia="SimSun" w:hAnsi="Arial" w:cs="Arial"/>
          <w:i/>
          <w:sz w:val="20"/>
          <w:szCs w:val="20"/>
          <w:lang w:val="ro-RO"/>
        </w:rPr>
      </w:pPr>
      <w:r w:rsidRPr="00BD3349">
        <w:rPr>
          <w:rFonts w:ascii="Arial" w:eastAsia="SimSun" w:hAnsi="Arial" w:cs="Arial"/>
          <w:b/>
          <w:i/>
          <w:lang w:val="ro-RO"/>
        </w:rPr>
        <w:t xml:space="preserve"> </w:t>
      </w:r>
      <w:r w:rsidRPr="00BD3349">
        <w:rPr>
          <w:rFonts w:ascii="Arial" w:eastAsia="SimSun" w:hAnsi="Arial" w:cs="Arial"/>
          <w:b/>
          <w:i/>
          <w:sz w:val="20"/>
          <w:szCs w:val="20"/>
          <w:lang w:val="ro-RO"/>
        </w:rPr>
        <w:t>*Notă-</w:t>
      </w:r>
      <w:r w:rsidRPr="00BD3349">
        <w:rPr>
          <w:rFonts w:ascii="Arial" w:eastAsia="SimSun" w:hAnsi="Arial" w:cs="Arial"/>
          <w:i/>
          <w:sz w:val="20"/>
          <w:szCs w:val="20"/>
          <w:lang w:val="ro-RO"/>
        </w:rPr>
        <w:t>Informaţii ofe</w:t>
      </w:r>
      <w:r w:rsidR="00B635CB">
        <w:rPr>
          <w:rFonts w:ascii="Arial" w:eastAsia="SimSun" w:hAnsi="Arial" w:cs="Arial"/>
          <w:i/>
          <w:sz w:val="20"/>
          <w:szCs w:val="20"/>
          <w:lang w:val="ro-RO"/>
        </w:rPr>
        <w:t>rite</w:t>
      </w:r>
      <w:r w:rsidRPr="00BD3349">
        <w:rPr>
          <w:rFonts w:ascii="Arial" w:eastAsia="SimSun" w:hAnsi="Arial" w:cs="Arial"/>
          <w:i/>
          <w:sz w:val="20"/>
          <w:szCs w:val="20"/>
          <w:lang w:val="ro-RO"/>
        </w:rPr>
        <w:t xml:space="preserve"> de Direcţia Silvică Vaslui şi Direcţia Silvică Iaşi pentru fondul forestier din judeţul Vaslui. </w:t>
      </w:r>
    </w:p>
    <w:p w:rsidR="00BD3349" w:rsidRPr="00BD3349" w:rsidRDefault="00BD3349" w:rsidP="00BD3349">
      <w:pPr>
        <w:tabs>
          <w:tab w:val="left" w:pos="1276"/>
        </w:tabs>
        <w:spacing w:after="0" w:line="240" w:lineRule="auto"/>
        <w:jc w:val="both"/>
        <w:rPr>
          <w:rFonts w:ascii="Arial" w:eastAsia="SimSun" w:hAnsi="Arial" w:cs="Arial"/>
          <w:sz w:val="24"/>
          <w:szCs w:val="24"/>
          <w:lang w:val="en-GB"/>
        </w:rPr>
      </w:pPr>
    </w:p>
    <w:p w:rsidR="00BD3349" w:rsidRPr="00BD3349" w:rsidRDefault="00BD3349" w:rsidP="00BD3349">
      <w:pPr>
        <w:spacing w:after="0" w:line="240" w:lineRule="auto"/>
        <w:jc w:val="both"/>
        <w:rPr>
          <w:rFonts w:ascii="Arial" w:eastAsia="SimSun" w:hAnsi="Arial" w:cs="Arial"/>
          <w:sz w:val="24"/>
          <w:szCs w:val="24"/>
          <w:lang w:val="ro-RO"/>
        </w:rPr>
      </w:pPr>
      <w:r w:rsidRPr="00BD3349">
        <w:rPr>
          <w:rFonts w:ascii="Arial" w:eastAsia="SimSun" w:hAnsi="Arial" w:cs="Arial"/>
          <w:sz w:val="24"/>
          <w:szCs w:val="24"/>
          <w:lang w:val="ro-RO"/>
        </w:rPr>
        <w:t>Tabelul VI.10. Masa lemnoasă recoltată pe principalele specii, în perioada 2011-2015</w:t>
      </w:r>
    </w:p>
    <w:tbl>
      <w:tblPr>
        <w:tblW w:w="891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827"/>
        <w:gridCol w:w="1134"/>
        <w:gridCol w:w="851"/>
        <w:gridCol w:w="850"/>
        <w:gridCol w:w="851"/>
        <w:gridCol w:w="833"/>
      </w:tblGrid>
      <w:tr w:rsidR="00BD3349" w:rsidRPr="00BD3349" w:rsidTr="002403BF">
        <w:trPr>
          <w:trHeight w:val="505"/>
        </w:trPr>
        <w:tc>
          <w:tcPr>
            <w:tcW w:w="567" w:type="dxa"/>
            <w:vMerge w:val="restart"/>
            <w:tcBorders>
              <w:top w:val="single" w:sz="4" w:space="0" w:color="auto"/>
              <w:left w:val="single" w:sz="4" w:space="0" w:color="auto"/>
              <w:bottom w:val="single" w:sz="4" w:space="0" w:color="auto"/>
              <w:right w:val="single" w:sz="4" w:space="0" w:color="auto"/>
            </w:tcBorders>
            <w:textDirection w:val="btLr"/>
          </w:tcPr>
          <w:p w:rsidR="00BD3349" w:rsidRPr="00BD3349" w:rsidRDefault="00BD3349" w:rsidP="00BD3349">
            <w:pPr>
              <w:tabs>
                <w:tab w:val="left" w:pos="720"/>
                <w:tab w:val="center" w:pos="4703"/>
                <w:tab w:val="right" w:pos="9406"/>
              </w:tabs>
              <w:spacing w:after="0" w:line="240" w:lineRule="auto"/>
              <w:ind w:left="113" w:right="113"/>
              <w:jc w:val="center"/>
              <w:rPr>
                <w:rFonts w:ascii="Arial" w:eastAsia="Times New Roman" w:hAnsi="Arial" w:cs="Arial"/>
                <w:b/>
                <w:sz w:val="20"/>
                <w:szCs w:val="20"/>
                <w:lang w:val="ro-RO"/>
              </w:rPr>
            </w:pPr>
            <w:r w:rsidRPr="00BD3349">
              <w:rPr>
                <w:rFonts w:ascii="Arial" w:eastAsia="Times New Roman" w:hAnsi="Arial" w:cs="Arial"/>
                <w:b/>
                <w:sz w:val="20"/>
                <w:szCs w:val="20"/>
                <w:lang w:val="ro-RO"/>
              </w:rPr>
              <w:t>Judeţ ul Vaslui</w:t>
            </w:r>
          </w:p>
        </w:tc>
        <w:tc>
          <w:tcPr>
            <w:tcW w:w="3827" w:type="dxa"/>
            <w:vMerge w:val="restart"/>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b/>
                <w:sz w:val="20"/>
                <w:szCs w:val="20"/>
                <w:lang w:val="ro-RO"/>
              </w:rPr>
            </w:pPr>
            <w:r w:rsidRPr="00BD3349">
              <w:rPr>
                <w:rFonts w:ascii="Arial" w:eastAsia="Times New Roman" w:hAnsi="Arial" w:cs="Arial"/>
                <w:b/>
                <w:sz w:val="20"/>
                <w:szCs w:val="20"/>
                <w:lang w:val="ro-RO"/>
              </w:rPr>
              <w:t>Specii lemnoase</w:t>
            </w:r>
          </w:p>
        </w:tc>
        <w:tc>
          <w:tcPr>
            <w:tcW w:w="4519" w:type="dxa"/>
            <w:gridSpan w:val="5"/>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b/>
                <w:sz w:val="20"/>
                <w:szCs w:val="20"/>
                <w:lang w:val="ro-RO"/>
              </w:rPr>
            </w:pPr>
            <w:r w:rsidRPr="00BD3349">
              <w:rPr>
                <w:rFonts w:ascii="Arial" w:eastAsia="Times New Roman" w:hAnsi="Arial" w:cs="Arial"/>
                <w:b/>
                <w:sz w:val="20"/>
                <w:szCs w:val="20"/>
                <w:lang w:val="ro-RO"/>
              </w:rPr>
              <w:t xml:space="preserve">Volum de masă lemnoasă recoltat </w:t>
            </w:r>
          </w:p>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b/>
                <w:sz w:val="20"/>
                <w:szCs w:val="20"/>
                <w:lang w:val="ro-RO"/>
              </w:rPr>
            </w:pPr>
            <w:r w:rsidRPr="00BD3349">
              <w:rPr>
                <w:rFonts w:ascii="Arial" w:eastAsia="Times New Roman" w:hAnsi="Arial" w:cs="Arial"/>
                <w:b/>
                <w:sz w:val="20"/>
                <w:szCs w:val="20"/>
                <w:lang w:val="ro-RO"/>
              </w:rPr>
              <w:t>(mii metri cubi</w:t>
            </w:r>
            <w:r w:rsidRPr="00BD3349">
              <w:rPr>
                <w:rFonts w:ascii="Arial" w:eastAsia="Times New Roman" w:hAnsi="Arial" w:cs="Arial"/>
                <w:b/>
                <w:sz w:val="20"/>
                <w:szCs w:val="20"/>
                <w:lang w:val="ro-RO"/>
              </w:rPr>
              <w:softHyphen/>
              <w:t xml:space="preserve"> </w:t>
            </w:r>
            <w:r w:rsidRPr="00BD3349">
              <w:rPr>
                <w:rFonts w:ascii="Arial" w:eastAsia="Times New Roman" w:hAnsi="Arial" w:cs="Arial"/>
                <w:b/>
                <w:sz w:val="20"/>
                <w:szCs w:val="20"/>
                <w:lang w:val="ro-RO"/>
              </w:rPr>
              <w:softHyphen/>
              <w:t>– volum brut)</w:t>
            </w:r>
          </w:p>
        </w:tc>
      </w:tr>
      <w:tr w:rsidR="00BD3349" w:rsidRPr="00BD3349" w:rsidTr="002403BF">
        <w:trPr>
          <w:trHeight w:val="145"/>
        </w:trPr>
        <w:tc>
          <w:tcPr>
            <w:tcW w:w="567" w:type="dxa"/>
            <w:vMerge/>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eastAsia="SimSun" w:hAnsi="Arial" w:cs="Arial"/>
                <w:b/>
                <w:sz w:val="20"/>
                <w:szCs w:val="20"/>
                <w:lang w:val="ro-RO"/>
              </w:rPr>
            </w:pPr>
          </w:p>
        </w:tc>
        <w:tc>
          <w:tcPr>
            <w:tcW w:w="3827" w:type="dxa"/>
            <w:vMerge/>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eastAsia="SimSun" w:hAnsi="Arial" w:cs="Arial"/>
                <w:b/>
                <w:sz w:val="20"/>
                <w:szCs w:val="20"/>
                <w:lang w:val="ro-RO"/>
              </w:rPr>
            </w:pPr>
          </w:p>
        </w:tc>
        <w:tc>
          <w:tcPr>
            <w:tcW w:w="113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b/>
                <w:sz w:val="20"/>
                <w:szCs w:val="20"/>
                <w:lang w:val="ro-RO"/>
              </w:rPr>
            </w:pPr>
            <w:r w:rsidRPr="00BD3349">
              <w:rPr>
                <w:rFonts w:ascii="Arial" w:eastAsia="Times New Roman" w:hAnsi="Arial" w:cs="Arial"/>
                <w:b/>
                <w:sz w:val="20"/>
                <w:szCs w:val="20"/>
                <w:lang w:val="ro-RO"/>
              </w:rPr>
              <w:t>2011</w:t>
            </w:r>
          </w:p>
        </w:tc>
        <w:tc>
          <w:tcPr>
            <w:tcW w:w="85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b/>
                <w:sz w:val="20"/>
                <w:szCs w:val="20"/>
                <w:lang w:val="ro-RO"/>
              </w:rPr>
            </w:pPr>
            <w:r w:rsidRPr="00BD3349">
              <w:rPr>
                <w:rFonts w:ascii="Arial" w:eastAsia="Times New Roman" w:hAnsi="Arial" w:cs="Arial"/>
                <w:b/>
                <w:sz w:val="20"/>
                <w:szCs w:val="20"/>
                <w:lang w:val="ro-RO"/>
              </w:rPr>
              <w:t>2012</w:t>
            </w:r>
          </w:p>
        </w:tc>
        <w:tc>
          <w:tcPr>
            <w:tcW w:w="850"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b/>
                <w:sz w:val="20"/>
                <w:szCs w:val="20"/>
                <w:lang w:val="ro-RO"/>
              </w:rPr>
            </w:pPr>
            <w:r w:rsidRPr="00BD3349">
              <w:rPr>
                <w:rFonts w:ascii="Arial" w:eastAsia="Times New Roman" w:hAnsi="Arial" w:cs="Arial"/>
                <w:b/>
                <w:sz w:val="20"/>
                <w:szCs w:val="20"/>
                <w:lang w:val="ro-RO"/>
              </w:rPr>
              <w:t>2013</w:t>
            </w:r>
          </w:p>
        </w:tc>
        <w:tc>
          <w:tcPr>
            <w:tcW w:w="85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b/>
                <w:sz w:val="20"/>
                <w:szCs w:val="20"/>
                <w:lang w:val="ro-RO"/>
              </w:rPr>
            </w:pPr>
            <w:r w:rsidRPr="00BD3349">
              <w:rPr>
                <w:rFonts w:ascii="Arial" w:eastAsia="Times New Roman" w:hAnsi="Arial" w:cs="Arial"/>
                <w:b/>
                <w:sz w:val="20"/>
                <w:szCs w:val="20"/>
                <w:lang w:val="ro-RO"/>
              </w:rPr>
              <w:t>2014</w:t>
            </w:r>
          </w:p>
        </w:tc>
        <w:tc>
          <w:tcPr>
            <w:tcW w:w="833"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b/>
                <w:sz w:val="20"/>
                <w:szCs w:val="20"/>
                <w:lang w:val="ro-RO"/>
              </w:rPr>
            </w:pPr>
            <w:r w:rsidRPr="00BD3349">
              <w:rPr>
                <w:rFonts w:ascii="Arial" w:eastAsia="Times New Roman" w:hAnsi="Arial" w:cs="Arial"/>
                <w:b/>
                <w:sz w:val="20"/>
                <w:szCs w:val="20"/>
                <w:lang w:val="ro-RO"/>
              </w:rPr>
              <w:t>2015</w:t>
            </w:r>
          </w:p>
        </w:tc>
      </w:tr>
      <w:tr w:rsidR="00BD3349" w:rsidRPr="00BD3349" w:rsidTr="002403BF">
        <w:trPr>
          <w:trHeight w:val="145"/>
        </w:trPr>
        <w:tc>
          <w:tcPr>
            <w:tcW w:w="567" w:type="dxa"/>
            <w:vMerge/>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eastAsia="SimSun" w:hAnsi="Arial" w:cs="Arial"/>
                <w:b/>
                <w:sz w:val="20"/>
                <w:szCs w:val="20"/>
                <w:lang w:val="ro-RO"/>
              </w:rPr>
            </w:pPr>
          </w:p>
        </w:tc>
        <w:tc>
          <w:tcPr>
            <w:tcW w:w="3827"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both"/>
              <w:rPr>
                <w:rFonts w:ascii="Arial" w:eastAsia="Times New Roman" w:hAnsi="Arial" w:cs="Arial"/>
                <w:sz w:val="20"/>
                <w:szCs w:val="20"/>
                <w:lang w:val="ro-RO"/>
              </w:rPr>
            </w:pPr>
            <w:r w:rsidRPr="00BD3349">
              <w:rPr>
                <w:rFonts w:ascii="Arial" w:eastAsia="Times New Roman" w:hAnsi="Arial" w:cs="Arial"/>
                <w:sz w:val="20"/>
                <w:szCs w:val="20"/>
                <w:lang w:val="ro-RO"/>
              </w:rPr>
              <w:t>Răşinoase</w:t>
            </w:r>
          </w:p>
        </w:tc>
        <w:tc>
          <w:tcPr>
            <w:tcW w:w="113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0,4</w:t>
            </w:r>
          </w:p>
        </w:tc>
        <w:tc>
          <w:tcPr>
            <w:tcW w:w="85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1,0</w:t>
            </w:r>
          </w:p>
        </w:tc>
        <w:tc>
          <w:tcPr>
            <w:tcW w:w="850"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3,8</w:t>
            </w:r>
          </w:p>
        </w:tc>
        <w:tc>
          <w:tcPr>
            <w:tcW w:w="85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2,7</w:t>
            </w:r>
          </w:p>
        </w:tc>
        <w:tc>
          <w:tcPr>
            <w:tcW w:w="833"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0,1</w:t>
            </w:r>
          </w:p>
        </w:tc>
      </w:tr>
      <w:tr w:rsidR="00BD3349" w:rsidRPr="00BD3349" w:rsidTr="002403BF">
        <w:trPr>
          <w:trHeight w:val="145"/>
        </w:trPr>
        <w:tc>
          <w:tcPr>
            <w:tcW w:w="567" w:type="dxa"/>
            <w:vMerge/>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eastAsia="SimSun" w:hAnsi="Arial" w:cs="Arial"/>
                <w:b/>
                <w:sz w:val="20"/>
                <w:szCs w:val="20"/>
                <w:lang w:val="ro-RO"/>
              </w:rPr>
            </w:pPr>
          </w:p>
        </w:tc>
        <w:tc>
          <w:tcPr>
            <w:tcW w:w="3827"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both"/>
              <w:rPr>
                <w:rFonts w:ascii="Arial" w:eastAsia="Times New Roman" w:hAnsi="Arial" w:cs="Arial"/>
                <w:sz w:val="20"/>
                <w:szCs w:val="20"/>
                <w:lang w:val="ro-RO"/>
              </w:rPr>
            </w:pPr>
            <w:r w:rsidRPr="00BD3349">
              <w:rPr>
                <w:rFonts w:ascii="Arial" w:eastAsia="Times New Roman" w:hAnsi="Arial" w:cs="Arial"/>
                <w:sz w:val="20"/>
                <w:szCs w:val="20"/>
                <w:lang w:val="ro-RO"/>
              </w:rPr>
              <w:t>Fag</w:t>
            </w:r>
          </w:p>
        </w:tc>
        <w:tc>
          <w:tcPr>
            <w:tcW w:w="113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22,4</w:t>
            </w:r>
          </w:p>
        </w:tc>
        <w:tc>
          <w:tcPr>
            <w:tcW w:w="85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18,3</w:t>
            </w:r>
          </w:p>
        </w:tc>
        <w:tc>
          <w:tcPr>
            <w:tcW w:w="850"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17,3</w:t>
            </w:r>
          </w:p>
        </w:tc>
        <w:tc>
          <w:tcPr>
            <w:tcW w:w="85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13,8</w:t>
            </w:r>
          </w:p>
        </w:tc>
        <w:tc>
          <w:tcPr>
            <w:tcW w:w="833"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15,9</w:t>
            </w:r>
          </w:p>
        </w:tc>
      </w:tr>
      <w:tr w:rsidR="00BD3349" w:rsidRPr="00BD3349" w:rsidTr="002403BF">
        <w:trPr>
          <w:trHeight w:val="145"/>
        </w:trPr>
        <w:tc>
          <w:tcPr>
            <w:tcW w:w="567" w:type="dxa"/>
            <w:vMerge/>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eastAsia="SimSun" w:hAnsi="Arial" w:cs="Arial"/>
                <w:b/>
                <w:sz w:val="20"/>
                <w:szCs w:val="20"/>
                <w:lang w:val="ro-RO"/>
              </w:rPr>
            </w:pPr>
          </w:p>
        </w:tc>
        <w:tc>
          <w:tcPr>
            <w:tcW w:w="3827"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both"/>
              <w:rPr>
                <w:rFonts w:ascii="Arial" w:eastAsia="Times New Roman" w:hAnsi="Arial" w:cs="Arial"/>
                <w:sz w:val="20"/>
                <w:szCs w:val="20"/>
                <w:lang w:val="ro-RO"/>
              </w:rPr>
            </w:pPr>
            <w:r w:rsidRPr="00BD3349">
              <w:rPr>
                <w:rFonts w:ascii="Arial" w:eastAsia="Times New Roman" w:hAnsi="Arial" w:cs="Arial"/>
                <w:sz w:val="20"/>
                <w:szCs w:val="20"/>
                <w:lang w:val="ro-RO"/>
              </w:rPr>
              <w:t>Stejar</w:t>
            </w:r>
          </w:p>
        </w:tc>
        <w:tc>
          <w:tcPr>
            <w:tcW w:w="113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20,9</w:t>
            </w:r>
          </w:p>
        </w:tc>
        <w:tc>
          <w:tcPr>
            <w:tcW w:w="85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20,1</w:t>
            </w:r>
          </w:p>
        </w:tc>
        <w:tc>
          <w:tcPr>
            <w:tcW w:w="850"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18,9</w:t>
            </w:r>
          </w:p>
        </w:tc>
        <w:tc>
          <w:tcPr>
            <w:tcW w:w="85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18,4</w:t>
            </w:r>
          </w:p>
        </w:tc>
        <w:tc>
          <w:tcPr>
            <w:tcW w:w="833"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15,07</w:t>
            </w:r>
          </w:p>
        </w:tc>
      </w:tr>
      <w:tr w:rsidR="00BD3349" w:rsidRPr="00BD3349" w:rsidTr="002403BF">
        <w:trPr>
          <w:trHeight w:val="145"/>
        </w:trPr>
        <w:tc>
          <w:tcPr>
            <w:tcW w:w="567" w:type="dxa"/>
            <w:vMerge/>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eastAsia="SimSun" w:hAnsi="Arial" w:cs="Arial"/>
                <w:b/>
                <w:sz w:val="20"/>
                <w:szCs w:val="20"/>
                <w:lang w:val="ro-RO"/>
              </w:rPr>
            </w:pPr>
          </w:p>
        </w:tc>
        <w:tc>
          <w:tcPr>
            <w:tcW w:w="3827"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both"/>
              <w:rPr>
                <w:rFonts w:ascii="Arial" w:eastAsia="Times New Roman" w:hAnsi="Arial" w:cs="Arial"/>
                <w:sz w:val="20"/>
                <w:szCs w:val="20"/>
                <w:lang w:val="ro-RO"/>
              </w:rPr>
            </w:pPr>
            <w:r w:rsidRPr="00BD3349">
              <w:rPr>
                <w:rFonts w:ascii="Arial" w:eastAsia="Times New Roman" w:hAnsi="Arial" w:cs="Arial"/>
                <w:sz w:val="20"/>
                <w:szCs w:val="20"/>
                <w:lang w:val="ro-RO"/>
              </w:rPr>
              <w:t>Diverse specii tari</w:t>
            </w:r>
          </w:p>
        </w:tc>
        <w:tc>
          <w:tcPr>
            <w:tcW w:w="113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71.2</w:t>
            </w:r>
          </w:p>
        </w:tc>
        <w:tc>
          <w:tcPr>
            <w:tcW w:w="85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70,5</w:t>
            </w:r>
          </w:p>
        </w:tc>
        <w:tc>
          <w:tcPr>
            <w:tcW w:w="850"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60,9</w:t>
            </w:r>
          </w:p>
        </w:tc>
        <w:tc>
          <w:tcPr>
            <w:tcW w:w="85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68,3</w:t>
            </w:r>
          </w:p>
        </w:tc>
        <w:tc>
          <w:tcPr>
            <w:tcW w:w="833"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68</w:t>
            </w:r>
          </w:p>
        </w:tc>
      </w:tr>
      <w:tr w:rsidR="00BD3349" w:rsidRPr="00BD3349" w:rsidTr="002403BF">
        <w:trPr>
          <w:trHeight w:val="145"/>
        </w:trPr>
        <w:tc>
          <w:tcPr>
            <w:tcW w:w="567" w:type="dxa"/>
            <w:vMerge/>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eastAsia="SimSun" w:hAnsi="Arial" w:cs="Arial"/>
                <w:b/>
                <w:sz w:val="20"/>
                <w:szCs w:val="20"/>
                <w:lang w:val="ro-RO"/>
              </w:rPr>
            </w:pPr>
          </w:p>
        </w:tc>
        <w:tc>
          <w:tcPr>
            <w:tcW w:w="3827"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both"/>
              <w:rPr>
                <w:rFonts w:ascii="Arial" w:eastAsia="Times New Roman" w:hAnsi="Arial" w:cs="Arial"/>
                <w:sz w:val="20"/>
                <w:szCs w:val="20"/>
                <w:lang w:val="ro-RO"/>
              </w:rPr>
            </w:pPr>
            <w:r w:rsidRPr="00BD3349">
              <w:rPr>
                <w:rFonts w:ascii="Arial" w:eastAsia="Times New Roman" w:hAnsi="Arial" w:cs="Arial"/>
                <w:sz w:val="20"/>
                <w:szCs w:val="20"/>
                <w:lang w:val="ro-RO"/>
              </w:rPr>
              <w:t>Diverse specii moi</w:t>
            </w:r>
          </w:p>
        </w:tc>
        <w:tc>
          <w:tcPr>
            <w:tcW w:w="113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48,2</w:t>
            </w:r>
          </w:p>
        </w:tc>
        <w:tc>
          <w:tcPr>
            <w:tcW w:w="85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55,4</w:t>
            </w:r>
          </w:p>
        </w:tc>
        <w:tc>
          <w:tcPr>
            <w:tcW w:w="850"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57,1</w:t>
            </w:r>
          </w:p>
        </w:tc>
        <w:tc>
          <w:tcPr>
            <w:tcW w:w="85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54,2</w:t>
            </w:r>
          </w:p>
        </w:tc>
        <w:tc>
          <w:tcPr>
            <w:tcW w:w="833"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sz w:val="20"/>
                <w:szCs w:val="20"/>
                <w:lang w:val="ro-RO"/>
              </w:rPr>
            </w:pPr>
            <w:r w:rsidRPr="00BD3349">
              <w:rPr>
                <w:rFonts w:ascii="Arial" w:eastAsia="Times New Roman" w:hAnsi="Arial" w:cs="Arial"/>
                <w:sz w:val="20"/>
                <w:szCs w:val="20"/>
                <w:lang w:val="ro-RO"/>
              </w:rPr>
              <w:t>52,9</w:t>
            </w:r>
          </w:p>
        </w:tc>
      </w:tr>
      <w:tr w:rsidR="00BD3349" w:rsidRPr="00BD3349" w:rsidTr="002403BF">
        <w:trPr>
          <w:trHeight w:val="70"/>
        </w:trPr>
        <w:tc>
          <w:tcPr>
            <w:tcW w:w="4394" w:type="dxa"/>
            <w:gridSpan w:val="2"/>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rPr>
                <w:rFonts w:ascii="Arial" w:eastAsia="Times New Roman" w:hAnsi="Arial" w:cs="Arial"/>
                <w:b/>
                <w:sz w:val="20"/>
                <w:szCs w:val="20"/>
                <w:lang w:val="ro-RO"/>
              </w:rPr>
            </w:pPr>
            <w:r w:rsidRPr="00BD3349">
              <w:rPr>
                <w:rFonts w:ascii="Arial" w:eastAsia="Times New Roman" w:hAnsi="Arial" w:cs="Arial"/>
                <w:b/>
                <w:sz w:val="20"/>
                <w:szCs w:val="20"/>
                <w:lang w:val="ro-RO"/>
              </w:rPr>
              <w:t>Volum total de masă lemnoasă recoltat</w:t>
            </w:r>
          </w:p>
        </w:tc>
        <w:tc>
          <w:tcPr>
            <w:tcW w:w="113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b/>
                <w:sz w:val="20"/>
                <w:szCs w:val="20"/>
                <w:lang w:val="ro-RO"/>
              </w:rPr>
            </w:pPr>
            <w:r w:rsidRPr="00BD3349">
              <w:rPr>
                <w:rFonts w:ascii="Arial" w:eastAsia="Times New Roman" w:hAnsi="Arial" w:cs="Arial"/>
                <w:b/>
                <w:sz w:val="20"/>
                <w:szCs w:val="20"/>
                <w:lang w:val="ro-RO"/>
              </w:rPr>
              <w:t>163,1</w:t>
            </w:r>
          </w:p>
        </w:tc>
        <w:tc>
          <w:tcPr>
            <w:tcW w:w="85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b/>
                <w:sz w:val="20"/>
                <w:szCs w:val="20"/>
                <w:lang w:val="ro-RO"/>
              </w:rPr>
            </w:pPr>
            <w:r w:rsidRPr="00BD3349">
              <w:rPr>
                <w:rFonts w:ascii="Arial" w:eastAsia="Times New Roman" w:hAnsi="Arial" w:cs="Arial"/>
                <w:b/>
                <w:sz w:val="20"/>
                <w:szCs w:val="20"/>
                <w:lang w:val="ro-RO"/>
              </w:rPr>
              <w:t>165,3</w:t>
            </w:r>
          </w:p>
        </w:tc>
        <w:tc>
          <w:tcPr>
            <w:tcW w:w="850"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b/>
                <w:sz w:val="20"/>
                <w:szCs w:val="20"/>
                <w:lang w:val="ro-RO"/>
              </w:rPr>
            </w:pPr>
            <w:r w:rsidRPr="00BD3349">
              <w:rPr>
                <w:rFonts w:ascii="Arial" w:eastAsia="Times New Roman" w:hAnsi="Arial" w:cs="Arial"/>
                <w:b/>
                <w:sz w:val="20"/>
                <w:szCs w:val="20"/>
                <w:lang w:val="ro-RO"/>
              </w:rPr>
              <w:t>158,0</w:t>
            </w:r>
          </w:p>
        </w:tc>
        <w:tc>
          <w:tcPr>
            <w:tcW w:w="851"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b/>
                <w:sz w:val="20"/>
                <w:szCs w:val="20"/>
                <w:lang w:val="ro-RO"/>
              </w:rPr>
            </w:pPr>
            <w:r w:rsidRPr="00BD3349">
              <w:rPr>
                <w:rFonts w:ascii="Arial" w:eastAsia="Times New Roman" w:hAnsi="Arial" w:cs="Arial"/>
                <w:b/>
                <w:sz w:val="20"/>
                <w:szCs w:val="20"/>
                <w:lang w:val="ro-RO"/>
              </w:rPr>
              <w:t>157,4</w:t>
            </w:r>
          </w:p>
        </w:tc>
        <w:tc>
          <w:tcPr>
            <w:tcW w:w="833"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rPr>
                <w:rFonts w:ascii="Arial" w:eastAsia="Times New Roman" w:hAnsi="Arial" w:cs="Arial"/>
                <w:b/>
                <w:sz w:val="20"/>
                <w:szCs w:val="20"/>
                <w:lang w:val="ro-RO"/>
              </w:rPr>
            </w:pPr>
            <w:r w:rsidRPr="00BD3349">
              <w:rPr>
                <w:rFonts w:ascii="Arial" w:eastAsia="Times New Roman" w:hAnsi="Arial" w:cs="Arial"/>
                <w:b/>
                <w:sz w:val="20"/>
                <w:szCs w:val="20"/>
                <w:lang w:val="ro-RO"/>
              </w:rPr>
              <w:t>151,97</w:t>
            </w:r>
          </w:p>
        </w:tc>
      </w:tr>
    </w:tbl>
    <w:p w:rsidR="00BD3349" w:rsidRPr="00BD3349" w:rsidRDefault="00BD3349" w:rsidP="00BD3349">
      <w:pPr>
        <w:spacing w:after="0" w:line="240" w:lineRule="auto"/>
        <w:ind w:right="-235"/>
        <w:jc w:val="both"/>
        <w:rPr>
          <w:rFonts w:ascii="Arial" w:eastAsia="SimSun" w:hAnsi="Arial" w:cs="Arial"/>
          <w:i/>
          <w:sz w:val="20"/>
          <w:szCs w:val="20"/>
          <w:lang w:val="ro-RO"/>
        </w:rPr>
      </w:pPr>
      <w:r w:rsidRPr="00BD3349">
        <w:rPr>
          <w:rFonts w:ascii="Arial" w:eastAsia="SimSun" w:hAnsi="Arial" w:cs="Arial"/>
          <w:b/>
          <w:i/>
          <w:sz w:val="20"/>
          <w:szCs w:val="20"/>
          <w:lang w:val="ro-RO"/>
        </w:rPr>
        <w:t xml:space="preserve"> *Notă- </w:t>
      </w:r>
      <w:r w:rsidR="00B635CB">
        <w:rPr>
          <w:rFonts w:ascii="Arial" w:eastAsia="SimSun" w:hAnsi="Arial" w:cs="Arial"/>
          <w:i/>
          <w:sz w:val="20"/>
          <w:szCs w:val="20"/>
          <w:lang w:val="ro-RO"/>
        </w:rPr>
        <w:t>Informaţii oferite</w:t>
      </w:r>
      <w:r w:rsidRPr="00BD3349">
        <w:rPr>
          <w:rFonts w:ascii="Arial" w:eastAsia="SimSun" w:hAnsi="Arial" w:cs="Arial"/>
          <w:i/>
          <w:sz w:val="20"/>
          <w:szCs w:val="20"/>
          <w:lang w:val="ro-RO"/>
        </w:rPr>
        <w:t xml:space="preserve"> de Direcţia Silvică Vaslui, Direcţia Silvică Iaşi şi Ocolul Silvic Griviţa pentru fondul forestier din judeţul Vaslui. </w:t>
      </w:r>
    </w:p>
    <w:p w:rsidR="00BD3349" w:rsidRPr="00BD3349" w:rsidRDefault="00BD3349" w:rsidP="00BD3349">
      <w:pPr>
        <w:spacing w:after="0" w:line="240" w:lineRule="auto"/>
        <w:ind w:left="357"/>
        <w:jc w:val="both"/>
        <w:rPr>
          <w:rFonts w:ascii="Arial" w:eastAsia="SimSun" w:hAnsi="Arial" w:cs="Arial"/>
          <w:b/>
          <w:sz w:val="20"/>
          <w:szCs w:val="20"/>
          <w:lang w:val="ro-RO"/>
        </w:rPr>
      </w:pPr>
    </w:p>
    <w:p w:rsidR="00BD3349" w:rsidRPr="00BD3349" w:rsidRDefault="00BD3349" w:rsidP="00BD3349">
      <w:pPr>
        <w:tabs>
          <w:tab w:val="left" w:pos="1276"/>
        </w:tabs>
        <w:spacing w:after="0" w:line="240" w:lineRule="auto"/>
        <w:jc w:val="both"/>
        <w:rPr>
          <w:rFonts w:ascii="Arial" w:eastAsia="SimSun" w:hAnsi="Arial" w:cs="Arial"/>
          <w:sz w:val="24"/>
          <w:szCs w:val="24"/>
          <w:lang w:val="en-GB"/>
        </w:rPr>
      </w:pPr>
      <w:r w:rsidRPr="00BD3349">
        <w:rPr>
          <w:rFonts w:ascii="Arial" w:eastAsia="SimSun" w:hAnsi="Arial" w:cs="Arial"/>
          <w:sz w:val="24"/>
          <w:szCs w:val="24"/>
          <w:lang w:val="en-GB"/>
        </w:rPr>
        <w:t>Figura VI.6. Evoluţia volumului de masă le</w:t>
      </w:r>
      <w:r w:rsidR="00B635CB">
        <w:rPr>
          <w:rFonts w:ascii="Arial" w:eastAsia="SimSun" w:hAnsi="Arial" w:cs="Arial"/>
          <w:sz w:val="24"/>
          <w:szCs w:val="24"/>
          <w:lang w:val="en-GB"/>
        </w:rPr>
        <w:t>mnoasă recoltat în perioada 2011</w:t>
      </w:r>
      <w:r w:rsidRPr="00BD3349">
        <w:rPr>
          <w:rFonts w:ascii="Arial" w:eastAsia="SimSun" w:hAnsi="Arial" w:cs="Arial"/>
          <w:sz w:val="24"/>
          <w:szCs w:val="24"/>
          <w:lang w:val="en-GB"/>
        </w:rPr>
        <w:t>-201</w:t>
      </w:r>
      <w:r w:rsidR="00B635CB">
        <w:rPr>
          <w:rFonts w:ascii="Arial" w:eastAsia="SimSun" w:hAnsi="Arial" w:cs="Arial"/>
          <w:sz w:val="24"/>
          <w:szCs w:val="24"/>
          <w:lang w:val="en-GB"/>
        </w:rPr>
        <w:t>5</w:t>
      </w:r>
      <w:r w:rsidRPr="00BD3349">
        <w:rPr>
          <w:rFonts w:ascii="Arial" w:eastAsia="SimSun" w:hAnsi="Arial" w:cs="Arial"/>
          <w:sz w:val="24"/>
          <w:szCs w:val="24"/>
          <w:lang w:val="en-GB"/>
        </w:rPr>
        <w:t xml:space="preserve">, pe principalele specii, la nivelul judeţului Vaslui </w:t>
      </w:r>
    </w:p>
    <w:p w:rsidR="00BD3349" w:rsidRPr="00BD3349" w:rsidRDefault="00BD3349" w:rsidP="00BD3349">
      <w:pPr>
        <w:tabs>
          <w:tab w:val="left" w:pos="1276"/>
        </w:tabs>
        <w:spacing w:after="0" w:line="240" w:lineRule="auto"/>
        <w:rPr>
          <w:rFonts w:ascii="Arial" w:eastAsia="SimSun" w:hAnsi="Arial" w:cs="Arial"/>
          <w:sz w:val="24"/>
          <w:szCs w:val="24"/>
          <w:lang w:val="en-GB"/>
        </w:rPr>
      </w:pPr>
    </w:p>
    <w:p w:rsidR="00BD3349" w:rsidRPr="00BD3349" w:rsidRDefault="00BD3349" w:rsidP="00BD3349">
      <w:pPr>
        <w:tabs>
          <w:tab w:val="left" w:pos="1276"/>
        </w:tabs>
        <w:spacing w:after="0" w:line="240" w:lineRule="auto"/>
        <w:rPr>
          <w:rFonts w:ascii="Arial" w:eastAsia="SimSun" w:hAnsi="Arial" w:cs="Arial"/>
          <w:sz w:val="24"/>
          <w:szCs w:val="24"/>
          <w:lang w:val="en-GB"/>
        </w:rPr>
      </w:pPr>
      <w:r w:rsidRPr="00BD3349">
        <w:rPr>
          <w:rFonts w:ascii="Arial" w:eastAsia="SimSun" w:hAnsi="Arial" w:cs="Arial"/>
          <w:noProof/>
          <w:sz w:val="24"/>
          <w:szCs w:val="24"/>
        </w:rPr>
        <w:drawing>
          <wp:inline distT="0" distB="0" distL="0" distR="0" wp14:anchorId="6FA652E6" wp14:editId="5AC7395D">
            <wp:extent cx="6000750" cy="1685925"/>
            <wp:effectExtent l="0" t="0" r="0" b="0"/>
            <wp:docPr id="230" name="Chart 2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B635CB" w:rsidRDefault="00BD3349" w:rsidP="00BD3349">
      <w:pPr>
        <w:spacing w:after="0" w:line="240" w:lineRule="auto"/>
        <w:ind w:right="-235"/>
        <w:jc w:val="both"/>
        <w:rPr>
          <w:rFonts w:ascii="Arial" w:eastAsia="SimSun" w:hAnsi="Arial" w:cs="Arial"/>
          <w:sz w:val="24"/>
          <w:szCs w:val="24"/>
          <w:lang w:val="ro-RO"/>
        </w:rPr>
      </w:pPr>
      <w:r w:rsidRPr="00BD3349">
        <w:rPr>
          <w:rFonts w:ascii="Arial" w:eastAsia="SimSun" w:hAnsi="Arial" w:cs="Arial"/>
          <w:sz w:val="24"/>
          <w:szCs w:val="24"/>
          <w:lang w:val="ro-RO"/>
        </w:rPr>
        <w:t xml:space="preserve">    </w:t>
      </w:r>
    </w:p>
    <w:p w:rsidR="00BD3349" w:rsidRPr="00BD3349" w:rsidRDefault="00BD3349" w:rsidP="00BD3349">
      <w:pPr>
        <w:spacing w:after="0" w:line="240" w:lineRule="auto"/>
        <w:ind w:right="-235"/>
        <w:jc w:val="both"/>
        <w:rPr>
          <w:rFonts w:ascii="Arial" w:eastAsia="SimSun" w:hAnsi="Arial" w:cs="Arial"/>
          <w:sz w:val="24"/>
          <w:szCs w:val="24"/>
          <w:lang w:val="ro-RO"/>
        </w:rPr>
      </w:pPr>
      <w:r w:rsidRPr="00BD3349">
        <w:rPr>
          <w:rFonts w:ascii="Arial" w:eastAsia="SimSun" w:hAnsi="Arial" w:cs="Arial"/>
          <w:sz w:val="24"/>
          <w:szCs w:val="24"/>
          <w:lang w:val="ro-RO"/>
        </w:rPr>
        <w:lastRenderedPageBreak/>
        <w:t>Tabelul VI.11. Volumul de masă lemnoasă recoltat pe forme de proprietate, în perioada 2011-2015</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685"/>
        <w:gridCol w:w="1134"/>
        <w:gridCol w:w="1134"/>
        <w:gridCol w:w="993"/>
        <w:gridCol w:w="1134"/>
        <w:gridCol w:w="992"/>
      </w:tblGrid>
      <w:tr w:rsidR="00BD3349" w:rsidRPr="00BD3349" w:rsidTr="002403BF">
        <w:trPr>
          <w:trHeight w:val="448"/>
        </w:trPr>
        <w:tc>
          <w:tcPr>
            <w:tcW w:w="567" w:type="dxa"/>
            <w:vMerge w:val="restart"/>
            <w:tcBorders>
              <w:top w:val="single" w:sz="4" w:space="0" w:color="auto"/>
              <w:left w:val="single" w:sz="4" w:space="0" w:color="auto"/>
              <w:bottom w:val="single" w:sz="4" w:space="0" w:color="auto"/>
              <w:right w:val="single" w:sz="4" w:space="0" w:color="auto"/>
            </w:tcBorders>
            <w:textDirection w:val="btLr"/>
          </w:tcPr>
          <w:p w:rsidR="00BD3349" w:rsidRPr="00BD3349" w:rsidRDefault="00BD3349" w:rsidP="00BD3349">
            <w:pPr>
              <w:tabs>
                <w:tab w:val="left" w:pos="2160"/>
                <w:tab w:val="left" w:leader="dot" w:pos="8640"/>
              </w:tabs>
              <w:spacing w:after="0" w:line="240" w:lineRule="auto"/>
              <w:jc w:val="center"/>
              <w:rPr>
                <w:rFonts w:ascii="Arial" w:eastAsia="SimSun" w:hAnsi="Arial" w:cs="Arial"/>
                <w:sz w:val="20"/>
                <w:szCs w:val="20"/>
                <w:lang w:val="ro-RO"/>
              </w:rPr>
            </w:pPr>
            <w:r w:rsidRPr="00BD3349">
              <w:rPr>
                <w:rFonts w:ascii="Arial" w:eastAsia="SimSun" w:hAnsi="Arial" w:cs="Arial"/>
                <w:b/>
                <w:sz w:val="20"/>
                <w:szCs w:val="20"/>
                <w:lang w:val="ro-RO"/>
              </w:rPr>
              <w:t>Judeţ ul Vaslui</w:t>
            </w:r>
          </w:p>
        </w:tc>
        <w:tc>
          <w:tcPr>
            <w:tcW w:w="3685" w:type="dxa"/>
            <w:vMerge w:val="restart"/>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b/>
                <w:sz w:val="20"/>
                <w:szCs w:val="20"/>
                <w:lang w:val="ro-RO"/>
              </w:rPr>
            </w:pPr>
            <w:r w:rsidRPr="00BD3349">
              <w:rPr>
                <w:rFonts w:ascii="Arial" w:eastAsia="SimSun" w:hAnsi="Arial" w:cs="Arial"/>
                <w:b/>
                <w:sz w:val="20"/>
                <w:szCs w:val="20"/>
                <w:lang w:val="ro-RO"/>
              </w:rPr>
              <w:t>Formă de proprietate a pădurii</w:t>
            </w:r>
          </w:p>
        </w:tc>
        <w:tc>
          <w:tcPr>
            <w:tcW w:w="5387" w:type="dxa"/>
            <w:gridSpan w:val="5"/>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b/>
                <w:sz w:val="20"/>
                <w:szCs w:val="20"/>
                <w:lang w:val="ro-RO"/>
              </w:rPr>
            </w:pPr>
            <w:r w:rsidRPr="00BD3349">
              <w:rPr>
                <w:rFonts w:ascii="Arial" w:eastAsia="SimSun" w:hAnsi="Arial" w:cs="Arial"/>
                <w:b/>
                <w:sz w:val="20"/>
                <w:szCs w:val="20"/>
                <w:lang w:val="ro-RO"/>
              </w:rPr>
              <w:t xml:space="preserve">Volum de masă lemnoasă recoltat </w:t>
            </w:r>
          </w:p>
          <w:p w:rsidR="00BD3349" w:rsidRPr="00BD3349" w:rsidRDefault="00BD3349" w:rsidP="00BD3349">
            <w:pPr>
              <w:tabs>
                <w:tab w:val="left" w:pos="2160"/>
                <w:tab w:val="left" w:leader="dot" w:pos="8640"/>
              </w:tabs>
              <w:spacing w:after="0" w:line="240" w:lineRule="auto"/>
              <w:jc w:val="center"/>
              <w:rPr>
                <w:rFonts w:ascii="Arial" w:eastAsia="SimSun" w:hAnsi="Arial" w:cs="Arial"/>
                <w:sz w:val="20"/>
                <w:szCs w:val="20"/>
                <w:lang w:val="ro-RO"/>
              </w:rPr>
            </w:pPr>
            <w:r w:rsidRPr="00BD3349">
              <w:rPr>
                <w:rFonts w:ascii="Arial" w:eastAsia="SimSun" w:hAnsi="Arial" w:cs="Arial"/>
                <w:b/>
                <w:sz w:val="20"/>
                <w:szCs w:val="20"/>
                <w:lang w:val="ro-RO"/>
              </w:rPr>
              <w:t>(mii metri cubi</w:t>
            </w:r>
            <w:r w:rsidRPr="00BD3349">
              <w:rPr>
                <w:rFonts w:ascii="Arial" w:eastAsia="SimSun" w:hAnsi="Arial" w:cs="Arial"/>
                <w:b/>
                <w:sz w:val="20"/>
                <w:szCs w:val="20"/>
                <w:lang w:val="ro-RO"/>
              </w:rPr>
              <w:softHyphen/>
              <w:t xml:space="preserve"> </w:t>
            </w:r>
            <w:r w:rsidRPr="00BD3349">
              <w:rPr>
                <w:rFonts w:ascii="Arial" w:eastAsia="SimSun" w:hAnsi="Arial" w:cs="Arial"/>
                <w:b/>
                <w:sz w:val="20"/>
                <w:szCs w:val="20"/>
                <w:lang w:val="ro-RO"/>
              </w:rPr>
              <w:softHyphen/>
              <w:t>– volum brut)</w:t>
            </w:r>
          </w:p>
        </w:tc>
      </w:tr>
      <w:tr w:rsidR="00BD3349" w:rsidRPr="00BD3349" w:rsidTr="002403BF">
        <w:trPr>
          <w:trHeight w:val="312"/>
        </w:trPr>
        <w:tc>
          <w:tcPr>
            <w:tcW w:w="567" w:type="dxa"/>
            <w:vMerge/>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eastAsia="SimSun" w:hAnsi="Arial" w:cs="Arial"/>
                <w:sz w:val="20"/>
                <w:szCs w:val="20"/>
                <w:lang w:val="ro-RO"/>
              </w:rPr>
            </w:pPr>
          </w:p>
        </w:tc>
        <w:tc>
          <w:tcPr>
            <w:tcW w:w="3685" w:type="dxa"/>
            <w:vMerge/>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eastAsia="SimSun" w:hAnsi="Arial" w:cs="Arial"/>
                <w:b/>
                <w:sz w:val="20"/>
                <w:szCs w:val="20"/>
                <w:lang w:val="ro-RO"/>
              </w:rPr>
            </w:pPr>
          </w:p>
        </w:tc>
        <w:tc>
          <w:tcPr>
            <w:tcW w:w="113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b/>
                <w:sz w:val="20"/>
                <w:szCs w:val="20"/>
                <w:lang w:val="ro-RO"/>
              </w:rPr>
            </w:pPr>
            <w:r w:rsidRPr="00BD3349">
              <w:rPr>
                <w:rFonts w:ascii="Arial" w:eastAsia="Times New Roman" w:hAnsi="Arial" w:cs="Arial"/>
                <w:b/>
                <w:sz w:val="20"/>
                <w:szCs w:val="20"/>
                <w:lang w:val="ro-RO"/>
              </w:rPr>
              <w:t>2011</w:t>
            </w:r>
          </w:p>
        </w:tc>
        <w:tc>
          <w:tcPr>
            <w:tcW w:w="113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b/>
                <w:sz w:val="20"/>
                <w:szCs w:val="20"/>
                <w:lang w:val="ro-RO"/>
              </w:rPr>
            </w:pPr>
            <w:r w:rsidRPr="00BD3349">
              <w:rPr>
                <w:rFonts w:ascii="Arial" w:eastAsia="Times New Roman" w:hAnsi="Arial" w:cs="Arial"/>
                <w:b/>
                <w:sz w:val="20"/>
                <w:szCs w:val="20"/>
                <w:lang w:val="ro-RO"/>
              </w:rPr>
              <w:t>2012</w:t>
            </w:r>
          </w:p>
        </w:tc>
        <w:tc>
          <w:tcPr>
            <w:tcW w:w="993"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b/>
                <w:sz w:val="20"/>
                <w:szCs w:val="20"/>
                <w:lang w:val="ro-RO"/>
              </w:rPr>
            </w:pPr>
            <w:r w:rsidRPr="00BD3349">
              <w:rPr>
                <w:rFonts w:ascii="Arial" w:eastAsia="Times New Roman" w:hAnsi="Arial" w:cs="Arial"/>
                <w:b/>
                <w:sz w:val="20"/>
                <w:szCs w:val="20"/>
                <w:lang w:val="ro-RO"/>
              </w:rPr>
              <w:t>2013</w:t>
            </w:r>
          </w:p>
        </w:tc>
        <w:tc>
          <w:tcPr>
            <w:tcW w:w="113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b/>
                <w:sz w:val="20"/>
                <w:szCs w:val="20"/>
                <w:lang w:val="ro-RO"/>
              </w:rPr>
            </w:pPr>
            <w:r w:rsidRPr="00BD3349">
              <w:rPr>
                <w:rFonts w:ascii="Arial" w:eastAsia="Times New Roman" w:hAnsi="Arial" w:cs="Arial"/>
                <w:b/>
                <w:sz w:val="20"/>
                <w:szCs w:val="20"/>
                <w:lang w:val="ro-RO"/>
              </w:rPr>
              <w:t>2014</w:t>
            </w:r>
          </w:p>
        </w:tc>
        <w:tc>
          <w:tcPr>
            <w:tcW w:w="992"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720"/>
                <w:tab w:val="center" w:pos="4703"/>
                <w:tab w:val="right" w:pos="9406"/>
              </w:tabs>
              <w:spacing w:after="0" w:line="240" w:lineRule="auto"/>
              <w:jc w:val="center"/>
              <w:rPr>
                <w:rFonts w:ascii="Arial" w:eastAsia="Times New Roman" w:hAnsi="Arial" w:cs="Arial"/>
                <w:b/>
                <w:sz w:val="20"/>
                <w:szCs w:val="20"/>
                <w:lang w:val="ro-RO"/>
              </w:rPr>
            </w:pPr>
            <w:r w:rsidRPr="00BD3349">
              <w:rPr>
                <w:rFonts w:ascii="Arial" w:eastAsia="Times New Roman" w:hAnsi="Arial" w:cs="Arial"/>
                <w:b/>
                <w:sz w:val="20"/>
                <w:szCs w:val="20"/>
                <w:lang w:val="ro-RO"/>
              </w:rPr>
              <w:t>2015</w:t>
            </w:r>
          </w:p>
        </w:tc>
      </w:tr>
      <w:tr w:rsidR="00BD3349" w:rsidRPr="00BD3349" w:rsidTr="002403BF">
        <w:trPr>
          <w:trHeight w:val="70"/>
        </w:trPr>
        <w:tc>
          <w:tcPr>
            <w:tcW w:w="567" w:type="dxa"/>
            <w:vMerge/>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eastAsia="SimSun" w:hAnsi="Arial" w:cs="Arial"/>
                <w:sz w:val="20"/>
                <w:szCs w:val="20"/>
                <w:lang w:val="ro-RO"/>
              </w:rPr>
            </w:pPr>
          </w:p>
        </w:tc>
        <w:tc>
          <w:tcPr>
            <w:tcW w:w="3685"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rPr>
                <w:rFonts w:ascii="Arial" w:eastAsia="SimSun" w:hAnsi="Arial" w:cs="Arial"/>
                <w:sz w:val="20"/>
                <w:szCs w:val="20"/>
                <w:lang w:val="ro-RO"/>
              </w:rPr>
            </w:pPr>
            <w:r w:rsidRPr="00BD3349">
              <w:rPr>
                <w:rFonts w:ascii="Arial" w:eastAsia="SimSun" w:hAnsi="Arial" w:cs="Arial"/>
                <w:sz w:val="20"/>
                <w:szCs w:val="20"/>
                <w:lang w:val="ro-RO"/>
              </w:rPr>
              <w:t>Proprietate publică de stat</w:t>
            </w:r>
          </w:p>
        </w:tc>
        <w:tc>
          <w:tcPr>
            <w:tcW w:w="113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20"/>
                <w:szCs w:val="20"/>
                <w:lang w:val="ro-RO"/>
              </w:rPr>
            </w:pPr>
            <w:r w:rsidRPr="00BD3349">
              <w:rPr>
                <w:rFonts w:ascii="Arial" w:eastAsia="SimSun" w:hAnsi="Arial" w:cs="Arial"/>
                <w:sz w:val="20"/>
                <w:szCs w:val="20"/>
                <w:lang w:val="ro-RO"/>
              </w:rPr>
              <w:t>141.3</w:t>
            </w:r>
          </w:p>
        </w:tc>
        <w:tc>
          <w:tcPr>
            <w:tcW w:w="113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20"/>
                <w:szCs w:val="20"/>
                <w:lang w:val="ro-RO"/>
              </w:rPr>
            </w:pPr>
            <w:r w:rsidRPr="00BD3349">
              <w:rPr>
                <w:rFonts w:ascii="Arial" w:eastAsia="SimSun" w:hAnsi="Arial" w:cs="Arial"/>
                <w:sz w:val="20"/>
                <w:szCs w:val="20"/>
                <w:lang w:val="ro-RO"/>
              </w:rPr>
              <w:t>143,4</w:t>
            </w:r>
          </w:p>
        </w:tc>
        <w:tc>
          <w:tcPr>
            <w:tcW w:w="993"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20"/>
                <w:szCs w:val="20"/>
                <w:lang w:val="ro-RO"/>
              </w:rPr>
            </w:pPr>
            <w:r w:rsidRPr="00BD3349">
              <w:rPr>
                <w:rFonts w:ascii="Arial" w:eastAsia="SimSun" w:hAnsi="Arial" w:cs="Arial"/>
                <w:sz w:val="20"/>
                <w:szCs w:val="20"/>
                <w:lang w:val="ro-RO"/>
              </w:rPr>
              <w:t>139,9</w:t>
            </w:r>
          </w:p>
        </w:tc>
        <w:tc>
          <w:tcPr>
            <w:tcW w:w="113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20"/>
                <w:szCs w:val="20"/>
                <w:lang w:val="ro-RO"/>
              </w:rPr>
            </w:pPr>
            <w:r w:rsidRPr="00BD3349">
              <w:rPr>
                <w:rFonts w:ascii="Arial" w:eastAsia="SimSun" w:hAnsi="Arial" w:cs="Arial"/>
                <w:sz w:val="20"/>
                <w:szCs w:val="20"/>
                <w:lang w:val="ro-RO"/>
              </w:rPr>
              <w:t>138,1</w:t>
            </w:r>
          </w:p>
        </w:tc>
        <w:tc>
          <w:tcPr>
            <w:tcW w:w="992"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20"/>
                <w:szCs w:val="20"/>
                <w:lang w:val="ro-RO"/>
              </w:rPr>
            </w:pPr>
            <w:r w:rsidRPr="00BD3349">
              <w:rPr>
                <w:rFonts w:ascii="Arial" w:eastAsia="SimSun" w:hAnsi="Arial" w:cs="Arial"/>
                <w:sz w:val="20"/>
                <w:szCs w:val="20"/>
                <w:lang w:val="ro-RO"/>
              </w:rPr>
              <w:t>140,47</w:t>
            </w:r>
          </w:p>
        </w:tc>
      </w:tr>
      <w:tr w:rsidR="00BD3349" w:rsidRPr="00BD3349" w:rsidTr="002403BF">
        <w:trPr>
          <w:trHeight w:val="116"/>
        </w:trPr>
        <w:tc>
          <w:tcPr>
            <w:tcW w:w="567" w:type="dxa"/>
            <w:vMerge/>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eastAsia="SimSun" w:hAnsi="Arial" w:cs="Arial"/>
                <w:sz w:val="20"/>
                <w:szCs w:val="20"/>
                <w:lang w:val="ro-RO"/>
              </w:rPr>
            </w:pPr>
          </w:p>
        </w:tc>
        <w:tc>
          <w:tcPr>
            <w:tcW w:w="3685"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rPr>
                <w:rFonts w:ascii="Arial" w:eastAsia="SimSun" w:hAnsi="Arial" w:cs="Arial"/>
                <w:sz w:val="20"/>
                <w:szCs w:val="20"/>
                <w:lang w:val="ro-RO"/>
              </w:rPr>
            </w:pPr>
            <w:r w:rsidRPr="00BD3349">
              <w:rPr>
                <w:rFonts w:ascii="Arial" w:eastAsia="SimSun" w:hAnsi="Arial" w:cs="Arial"/>
                <w:sz w:val="20"/>
                <w:szCs w:val="20"/>
                <w:lang w:val="ro-RO"/>
              </w:rPr>
              <w:t>Proprietate publică a unităţilor administrativ-teritoriale</w:t>
            </w:r>
          </w:p>
        </w:tc>
        <w:tc>
          <w:tcPr>
            <w:tcW w:w="113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20"/>
                <w:szCs w:val="20"/>
                <w:lang w:val="ro-RO"/>
              </w:rPr>
            </w:pPr>
            <w:r w:rsidRPr="00BD3349">
              <w:rPr>
                <w:rFonts w:ascii="Arial" w:eastAsia="SimSun" w:hAnsi="Arial" w:cs="Arial"/>
                <w:sz w:val="20"/>
                <w:szCs w:val="20"/>
                <w:lang w:val="ro-RO"/>
              </w:rPr>
              <w:t>-</w:t>
            </w:r>
          </w:p>
        </w:tc>
        <w:tc>
          <w:tcPr>
            <w:tcW w:w="113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20"/>
                <w:szCs w:val="20"/>
                <w:lang w:val="ro-RO"/>
              </w:rPr>
            </w:pPr>
            <w:r w:rsidRPr="00BD3349">
              <w:rPr>
                <w:rFonts w:ascii="Arial" w:eastAsia="SimSun" w:hAnsi="Arial" w:cs="Arial"/>
                <w:sz w:val="20"/>
                <w:szCs w:val="20"/>
                <w:lang w:val="ro-RO"/>
              </w:rPr>
              <w:t>0,3</w:t>
            </w:r>
          </w:p>
        </w:tc>
        <w:tc>
          <w:tcPr>
            <w:tcW w:w="993"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20"/>
                <w:szCs w:val="20"/>
                <w:lang w:val="ro-RO"/>
              </w:rPr>
            </w:pPr>
            <w:r w:rsidRPr="00BD3349">
              <w:rPr>
                <w:rFonts w:ascii="Arial" w:eastAsia="SimSun" w:hAnsi="Arial" w:cs="Arial"/>
                <w:sz w:val="20"/>
                <w:szCs w:val="20"/>
                <w:lang w:val="ro-RO"/>
              </w:rPr>
              <w:t>0,2</w:t>
            </w:r>
          </w:p>
        </w:tc>
        <w:tc>
          <w:tcPr>
            <w:tcW w:w="113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20"/>
                <w:szCs w:val="20"/>
                <w:lang w:val="ro-RO"/>
              </w:rPr>
            </w:pPr>
            <w:r w:rsidRPr="00BD3349">
              <w:rPr>
                <w:rFonts w:ascii="Arial" w:eastAsia="SimSun" w:hAnsi="Arial" w:cs="Arial"/>
                <w:sz w:val="20"/>
                <w:szCs w:val="20"/>
                <w:lang w:val="ro-RO"/>
              </w:rPr>
              <w:t>0,3</w:t>
            </w:r>
          </w:p>
        </w:tc>
        <w:tc>
          <w:tcPr>
            <w:tcW w:w="992"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20"/>
                <w:szCs w:val="20"/>
                <w:lang w:val="ro-RO"/>
              </w:rPr>
            </w:pPr>
            <w:r w:rsidRPr="00BD3349">
              <w:rPr>
                <w:rFonts w:ascii="Arial" w:eastAsia="SimSun" w:hAnsi="Arial" w:cs="Arial"/>
                <w:sz w:val="20"/>
                <w:szCs w:val="20"/>
                <w:lang w:val="ro-RO"/>
              </w:rPr>
              <w:t>0</w:t>
            </w:r>
          </w:p>
        </w:tc>
      </w:tr>
      <w:tr w:rsidR="00BD3349" w:rsidRPr="00BD3349" w:rsidTr="002403BF">
        <w:trPr>
          <w:trHeight w:val="70"/>
        </w:trPr>
        <w:tc>
          <w:tcPr>
            <w:tcW w:w="567" w:type="dxa"/>
            <w:vMerge/>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eastAsia="SimSun" w:hAnsi="Arial" w:cs="Arial"/>
                <w:sz w:val="20"/>
                <w:szCs w:val="20"/>
                <w:lang w:val="ro-RO"/>
              </w:rPr>
            </w:pPr>
          </w:p>
        </w:tc>
        <w:tc>
          <w:tcPr>
            <w:tcW w:w="3685"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rPr>
                <w:rFonts w:ascii="Arial" w:eastAsia="SimSun" w:hAnsi="Arial" w:cs="Arial"/>
                <w:sz w:val="20"/>
                <w:szCs w:val="20"/>
                <w:lang w:val="ro-RO"/>
              </w:rPr>
            </w:pPr>
            <w:r w:rsidRPr="00BD3349">
              <w:rPr>
                <w:rFonts w:ascii="Arial" w:eastAsia="SimSun" w:hAnsi="Arial" w:cs="Arial"/>
                <w:sz w:val="20"/>
                <w:szCs w:val="20"/>
                <w:lang w:val="ro-RO"/>
              </w:rPr>
              <w:t>Proprietate privată</w:t>
            </w:r>
          </w:p>
        </w:tc>
        <w:tc>
          <w:tcPr>
            <w:tcW w:w="113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20"/>
                <w:szCs w:val="20"/>
                <w:lang w:val="ro-RO"/>
              </w:rPr>
            </w:pPr>
            <w:r w:rsidRPr="00BD3349">
              <w:rPr>
                <w:rFonts w:ascii="Arial" w:eastAsia="SimSun" w:hAnsi="Arial" w:cs="Arial"/>
                <w:sz w:val="20"/>
                <w:szCs w:val="20"/>
                <w:lang w:val="ro-RO"/>
              </w:rPr>
              <w:t>16,9</w:t>
            </w:r>
          </w:p>
        </w:tc>
        <w:tc>
          <w:tcPr>
            <w:tcW w:w="113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20"/>
                <w:szCs w:val="20"/>
                <w:lang w:val="ro-RO"/>
              </w:rPr>
            </w:pPr>
            <w:r w:rsidRPr="00BD3349">
              <w:rPr>
                <w:rFonts w:ascii="Arial" w:eastAsia="SimSun" w:hAnsi="Arial" w:cs="Arial"/>
                <w:sz w:val="20"/>
                <w:szCs w:val="20"/>
                <w:lang w:val="ro-RO"/>
              </w:rPr>
              <w:t>19,6</w:t>
            </w:r>
          </w:p>
        </w:tc>
        <w:tc>
          <w:tcPr>
            <w:tcW w:w="993"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20"/>
                <w:szCs w:val="20"/>
                <w:lang w:val="ro-RO"/>
              </w:rPr>
            </w:pPr>
            <w:r w:rsidRPr="00BD3349">
              <w:rPr>
                <w:rFonts w:ascii="Arial" w:eastAsia="SimSun" w:hAnsi="Arial" w:cs="Arial"/>
                <w:sz w:val="20"/>
                <w:szCs w:val="20"/>
                <w:lang w:val="ro-RO"/>
              </w:rPr>
              <w:t>13,9</w:t>
            </w:r>
          </w:p>
        </w:tc>
        <w:tc>
          <w:tcPr>
            <w:tcW w:w="113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20"/>
                <w:szCs w:val="20"/>
                <w:lang w:val="ro-RO"/>
              </w:rPr>
            </w:pPr>
            <w:r w:rsidRPr="00BD3349">
              <w:rPr>
                <w:rFonts w:ascii="Arial" w:eastAsia="SimSun" w:hAnsi="Arial" w:cs="Arial"/>
                <w:sz w:val="20"/>
                <w:szCs w:val="20"/>
                <w:lang w:val="ro-RO"/>
              </w:rPr>
              <w:t>9,1</w:t>
            </w:r>
          </w:p>
        </w:tc>
        <w:tc>
          <w:tcPr>
            <w:tcW w:w="992"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20"/>
                <w:szCs w:val="20"/>
                <w:lang w:val="ro-RO"/>
              </w:rPr>
            </w:pPr>
            <w:r w:rsidRPr="00BD3349">
              <w:rPr>
                <w:rFonts w:ascii="Arial" w:eastAsia="SimSun" w:hAnsi="Arial" w:cs="Arial"/>
                <w:sz w:val="20"/>
                <w:szCs w:val="20"/>
                <w:lang w:val="ro-RO"/>
              </w:rPr>
              <w:t>10,6</w:t>
            </w:r>
          </w:p>
        </w:tc>
      </w:tr>
      <w:tr w:rsidR="00BD3349" w:rsidRPr="00BD3349" w:rsidTr="002403BF">
        <w:trPr>
          <w:trHeight w:val="126"/>
        </w:trPr>
        <w:tc>
          <w:tcPr>
            <w:tcW w:w="567" w:type="dxa"/>
            <w:vMerge/>
            <w:tcBorders>
              <w:top w:val="single" w:sz="4" w:space="0" w:color="auto"/>
              <w:left w:val="single" w:sz="4" w:space="0" w:color="auto"/>
              <w:bottom w:val="single" w:sz="4" w:space="0" w:color="auto"/>
              <w:right w:val="single" w:sz="4" w:space="0" w:color="auto"/>
            </w:tcBorders>
            <w:vAlign w:val="center"/>
          </w:tcPr>
          <w:p w:rsidR="00BD3349" w:rsidRPr="00BD3349" w:rsidRDefault="00BD3349" w:rsidP="00BD3349">
            <w:pPr>
              <w:spacing w:after="0" w:line="240" w:lineRule="auto"/>
              <w:rPr>
                <w:rFonts w:ascii="Arial" w:eastAsia="SimSun" w:hAnsi="Arial" w:cs="Arial"/>
                <w:sz w:val="20"/>
                <w:szCs w:val="20"/>
                <w:lang w:val="ro-RO"/>
              </w:rPr>
            </w:pPr>
          </w:p>
        </w:tc>
        <w:tc>
          <w:tcPr>
            <w:tcW w:w="3685"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rPr>
                <w:rFonts w:ascii="Arial" w:eastAsia="SimSun" w:hAnsi="Arial" w:cs="Arial"/>
                <w:sz w:val="20"/>
                <w:szCs w:val="20"/>
                <w:lang w:val="ro-RO"/>
              </w:rPr>
            </w:pPr>
            <w:r w:rsidRPr="00BD3349">
              <w:rPr>
                <w:rFonts w:ascii="Arial" w:eastAsia="SimSun" w:hAnsi="Arial" w:cs="Arial"/>
                <w:sz w:val="20"/>
                <w:szCs w:val="20"/>
                <w:lang w:val="ro-RO"/>
              </w:rPr>
              <w:t>Vegetaţie forestieră situată pe terenuri în afara fondului forestier</w:t>
            </w:r>
          </w:p>
        </w:tc>
        <w:tc>
          <w:tcPr>
            <w:tcW w:w="113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20"/>
                <w:szCs w:val="20"/>
                <w:lang w:val="ro-RO"/>
              </w:rPr>
            </w:pPr>
            <w:r w:rsidRPr="00BD3349">
              <w:rPr>
                <w:rFonts w:ascii="Arial" w:eastAsia="SimSun" w:hAnsi="Arial" w:cs="Arial"/>
                <w:sz w:val="20"/>
                <w:szCs w:val="20"/>
                <w:lang w:val="ro-RO"/>
              </w:rPr>
              <w:t>4,9</w:t>
            </w:r>
          </w:p>
        </w:tc>
        <w:tc>
          <w:tcPr>
            <w:tcW w:w="113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20"/>
                <w:szCs w:val="20"/>
                <w:lang w:val="ro-RO"/>
              </w:rPr>
            </w:pPr>
            <w:r w:rsidRPr="00BD3349">
              <w:rPr>
                <w:rFonts w:ascii="Arial" w:eastAsia="SimSun" w:hAnsi="Arial" w:cs="Arial"/>
                <w:sz w:val="20"/>
                <w:szCs w:val="20"/>
                <w:lang w:val="ro-RO"/>
              </w:rPr>
              <w:t>2,0</w:t>
            </w:r>
          </w:p>
        </w:tc>
        <w:tc>
          <w:tcPr>
            <w:tcW w:w="993"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20"/>
                <w:szCs w:val="20"/>
                <w:lang w:val="ro-RO"/>
              </w:rPr>
            </w:pPr>
            <w:r w:rsidRPr="00BD3349">
              <w:rPr>
                <w:rFonts w:ascii="Arial" w:eastAsia="SimSun" w:hAnsi="Arial" w:cs="Arial"/>
                <w:sz w:val="20"/>
                <w:szCs w:val="20"/>
                <w:lang w:val="ro-RO"/>
              </w:rPr>
              <w:t>4,0</w:t>
            </w:r>
          </w:p>
        </w:tc>
        <w:tc>
          <w:tcPr>
            <w:tcW w:w="113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20"/>
                <w:szCs w:val="20"/>
                <w:lang w:val="ro-RO"/>
              </w:rPr>
            </w:pPr>
            <w:r w:rsidRPr="00BD3349">
              <w:rPr>
                <w:rFonts w:ascii="Arial" w:eastAsia="SimSun" w:hAnsi="Arial" w:cs="Arial"/>
                <w:sz w:val="20"/>
                <w:szCs w:val="20"/>
                <w:lang w:val="ro-RO"/>
              </w:rPr>
              <w:t>9,9</w:t>
            </w:r>
          </w:p>
        </w:tc>
        <w:tc>
          <w:tcPr>
            <w:tcW w:w="992"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sz w:val="20"/>
                <w:szCs w:val="20"/>
                <w:lang w:val="ro-RO"/>
              </w:rPr>
            </w:pPr>
            <w:r w:rsidRPr="00BD3349">
              <w:rPr>
                <w:rFonts w:ascii="Arial" w:eastAsia="SimSun" w:hAnsi="Arial" w:cs="Arial"/>
                <w:sz w:val="20"/>
                <w:szCs w:val="20"/>
                <w:lang w:val="ro-RO"/>
              </w:rPr>
              <w:t>0,9</w:t>
            </w:r>
          </w:p>
        </w:tc>
      </w:tr>
      <w:tr w:rsidR="00BD3349" w:rsidRPr="00BD3349" w:rsidTr="002403BF">
        <w:trPr>
          <w:trHeight w:val="241"/>
        </w:trPr>
        <w:tc>
          <w:tcPr>
            <w:tcW w:w="4252" w:type="dxa"/>
            <w:gridSpan w:val="2"/>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rPr>
                <w:rFonts w:ascii="Arial" w:eastAsia="SimSun" w:hAnsi="Arial" w:cs="Arial"/>
                <w:b/>
                <w:sz w:val="20"/>
                <w:szCs w:val="20"/>
                <w:lang w:val="ro-RO"/>
              </w:rPr>
            </w:pPr>
            <w:r w:rsidRPr="00BD3349">
              <w:rPr>
                <w:rFonts w:ascii="Arial" w:eastAsia="SimSun" w:hAnsi="Arial" w:cs="Arial"/>
                <w:b/>
                <w:sz w:val="20"/>
                <w:szCs w:val="20"/>
                <w:lang w:val="ro-RO"/>
              </w:rPr>
              <w:t>Volum total de masă lemnoasă recoltat</w:t>
            </w:r>
          </w:p>
        </w:tc>
        <w:tc>
          <w:tcPr>
            <w:tcW w:w="113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b/>
                <w:sz w:val="20"/>
                <w:szCs w:val="20"/>
                <w:lang w:val="ro-RO"/>
              </w:rPr>
            </w:pPr>
            <w:r w:rsidRPr="00BD3349">
              <w:rPr>
                <w:rFonts w:ascii="Arial" w:eastAsia="SimSun" w:hAnsi="Arial" w:cs="Arial"/>
                <w:b/>
                <w:sz w:val="20"/>
                <w:szCs w:val="20"/>
                <w:lang w:val="ro-RO"/>
              </w:rPr>
              <w:t>163,1</w:t>
            </w:r>
          </w:p>
        </w:tc>
        <w:tc>
          <w:tcPr>
            <w:tcW w:w="113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b/>
                <w:sz w:val="20"/>
                <w:szCs w:val="20"/>
                <w:lang w:val="ro-RO"/>
              </w:rPr>
            </w:pPr>
            <w:r w:rsidRPr="00BD3349">
              <w:rPr>
                <w:rFonts w:ascii="Arial" w:eastAsia="SimSun" w:hAnsi="Arial" w:cs="Arial"/>
                <w:b/>
                <w:sz w:val="20"/>
                <w:szCs w:val="20"/>
                <w:lang w:val="ro-RO"/>
              </w:rPr>
              <w:t>165,3</w:t>
            </w:r>
          </w:p>
        </w:tc>
        <w:tc>
          <w:tcPr>
            <w:tcW w:w="993"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b/>
                <w:sz w:val="20"/>
                <w:szCs w:val="20"/>
                <w:lang w:val="ro-RO"/>
              </w:rPr>
            </w:pPr>
            <w:r w:rsidRPr="00BD3349">
              <w:rPr>
                <w:rFonts w:ascii="Arial" w:eastAsia="SimSun" w:hAnsi="Arial" w:cs="Arial"/>
                <w:b/>
                <w:sz w:val="20"/>
                <w:szCs w:val="20"/>
                <w:lang w:val="ro-RO"/>
              </w:rPr>
              <w:t>158,0</w:t>
            </w:r>
          </w:p>
        </w:tc>
        <w:tc>
          <w:tcPr>
            <w:tcW w:w="1134"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b/>
                <w:sz w:val="20"/>
                <w:szCs w:val="20"/>
                <w:lang w:val="ro-RO"/>
              </w:rPr>
            </w:pPr>
            <w:r w:rsidRPr="00BD3349">
              <w:rPr>
                <w:rFonts w:ascii="Arial" w:eastAsia="SimSun" w:hAnsi="Arial" w:cs="Arial"/>
                <w:b/>
                <w:sz w:val="20"/>
                <w:szCs w:val="20"/>
                <w:lang w:val="ro-RO"/>
              </w:rPr>
              <w:t>157,4</w:t>
            </w:r>
          </w:p>
        </w:tc>
        <w:tc>
          <w:tcPr>
            <w:tcW w:w="992" w:type="dxa"/>
            <w:tcBorders>
              <w:top w:val="single" w:sz="4" w:space="0" w:color="auto"/>
              <w:left w:val="single" w:sz="4" w:space="0" w:color="auto"/>
              <w:bottom w:val="single" w:sz="4" w:space="0" w:color="auto"/>
              <w:right w:val="single" w:sz="4" w:space="0" w:color="auto"/>
            </w:tcBorders>
          </w:tcPr>
          <w:p w:rsidR="00BD3349" w:rsidRPr="00BD3349" w:rsidRDefault="00BD3349" w:rsidP="00BD3349">
            <w:pPr>
              <w:tabs>
                <w:tab w:val="left" w:pos="2160"/>
                <w:tab w:val="left" w:leader="dot" w:pos="8640"/>
              </w:tabs>
              <w:spacing w:after="0" w:line="240" w:lineRule="auto"/>
              <w:jc w:val="center"/>
              <w:rPr>
                <w:rFonts w:ascii="Arial" w:eastAsia="SimSun" w:hAnsi="Arial" w:cs="Arial"/>
                <w:b/>
                <w:sz w:val="20"/>
                <w:szCs w:val="20"/>
                <w:lang w:val="ro-RO"/>
              </w:rPr>
            </w:pPr>
            <w:r w:rsidRPr="00BD3349">
              <w:rPr>
                <w:rFonts w:ascii="Arial" w:eastAsia="SimSun" w:hAnsi="Arial" w:cs="Arial"/>
                <w:b/>
                <w:sz w:val="20"/>
                <w:szCs w:val="20"/>
                <w:lang w:val="ro-RO"/>
              </w:rPr>
              <w:t>151,97</w:t>
            </w:r>
          </w:p>
        </w:tc>
      </w:tr>
    </w:tbl>
    <w:p w:rsidR="00BD3349" w:rsidRPr="00BD3349" w:rsidRDefault="00BD3349" w:rsidP="00BD3349">
      <w:pPr>
        <w:spacing w:after="0" w:line="360" w:lineRule="auto"/>
        <w:ind w:left="360"/>
        <w:jc w:val="both"/>
        <w:rPr>
          <w:rFonts w:ascii="Arial" w:eastAsia="SimSun" w:hAnsi="Arial" w:cs="Arial"/>
          <w:b/>
          <w:sz w:val="20"/>
          <w:szCs w:val="20"/>
          <w:lang w:val="ro-RO"/>
        </w:rPr>
      </w:pPr>
      <w:r w:rsidRPr="00BD3349">
        <w:rPr>
          <w:rFonts w:ascii="Arial" w:eastAsia="SimSun" w:hAnsi="Arial" w:cs="Arial"/>
          <w:sz w:val="20"/>
          <w:szCs w:val="20"/>
          <w:lang w:val="en-GB"/>
        </w:rPr>
        <w:t xml:space="preserve">(sursa: </w:t>
      </w:r>
      <w:r w:rsidRPr="00BD3349">
        <w:rPr>
          <w:rFonts w:ascii="Arial" w:eastAsia="SimSun" w:hAnsi="Arial" w:cs="Arial"/>
          <w:i/>
          <w:sz w:val="20"/>
          <w:szCs w:val="20"/>
          <w:lang w:val="ro-RO"/>
        </w:rPr>
        <w:t>Direcţia Silvică Vaslui, Direcţia Silvică Iaşi şi Ocolul Silvic Griviţa</w:t>
      </w:r>
      <w:r w:rsidRPr="00BD3349">
        <w:rPr>
          <w:rFonts w:ascii="Arial" w:eastAsia="SimSun" w:hAnsi="Arial" w:cs="Arial"/>
          <w:sz w:val="20"/>
          <w:szCs w:val="20"/>
          <w:lang w:val="en-GB"/>
        </w:rPr>
        <w:t>)</w:t>
      </w:r>
    </w:p>
    <w:p w:rsidR="00BD3349" w:rsidRPr="00BD3349" w:rsidRDefault="00BD3349" w:rsidP="00BD3349">
      <w:pPr>
        <w:tabs>
          <w:tab w:val="left" w:pos="1276"/>
        </w:tabs>
        <w:spacing w:after="0" w:line="240" w:lineRule="auto"/>
        <w:jc w:val="both"/>
        <w:rPr>
          <w:rFonts w:ascii="Arial" w:eastAsia="SimSun" w:hAnsi="Arial" w:cs="Arial"/>
          <w:sz w:val="24"/>
          <w:szCs w:val="24"/>
          <w:lang w:val="en-GB"/>
        </w:rPr>
      </w:pPr>
    </w:p>
    <w:p w:rsidR="00BD3349" w:rsidRPr="00BD3349" w:rsidRDefault="00BD3349" w:rsidP="00BD3349">
      <w:pPr>
        <w:tabs>
          <w:tab w:val="left" w:pos="1276"/>
        </w:tabs>
        <w:spacing w:after="0" w:line="240" w:lineRule="auto"/>
        <w:jc w:val="both"/>
        <w:rPr>
          <w:rFonts w:ascii="Arial" w:eastAsia="SimSun" w:hAnsi="Arial" w:cs="Arial"/>
          <w:i/>
          <w:sz w:val="24"/>
          <w:szCs w:val="24"/>
          <w:lang w:val="ro-RO"/>
        </w:rPr>
      </w:pPr>
      <w:r w:rsidRPr="00BD3349">
        <w:rPr>
          <w:rFonts w:ascii="Arial" w:eastAsia="SimSun" w:hAnsi="Arial" w:cs="Arial"/>
          <w:sz w:val="24"/>
          <w:szCs w:val="24"/>
          <w:lang w:val="en-GB"/>
        </w:rPr>
        <w:t>Figura VI.7. Structura volumului de masă lemnoasă recoltat, pe forme de proprietate, la nivelul judeţului Vaslui</w:t>
      </w:r>
    </w:p>
    <w:p w:rsidR="00BD3349" w:rsidRPr="00BD3349" w:rsidRDefault="00BD3349" w:rsidP="00BD3349">
      <w:pPr>
        <w:tabs>
          <w:tab w:val="left" w:pos="1276"/>
        </w:tabs>
        <w:spacing w:after="0" w:line="240" w:lineRule="auto"/>
        <w:jc w:val="center"/>
        <w:rPr>
          <w:rFonts w:ascii="Arial" w:eastAsia="SimSun" w:hAnsi="Arial" w:cs="Arial"/>
          <w:i/>
          <w:sz w:val="24"/>
          <w:szCs w:val="24"/>
          <w:lang w:val="ro-RO"/>
        </w:rPr>
      </w:pPr>
      <w:r w:rsidRPr="00BD3349">
        <w:rPr>
          <w:rFonts w:ascii="Arial" w:eastAsia="SimSun" w:hAnsi="Arial" w:cs="Arial"/>
          <w:i/>
          <w:noProof/>
          <w:sz w:val="24"/>
          <w:szCs w:val="24"/>
        </w:rPr>
        <w:drawing>
          <wp:inline distT="0" distB="0" distL="0" distR="0" wp14:anchorId="27F08FB6" wp14:editId="52C5F44F">
            <wp:extent cx="5727940" cy="1725283"/>
            <wp:effectExtent l="0" t="19050" r="0" b="0"/>
            <wp:docPr id="231" name="Chart 2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BD3349" w:rsidRPr="00BD3349" w:rsidRDefault="00BD3349" w:rsidP="00BD3349">
      <w:pPr>
        <w:spacing w:after="0" w:line="240" w:lineRule="auto"/>
        <w:jc w:val="both"/>
        <w:rPr>
          <w:rFonts w:ascii="Arial" w:eastAsia="SimSun" w:hAnsi="Arial" w:cs="Arial"/>
          <w:b/>
          <w:sz w:val="20"/>
          <w:szCs w:val="20"/>
          <w:lang w:val="ro-RO"/>
        </w:rPr>
      </w:pPr>
      <w:r w:rsidRPr="00BD3349">
        <w:rPr>
          <w:rFonts w:ascii="Arial" w:eastAsia="SimSun" w:hAnsi="Arial" w:cs="Arial"/>
          <w:i/>
          <w:sz w:val="24"/>
          <w:szCs w:val="24"/>
          <w:lang w:val="ro-RO"/>
        </w:rPr>
        <w:t xml:space="preserve">    </w:t>
      </w:r>
    </w:p>
    <w:p w:rsidR="00BD3349" w:rsidRPr="00BD3349" w:rsidRDefault="00BD3349" w:rsidP="00BD3349">
      <w:pPr>
        <w:spacing w:after="0" w:line="240" w:lineRule="auto"/>
        <w:ind w:right="-716"/>
        <w:jc w:val="both"/>
        <w:rPr>
          <w:rFonts w:ascii="Arial" w:eastAsia="SimSun" w:hAnsi="Arial" w:cs="Arial"/>
          <w:b/>
          <w:sz w:val="24"/>
          <w:szCs w:val="24"/>
          <w:lang w:val="ro-RO"/>
        </w:rPr>
      </w:pPr>
      <w:r w:rsidRPr="00BD3349">
        <w:rPr>
          <w:rFonts w:ascii="Arial" w:eastAsia="SimSun" w:hAnsi="Arial" w:cs="Arial"/>
          <w:sz w:val="24"/>
          <w:szCs w:val="24"/>
          <w:lang w:val="ro-RO"/>
        </w:rPr>
        <w:t xml:space="preserve">  </w:t>
      </w:r>
      <w:r w:rsidRPr="00BD3349">
        <w:rPr>
          <w:rFonts w:ascii="Arial" w:eastAsia="SimSun" w:hAnsi="Arial" w:cs="Arial"/>
          <w:b/>
          <w:sz w:val="24"/>
          <w:szCs w:val="24"/>
          <w:lang w:val="ro-RO"/>
        </w:rPr>
        <w:t xml:space="preserve">    </w:t>
      </w:r>
    </w:p>
    <w:p w:rsidR="00BD3349" w:rsidRPr="00BD3349" w:rsidRDefault="00BD3349" w:rsidP="00BD3349">
      <w:pPr>
        <w:spacing w:after="0" w:line="240" w:lineRule="auto"/>
        <w:ind w:right="-716"/>
        <w:jc w:val="both"/>
        <w:rPr>
          <w:rFonts w:ascii="Arial" w:eastAsia="SimSun" w:hAnsi="Arial" w:cs="Arial"/>
          <w:b/>
          <w:i/>
          <w:sz w:val="24"/>
          <w:szCs w:val="24"/>
          <w:lang w:val="ro-RO"/>
        </w:rPr>
      </w:pPr>
      <w:r w:rsidRPr="00BD3349">
        <w:rPr>
          <w:rFonts w:ascii="Arial" w:eastAsia="SimSun" w:hAnsi="Arial" w:cs="Arial"/>
          <w:b/>
          <w:sz w:val="24"/>
          <w:szCs w:val="24"/>
          <w:lang w:val="ro-RO"/>
        </w:rPr>
        <w:t xml:space="preserve">VI.2.2. </w:t>
      </w:r>
      <w:r w:rsidRPr="00BD3349">
        <w:rPr>
          <w:rFonts w:ascii="Arial" w:eastAsia="SimSun" w:hAnsi="Arial" w:cs="Arial"/>
          <w:b/>
          <w:i/>
          <w:sz w:val="24"/>
          <w:szCs w:val="24"/>
          <w:lang w:val="ro-RO"/>
        </w:rPr>
        <w:t xml:space="preserve">Schimbarea utilizării terenurilor </w:t>
      </w:r>
    </w:p>
    <w:p w:rsidR="00BD3349" w:rsidRPr="00BD3349" w:rsidRDefault="00BD3349" w:rsidP="00BD3349">
      <w:pPr>
        <w:spacing w:after="0" w:line="240" w:lineRule="auto"/>
        <w:ind w:right="-716"/>
        <w:jc w:val="both"/>
        <w:rPr>
          <w:rFonts w:ascii="Arial" w:eastAsia="SimSun" w:hAnsi="Arial" w:cs="Arial"/>
          <w:i/>
          <w:sz w:val="24"/>
          <w:szCs w:val="24"/>
          <w:lang w:val="ro-RO"/>
        </w:rPr>
      </w:pPr>
    </w:p>
    <w:p w:rsidR="00BD3349" w:rsidRPr="00BD3349" w:rsidRDefault="00BD3349" w:rsidP="00BD3349">
      <w:pPr>
        <w:tabs>
          <w:tab w:val="left" w:pos="1276"/>
        </w:tabs>
        <w:spacing w:after="0" w:line="240" w:lineRule="auto"/>
        <w:jc w:val="both"/>
        <w:rPr>
          <w:rFonts w:ascii="Arial" w:eastAsia="SimSun" w:hAnsi="Arial" w:cs="Arial"/>
          <w:sz w:val="24"/>
          <w:szCs w:val="24"/>
          <w:lang w:val="ro-RO"/>
        </w:rPr>
      </w:pPr>
      <w:r w:rsidRPr="00BD3349">
        <w:rPr>
          <w:rFonts w:ascii="Arial" w:hAnsi="Arial" w:cs="Arial"/>
          <w:sz w:val="24"/>
          <w:szCs w:val="24"/>
        </w:rPr>
        <w:tab/>
        <w:t>Pădurea are de asemenea un rol deosebit de important în reducerea efectelor negative ale precipitaţiilor abundente şi ale fenomenului de secetă şi în prevenirea unor efecte favorizate de schimbările climatice precum eroziunea solului.</w:t>
      </w:r>
    </w:p>
    <w:p w:rsidR="00BD3349" w:rsidRPr="00BD3349" w:rsidRDefault="00BD3349" w:rsidP="00BD3349">
      <w:pPr>
        <w:autoSpaceDE w:val="0"/>
        <w:autoSpaceDN w:val="0"/>
        <w:adjustRightInd w:val="0"/>
        <w:spacing w:after="0" w:line="240" w:lineRule="auto"/>
        <w:jc w:val="both"/>
        <w:rPr>
          <w:rFonts w:ascii="Arial" w:hAnsi="Arial" w:cs="Arial"/>
          <w:sz w:val="24"/>
          <w:szCs w:val="24"/>
        </w:rPr>
      </w:pPr>
      <w:r w:rsidRPr="00BD3349">
        <w:rPr>
          <w:rFonts w:ascii="Arial" w:hAnsi="Arial" w:cs="Arial"/>
          <w:sz w:val="24"/>
          <w:szCs w:val="24"/>
        </w:rPr>
        <w:t xml:space="preserve">Degradarea terenurilor vizează, cu precădere, deteriorarea vegetaţiei, faunei, solurilor și productivităților agricole. Schimbarea utilizării terenurilolr constă în </w:t>
      </w:r>
      <w:r w:rsidRPr="00BD3349">
        <w:rPr>
          <w:rFonts w:ascii="Arial" w:hAnsi="Arial" w:cs="Arial"/>
          <w:iCs/>
          <w:sz w:val="24"/>
          <w:szCs w:val="24"/>
        </w:rPr>
        <w:t>diminuarea sau</w:t>
      </w:r>
      <w:r w:rsidRPr="00BD3349">
        <w:rPr>
          <w:rFonts w:ascii="Arial" w:hAnsi="Arial" w:cs="Arial"/>
          <w:sz w:val="24"/>
          <w:szCs w:val="24"/>
        </w:rPr>
        <w:t xml:space="preserve"> </w:t>
      </w:r>
      <w:r w:rsidRPr="00BD3349">
        <w:rPr>
          <w:rFonts w:ascii="Arial" w:hAnsi="Arial" w:cs="Arial"/>
          <w:iCs/>
          <w:sz w:val="24"/>
          <w:szCs w:val="24"/>
        </w:rPr>
        <w:t>distrugerea potenţialului biologic al terenurilor</w:t>
      </w:r>
      <w:r w:rsidRPr="00BD3349">
        <w:rPr>
          <w:rFonts w:ascii="Arial" w:hAnsi="Arial" w:cs="Arial"/>
          <w:sz w:val="24"/>
          <w:szCs w:val="24"/>
        </w:rPr>
        <w:t>.</w:t>
      </w:r>
    </w:p>
    <w:p w:rsidR="00BD3349" w:rsidRPr="00BD3349" w:rsidRDefault="00BD3349" w:rsidP="00BD3349">
      <w:pPr>
        <w:spacing w:after="0" w:line="240" w:lineRule="auto"/>
        <w:rPr>
          <w:rFonts w:ascii="Arial" w:eastAsia="SimSun" w:hAnsi="Arial" w:cs="Arial"/>
          <w:b/>
          <w:sz w:val="24"/>
          <w:szCs w:val="24"/>
          <w:lang w:val="ro-RO"/>
        </w:rPr>
      </w:pPr>
    </w:p>
    <w:p w:rsidR="00BD3349" w:rsidRPr="00BD3349" w:rsidRDefault="00BD3349" w:rsidP="00BD3349">
      <w:pPr>
        <w:spacing w:after="0" w:line="240" w:lineRule="auto"/>
        <w:rPr>
          <w:rFonts w:ascii="Arial" w:eastAsia="SimSun" w:hAnsi="Arial" w:cs="Arial"/>
          <w:sz w:val="24"/>
          <w:szCs w:val="24"/>
          <w:lang w:val="ro-RO"/>
        </w:rPr>
      </w:pPr>
      <w:r w:rsidRPr="00BD3349">
        <w:rPr>
          <w:rFonts w:ascii="Arial" w:eastAsia="SimSun" w:hAnsi="Arial" w:cs="Arial"/>
          <w:sz w:val="24"/>
          <w:szCs w:val="24"/>
          <w:lang w:val="ro-RO"/>
        </w:rPr>
        <w:t xml:space="preserve">VI.2.2.1. Fragmentarea ecosistemelor </w:t>
      </w:r>
    </w:p>
    <w:p w:rsidR="00BD3349" w:rsidRPr="00BD3349" w:rsidRDefault="00BD3349" w:rsidP="00BD3349">
      <w:pPr>
        <w:spacing w:after="0" w:line="240" w:lineRule="auto"/>
        <w:rPr>
          <w:rFonts w:ascii="Arial" w:eastAsia="SimSun" w:hAnsi="Arial" w:cs="Arial"/>
          <w:sz w:val="24"/>
          <w:szCs w:val="24"/>
          <w:lang w:val="ro-RO"/>
        </w:rPr>
      </w:pPr>
    </w:p>
    <w:p w:rsidR="00BD3349" w:rsidRPr="00BD3349" w:rsidRDefault="00BD3349" w:rsidP="00BD3349">
      <w:pPr>
        <w:autoSpaceDE w:val="0"/>
        <w:autoSpaceDN w:val="0"/>
        <w:adjustRightInd w:val="0"/>
        <w:spacing w:after="0" w:line="240" w:lineRule="auto"/>
        <w:ind w:firstLine="720"/>
        <w:jc w:val="both"/>
        <w:rPr>
          <w:rFonts w:ascii="Arial" w:eastAsia="Times New Roman" w:hAnsi="Arial" w:cs="Arial"/>
          <w:sz w:val="24"/>
          <w:szCs w:val="24"/>
        </w:rPr>
      </w:pPr>
      <w:r w:rsidRPr="00BD3349">
        <w:rPr>
          <w:rFonts w:ascii="Arial" w:eastAsia="Times New Roman" w:hAnsi="Arial" w:cs="Arial"/>
          <w:sz w:val="24"/>
          <w:szCs w:val="24"/>
        </w:rPr>
        <w:t xml:space="preserve">O cauză principală a fragmentării arealelor naturale și seminaturale este reprezentată de </w:t>
      </w:r>
      <w:r w:rsidRPr="00BD3349">
        <w:rPr>
          <w:rFonts w:ascii="Arial" w:eastAsia="Times New Roman" w:hAnsi="Arial" w:cs="Arial"/>
          <w:bCs/>
          <w:sz w:val="24"/>
          <w:szCs w:val="24"/>
        </w:rPr>
        <w:t xml:space="preserve">conversia terenurilor </w:t>
      </w:r>
      <w:r w:rsidRPr="00BD3349">
        <w:rPr>
          <w:rFonts w:ascii="Arial" w:eastAsia="Times New Roman" w:hAnsi="Arial" w:cs="Arial"/>
          <w:sz w:val="24"/>
          <w:szCs w:val="24"/>
        </w:rPr>
        <w:t xml:space="preserve">în scopul dezvoltării infrastructurii urbane, industriale, agricole, turistice sau transport, aceasta reprezentând cauza principală a pierderii de biodiversitate, ducând la degradarea, distrugerea şi </w:t>
      </w:r>
      <w:r w:rsidRPr="00BD3349">
        <w:rPr>
          <w:rFonts w:ascii="Arial" w:eastAsia="Times New Roman" w:hAnsi="Arial" w:cs="Arial"/>
          <w:bCs/>
          <w:sz w:val="24"/>
          <w:szCs w:val="24"/>
        </w:rPr>
        <w:t xml:space="preserve">fragmentarea </w:t>
      </w:r>
      <w:r w:rsidRPr="00BD3349">
        <w:rPr>
          <w:rFonts w:ascii="Arial" w:eastAsia="Times New Roman" w:hAnsi="Arial" w:cs="Arial"/>
          <w:sz w:val="24"/>
          <w:szCs w:val="24"/>
        </w:rPr>
        <w:t xml:space="preserve">habitatelor şi implicit la declinul populaţiilor naturale. </w:t>
      </w:r>
    </w:p>
    <w:p w:rsidR="00BD3349" w:rsidRPr="00BD3349" w:rsidRDefault="00BD3349" w:rsidP="00BD3349">
      <w:pPr>
        <w:autoSpaceDE w:val="0"/>
        <w:autoSpaceDN w:val="0"/>
        <w:adjustRightInd w:val="0"/>
        <w:spacing w:after="0" w:line="240" w:lineRule="auto"/>
        <w:ind w:firstLine="720"/>
        <w:jc w:val="both"/>
        <w:rPr>
          <w:rFonts w:ascii="Arial" w:eastAsia="Times New Roman" w:hAnsi="Arial" w:cs="Arial"/>
          <w:sz w:val="24"/>
          <w:szCs w:val="24"/>
        </w:rPr>
      </w:pPr>
      <w:r w:rsidRPr="00BD3349">
        <w:rPr>
          <w:rFonts w:ascii="Arial" w:eastAsia="Times New Roman" w:hAnsi="Arial" w:cs="Arial"/>
          <w:sz w:val="24"/>
          <w:szCs w:val="24"/>
        </w:rPr>
        <w:t xml:space="preserve">Dacă în trecut principala ameninţare o reprezenta conversia diferitelor tipuri de habitate în terenuri agricole pentru monoculturi, inclusiv prin distrugerea unor </w:t>
      </w:r>
      <w:r w:rsidRPr="00BD3349">
        <w:rPr>
          <w:rFonts w:ascii="Arial" w:eastAsia="Times New Roman" w:hAnsi="Arial" w:cs="Arial"/>
          <w:sz w:val="24"/>
          <w:szCs w:val="24"/>
        </w:rPr>
        <w:lastRenderedPageBreak/>
        <w:t xml:space="preserve">importante suprafeţe de zone umede din Delta Dunării, în prezent, conversia habitatelor naturale se menţine ca o ameninţare directă. </w:t>
      </w:r>
    </w:p>
    <w:p w:rsidR="00BD3349" w:rsidRPr="00BD3349" w:rsidRDefault="00BD3349" w:rsidP="00BD3349">
      <w:pPr>
        <w:autoSpaceDE w:val="0"/>
        <w:autoSpaceDN w:val="0"/>
        <w:adjustRightInd w:val="0"/>
        <w:spacing w:after="0" w:line="240" w:lineRule="auto"/>
        <w:ind w:firstLine="720"/>
        <w:jc w:val="both"/>
        <w:rPr>
          <w:rFonts w:ascii="Arial" w:eastAsia="Times New Roman" w:hAnsi="Arial" w:cs="Arial"/>
          <w:sz w:val="24"/>
          <w:szCs w:val="24"/>
        </w:rPr>
      </w:pPr>
      <w:r w:rsidRPr="00BD3349">
        <w:rPr>
          <w:rFonts w:ascii="Arial" w:eastAsia="Times New Roman" w:hAnsi="Arial" w:cs="Arial"/>
          <w:sz w:val="24"/>
          <w:szCs w:val="24"/>
        </w:rPr>
        <w:t xml:space="preserve">O altă cauză a fragmentării este generată de către procesul de </w:t>
      </w:r>
      <w:r w:rsidRPr="00BD3349">
        <w:rPr>
          <w:rFonts w:ascii="Arial" w:eastAsia="Times New Roman" w:hAnsi="Arial" w:cs="Arial"/>
          <w:bCs/>
          <w:sz w:val="24"/>
          <w:szCs w:val="24"/>
        </w:rPr>
        <w:t xml:space="preserve">extindere şi dezvoltare a aşezărilor umane. </w:t>
      </w:r>
      <w:r w:rsidRPr="00BD3349">
        <w:rPr>
          <w:rFonts w:ascii="Arial" w:eastAsia="Times New Roman" w:hAnsi="Arial" w:cs="Arial"/>
          <w:sz w:val="24"/>
          <w:szCs w:val="24"/>
        </w:rPr>
        <w:t xml:space="preserve">În prezent se consideră că aproximativ 6,5% din suprafaţa ţării este destinată construcţiei de locuinţe. </w:t>
      </w:r>
      <w:r w:rsidRPr="00BD3349">
        <w:rPr>
          <w:rFonts w:ascii="Arial" w:eastAsia="Times New Roman" w:hAnsi="Arial" w:cs="Arial"/>
          <w:bCs/>
          <w:sz w:val="24"/>
          <w:szCs w:val="24"/>
        </w:rPr>
        <w:t xml:space="preserve">Fragmentarea </w:t>
      </w:r>
      <w:r w:rsidRPr="00BD3349">
        <w:rPr>
          <w:rFonts w:ascii="Arial" w:eastAsia="Times New Roman" w:hAnsi="Arial" w:cs="Arial"/>
          <w:sz w:val="24"/>
          <w:szCs w:val="24"/>
        </w:rPr>
        <w:t xml:space="preserve">habitatelor apare şi atunci când există aglomerări mari de locuinţe, dar şi în cazul celor izolate, datorită construcţiei suplimentare de căi de acces şi utilităţi. Construirea haotică, fără respectarea unei stategii de urbanism coerentă şi consecventă conduce la utilizarea nejudicioasă a zonelor destinate pentru construcţii si extinderea acestora în detrimentul celor naturale. </w:t>
      </w:r>
    </w:p>
    <w:p w:rsidR="00BD3349" w:rsidRPr="00BD3349" w:rsidRDefault="00BD3349" w:rsidP="00BD3349">
      <w:pPr>
        <w:spacing w:after="0" w:line="240" w:lineRule="auto"/>
        <w:ind w:firstLine="720"/>
        <w:jc w:val="both"/>
        <w:rPr>
          <w:rFonts w:ascii="Arial" w:eastAsia="SimSun" w:hAnsi="Arial" w:cs="Arial"/>
          <w:sz w:val="24"/>
          <w:szCs w:val="24"/>
          <w:lang w:val="ro-RO"/>
        </w:rPr>
      </w:pPr>
      <w:r w:rsidRPr="00BD3349">
        <w:rPr>
          <w:rFonts w:ascii="Arial" w:eastAsia="SimSun" w:hAnsi="Arial" w:cs="Arial"/>
          <w:sz w:val="24"/>
          <w:szCs w:val="24"/>
          <w:lang w:val="en-GB"/>
        </w:rPr>
        <w:t>Dezvoltarea urbană necontrolată, periurbanizarea şi transferul de populaţie din mediul rural, însoţite de distrugerea ecosistemelor din zonele urbane (diminuarea spaţiilor verzi, construcţii pe spaţiile verzi, tăierea arborilor, distrugerea cuiburilor etc.) şi de măsuri insuficiente pentru colectarea şi tratarea corespunzătoare a deşeurilor şi a apelor uzate au efecte negative considerabile, atât asupra biodiversităţii, cât şi asupra calităţii vieţii.</w:t>
      </w:r>
      <w:r w:rsidRPr="00BD3349">
        <w:rPr>
          <w:rFonts w:ascii="Arial" w:eastAsia="SimSun" w:hAnsi="Arial" w:cs="Arial"/>
          <w:sz w:val="24"/>
          <w:szCs w:val="24"/>
          <w:lang w:val="ro-RO"/>
        </w:rPr>
        <w:t xml:space="preserve"> </w:t>
      </w:r>
      <w:r w:rsidRPr="00BD3349">
        <w:rPr>
          <w:rFonts w:ascii="Arial" w:eastAsia="SimSun" w:hAnsi="Arial" w:cs="Arial"/>
          <w:iCs/>
          <w:sz w:val="20"/>
          <w:szCs w:val="20"/>
          <w:lang w:val="en-GB"/>
        </w:rPr>
        <w:t>(Sursa: Fundamentele conservării diversității biologice, Editura AGIR, R. Primack, M. Patroescu, L. Rozylowicz, C. Ioja )</w:t>
      </w:r>
    </w:p>
    <w:p w:rsidR="00BD3349" w:rsidRPr="00BD3349" w:rsidRDefault="00BD3349" w:rsidP="00BD3349">
      <w:pPr>
        <w:spacing w:after="0" w:line="240" w:lineRule="auto"/>
        <w:ind w:firstLine="720"/>
        <w:rPr>
          <w:rFonts w:ascii="Arial" w:eastAsia="SimSun" w:hAnsi="Arial" w:cs="Arial"/>
          <w:sz w:val="24"/>
          <w:szCs w:val="24"/>
          <w:lang w:val="ro-RO"/>
        </w:rPr>
      </w:pPr>
    </w:p>
    <w:p w:rsidR="00BD3349" w:rsidRPr="00BD3349" w:rsidRDefault="00BD3349" w:rsidP="00BD3349">
      <w:pPr>
        <w:tabs>
          <w:tab w:val="left" w:pos="1276"/>
        </w:tabs>
        <w:spacing w:after="0" w:line="240" w:lineRule="auto"/>
        <w:rPr>
          <w:rFonts w:ascii="Arial" w:eastAsia="SimSun" w:hAnsi="Arial" w:cs="Arial"/>
          <w:b/>
          <w:i/>
          <w:sz w:val="24"/>
          <w:szCs w:val="24"/>
          <w:lang w:val="ro-RO"/>
        </w:rPr>
      </w:pPr>
      <w:r w:rsidRPr="00BD3349">
        <w:rPr>
          <w:rFonts w:ascii="Arial" w:eastAsia="SimSun" w:hAnsi="Arial" w:cs="Arial"/>
          <w:b/>
          <w:sz w:val="24"/>
          <w:szCs w:val="24"/>
          <w:lang w:val="ro-RO"/>
        </w:rPr>
        <w:t xml:space="preserve">VI.2.3. </w:t>
      </w:r>
      <w:r w:rsidRPr="00BD3349">
        <w:rPr>
          <w:rFonts w:ascii="Arial" w:eastAsia="SimSun" w:hAnsi="Arial" w:cs="Arial"/>
          <w:b/>
          <w:i/>
          <w:sz w:val="24"/>
          <w:szCs w:val="24"/>
          <w:lang w:val="ro-RO"/>
        </w:rPr>
        <w:t>Schimbările climatice</w:t>
      </w:r>
    </w:p>
    <w:p w:rsidR="00BD3349" w:rsidRPr="00BD3349" w:rsidRDefault="00BD3349" w:rsidP="00BD3349">
      <w:pPr>
        <w:tabs>
          <w:tab w:val="left" w:pos="1276"/>
        </w:tabs>
        <w:spacing w:after="0" w:line="240" w:lineRule="auto"/>
        <w:rPr>
          <w:rFonts w:ascii="Arial" w:eastAsia="SimSun" w:hAnsi="Arial" w:cs="Arial"/>
          <w:i/>
          <w:sz w:val="24"/>
          <w:szCs w:val="24"/>
          <w:lang w:val="ro-RO"/>
        </w:rPr>
      </w:pPr>
    </w:p>
    <w:p w:rsidR="00BD3349" w:rsidRPr="00BD3349" w:rsidRDefault="00BD3349" w:rsidP="00BD3349">
      <w:pPr>
        <w:spacing w:after="0" w:line="240" w:lineRule="auto"/>
        <w:ind w:firstLine="720"/>
        <w:jc w:val="both"/>
        <w:rPr>
          <w:rFonts w:ascii="Arial" w:eastAsia="SimSun" w:hAnsi="Arial" w:cs="Arial"/>
          <w:b/>
          <w:sz w:val="24"/>
          <w:szCs w:val="24"/>
          <w:lang w:val="ro-RO"/>
        </w:rPr>
      </w:pPr>
      <w:r w:rsidRPr="00BD3349">
        <w:rPr>
          <w:rFonts w:ascii="Arial" w:hAnsi="Arial" w:cs="Arial"/>
          <w:sz w:val="24"/>
          <w:szCs w:val="24"/>
        </w:rPr>
        <w:t>Pădurile sunt o verigă esenţială în ciclul global al carbonului, prin capacitatea de a absorbi prin fotosinteză CO2 din atmosferă şi de a-l stoca în biomasa proprie, în sol şi în litieră, reprezentând astfel cel mai mare rezervor de carbon din biosfera terestră.</w:t>
      </w:r>
      <w:r w:rsidRPr="00BD3349">
        <w:rPr>
          <w:rFonts w:ascii="Arial" w:eastAsia="SimSun" w:hAnsi="Arial" w:cs="Arial"/>
          <w:b/>
          <w:sz w:val="24"/>
          <w:szCs w:val="24"/>
          <w:lang w:val="ro-RO"/>
        </w:rPr>
        <w:t xml:space="preserve"> </w:t>
      </w:r>
      <w:r w:rsidRPr="00BD3349">
        <w:rPr>
          <w:rFonts w:ascii="Arial" w:hAnsi="Arial" w:cs="Arial"/>
          <w:sz w:val="24"/>
          <w:szCs w:val="24"/>
        </w:rPr>
        <w:t>Din cantitatea de CO2 stocată, cca 76% este masă lemnoasă şi biomasă precum trunchi, crengi, frunze şi cca 24% se află în rădăcini şi sol. În procesul de despădurire 38% din CO2 absorbit se eliberează imediat.</w:t>
      </w:r>
    </w:p>
    <w:p w:rsidR="00BD3349" w:rsidRPr="00BD3349" w:rsidRDefault="00BD3349" w:rsidP="00BD3349">
      <w:pPr>
        <w:autoSpaceDE w:val="0"/>
        <w:autoSpaceDN w:val="0"/>
        <w:adjustRightInd w:val="0"/>
        <w:spacing w:after="0" w:line="240" w:lineRule="auto"/>
        <w:ind w:firstLine="720"/>
        <w:jc w:val="both"/>
        <w:rPr>
          <w:rFonts w:ascii="Arial" w:hAnsi="Arial" w:cs="Arial"/>
          <w:sz w:val="24"/>
          <w:szCs w:val="24"/>
        </w:rPr>
      </w:pPr>
      <w:r w:rsidRPr="00BD3349">
        <w:rPr>
          <w:rFonts w:ascii="Arial" w:hAnsi="Arial" w:cs="Arial"/>
          <w:sz w:val="24"/>
          <w:szCs w:val="24"/>
        </w:rPr>
        <w:t xml:space="preserve">În procesul de degradare a pădurilor şi despădurire, suplimentar emisiilor de CO2, se produc şi emisii de CH4. După defrişare, terenul căruia i se acordă o altă utilizare poate deveni o sursă suplimentară de emisii.  </w:t>
      </w:r>
      <w:r w:rsidRPr="00BD3349">
        <w:rPr>
          <w:rFonts w:ascii="Arial" w:hAnsi="Arial" w:cs="Arial"/>
          <w:color w:val="000000"/>
          <w:sz w:val="24"/>
          <w:szCs w:val="24"/>
        </w:rPr>
        <w:t>În acest mod, bilanţul de carbon al terenului defrişat şi atribuit altor utilizări poate fi defavorabil capacităţii de sechestrare a carbonului din atmosferă.</w:t>
      </w:r>
    </w:p>
    <w:p w:rsidR="00BD3349" w:rsidRPr="00BD3349" w:rsidRDefault="00BD3349" w:rsidP="00BD3349">
      <w:pPr>
        <w:autoSpaceDE w:val="0"/>
        <w:autoSpaceDN w:val="0"/>
        <w:adjustRightInd w:val="0"/>
        <w:spacing w:after="0" w:line="240" w:lineRule="auto"/>
        <w:ind w:firstLine="720"/>
        <w:jc w:val="both"/>
        <w:rPr>
          <w:rFonts w:ascii="Arial" w:hAnsi="Arial" w:cs="Arial"/>
          <w:sz w:val="20"/>
          <w:szCs w:val="20"/>
        </w:rPr>
      </w:pPr>
      <w:r w:rsidRPr="00BD3349">
        <w:rPr>
          <w:rFonts w:ascii="Arial" w:hAnsi="Arial" w:cs="Arial"/>
          <w:sz w:val="24"/>
          <w:szCs w:val="24"/>
        </w:rPr>
        <w:t>Promovarea măsurilor de sporire a capacităţii de absorbţie a gazelor cu efect de seră prin rezervoare naturale în vederea asigurării unei contribuţii importante la efortul naţional de reducere a emisiilor de GES şi planificarea sectorială a emisiilor în vederea atingerii obiectivelor de reducere asumate pe plan internaţional şi european necesită un grad ridicat de profesionalism din partea autorităţilor administraţiei publice; ameliorarea pregătirii profesionale în domeniu se va realiza prin promovarea şi finanţarea unor programe/proiecte corespunzătoare de pregătire profesională şi schimb de experienţă cu ţările cu un nivel de expertiză ridicat în acest domeniu</w:t>
      </w:r>
      <w:r w:rsidRPr="00BD3349">
        <w:rPr>
          <w:rFonts w:ascii="Arial" w:hAnsi="Arial" w:cs="Arial"/>
          <w:sz w:val="20"/>
          <w:szCs w:val="20"/>
        </w:rPr>
        <w:t xml:space="preserve">. (Sursa: MMSC - </w:t>
      </w:r>
      <w:r w:rsidRPr="00BD3349">
        <w:rPr>
          <w:rFonts w:ascii="Arial" w:hAnsi="Arial" w:cs="Arial"/>
          <w:bCs/>
          <w:sz w:val="20"/>
          <w:szCs w:val="20"/>
        </w:rPr>
        <w:t>Strategia naţională a României privind schimbările climatice 2013 – 2020)</w:t>
      </w:r>
    </w:p>
    <w:p w:rsidR="00BD3349" w:rsidRPr="00BD3349" w:rsidRDefault="00BD3349" w:rsidP="00BD3349">
      <w:pPr>
        <w:spacing w:after="0" w:line="240" w:lineRule="auto"/>
        <w:rPr>
          <w:rFonts w:ascii="Arial" w:eastAsia="SimSun" w:hAnsi="Arial" w:cs="Arial"/>
          <w:b/>
          <w:sz w:val="24"/>
          <w:szCs w:val="24"/>
          <w:lang w:val="ro-RO"/>
        </w:rPr>
      </w:pPr>
    </w:p>
    <w:p w:rsidR="00BD3349" w:rsidRPr="00BD3349" w:rsidRDefault="00BD3349" w:rsidP="00BD3349">
      <w:pPr>
        <w:spacing w:after="0" w:line="240" w:lineRule="auto"/>
        <w:rPr>
          <w:rFonts w:ascii="Arial" w:eastAsia="SimSun" w:hAnsi="Arial" w:cs="Arial"/>
          <w:b/>
          <w:sz w:val="24"/>
          <w:szCs w:val="24"/>
          <w:lang w:val="ro-RO"/>
        </w:rPr>
      </w:pPr>
      <w:r w:rsidRPr="00BD3349">
        <w:rPr>
          <w:rFonts w:ascii="Arial" w:eastAsia="SimSun" w:hAnsi="Arial" w:cs="Arial"/>
          <w:b/>
          <w:sz w:val="24"/>
          <w:szCs w:val="24"/>
          <w:lang w:val="ro-RO"/>
        </w:rPr>
        <w:t xml:space="preserve">VI.3. Tendinţe, prognoze şi acţiuni privind gestionarea durabilă a pădurilor </w:t>
      </w:r>
    </w:p>
    <w:p w:rsidR="00BD3349" w:rsidRPr="00BD3349" w:rsidRDefault="00BD3349" w:rsidP="00BD3349">
      <w:pPr>
        <w:spacing w:after="0" w:line="240" w:lineRule="auto"/>
        <w:rPr>
          <w:rFonts w:ascii="Arial" w:eastAsia="SimSun" w:hAnsi="Arial" w:cs="Arial"/>
          <w:b/>
          <w:sz w:val="24"/>
          <w:szCs w:val="24"/>
          <w:lang w:val="ro-RO"/>
        </w:rPr>
      </w:pPr>
    </w:p>
    <w:p w:rsidR="00BD3349" w:rsidRPr="00BD3349" w:rsidRDefault="00BD3349" w:rsidP="00BD3349">
      <w:pPr>
        <w:spacing w:after="0" w:line="240" w:lineRule="auto"/>
        <w:jc w:val="both"/>
        <w:rPr>
          <w:rFonts w:ascii="Arial" w:eastAsia="Times New Roman" w:hAnsi="Arial" w:cs="Arial"/>
          <w:sz w:val="24"/>
          <w:szCs w:val="24"/>
        </w:rPr>
      </w:pPr>
      <w:r w:rsidRPr="00BD3349">
        <w:rPr>
          <w:rFonts w:ascii="Arial" w:eastAsia="SimSun" w:hAnsi="Arial" w:cs="Arial"/>
          <w:sz w:val="24"/>
          <w:szCs w:val="24"/>
          <w:lang w:val="en-GB"/>
        </w:rPr>
        <w:tab/>
        <w:t>Strategia forestieră urmareşte să fie eficace şi relevantă, să se integreze cu strategiile şi politicile în alte sectoare de care este strâns legată, în special de mediu, agricultură şi dezvoltare rurală, energie, educaţie, turism.</w:t>
      </w:r>
      <w:r w:rsidRPr="00BD3349">
        <w:rPr>
          <w:rFonts w:ascii="Arial" w:eastAsia="Times New Roman" w:hAnsi="Arial" w:cs="Arial"/>
          <w:sz w:val="24"/>
          <w:szCs w:val="24"/>
        </w:rPr>
        <w:tab/>
      </w:r>
    </w:p>
    <w:p w:rsidR="00BD3349" w:rsidRPr="00BD3349" w:rsidRDefault="00BD3349" w:rsidP="00BD3349">
      <w:pPr>
        <w:spacing w:after="0" w:line="240" w:lineRule="auto"/>
        <w:jc w:val="both"/>
        <w:rPr>
          <w:rFonts w:ascii="Arial" w:eastAsia="Times New Roman" w:hAnsi="Arial" w:cs="Arial"/>
          <w:sz w:val="24"/>
          <w:szCs w:val="24"/>
        </w:rPr>
      </w:pPr>
      <w:r w:rsidRPr="00BD3349">
        <w:rPr>
          <w:rFonts w:ascii="Arial" w:eastAsia="Times New Roman" w:hAnsi="Arial" w:cs="Arial"/>
          <w:sz w:val="24"/>
          <w:szCs w:val="24"/>
        </w:rPr>
        <w:lastRenderedPageBreak/>
        <w:t xml:space="preserve">Menţionam câteva </w:t>
      </w:r>
      <w:r w:rsidRPr="00BD3349">
        <w:rPr>
          <w:rFonts w:ascii="Arial" w:eastAsia="SimSun" w:hAnsi="Arial" w:cs="Arial"/>
          <w:sz w:val="24"/>
          <w:szCs w:val="24"/>
          <w:lang w:val="en-GB"/>
        </w:rPr>
        <w:t>obiective propuse în Strategia Forestieră Naţională 2013-2022:</w:t>
      </w:r>
    </w:p>
    <w:p w:rsidR="00BD3349" w:rsidRPr="00BD3349" w:rsidRDefault="00BD3349" w:rsidP="005910C7">
      <w:pPr>
        <w:numPr>
          <w:ilvl w:val="0"/>
          <w:numId w:val="14"/>
        </w:numPr>
        <w:autoSpaceDE w:val="0"/>
        <w:autoSpaceDN w:val="0"/>
        <w:adjustRightInd w:val="0"/>
        <w:spacing w:after="0" w:line="240" w:lineRule="auto"/>
        <w:jc w:val="both"/>
        <w:rPr>
          <w:rFonts w:ascii="Arial" w:eastAsia="Times New Roman" w:hAnsi="Arial" w:cs="Arial"/>
          <w:sz w:val="24"/>
          <w:szCs w:val="24"/>
        </w:rPr>
      </w:pPr>
      <w:r w:rsidRPr="00BD3349">
        <w:rPr>
          <w:rFonts w:ascii="Arial" w:eastAsia="Times New Roman" w:hAnsi="Arial" w:cs="Arial"/>
          <w:bCs/>
          <w:sz w:val="24"/>
          <w:szCs w:val="24"/>
        </w:rPr>
        <w:t>Dezvoltarea durabilă a sectorului forestier, în scopul creșterii calității vieții și asigurării necesităților prezente și viitoare ale societății, în context European;</w:t>
      </w:r>
    </w:p>
    <w:p w:rsidR="00BD3349" w:rsidRPr="00BD3349" w:rsidRDefault="00BD3349" w:rsidP="005910C7">
      <w:pPr>
        <w:numPr>
          <w:ilvl w:val="0"/>
          <w:numId w:val="14"/>
        </w:numPr>
        <w:autoSpaceDE w:val="0"/>
        <w:autoSpaceDN w:val="0"/>
        <w:adjustRightInd w:val="0"/>
        <w:spacing w:after="0" w:line="240" w:lineRule="auto"/>
        <w:jc w:val="both"/>
        <w:rPr>
          <w:rFonts w:ascii="Arial" w:eastAsia="Times New Roman" w:hAnsi="Arial" w:cs="Arial"/>
          <w:sz w:val="24"/>
          <w:szCs w:val="24"/>
        </w:rPr>
      </w:pPr>
      <w:r w:rsidRPr="00BD3349">
        <w:rPr>
          <w:rFonts w:ascii="Arial" w:eastAsia="Times New Roman" w:hAnsi="Arial" w:cs="Arial"/>
          <w:sz w:val="24"/>
          <w:szCs w:val="24"/>
        </w:rPr>
        <w:t xml:space="preserve">Dezvoltarea cadrului instituțional și de reglementare a activității din sectorul forestier; </w:t>
      </w:r>
    </w:p>
    <w:p w:rsidR="00BD3349" w:rsidRPr="00BD3349" w:rsidRDefault="00BD3349" w:rsidP="005910C7">
      <w:pPr>
        <w:numPr>
          <w:ilvl w:val="0"/>
          <w:numId w:val="14"/>
        </w:numPr>
        <w:autoSpaceDE w:val="0"/>
        <w:autoSpaceDN w:val="0"/>
        <w:adjustRightInd w:val="0"/>
        <w:spacing w:after="0" w:line="240" w:lineRule="auto"/>
        <w:jc w:val="both"/>
        <w:rPr>
          <w:rFonts w:ascii="Arial" w:eastAsia="Times New Roman" w:hAnsi="Arial" w:cs="Arial"/>
          <w:sz w:val="24"/>
          <w:szCs w:val="24"/>
        </w:rPr>
      </w:pPr>
      <w:r w:rsidRPr="00BD3349">
        <w:rPr>
          <w:rFonts w:ascii="Arial" w:eastAsia="Times New Roman" w:hAnsi="Arial" w:cs="Arial"/>
          <w:sz w:val="24"/>
          <w:szCs w:val="24"/>
        </w:rPr>
        <w:t xml:space="preserve">Gestionarea durabilă şi dezvoltarea resurselor forestiere; </w:t>
      </w:r>
    </w:p>
    <w:p w:rsidR="00BD3349" w:rsidRPr="00BD3349" w:rsidRDefault="00BD3349" w:rsidP="005910C7">
      <w:pPr>
        <w:numPr>
          <w:ilvl w:val="0"/>
          <w:numId w:val="14"/>
        </w:numPr>
        <w:autoSpaceDE w:val="0"/>
        <w:autoSpaceDN w:val="0"/>
        <w:adjustRightInd w:val="0"/>
        <w:spacing w:after="0" w:line="240" w:lineRule="auto"/>
        <w:jc w:val="both"/>
        <w:rPr>
          <w:rFonts w:ascii="Arial" w:eastAsia="Times New Roman" w:hAnsi="Arial" w:cs="Arial"/>
          <w:sz w:val="24"/>
          <w:szCs w:val="24"/>
        </w:rPr>
      </w:pPr>
      <w:r w:rsidRPr="00BD3349">
        <w:rPr>
          <w:rFonts w:ascii="Arial" w:eastAsia="Times New Roman" w:hAnsi="Arial" w:cs="Arial"/>
          <w:sz w:val="24"/>
          <w:szCs w:val="24"/>
        </w:rPr>
        <w:t xml:space="preserve">Planificarea forestieră; </w:t>
      </w:r>
    </w:p>
    <w:p w:rsidR="00BD3349" w:rsidRPr="00BD3349" w:rsidRDefault="00BD3349" w:rsidP="005910C7">
      <w:pPr>
        <w:numPr>
          <w:ilvl w:val="0"/>
          <w:numId w:val="14"/>
        </w:numPr>
        <w:autoSpaceDE w:val="0"/>
        <w:autoSpaceDN w:val="0"/>
        <w:adjustRightInd w:val="0"/>
        <w:spacing w:after="0" w:line="240" w:lineRule="auto"/>
        <w:jc w:val="both"/>
        <w:rPr>
          <w:rFonts w:ascii="Arial" w:eastAsia="Times New Roman" w:hAnsi="Arial" w:cs="Arial"/>
          <w:sz w:val="24"/>
          <w:szCs w:val="24"/>
        </w:rPr>
      </w:pPr>
      <w:r w:rsidRPr="00BD3349">
        <w:rPr>
          <w:rFonts w:ascii="Arial" w:eastAsia="Times New Roman" w:hAnsi="Arial" w:cs="Arial"/>
          <w:sz w:val="24"/>
          <w:szCs w:val="24"/>
        </w:rPr>
        <w:t xml:space="preserve">Valorificarea superioară a produselor forestiere; </w:t>
      </w:r>
    </w:p>
    <w:p w:rsidR="00BD3349" w:rsidRPr="00BD3349" w:rsidRDefault="00BD3349" w:rsidP="005910C7">
      <w:pPr>
        <w:numPr>
          <w:ilvl w:val="0"/>
          <w:numId w:val="14"/>
        </w:numPr>
        <w:autoSpaceDE w:val="0"/>
        <w:autoSpaceDN w:val="0"/>
        <w:adjustRightInd w:val="0"/>
        <w:spacing w:after="0" w:line="240" w:lineRule="auto"/>
        <w:jc w:val="both"/>
        <w:rPr>
          <w:rFonts w:ascii="Arial" w:eastAsia="Times New Roman" w:hAnsi="Arial" w:cs="Arial"/>
          <w:sz w:val="24"/>
          <w:szCs w:val="24"/>
        </w:rPr>
      </w:pPr>
      <w:r w:rsidRPr="00BD3349">
        <w:rPr>
          <w:rFonts w:ascii="Arial" w:eastAsia="Times New Roman" w:hAnsi="Arial" w:cs="Arial"/>
          <w:sz w:val="24"/>
          <w:szCs w:val="24"/>
        </w:rPr>
        <w:t xml:space="preserve">Dezvoltarea dialogului intersectorial și a comunicării strategice în domeniul forestier; </w:t>
      </w:r>
    </w:p>
    <w:p w:rsidR="00BD3349" w:rsidRPr="00BD3349" w:rsidRDefault="00BD3349" w:rsidP="005910C7">
      <w:pPr>
        <w:numPr>
          <w:ilvl w:val="0"/>
          <w:numId w:val="14"/>
        </w:numPr>
        <w:autoSpaceDE w:val="0"/>
        <w:autoSpaceDN w:val="0"/>
        <w:adjustRightInd w:val="0"/>
        <w:spacing w:after="0" w:line="240" w:lineRule="auto"/>
        <w:jc w:val="both"/>
        <w:rPr>
          <w:rFonts w:ascii="Arial" w:eastAsia="Times New Roman" w:hAnsi="Arial" w:cs="Arial"/>
          <w:sz w:val="24"/>
          <w:szCs w:val="24"/>
        </w:rPr>
      </w:pPr>
      <w:r w:rsidRPr="00BD3349">
        <w:rPr>
          <w:rFonts w:ascii="Arial" w:eastAsia="Times New Roman" w:hAnsi="Arial" w:cs="Arial"/>
          <w:sz w:val="24"/>
          <w:szCs w:val="24"/>
        </w:rPr>
        <w:t xml:space="preserve">Dezvoltarea cercetării științifice și a învățământului forestier. </w:t>
      </w:r>
    </w:p>
    <w:p w:rsidR="00BD3349" w:rsidRPr="00BD3349" w:rsidRDefault="00BD3349" w:rsidP="00BD3349">
      <w:pPr>
        <w:keepNext/>
        <w:autoSpaceDE w:val="0"/>
        <w:autoSpaceDN w:val="0"/>
        <w:spacing w:after="0" w:line="240" w:lineRule="auto"/>
        <w:ind w:firstLine="720"/>
        <w:jc w:val="both"/>
        <w:outlineLvl w:val="3"/>
        <w:rPr>
          <w:rFonts w:ascii="Arial" w:eastAsia="Times New Roman" w:hAnsi="Arial" w:cs="Arial"/>
          <w:sz w:val="24"/>
          <w:szCs w:val="24"/>
          <w:lang w:val="ro-RO" w:eastAsia="ro-RO"/>
        </w:rPr>
      </w:pPr>
      <w:r w:rsidRPr="00BD3349">
        <w:rPr>
          <w:rFonts w:ascii="Arial" w:eastAsia="Times New Roman" w:hAnsi="Arial" w:cs="Arial"/>
          <w:sz w:val="24"/>
          <w:szCs w:val="24"/>
          <w:lang w:val="ro-RO" w:eastAsia="ro-RO"/>
        </w:rPr>
        <w:t xml:space="preserve">Impactul estimat </w:t>
      </w:r>
      <w:r w:rsidRPr="00BD3349">
        <w:rPr>
          <w:rFonts w:ascii="Arial" w:eastAsia="Times New Roman" w:hAnsi="Arial" w:cs="Arial"/>
          <w:bCs/>
          <w:sz w:val="24"/>
          <w:szCs w:val="24"/>
          <w:lang w:val="ro-RO" w:eastAsia="ro-RO"/>
        </w:rPr>
        <w:t>pentru atingerea obiectivelor și rezultatelor scontate</w:t>
      </w:r>
      <w:r w:rsidRPr="00BD3349">
        <w:rPr>
          <w:rFonts w:ascii="Arial" w:eastAsia="Times New Roman" w:hAnsi="Arial" w:cs="Arial"/>
          <w:sz w:val="24"/>
          <w:szCs w:val="24"/>
          <w:lang w:val="ro-RO" w:eastAsia="ro-RO"/>
        </w:rPr>
        <w:t xml:space="preserve"> în urma implementării strategiei:</w:t>
      </w:r>
    </w:p>
    <w:p w:rsidR="00BD3349" w:rsidRPr="00BD3349" w:rsidRDefault="00BD3349" w:rsidP="005910C7">
      <w:pPr>
        <w:numPr>
          <w:ilvl w:val="0"/>
          <w:numId w:val="16"/>
        </w:numPr>
        <w:spacing w:after="0" w:line="240" w:lineRule="auto"/>
        <w:contextualSpacing/>
        <w:jc w:val="both"/>
        <w:rPr>
          <w:rFonts w:ascii="Arial" w:eastAsia="SimSun" w:hAnsi="Arial" w:cs="Arial"/>
          <w:sz w:val="24"/>
          <w:szCs w:val="24"/>
          <w:lang w:val="en-GB"/>
        </w:rPr>
      </w:pPr>
      <w:r w:rsidRPr="00BD3349">
        <w:rPr>
          <w:rFonts w:ascii="Arial" w:eastAsia="SimSun" w:hAnsi="Arial" w:cs="Arial"/>
          <w:sz w:val="24"/>
          <w:szCs w:val="24"/>
          <w:lang w:val="en-GB"/>
        </w:rPr>
        <w:t xml:space="preserve">între </w:t>
      </w:r>
      <w:r w:rsidRPr="00BD3349">
        <w:rPr>
          <w:rFonts w:ascii="Arial" w:eastAsia="SimSun" w:hAnsi="Arial" w:cs="Arial"/>
          <w:bCs/>
          <w:sz w:val="24"/>
          <w:szCs w:val="24"/>
          <w:lang w:val="en-GB"/>
        </w:rPr>
        <w:t>10 000 şi 20 000 hectare de împăduriri anual</w:t>
      </w:r>
      <w:r w:rsidRPr="00BD3349">
        <w:rPr>
          <w:rFonts w:ascii="Arial" w:eastAsia="SimSun" w:hAnsi="Arial" w:cs="Arial"/>
          <w:sz w:val="24"/>
          <w:szCs w:val="24"/>
          <w:lang w:val="en-GB"/>
        </w:rPr>
        <w:t>, pentru creşterea suprafeţelor acoperite de pădure;</w:t>
      </w:r>
    </w:p>
    <w:p w:rsidR="00BD3349" w:rsidRPr="00BD3349" w:rsidRDefault="00BD3349" w:rsidP="005910C7">
      <w:pPr>
        <w:numPr>
          <w:ilvl w:val="0"/>
          <w:numId w:val="16"/>
        </w:numPr>
        <w:spacing w:after="0" w:line="240" w:lineRule="auto"/>
        <w:contextualSpacing/>
        <w:jc w:val="both"/>
        <w:rPr>
          <w:rFonts w:ascii="Arial" w:eastAsia="SimSun" w:hAnsi="Arial" w:cs="Arial"/>
          <w:sz w:val="24"/>
          <w:szCs w:val="24"/>
          <w:lang w:val="en-GB"/>
        </w:rPr>
      </w:pPr>
      <w:r w:rsidRPr="00BD3349">
        <w:rPr>
          <w:rFonts w:ascii="Arial" w:eastAsia="SimSun" w:hAnsi="Arial" w:cs="Arial"/>
          <w:sz w:val="24"/>
          <w:szCs w:val="24"/>
          <w:lang w:val="en-GB"/>
        </w:rPr>
        <w:t xml:space="preserve">realizarea </w:t>
      </w:r>
      <w:r w:rsidRPr="00BD3349">
        <w:rPr>
          <w:rFonts w:ascii="Arial" w:eastAsia="SimSun" w:hAnsi="Arial" w:cs="Arial"/>
          <w:bCs/>
          <w:sz w:val="24"/>
          <w:szCs w:val="24"/>
          <w:lang w:val="en-GB"/>
        </w:rPr>
        <w:t>Sistemului naţional de perdele forestiere</w:t>
      </w:r>
      <w:r w:rsidRPr="00BD3349">
        <w:rPr>
          <w:rFonts w:ascii="Arial" w:eastAsia="SimSun" w:hAnsi="Arial" w:cs="Arial"/>
          <w:sz w:val="24"/>
          <w:szCs w:val="24"/>
          <w:lang w:val="en-GB"/>
        </w:rPr>
        <w:t xml:space="preserve"> prin înfiinţarea a </w:t>
      </w:r>
      <w:r w:rsidRPr="00BD3349">
        <w:rPr>
          <w:rFonts w:ascii="Arial" w:eastAsia="SimSun" w:hAnsi="Arial" w:cs="Arial"/>
          <w:bCs/>
          <w:sz w:val="24"/>
          <w:szCs w:val="24"/>
          <w:lang w:val="en-GB"/>
        </w:rPr>
        <w:t>1000 hectare de perdele;</w:t>
      </w:r>
    </w:p>
    <w:p w:rsidR="00BD3349" w:rsidRPr="00BD3349" w:rsidRDefault="00BD3349" w:rsidP="005910C7">
      <w:pPr>
        <w:numPr>
          <w:ilvl w:val="0"/>
          <w:numId w:val="16"/>
        </w:numPr>
        <w:spacing w:after="0" w:line="240" w:lineRule="auto"/>
        <w:contextualSpacing/>
        <w:jc w:val="both"/>
        <w:rPr>
          <w:rFonts w:ascii="Arial" w:eastAsia="SimSun" w:hAnsi="Arial" w:cs="Arial"/>
          <w:sz w:val="24"/>
          <w:szCs w:val="24"/>
          <w:lang w:val="en-GB"/>
        </w:rPr>
      </w:pPr>
      <w:r w:rsidRPr="00BD3349">
        <w:rPr>
          <w:rFonts w:ascii="Arial" w:eastAsia="SimSun" w:hAnsi="Arial" w:cs="Arial"/>
          <w:sz w:val="24"/>
          <w:szCs w:val="24"/>
          <w:lang w:val="en-GB"/>
        </w:rPr>
        <w:t>amenajarea eficientă a bazinelor hidrografice situate în fond forestier;</w:t>
      </w:r>
    </w:p>
    <w:p w:rsidR="00BD3349" w:rsidRPr="00BD3349" w:rsidRDefault="00BD3349" w:rsidP="005910C7">
      <w:pPr>
        <w:numPr>
          <w:ilvl w:val="0"/>
          <w:numId w:val="16"/>
        </w:numPr>
        <w:spacing w:after="0" w:line="240" w:lineRule="auto"/>
        <w:contextualSpacing/>
        <w:jc w:val="both"/>
        <w:rPr>
          <w:rFonts w:ascii="Arial" w:eastAsia="SimSun" w:hAnsi="Arial" w:cs="Arial"/>
          <w:sz w:val="24"/>
          <w:szCs w:val="24"/>
          <w:lang w:val="en-GB"/>
        </w:rPr>
      </w:pPr>
      <w:r w:rsidRPr="00BD3349">
        <w:rPr>
          <w:rFonts w:ascii="Arial" w:eastAsia="SimSun" w:hAnsi="Arial" w:cs="Arial"/>
          <w:bCs/>
          <w:sz w:val="24"/>
          <w:szCs w:val="24"/>
          <w:lang w:val="en-GB"/>
        </w:rPr>
        <w:t>administrarea integrală a pădurilor României;</w:t>
      </w:r>
    </w:p>
    <w:p w:rsidR="00BD3349" w:rsidRPr="00BD3349" w:rsidRDefault="00BD3349" w:rsidP="005910C7">
      <w:pPr>
        <w:numPr>
          <w:ilvl w:val="0"/>
          <w:numId w:val="16"/>
        </w:numPr>
        <w:spacing w:after="0" w:line="240" w:lineRule="auto"/>
        <w:contextualSpacing/>
        <w:jc w:val="both"/>
        <w:rPr>
          <w:rFonts w:ascii="Arial" w:eastAsia="SimSun" w:hAnsi="Arial" w:cs="Arial"/>
          <w:sz w:val="24"/>
          <w:szCs w:val="24"/>
          <w:lang w:val="en-GB"/>
        </w:rPr>
      </w:pPr>
      <w:r w:rsidRPr="00BD3349">
        <w:rPr>
          <w:rFonts w:ascii="Arial" w:eastAsia="SimSun" w:hAnsi="Arial" w:cs="Arial"/>
          <w:sz w:val="24"/>
          <w:szCs w:val="24"/>
          <w:lang w:val="en-GB"/>
        </w:rPr>
        <w:t>creşterea vânzărilor în sector în condiţiile reducerii ponderii pieţei negre a lemnului;</w:t>
      </w:r>
    </w:p>
    <w:p w:rsidR="00BD3349" w:rsidRPr="00BD3349" w:rsidRDefault="00BD3349" w:rsidP="005910C7">
      <w:pPr>
        <w:numPr>
          <w:ilvl w:val="0"/>
          <w:numId w:val="16"/>
        </w:numPr>
        <w:spacing w:after="0" w:line="240" w:lineRule="auto"/>
        <w:contextualSpacing/>
        <w:jc w:val="both"/>
        <w:rPr>
          <w:rFonts w:ascii="Arial" w:eastAsia="SimSun" w:hAnsi="Arial" w:cs="Arial"/>
          <w:sz w:val="24"/>
          <w:szCs w:val="24"/>
          <w:lang w:val="en-GB"/>
        </w:rPr>
      </w:pPr>
      <w:r w:rsidRPr="00BD3349">
        <w:rPr>
          <w:rFonts w:ascii="Arial" w:eastAsia="SimSun" w:hAnsi="Arial" w:cs="Arial"/>
          <w:bCs/>
          <w:sz w:val="24"/>
          <w:szCs w:val="24"/>
          <w:lang w:val="en-GB"/>
        </w:rPr>
        <w:t>creşterea gradului de accesibilitate cu 6500 km pâna în 2022;</w:t>
      </w:r>
    </w:p>
    <w:p w:rsidR="00BD3349" w:rsidRPr="00BD3349" w:rsidRDefault="00BD3349" w:rsidP="005910C7">
      <w:pPr>
        <w:numPr>
          <w:ilvl w:val="0"/>
          <w:numId w:val="16"/>
        </w:numPr>
        <w:spacing w:after="0" w:line="240" w:lineRule="auto"/>
        <w:contextualSpacing/>
        <w:jc w:val="both"/>
        <w:rPr>
          <w:rFonts w:ascii="Arial" w:eastAsia="SimSun" w:hAnsi="Arial" w:cs="Arial"/>
          <w:sz w:val="24"/>
          <w:szCs w:val="24"/>
          <w:lang w:val="en-GB"/>
        </w:rPr>
      </w:pPr>
      <w:r w:rsidRPr="00BD3349">
        <w:rPr>
          <w:rFonts w:ascii="Arial" w:eastAsia="SimSun" w:hAnsi="Arial" w:cs="Arial"/>
          <w:sz w:val="24"/>
          <w:szCs w:val="24"/>
          <w:lang w:val="en-GB"/>
        </w:rPr>
        <w:t>impact aşteptat asupra veniturilor la buget, datorită TVA aplicat vânzărilor de masă lemnoasă;</w:t>
      </w:r>
    </w:p>
    <w:p w:rsidR="00BD3349" w:rsidRPr="00BD3349" w:rsidRDefault="00BD3349" w:rsidP="005910C7">
      <w:pPr>
        <w:numPr>
          <w:ilvl w:val="0"/>
          <w:numId w:val="16"/>
        </w:numPr>
        <w:spacing w:after="0" w:line="240" w:lineRule="auto"/>
        <w:contextualSpacing/>
        <w:jc w:val="both"/>
        <w:rPr>
          <w:rFonts w:ascii="Arial" w:eastAsia="SimSun" w:hAnsi="Arial" w:cs="Arial"/>
          <w:sz w:val="24"/>
          <w:szCs w:val="24"/>
          <w:lang w:val="en-GB"/>
        </w:rPr>
      </w:pPr>
      <w:r w:rsidRPr="00BD3349">
        <w:rPr>
          <w:rFonts w:ascii="Arial" w:eastAsia="SimSun" w:hAnsi="Arial" w:cs="Arial"/>
          <w:sz w:val="24"/>
          <w:szCs w:val="24"/>
          <w:lang w:val="en-GB"/>
        </w:rPr>
        <w:t>reducerea costurilor de producţie în industria lemnului, datorită unei sortări superioare a acestuia</w:t>
      </w:r>
      <w:r w:rsidRPr="00BD3349">
        <w:rPr>
          <w:rFonts w:ascii="Arial" w:eastAsia="SimSun" w:hAnsi="Arial" w:cs="Arial"/>
          <w:bCs/>
          <w:sz w:val="24"/>
          <w:szCs w:val="24"/>
          <w:lang w:val="en-GB"/>
        </w:rPr>
        <w:t>;</w:t>
      </w:r>
    </w:p>
    <w:p w:rsidR="00BD3349" w:rsidRPr="00BD3349" w:rsidRDefault="00BD3349" w:rsidP="005910C7">
      <w:pPr>
        <w:numPr>
          <w:ilvl w:val="0"/>
          <w:numId w:val="16"/>
        </w:numPr>
        <w:spacing w:after="0" w:line="240" w:lineRule="auto"/>
        <w:contextualSpacing/>
        <w:jc w:val="both"/>
        <w:rPr>
          <w:rFonts w:ascii="Arial" w:eastAsia="SimSun" w:hAnsi="Arial" w:cs="Arial"/>
          <w:sz w:val="24"/>
          <w:szCs w:val="24"/>
          <w:lang w:val="en-GB"/>
        </w:rPr>
      </w:pPr>
      <w:r w:rsidRPr="00BD3349">
        <w:rPr>
          <w:rFonts w:ascii="Arial" w:eastAsia="SimSun" w:hAnsi="Arial" w:cs="Arial"/>
          <w:sz w:val="24"/>
          <w:szCs w:val="24"/>
          <w:lang w:val="en-GB"/>
        </w:rPr>
        <w:t>creşterea vânzărilor în sector în condiţiile reducerii ponderii pieţei negre a lemnului;</w:t>
      </w:r>
    </w:p>
    <w:p w:rsidR="00BD3349" w:rsidRPr="00BD3349" w:rsidRDefault="00BD3349" w:rsidP="005910C7">
      <w:pPr>
        <w:numPr>
          <w:ilvl w:val="0"/>
          <w:numId w:val="16"/>
        </w:numPr>
        <w:spacing w:after="0" w:line="240" w:lineRule="auto"/>
        <w:contextualSpacing/>
        <w:jc w:val="both"/>
        <w:rPr>
          <w:rFonts w:ascii="Arial" w:eastAsia="SimSun" w:hAnsi="Arial" w:cs="Arial"/>
          <w:sz w:val="24"/>
          <w:szCs w:val="24"/>
          <w:lang w:val="en-GB"/>
        </w:rPr>
      </w:pPr>
      <w:r w:rsidRPr="00BD3349">
        <w:rPr>
          <w:rFonts w:ascii="Arial" w:eastAsia="SimSun" w:hAnsi="Arial" w:cs="Arial"/>
          <w:bCs/>
          <w:sz w:val="24"/>
          <w:szCs w:val="24"/>
          <w:lang w:val="en-GB"/>
        </w:rPr>
        <w:t>scăderea tăierilor ilegale</w:t>
      </w:r>
      <w:r w:rsidRPr="00BD3349">
        <w:rPr>
          <w:rFonts w:ascii="Arial" w:eastAsia="SimSun" w:hAnsi="Arial" w:cs="Arial"/>
          <w:sz w:val="24"/>
          <w:szCs w:val="24"/>
          <w:lang w:val="en-GB"/>
        </w:rPr>
        <w:t xml:space="preserve"> prin existenţa unui Sistem Naţional, funcţional, armonizat cu cel european care să monitorizeze provenienţa şi parcursul materialului lemonos;</w:t>
      </w:r>
    </w:p>
    <w:p w:rsidR="00BD3349" w:rsidRPr="00BD3349" w:rsidRDefault="00BD3349" w:rsidP="005910C7">
      <w:pPr>
        <w:numPr>
          <w:ilvl w:val="0"/>
          <w:numId w:val="16"/>
        </w:numPr>
        <w:spacing w:after="0" w:line="240" w:lineRule="auto"/>
        <w:contextualSpacing/>
        <w:jc w:val="both"/>
        <w:rPr>
          <w:rFonts w:ascii="Arial" w:eastAsia="SimSun" w:hAnsi="Arial" w:cs="Arial"/>
          <w:sz w:val="24"/>
          <w:szCs w:val="24"/>
          <w:lang w:val="en-GB"/>
        </w:rPr>
      </w:pPr>
      <w:r w:rsidRPr="00BD3349">
        <w:rPr>
          <w:rFonts w:ascii="Arial" w:eastAsia="SimSun" w:hAnsi="Arial" w:cs="Arial"/>
          <w:sz w:val="24"/>
          <w:szCs w:val="24"/>
          <w:lang w:val="en-GB"/>
        </w:rPr>
        <w:t>menţinerea şi ameliorarea biodiversităţii ecosistemelor forestiere;</w:t>
      </w:r>
    </w:p>
    <w:p w:rsidR="00BD3349" w:rsidRPr="00BD3349" w:rsidRDefault="00BD3349" w:rsidP="005910C7">
      <w:pPr>
        <w:numPr>
          <w:ilvl w:val="0"/>
          <w:numId w:val="16"/>
        </w:numPr>
        <w:spacing w:after="0" w:line="240" w:lineRule="auto"/>
        <w:contextualSpacing/>
        <w:jc w:val="both"/>
        <w:rPr>
          <w:rFonts w:ascii="Arial" w:eastAsia="SimSun" w:hAnsi="Arial" w:cs="Arial"/>
          <w:sz w:val="24"/>
          <w:szCs w:val="24"/>
          <w:lang w:val="en-GB"/>
        </w:rPr>
      </w:pPr>
      <w:r w:rsidRPr="00BD3349">
        <w:rPr>
          <w:rFonts w:ascii="Arial" w:eastAsia="SimSun" w:hAnsi="Arial" w:cs="Arial"/>
          <w:sz w:val="24"/>
          <w:szCs w:val="24"/>
          <w:lang w:val="en-GB"/>
        </w:rPr>
        <w:t>crearea unui sistem de criterii şi indicatori compatibili cu cei europeni pentru monitorizarea gestionării durabile a pădurilor.</w:t>
      </w:r>
      <w:r w:rsidRPr="00BD3349">
        <w:rPr>
          <w:rFonts w:ascii="Arial" w:eastAsia="SimSun" w:hAnsi="Arial" w:cs="Arial"/>
          <w:sz w:val="20"/>
          <w:szCs w:val="20"/>
          <w:lang w:val="en-GB"/>
        </w:rPr>
        <w:t>(Sursa: Strategia Forestieră Naţională 2013-2022)</w:t>
      </w:r>
    </w:p>
    <w:p w:rsidR="00BD3349" w:rsidRPr="00BD3349" w:rsidRDefault="00BD3349" w:rsidP="00BD3349">
      <w:pPr>
        <w:spacing w:after="0" w:line="240" w:lineRule="auto"/>
        <w:rPr>
          <w:rFonts w:ascii="Arial Narrow" w:eastAsia="Times New Roman" w:hAnsi="Arial Narrow" w:cs="Times New Roman"/>
          <w:sz w:val="20"/>
          <w:szCs w:val="20"/>
        </w:rPr>
      </w:pPr>
    </w:p>
    <w:p w:rsidR="00BD3349" w:rsidRPr="00BD3349" w:rsidRDefault="00BD3349" w:rsidP="00BD3349">
      <w:pPr>
        <w:autoSpaceDE w:val="0"/>
        <w:autoSpaceDN w:val="0"/>
        <w:adjustRightInd w:val="0"/>
        <w:spacing w:after="0" w:line="240" w:lineRule="auto"/>
        <w:ind w:firstLine="720"/>
        <w:jc w:val="both"/>
        <w:rPr>
          <w:rFonts w:ascii="Arial" w:eastAsia="Times New Roman" w:hAnsi="Arial" w:cs="Arial"/>
          <w:sz w:val="24"/>
          <w:szCs w:val="24"/>
        </w:rPr>
      </w:pPr>
      <w:r w:rsidRPr="00BD3349">
        <w:rPr>
          <w:rFonts w:ascii="Arial" w:eastAsia="Times New Roman" w:hAnsi="Arial" w:cs="Arial"/>
          <w:bCs/>
          <w:sz w:val="24"/>
          <w:szCs w:val="24"/>
        </w:rPr>
        <w:t xml:space="preserve">Prin însăşi existenţa lor, pădurile </w:t>
      </w:r>
      <w:r w:rsidRPr="00BD3349">
        <w:rPr>
          <w:rFonts w:ascii="Arial" w:eastAsia="Times New Roman" w:hAnsi="Arial" w:cs="Arial"/>
          <w:sz w:val="24"/>
          <w:szCs w:val="24"/>
        </w:rPr>
        <w:t>oferă adăpost unei largi game de specii din fauna cinegetică, dar oferă posibilitatea recoltării şi altor produse în afara lemnului, ca fructele de pădure, ciupercile din flora spontană, specii erbacee folosite în scop medicinal sau ornamental, răşini.</w:t>
      </w:r>
    </w:p>
    <w:p w:rsidR="00BD3349" w:rsidRPr="00BD3349" w:rsidRDefault="00BD3349" w:rsidP="00BD3349">
      <w:pPr>
        <w:autoSpaceDE w:val="0"/>
        <w:autoSpaceDN w:val="0"/>
        <w:adjustRightInd w:val="0"/>
        <w:spacing w:after="0" w:line="240" w:lineRule="auto"/>
        <w:ind w:firstLine="720"/>
        <w:jc w:val="both"/>
        <w:rPr>
          <w:rFonts w:ascii="Arial" w:eastAsia="Times New Roman" w:hAnsi="Arial" w:cs="Arial"/>
          <w:sz w:val="24"/>
          <w:szCs w:val="24"/>
        </w:rPr>
      </w:pPr>
      <w:r w:rsidRPr="00BD3349">
        <w:rPr>
          <w:rFonts w:ascii="Arial" w:eastAsia="Times New Roman" w:hAnsi="Arial" w:cs="Arial"/>
          <w:sz w:val="24"/>
          <w:szCs w:val="24"/>
        </w:rPr>
        <w:t>Gestionarea durabilă a pădurilor asigură realizarea funcţiilor lor multiple de natură economică, socială şi ecologică. Influenţa antropică asupra pădurii este în general negativă şi rezultă din încălcarea prevederilor legislaţiei silvice şi de mediu privind tăierile de arbori, amenajarea locurilor de campare, colectarea şi transportarea deşeurilor menajere în locuri stabilite, amenajarea vetrelor de foc.</w:t>
      </w:r>
    </w:p>
    <w:p w:rsidR="00BD3349" w:rsidRPr="00BD3349" w:rsidRDefault="00BD3349" w:rsidP="00BD3349">
      <w:pPr>
        <w:autoSpaceDE w:val="0"/>
        <w:autoSpaceDN w:val="0"/>
        <w:adjustRightInd w:val="0"/>
        <w:spacing w:after="0" w:line="240" w:lineRule="auto"/>
        <w:ind w:firstLine="720"/>
        <w:jc w:val="both"/>
        <w:rPr>
          <w:rFonts w:ascii="Arial" w:eastAsia="Times New Roman" w:hAnsi="Arial" w:cs="Arial"/>
          <w:sz w:val="24"/>
          <w:szCs w:val="24"/>
        </w:rPr>
      </w:pPr>
      <w:r w:rsidRPr="00BD3349">
        <w:rPr>
          <w:rFonts w:ascii="Arial" w:eastAsia="Times New Roman" w:hAnsi="Arial" w:cs="Arial"/>
          <w:sz w:val="24"/>
          <w:szCs w:val="24"/>
        </w:rPr>
        <w:lastRenderedPageBreak/>
        <w:t>La deteriorarea pădurilor contribuie mai mulţi factori. Nu numai retrocedarea unor suprafeţe importante de pădure influențează direct gospodărirea acestei resurse ci şi diversitatea noilor forme de proprietate. Obiectivul principal al noilor proprietari îl reprezintă obţinerea unor beneficii cât mai mari şi într-un termen cât mai scurt. Un rol important îl au defrişările ilegale din pădurile private şi exploatarea forestieră extensivă, în timp ce factorii de climă (seceta, inundaţiile, gerurile puternice) exercită presiuni puternice asupra pădurii. Astfel, gospodărirea durabilă a acestor resurse a devenit o adevărată provocare, mai ales în zonele puternic antropizate.</w:t>
      </w:r>
    </w:p>
    <w:p w:rsidR="00BD3349" w:rsidRPr="00BD3349" w:rsidRDefault="00BD3349" w:rsidP="00BD3349">
      <w:pPr>
        <w:autoSpaceDE w:val="0"/>
        <w:autoSpaceDN w:val="0"/>
        <w:adjustRightInd w:val="0"/>
        <w:spacing w:after="0" w:line="240" w:lineRule="auto"/>
        <w:ind w:firstLine="720"/>
        <w:jc w:val="both"/>
        <w:rPr>
          <w:rFonts w:ascii="Arial" w:eastAsia="Times New Roman" w:hAnsi="Arial" w:cs="Arial"/>
          <w:sz w:val="24"/>
          <w:szCs w:val="24"/>
        </w:rPr>
      </w:pPr>
      <w:r w:rsidRPr="00BD3349">
        <w:rPr>
          <w:rFonts w:ascii="Arial" w:eastAsia="Times New Roman" w:hAnsi="Arial" w:cs="Arial"/>
          <w:sz w:val="24"/>
          <w:szCs w:val="24"/>
        </w:rPr>
        <w:t>Măsurile ce trebuie întreprinse în domeniul fondului forestier trebuie să vizeze: conservarea biodiversităţii ecosistemelor forestiere prin măsuri de gestionare durabilă, prin aplicarea de tratamente intensive, care promovează regenerarea naturală a speciilor din tipul natural fundamental de pădure, prin conservarea pădurilor virgine şi cvasivirgine, mărirea suprafeţei fondului forestier prin împădurirea de terenuri din afara acestuia şi includerea în fond forestier a suprafeţelor împădurite, reanalizarea tratamentelor silvice având în vedere impactul schimbărilor climatice, asigurarea fondurilor pentru plata compensaţiilor reprezentând contravaloarea produselor pe care proprietarii nu le recoltează datorită funcţiilor de protecţie stabilite prin amenajamente silvice.</w:t>
      </w:r>
    </w:p>
    <w:p w:rsidR="00BD3349" w:rsidRPr="00BD3349" w:rsidRDefault="00BD3349" w:rsidP="00BD3349">
      <w:pPr>
        <w:autoSpaceDE w:val="0"/>
        <w:autoSpaceDN w:val="0"/>
        <w:adjustRightInd w:val="0"/>
        <w:spacing w:after="0" w:line="240" w:lineRule="auto"/>
        <w:ind w:firstLine="720"/>
        <w:jc w:val="both"/>
        <w:rPr>
          <w:rFonts w:ascii="Arial" w:eastAsia="Times New Roman" w:hAnsi="Arial" w:cs="Arial"/>
          <w:sz w:val="24"/>
          <w:szCs w:val="24"/>
        </w:rPr>
      </w:pPr>
      <w:r w:rsidRPr="00BD3349">
        <w:rPr>
          <w:rFonts w:ascii="Arial" w:eastAsia="Times New Roman" w:hAnsi="Arial" w:cs="Arial"/>
          <w:sz w:val="24"/>
          <w:szCs w:val="24"/>
        </w:rPr>
        <w:t>Un teren neîmpădurit este supus degradării continue. În schimb, versanţii împăduriţi, nu numai că schimbă total înfăţişarea locului, dar au un rol important în filtrarea apelor. Pădurea contribuie la formarea şi conservarea mediului, dar ea însăşi, în lumea de astăzi, are nevoie permanentă de ocrotire din partea omului, pentru a-şi exercita în bune condiţii funcţiile legate de mediu.</w:t>
      </w:r>
      <w:r w:rsidRPr="00BD3349">
        <w:rPr>
          <w:rFonts w:ascii="Arial" w:eastAsia="Times New Roman" w:hAnsi="Arial" w:cs="Arial"/>
          <w:sz w:val="20"/>
          <w:szCs w:val="20"/>
        </w:rPr>
        <w:t xml:space="preserve">(Sursa: ANPM - </w:t>
      </w:r>
      <w:r w:rsidRPr="00BD3349">
        <w:rPr>
          <w:rFonts w:ascii="Arial" w:eastAsia="Times New Roman" w:hAnsi="Arial" w:cs="Arial"/>
          <w:bCs/>
          <w:sz w:val="20"/>
          <w:szCs w:val="20"/>
        </w:rPr>
        <w:t>Raport național privind starea mediului pentru anul 2013)</w:t>
      </w:r>
    </w:p>
    <w:p w:rsidR="007C4251" w:rsidRDefault="007C4251" w:rsidP="00830DBB">
      <w:pPr>
        <w:autoSpaceDE w:val="0"/>
        <w:autoSpaceDN w:val="0"/>
        <w:adjustRightInd w:val="0"/>
        <w:spacing w:after="120" w:line="240" w:lineRule="auto"/>
        <w:jc w:val="both"/>
        <w:rPr>
          <w:rFonts w:ascii="Arial" w:eastAsia="SimSun" w:hAnsi="Arial" w:cs="Arial"/>
          <w:color w:val="000000" w:themeColor="text1"/>
          <w:sz w:val="24"/>
          <w:szCs w:val="24"/>
          <w:lang w:val="en-GB"/>
        </w:rPr>
      </w:pPr>
    </w:p>
    <w:p w:rsidR="007C4251" w:rsidRDefault="007C4251" w:rsidP="00830DBB">
      <w:pPr>
        <w:autoSpaceDE w:val="0"/>
        <w:autoSpaceDN w:val="0"/>
        <w:adjustRightInd w:val="0"/>
        <w:spacing w:after="120" w:line="240" w:lineRule="auto"/>
        <w:jc w:val="both"/>
        <w:rPr>
          <w:rFonts w:ascii="Arial" w:eastAsia="SimSun" w:hAnsi="Arial" w:cs="Arial"/>
          <w:color w:val="000000" w:themeColor="text1"/>
          <w:sz w:val="24"/>
          <w:szCs w:val="24"/>
          <w:lang w:val="en-GB"/>
        </w:rPr>
      </w:pPr>
    </w:p>
    <w:p w:rsidR="00855393" w:rsidRDefault="00855393" w:rsidP="00830DBB">
      <w:pPr>
        <w:autoSpaceDE w:val="0"/>
        <w:autoSpaceDN w:val="0"/>
        <w:adjustRightInd w:val="0"/>
        <w:spacing w:after="120" w:line="240" w:lineRule="auto"/>
        <w:jc w:val="both"/>
        <w:rPr>
          <w:rFonts w:ascii="Arial" w:eastAsia="SimSun" w:hAnsi="Arial" w:cs="Arial"/>
          <w:color w:val="000000" w:themeColor="text1"/>
          <w:sz w:val="24"/>
          <w:szCs w:val="24"/>
          <w:lang w:val="en-GB"/>
        </w:rPr>
      </w:pPr>
    </w:p>
    <w:p w:rsidR="00855393" w:rsidRDefault="00855393" w:rsidP="00830DBB">
      <w:pPr>
        <w:autoSpaceDE w:val="0"/>
        <w:autoSpaceDN w:val="0"/>
        <w:adjustRightInd w:val="0"/>
        <w:spacing w:after="120" w:line="240" w:lineRule="auto"/>
        <w:jc w:val="both"/>
        <w:rPr>
          <w:rFonts w:ascii="Arial" w:eastAsia="SimSun" w:hAnsi="Arial" w:cs="Arial"/>
          <w:color w:val="000000" w:themeColor="text1"/>
          <w:sz w:val="24"/>
          <w:szCs w:val="24"/>
          <w:lang w:val="en-GB"/>
        </w:rPr>
      </w:pPr>
    </w:p>
    <w:p w:rsidR="00855393" w:rsidRDefault="00855393" w:rsidP="00830DBB">
      <w:pPr>
        <w:autoSpaceDE w:val="0"/>
        <w:autoSpaceDN w:val="0"/>
        <w:adjustRightInd w:val="0"/>
        <w:spacing w:after="120" w:line="240" w:lineRule="auto"/>
        <w:jc w:val="both"/>
        <w:rPr>
          <w:rFonts w:ascii="Arial" w:eastAsia="SimSun" w:hAnsi="Arial" w:cs="Arial"/>
          <w:color w:val="000000" w:themeColor="text1"/>
          <w:sz w:val="24"/>
          <w:szCs w:val="24"/>
          <w:lang w:val="en-GB"/>
        </w:rPr>
      </w:pPr>
    </w:p>
    <w:p w:rsidR="00855393" w:rsidRDefault="00855393" w:rsidP="00830DBB">
      <w:pPr>
        <w:autoSpaceDE w:val="0"/>
        <w:autoSpaceDN w:val="0"/>
        <w:adjustRightInd w:val="0"/>
        <w:spacing w:after="120" w:line="240" w:lineRule="auto"/>
        <w:jc w:val="both"/>
        <w:rPr>
          <w:rFonts w:ascii="Arial" w:eastAsia="SimSun" w:hAnsi="Arial" w:cs="Arial"/>
          <w:color w:val="000000" w:themeColor="text1"/>
          <w:sz w:val="24"/>
          <w:szCs w:val="24"/>
          <w:lang w:val="en-GB"/>
        </w:rPr>
      </w:pPr>
    </w:p>
    <w:p w:rsidR="00855393" w:rsidRDefault="00855393" w:rsidP="00830DBB">
      <w:pPr>
        <w:autoSpaceDE w:val="0"/>
        <w:autoSpaceDN w:val="0"/>
        <w:adjustRightInd w:val="0"/>
        <w:spacing w:after="120" w:line="240" w:lineRule="auto"/>
        <w:jc w:val="both"/>
        <w:rPr>
          <w:rFonts w:ascii="Arial" w:eastAsia="SimSun" w:hAnsi="Arial" w:cs="Arial"/>
          <w:color w:val="000000" w:themeColor="text1"/>
          <w:sz w:val="24"/>
          <w:szCs w:val="24"/>
          <w:lang w:val="en-GB"/>
        </w:rPr>
      </w:pPr>
    </w:p>
    <w:p w:rsidR="00855393" w:rsidRDefault="00855393" w:rsidP="00830DBB">
      <w:pPr>
        <w:autoSpaceDE w:val="0"/>
        <w:autoSpaceDN w:val="0"/>
        <w:adjustRightInd w:val="0"/>
        <w:spacing w:after="120" w:line="240" w:lineRule="auto"/>
        <w:jc w:val="both"/>
        <w:rPr>
          <w:rFonts w:ascii="Arial" w:eastAsia="SimSun" w:hAnsi="Arial" w:cs="Arial"/>
          <w:color w:val="000000" w:themeColor="text1"/>
          <w:sz w:val="24"/>
          <w:szCs w:val="24"/>
          <w:lang w:val="en-GB"/>
        </w:rPr>
      </w:pPr>
    </w:p>
    <w:p w:rsidR="00855393" w:rsidRDefault="00855393" w:rsidP="00830DBB">
      <w:pPr>
        <w:autoSpaceDE w:val="0"/>
        <w:autoSpaceDN w:val="0"/>
        <w:adjustRightInd w:val="0"/>
        <w:spacing w:after="120" w:line="240" w:lineRule="auto"/>
        <w:jc w:val="both"/>
        <w:rPr>
          <w:rFonts w:ascii="Arial" w:eastAsia="SimSun" w:hAnsi="Arial" w:cs="Arial"/>
          <w:color w:val="000000" w:themeColor="text1"/>
          <w:sz w:val="24"/>
          <w:szCs w:val="24"/>
          <w:lang w:val="en-GB"/>
        </w:rPr>
      </w:pPr>
    </w:p>
    <w:p w:rsidR="00855393" w:rsidRDefault="00855393" w:rsidP="00830DBB">
      <w:pPr>
        <w:autoSpaceDE w:val="0"/>
        <w:autoSpaceDN w:val="0"/>
        <w:adjustRightInd w:val="0"/>
        <w:spacing w:after="120" w:line="240" w:lineRule="auto"/>
        <w:jc w:val="both"/>
        <w:rPr>
          <w:rFonts w:ascii="Arial" w:eastAsia="SimSun" w:hAnsi="Arial" w:cs="Arial"/>
          <w:color w:val="000000" w:themeColor="text1"/>
          <w:sz w:val="24"/>
          <w:szCs w:val="24"/>
          <w:lang w:val="en-GB"/>
        </w:rPr>
      </w:pPr>
    </w:p>
    <w:p w:rsidR="00855393" w:rsidRDefault="00855393" w:rsidP="00830DBB">
      <w:pPr>
        <w:autoSpaceDE w:val="0"/>
        <w:autoSpaceDN w:val="0"/>
        <w:adjustRightInd w:val="0"/>
        <w:spacing w:after="120" w:line="240" w:lineRule="auto"/>
        <w:jc w:val="both"/>
        <w:rPr>
          <w:rFonts w:ascii="Arial" w:eastAsia="SimSun" w:hAnsi="Arial" w:cs="Arial"/>
          <w:color w:val="000000" w:themeColor="text1"/>
          <w:sz w:val="24"/>
          <w:szCs w:val="24"/>
          <w:lang w:val="en-GB"/>
        </w:rPr>
      </w:pPr>
    </w:p>
    <w:p w:rsidR="00855393" w:rsidRDefault="00855393" w:rsidP="00830DBB">
      <w:pPr>
        <w:autoSpaceDE w:val="0"/>
        <w:autoSpaceDN w:val="0"/>
        <w:adjustRightInd w:val="0"/>
        <w:spacing w:after="120" w:line="240" w:lineRule="auto"/>
        <w:jc w:val="both"/>
        <w:rPr>
          <w:rFonts w:ascii="Arial" w:eastAsia="SimSun" w:hAnsi="Arial" w:cs="Arial"/>
          <w:color w:val="000000" w:themeColor="text1"/>
          <w:sz w:val="24"/>
          <w:szCs w:val="24"/>
          <w:lang w:val="en-GB"/>
        </w:rPr>
      </w:pPr>
    </w:p>
    <w:p w:rsidR="00855393" w:rsidRDefault="00855393" w:rsidP="00830DBB">
      <w:pPr>
        <w:autoSpaceDE w:val="0"/>
        <w:autoSpaceDN w:val="0"/>
        <w:adjustRightInd w:val="0"/>
        <w:spacing w:after="120" w:line="240" w:lineRule="auto"/>
        <w:jc w:val="both"/>
        <w:rPr>
          <w:rFonts w:ascii="Arial" w:eastAsia="SimSun" w:hAnsi="Arial" w:cs="Arial"/>
          <w:color w:val="000000" w:themeColor="text1"/>
          <w:sz w:val="24"/>
          <w:szCs w:val="24"/>
          <w:lang w:val="en-GB"/>
        </w:rPr>
      </w:pPr>
    </w:p>
    <w:p w:rsidR="00855393" w:rsidRDefault="00855393" w:rsidP="00830DBB">
      <w:pPr>
        <w:autoSpaceDE w:val="0"/>
        <w:autoSpaceDN w:val="0"/>
        <w:adjustRightInd w:val="0"/>
        <w:spacing w:after="120" w:line="240" w:lineRule="auto"/>
        <w:jc w:val="both"/>
        <w:rPr>
          <w:rFonts w:ascii="Arial" w:eastAsia="SimSun" w:hAnsi="Arial" w:cs="Arial"/>
          <w:color w:val="000000" w:themeColor="text1"/>
          <w:sz w:val="24"/>
          <w:szCs w:val="24"/>
          <w:lang w:val="en-GB"/>
        </w:rPr>
      </w:pPr>
    </w:p>
    <w:p w:rsidR="00855393" w:rsidRDefault="00855393" w:rsidP="00830DBB">
      <w:pPr>
        <w:autoSpaceDE w:val="0"/>
        <w:autoSpaceDN w:val="0"/>
        <w:adjustRightInd w:val="0"/>
        <w:spacing w:after="120" w:line="240" w:lineRule="auto"/>
        <w:jc w:val="both"/>
        <w:rPr>
          <w:rFonts w:ascii="Arial" w:eastAsia="SimSun" w:hAnsi="Arial" w:cs="Arial"/>
          <w:color w:val="000000" w:themeColor="text1"/>
          <w:sz w:val="24"/>
          <w:szCs w:val="24"/>
          <w:lang w:val="en-GB"/>
        </w:rPr>
      </w:pPr>
    </w:p>
    <w:p w:rsidR="00444864" w:rsidRDefault="00444864" w:rsidP="00830DBB">
      <w:pPr>
        <w:autoSpaceDE w:val="0"/>
        <w:autoSpaceDN w:val="0"/>
        <w:adjustRightInd w:val="0"/>
        <w:spacing w:after="120" w:line="240" w:lineRule="auto"/>
        <w:jc w:val="both"/>
        <w:rPr>
          <w:rFonts w:ascii="Arial" w:eastAsia="SimSun" w:hAnsi="Arial" w:cs="Arial"/>
          <w:color w:val="000000" w:themeColor="text1"/>
          <w:sz w:val="24"/>
          <w:szCs w:val="24"/>
          <w:lang w:val="en-GB"/>
        </w:rPr>
      </w:pPr>
    </w:p>
    <w:p w:rsidR="00855393" w:rsidRDefault="00855393" w:rsidP="00830DBB">
      <w:pPr>
        <w:autoSpaceDE w:val="0"/>
        <w:autoSpaceDN w:val="0"/>
        <w:adjustRightInd w:val="0"/>
        <w:spacing w:after="120" w:line="240" w:lineRule="auto"/>
        <w:jc w:val="both"/>
        <w:rPr>
          <w:rFonts w:ascii="Arial" w:eastAsia="SimSun" w:hAnsi="Arial" w:cs="Arial"/>
          <w:color w:val="000000" w:themeColor="text1"/>
          <w:sz w:val="24"/>
          <w:szCs w:val="24"/>
          <w:lang w:val="en-GB"/>
        </w:rPr>
      </w:pPr>
    </w:p>
    <w:p w:rsidR="00934C02" w:rsidRPr="00934C02" w:rsidRDefault="00934C02" w:rsidP="00934C02">
      <w:pPr>
        <w:spacing w:after="0"/>
        <w:ind w:firstLine="567"/>
        <w:outlineLvl w:val="0"/>
        <w:rPr>
          <w:rFonts w:ascii="Arial" w:eastAsia="Calibri" w:hAnsi="Arial" w:cs="Times New Roman"/>
          <w:b/>
          <w:sz w:val="28"/>
          <w:szCs w:val="28"/>
        </w:rPr>
      </w:pPr>
      <w:r w:rsidRPr="00934C02">
        <w:rPr>
          <w:rFonts w:ascii="Arial" w:eastAsia="Calibri" w:hAnsi="Arial" w:cs="Times New Roman"/>
          <w:b/>
          <w:sz w:val="28"/>
          <w:szCs w:val="28"/>
        </w:rPr>
        <w:t xml:space="preserve">            CAPITOLUL VII. RESURSELE MATERIALE ŞI DEŞEURILE</w:t>
      </w:r>
    </w:p>
    <w:p w:rsidR="00934C02" w:rsidRPr="00934C02" w:rsidRDefault="00934C02" w:rsidP="00934C02">
      <w:pPr>
        <w:rPr>
          <w:rFonts w:ascii="Arial" w:hAnsi="Arial" w:cs="Arial"/>
          <w:sz w:val="24"/>
          <w:szCs w:val="24"/>
        </w:rPr>
      </w:pPr>
    </w:p>
    <w:p w:rsidR="00934C02" w:rsidRPr="00934C02" w:rsidRDefault="00934C02" w:rsidP="00934C02">
      <w:pPr>
        <w:autoSpaceDE w:val="0"/>
        <w:autoSpaceDN w:val="0"/>
        <w:adjustRightInd w:val="0"/>
        <w:spacing w:after="0" w:line="240" w:lineRule="auto"/>
        <w:jc w:val="both"/>
        <w:rPr>
          <w:rFonts w:ascii="Arial" w:hAnsi="Arial" w:cs="Arial"/>
          <w:sz w:val="24"/>
          <w:szCs w:val="24"/>
        </w:rPr>
      </w:pPr>
      <w:r w:rsidRPr="00934C02">
        <w:rPr>
          <w:rFonts w:ascii="Arial" w:hAnsi="Arial" w:cs="Arial"/>
          <w:sz w:val="24"/>
          <w:szCs w:val="24"/>
        </w:rPr>
        <w:t xml:space="preserve">      </w:t>
      </w:r>
      <w:r w:rsidRPr="00934C02">
        <w:rPr>
          <w:rFonts w:ascii="Arial" w:hAnsi="Arial" w:cs="Arial"/>
          <w:sz w:val="24"/>
          <w:szCs w:val="24"/>
        </w:rPr>
        <w:tab/>
        <w:t xml:space="preserve">Resursele materiale, vitale pentru sănătate și pentru calitatea vieții, sunt disponibile doar în cantități limitate. Creșterea economiei mondiale și sporirea populației globale (9 miliarde până în 2050) au ca rezultat consumul rapid al resurselor naturale ale Pământului, de aceea </w:t>
      </w:r>
      <w:r w:rsidRPr="00934C02">
        <w:rPr>
          <w:rFonts w:ascii="Arial" w:hAnsi="Arial" w:cs="Arial"/>
          <w:i/>
          <w:sz w:val="24"/>
          <w:szCs w:val="24"/>
        </w:rPr>
        <w:t>resursele</w:t>
      </w:r>
      <w:r w:rsidRPr="00934C02">
        <w:rPr>
          <w:rFonts w:ascii="Arial" w:hAnsi="Arial" w:cs="Arial"/>
          <w:sz w:val="24"/>
          <w:szCs w:val="24"/>
        </w:rPr>
        <w:t xml:space="preserve"> trebuie să fie gestionate mai eficient pe durata întregului ciclu de viață, de la extracție, transport, prelucrare și consum până la eliminarea deșeurilor. </w:t>
      </w:r>
    </w:p>
    <w:p w:rsidR="00934C02" w:rsidRPr="00934C02" w:rsidRDefault="00934C02" w:rsidP="00934C02">
      <w:pPr>
        <w:autoSpaceDE w:val="0"/>
        <w:autoSpaceDN w:val="0"/>
        <w:adjustRightInd w:val="0"/>
        <w:spacing w:after="0" w:line="240" w:lineRule="auto"/>
        <w:jc w:val="both"/>
        <w:rPr>
          <w:rFonts w:ascii="Arial" w:hAnsi="Arial" w:cs="Arial"/>
          <w:sz w:val="24"/>
          <w:szCs w:val="24"/>
        </w:rPr>
      </w:pPr>
      <w:r w:rsidRPr="00934C02">
        <w:rPr>
          <w:rFonts w:ascii="Arial" w:hAnsi="Arial" w:cs="Arial"/>
          <w:bCs/>
          <w:sz w:val="24"/>
          <w:szCs w:val="24"/>
        </w:rPr>
        <w:t xml:space="preserve">      </w:t>
      </w:r>
      <w:r w:rsidRPr="00934C02">
        <w:rPr>
          <w:rFonts w:ascii="Arial" w:hAnsi="Arial" w:cs="Arial"/>
          <w:bCs/>
          <w:sz w:val="24"/>
          <w:szCs w:val="24"/>
        </w:rPr>
        <w:tab/>
        <w:t xml:space="preserve">La nivelul judeţului Vaslui se manifestă </w:t>
      </w:r>
      <w:r w:rsidRPr="00934C02">
        <w:rPr>
          <w:rFonts w:ascii="Arial" w:hAnsi="Arial" w:cs="Arial"/>
          <w:sz w:val="24"/>
          <w:szCs w:val="24"/>
        </w:rPr>
        <w:t>o lipsă efectivă de resurse materiale, pe care dezvoltarea de până acum a comunităţilor se putea baza.</w:t>
      </w:r>
    </w:p>
    <w:p w:rsidR="00934C02" w:rsidRPr="00934C02" w:rsidRDefault="00934C02" w:rsidP="00934C02">
      <w:pPr>
        <w:spacing w:after="0" w:line="240" w:lineRule="auto"/>
        <w:jc w:val="both"/>
        <w:rPr>
          <w:rFonts w:ascii="Arial" w:hAnsi="Arial" w:cs="Arial"/>
          <w:sz w:val="24"/>
          <w:szCs w:val="24"/>
        </w:rPr>
      </w:pPr>
      <w:r w:rsidRPr="00934C02">
        <w:rPr>
          <w:rFonts w:ascii="Myriad Pro" w:hAnsi="Myriad Pro" w:cs="Myriad Pro"/>
          <w:color w:val="000000"/>
          <w:sz w:val="24"/>
          <w:szCs w:val="24"/>
        </w:rPr>
        <w:t xml:space="preserve">       </w:t>
      </w:r>
      <w:r w:rsidRPr="00934C02">
        <w:rPr>
          <w:rFonts w:ascii="Myriad Pro" w:hAnsi="Myriad Pro" w:cs="Myriad Pro"/>
          <w:color w:val="000000"/>
          <w:sz w:val="24"/>
          <w:szCs w:val="24"/>
        </w:rPr>
        <w:tab/>
      </w:r>
      <w:r w:rsidRPr="00934C02">
        <w:rPr>
          <w:rFonts w:ascii="Arial" w:hAnsi="Arial" w:cs="Arial"/>
          <w:sz w:val="24"/>
          <w:szCs w:val="24"/>
        </w:rPr>
        <w:t>Această lipsă efectivă de resurse materiale, în special resurse de genul materialelor de construcţii (pentru locuinţe, drumuri etc), al lemnului (de care comunităţile  din judeţele de la munte au profitat din plin pentru a se dezvolta), sare, petrol sau alte resurse care ar fi putut reprezenta un avantaj pentru comunităţile vasluiene. Potenţialul agricol şi nou-descoperitul potenţial eolian sunt slab şi foarte slab valorificate, din lipsă de resurse financiare, tehnologie, tehnică şi informaţie.</w:t>
      </w:r>
    </w:p>
    <w:p w:rsidR="00934C02" w:rsidRPr="00934C02" w:rsidRDefault="00934C02" w:rsidP="00934C02">
      <w:pPr>
        <w:spacing w:after="0" w:line="240" w:lineRule="auto"/>
        <w:jc w:val="both"/>
        <w:rPr>
          <w:rFonts w:ascii="Arial" w:hAnsi="Arial" w:cs="Arial"/>
          <w:sz w:val="24"/>
          <w:szCs w:val="24"/>
        </w:rPr>
      </w:pPr>
      <w:r w:rsidRPr="00934C02">
        <w:rPr>
          <w:rFonts w:ascii="Arial" w:hAnsi="Arial" w:cs="Arial"/>
          <w:sz w:val="24"/>
          <w:szCs w:val="24"/>
        </w:rPr>
        <w:t xml:space="preserve">        </w:t>
      </w:r>
      <w:r w:rsidRPr="00934C02">
        <w:rPr>
          <w:rFonts w:ascii="Arial" w:hAnsi="Arial" w:cs="Arial"/>
          <w:sz w:val="24"/>
          <w:szCs w:val="24"/>
        </w:rPr>
        <w:tab/>
        <w:t>Singura resursă autohtonă pe care s-a bazat (şi încă se poate baza) dezvoltarea judeţului Vaslui este resursa umană, a cărei calitate se pare că este nativă. Problema este modalitatea prin care judeţul Vaslui va reuşi să valorifice şi această atât de importantă resursă.</w:t>
      </w:r>
    </w:p>
    <w:p w:rsidR="00934C02" w:rsidRPr="00934C02" w:rsidRDefault="00934C02" w:rsidP="00934C02">
      <w:pPr>
        <w:spacing w:after="0" w:line="240" w:lineRule="auto"/>
        <w:ind w:firstLine="720"/>
        <w:jc w:val="both"/>
        <w:rPr>
          <w:rFonts w:ascii="Arial" w:hAnsi="Arial" w:cs="Arial"/>
          <w:sz w:val="24"/>
          <w:szCs w:val="24"/>
          <w:lang w:val="ro-RO"/>
        </w:rPr>
      </w:pPr>
      <w:r w:rsidRPr="00934C02">
        <w:rPr>
          <w:rFonts w:ascii="Arial" w:hAnsi="Arial" w:cs="Arial"/>
          <w:sz w:val="24"/>
          <w:szCs w:val="24"/>
        </w:rPr>
        <w:t>Totu</w:t>
      </w:r>
      <w:r w:rsidRPr="00934C02">
        <w:rPr>
          <w:rFonts w:ascii="Arial" w:hAnsi="Arial" w:cs="Arial"/>
          <w:sz w:val="24"/>
          <w:szCs w:val="24"/>
          <w:lang w:val="ro-RO"/>
        </w:rPr>
        <w:t>ş</w:t>
      </w:r>
      <w:r w:rsidRPr="00934C02">
        <w:rPr>
          <w:rFonts w:ascii="Arial" w:hAnsi="Arial" w:cs="Arial"/>
          <w:sz w:val="24"/>
          <w:szCs w:val="24"/>
        </w:rPr>
        <w:t>i,</w:t>
      </w:r>
      <w:r w:rsidRPr="00934C02">
        <w:rPr>
          <w:rFonts w:ascii="Arial" w:hAnsi="Arial" w:cs="Arial"/>
          <w:sz w:val="24"/>
          <w:szCs w:val="24"/>
          <w:lang w:val="ro-RO"/>
        </w:rPr>
        <w:t xml:space="preserve"> în condiţiile date, se poate spune că judeţul Vaslui dispune de cantităţi mici de resurse ale solului şi subsolului. Dintre resursele solului se disting: </w:t>
      </w:r>
      <w:r w:rsidRPr="00934C02">
        <w:rPr>
          <w:rFonts w:ascii="Arial" w:hAnsi="Arial" w:cs="Arial"/>
          <w:i/>
          <w:sz w:val="24"/>
          <w:szCs w:val="24"/>
          <w:lang w:val="ro-RO"/>
        </w:rPr>
        <w:t>pădurile de foioase</w:t>
      </w:r>
      <w:r w:rsidRPr="00934C02">
        <w:rPr>
          <w:rFonts w:ascii="Arial" w:hAnsi="Arial" w:cs="Arial"/>
          <w:sz w:val="24"/>
          <w:szCs w:val="24"/>
          <w:lang w:val="ro-RO"/>
        </w:rPr>
        <w:t xml:space="preserve"> (84.258 ha, la sfârşitul anului 1996), </w:t>
      </w:r>
      <w:r w:rsidRPr="00934C02">
        <w:rPr>
          <w:rFonts w:ascii="Arial" w:hAnsi="Arial" w:cs="Arial"/>
          <w:i/>
          <w:sz w:val="24"/>
          <w:szCs w:val="24"/>
          <w:lang w:val="ro-RO"/>
        </w:rPr>
        <w:t>pajiştile naturale</w:t>
      </w:r>
      <w:r w:rsidRPr="00934C02">
        <w:rPr>
          <w:rFonts w:ascii="Arial" w:hAnsi="Arial" w:cs="Arial"/>
          <w:sz w:val="24"/>
          <w:szCs w:val="24"/>
          <w:lang w:val="ro-RO"/>
        </w:rPr>
        <w:t xml:space="preserve"> şi </w:t>
      </w:r>
      <w:r w:rsidRPr="00934C02">
        <w:rPr>
          <w:rFonts w:ascii="Arial" w:hAnsi="Arial" w:cs="Arial"/>
          <w:i/>
          <w:sz w:val="24"/>
          <w:szCs w:val="24"/>
          <w:lang w:val="ro-RO"/>
        </w:rPr>
        <w:t>solurile fertile</w:t>
      </w:r>
      <w:r w:rsidRPr="00934C02">
        <w:rPr>
          <w:rFonts w:ascii="Arial" w:hAnsi="Arial" w:cs="Arial"/>
          <w:sz w:val="24"/>
          <w:szCs w:val="24"/>
          <w:lang w:val="ro-RO"/>
        </w:rPr>
        <w:t>.</w:t>
      </w:r>
    </w:p>
    <w:p w:rsidR="00934C02" w:rsidRPr="00934C02" w:rsidRDefault="00934C02" w:rsidP="00934C02">
      <w:pPr>
        <w:spacing w:after="0" w:line="240" w:lineRule="auto"/>
        <w:jc w:val="both"/>
        <w:rPr>
          <w:rFonts w:ascii="Arial" w:hAnsi="Arial" w:cs="Arial"/>
          <w:sz w:val="24"/>
          <w:szCs w:val="24"/>
          <w:lang w:val="ro-RO"/>
        </w:rPr>
      </w:pPr>
      <w:r w:rsidRPr="00934C02">
        <w:rPr>
          <w:rFonts w:ascii="Arial" w:hAnsi="Arial" w:cs="Arial"/>
          <w:sz w:val="24"/>
          <w:szCs w:val="24"/>
          <w:lang w:val="ro-RO"/>
        </w:rPr>
        <w:tab/>
        <w:t xml:space="preserve">Dintre resursele subsolului se remarcă </w:t>
      </w:r>
      <w:r w:rsidRPr="00934C02">
        <w:rPr>
          <w:rFonts w:ascii="Arial" w:hAnsi="Arial" w:cs="Arial"/>
          <w:i/>
          <w:sz w:val="24"/>
          <w:szCs w:val="24"/>
          <w:lang w:val="ro-RO"/>
        </w:rPr>
        <w:t>rocile de construcţie</w:t>
      </w:r>
      <w:r w:rsidRPr="00934C02">
        <w:rPr>
          <w:rFonts w:ascii="Arial" w:hAnsi="Arial" w:cs="Arial"/>
          <w:sz w:val="24"/>
          <w:szCs w:val="24"/>
          <w:lang w:val="ro-RO"/>
        </w:rPr>
        <w:t xml:space="preserve">. </w:t>
      </w:r>
      <w:r w:rsidRPr="00934C02">
        <w:rPr>
          <w:rFonts w:ascii="Arial" w:hAnsi="Arial" w:cs="Arial"/>
          <w:i/>
          <w:sz w:val="24"/>
          <w:szCs w:val="24"/>
          <w:lang w:val="ro-RO"/>
        </w:rPr>
        <w:t>Calcarele oolitice</w:t>
      </w:r>
      <w:r w:rsidRPr="00934C02">
        <w:rPr>
          <w:rFonts w:ascii="Arial" w:hAnsi="Arial" w:cs="Arial"/>
          <w:sz w:val="24"/>
          <w:szCs w:val="24"/>
          <w:lang w:val="ro-RO"/>
        </w:rPr>
        <w:t xml:space="preserve"> sunt prezente în nordul judeţului (ex. Ghermăneşti, la nord de Huşi). </w:t>
      </w:r>
      <w:r w:rsidRPr="00934C02">
        <w:rPr>
          <w:rFonts w:ascii="Arial" w:hAnsi="Arial" w:cs="Arial"/>
          <w:i/>
          <w:sz w:val="24"/>
          <w:szCs w:val="24"/>
          <w:lang w:val="ro-RO"/>
        </w:rPr>
        <w:t>Gresiile</w:t>
      </w:r>
      <w:r w:rsidRPr="00934C02">
        <w:rPr>
          <w:rFonts w:ascii="Arial" w:hAnsi="Arial" w:cs="Arial"/>
          <w:sz w:val="24"/>
          <w:szCs w:val="24"/>
          <w:lang w:val="ro-RO"/>
        </w:rPr>
        <w:t xml:space="preserve"> (nisipuri pietrificate) şi </w:t>
      </w:r>
      <w:r w:rsidRPr="00934C02">
        <w:rPr>
          <w:rFonts w:ascii="Arial" w:hAnsi="Arial" w:cs="Arial"/>
          <w:i/>
          <w:sz w:val="24"/>
          <w:szCs w:val="24"/>
          <w:lang w:val="ro-RO"/>
        </w:rPr>
        <w:t>gresiile calcaroase</w:t>
      </w:r>
      <w:r w:rsidRPr="00934C02">
        <w:rPr>
          <w:rFonts w:ascii="Arial" w:hAnsi="Arial" w:cs="Arial"/>
          <w:sz w:val="24"/>
          <w:szCs w:val="24"/>
          <w:lang w:val="ro-RO"/>
        </w:rPr>
        <w:t xml:space="preserve"> (gresii care conţin cantităţi mari de calcar) se exploatează în apropierea localităţilor Lăleşti (com. Puieşti), Bogdăneşti ş.a. </w:t>
      </w:r>
      <w:r w:rsidRPr="00934C02">
        <w:rPr>
          <w:rFonts w:ascii="Arial" w:hAnsi="Arial" w:cs="Arial"/>
          <w:i/>
          <w:sz w:val="24"/>
          <w:szCs w:val="24"/>
          <w:lang w:val="ro-RO"/>
        </w:rPr>
        <w:t>Argilele</w:t>
      </w:r>
      <w:r w:rsidRPr="00934C02">
        <w:rPr>
          <w:rFonts w:ascii="Arial" w:hAnsi="Arial" w:cs="Arial"/>
          <w:sz w:val="24"/>
          <w:szCs w:val="24"/>
          <w:lang w:val="ro-RO"/>
        </w:rPr>
        <w:t xml:space="preserve"> şi </w:t>
      </w:r>
      <w:r w:rsidRPr="00934C02">
        <w:rPr>
          <w:rFonts w:ascii="Arial" w:hAnsi="Arial" w:cs="Arial"/>
          <w:i/>
          <w:sz w:val="24"/>
          <w:szCs w:val="24"/>
          <w:lang w:val="ro-RO"/>
        </w:rPr>
        <w:t>luturile loessoide</w:t>
      </w:r>
      <w:r w:rsidRPr="00934C02">
        <w:rPr>
          <w:rFonts w:ascii="Arial" w:hAnsi="Arial" w:cs="Arial"/>
          <w:sz w:val="24"/>
          <w:szCs w:val="24"/>
          <w:lang w:val="ro-RO"/>
        </w:rPr>
        <w:t xml:space="preserve"> sunt localizate în Dealul Chiţoc-Vaslui, Bârlad, Huşi, Zorleni şi sunt folosite ca materiale de construcţie. Din albiile râurilor se extrag cantităţi mici de </w:t>
      </w:r>
      <w:r w:rsidRPr="00934C02">
        <w:rPr>
          <w:rFonts w:ascii="Arial" w:hAnsi="Arial" w:cs="Arial"/>
          <w:i/>
          <w:sz w:val="24"/>
          <w:szCs w:val="24"/>
          <w:lang w:val="ro-RO"/>
        </w:rPr>
        <w:t>nisip</w:t>
      </w:r>
      <w:r w:rsidRPr="00934C02">
        <w:rPr>
          <w:rFonts w:ascii="Arial" w:hAnsi="Arial" w:cs="Arial"/>
          <w:sz w:val="24"/>
          <w:szCs w:val="24"/>
          <w:lang w:val="ro-RO"/>
        </w:rPr>
        <w:t xml:space="preserve"> (la Bârlad se exploatează nisip metalurgic)</w:t>
      </w:r>
      <w:r w:rsidRPr="00934C02">
        <w:rPr>
          <w:rFonts w:ascii="Arial" w:hAnsi="Arial" w:cs="Arial"/>
          <w:i/>
          <w:sz w:val="24"/>
          <w:szCs w:val="24"/>
          <w:lang w:val="ro-RO"/>
        </w:rPr>
        <w:t xml:space="preserve"> </w:t>
      </w:r>
      <w:r w:rsidRPr="00934C02">
        <w:rPr>
          <w:rFonts w:ascii="Arial" w:hAnsi="Arial" w:cs="Arial"/>
          <w:sz w:val="24"/>
          <w:szCs w:val="24"/>
          <w:lang w:val="ro-RO"/>
        </w:rPr>
        <w:t xml:space="preserve">şi </w:t>
      </w:r>
      <w:r w:rsidRPr="00934C02">
        <w:rPr>
          <w:rFonts w:ascii="Arial" w:hAnsi="Arial" w:cs="Arial"/>
          <w:i/>
          <w:sz w:val="24"/>
          <w:szCs w:val="24"/>
          <w:lang w:val="ro-RO"/>
        </w:rPr>
        <w:t>balast</w:t>
      </w:r>
      <w:r w:rsidRPr="00934C02">
        <w:rPr>
          <w:rFonts w:ascii="Arial" w:hAnsi="Arial" w:cs="Arial"/>
          <w:sz w:val="24"/>
          <w:szCs w:val="24"/>
          <w:lang w:val="ro-RO"/>
        </w:rPr>
        <w:t xml:space="preserve">. </w:t>
      </w:r>
    </w:p>
    <w:p w:rsidR="00934C02" w:rsidRPr="00934C02" w:rsidRDefault="00934C02" w:rsidP="00934C02">
      <w:pPr>
        <w:spacing w:after="0" w:line="240" w:lineRule="auto"/>
        <w:jc w:val="both"/>
        <w:rPr>
          <w:rFonts w:ascii="Arial" w:hAnsi="Arial" w:cs="Arial"/>
          <w:sz w:val="24"/>
          <w:szCs w:val="24"/>
          <w:lang w:val="ro-RO"/>
        </w:rPr>
      </w:pPr>
      <w:r w:rsidRPr="00934C02">
        <w:rPr>
          <w:rFonts w:ascii="Arial" w:hAnsi="Arial" w:cs="Arial"/>
          <w:sz w:val="24"/>
          <w:szCs w:val="24"/>
          <w:lang w:val="ro-RO"/>
        </w:rPr>
        <w:tab/>
        <w:t xml:space="preserve">În categoria resurselor subsolului adăugăm </w:t>
      </w:r>
      <w:r w:rsidRPr="00934C02">
        <w:rPr>
          <w:rFonts w:ascii="Arial" w:hAnsi="Arial" w:cs="Arial"/>
          <w:i/>
          <w:sz w:val="24"/>
          <w:szCs w:val="24"/>
          <w:lang w:val="ro-RO"/>
        </w:rPr>
        <w:t>apele minerale</w:t>
      </w:r>
      <w:r w:rsidRPr="00934C02">
        <w:rPr>
          <w:rFonts w:ascii="Arial" w:hAnsi="Arial" w:cs="Arial"/>
          <w:sz w:val="24"/>
          <w:szCs w:val="24"/>
          <w:lang w:val="ro-RO"/>
        </w:rPr>
        <w:t xml:space="preserve">, în special sulfuroase, folosite terapeutic pe plan local: </w:t>
      </w:r>
      <w:r w:rsidRPr="00934C02">
        <w:rPr>
          <w:rFonts w:ascii="Arial" w:hAnsi="Arial" w:cs="Arial"/>
          <w:i/>
          <w:sz w:val="24"/>
          <w:szCs w:val="24"/>
          <w:lang w:val="ro-RO"/>
        </w:rPr>
        <w:t>Drânceni, Pungeşti, Murgeni, Gura Văii, Dăneşti</w:t>
      </w:r>
      <w:r w:rsidRPr="00934C02">
        <w:rPr>
          <w:rFonts w:ascii="Arial" w:hAnsi="Arial" w:cs="Arial"/>
          <w:sz w:val="24"/>
          <w:szCs w:val="24"/>
          <w:lang w:val="ro-RO"/>
        </w:rPr>
        <w:t>.</w:t>
      </w:r>
    </w:p>
    <w:p w:rsidR="00934C02" w:rsidRPr="00934C02" w:rsidRDefault="00934C02" w:rsidP="00934C02">
      <w:pPr>
        <w:spacing w:after="0" w:line="240" w:lineRule="auto"/>
        <w:jc w:val="both"/>
        <w:rPr>
          <w:rFonts w:ascii="Arial" w:hAnsi="Arial" w:cs="Arial"/>
          <w:i/>
          <w:sz w:val="24"/>
          <w:szCs w:val="24"/>
          <w:lang w:val="it-IT"/>
        </w:rPr>
      </w:pPr>
    </w:p>
    <w:p w:rsidR="00934C02" w:rsidRPr="00934C02" w:rsidRDefault="00934C02" w:rsidP="00934C02">
      <w:pPr>
        <w:spacing w:after="0" w:line="240" w:lineRule="auto"/>
        <w:jc w:val="both"/>
        <w:rPr>
          <w:rFonts w:ascii="Arial" w:hAnsi="Arial" w:cs="Arial"/>
          <w:b/>
          <w:i/>
          <w:sz w:val="24"/>
          <w:szCs w:val="24"/>
          <w:lang w:val="it-IT"/>
        </w:rPr>
      </w:pPr>
      <w:r w:rsidRPr="00934C02">
        <w:rPr>
          <w:rFonts w:ascii="Arial" w:hAnsi="Arial" w:cs="Arial"/>
          <w:b/>
          <w:i/>
          <w:sz w:val="24"/>
          <w:szCs w:val="24"/>
          <w:lang w:val="it-IT"/>
        </w:rPr>
        <w:t>Deşeurile</w:t>
      </w:r>
    </w:p>
    <w:p w:rsidR="00934C02" w:rsidRPr="00934C02" w:rsidRDefault="00934C02" w:rsidP="00934C02">
      <w:pPr>
        <w:spacing w:after="0" w:line="240" w:lineRule="auto"/>
        <w:jc w:val="both"/>
        <w:rPr>
          <w:rFonts w:ascii="Arial" w:hAnsi="Arial" w:cs="Arial"/>
          <w:sz w:val="24"/>
          <w:szCs w:val="24"/>
        </w:rPr>
      </w:pPr>
      <w:r w:rsidRPr="00934C02">
        <w:rPr>
          <w:rFonts w:ascii="Arial" w:hAnsi="Arial" w:cs="Arial"/>
          <w:sz w:val="24"/>
          <w:szCs w:val="24"/>
        </w:rPr>
        <w:t xml:space="preserve">         </w:t>
      </w:r>
    </w:p>
    <w:p w:rsidR="00934C02" w:rsidRPr="00934C02" w:rsidRDefault="00934C02" w:rsidP="00934C02">
      <w:pPr>
        <w:spacing w:after="0" w:line="240" w:lineRule="auto"/>
        <w:jc w:val="both"/>
        <w:rPr>
          <w:rFonts w:ascii="Arial" w:hAnsi="Arial" w:cs="Arial"/>
          <w:sz w:val="24"/>
          <w:szCs w:val="24"/>
        </w:rPr>
      </w:pPr>
      <w:r w:rsidRPr="00934C02">
        <w:rPr>
          <w:rFonts w:ascii="Arial" w:hAnsi="Arial" w:cs="Arial"/>
          <w:sz w:val="24"/>
          <w:szCs w:val="24"/>
        </w:rPr>
        <w:t xml:space="preserve">            Explozia cantităţii de deşeuri a impus găsirea de soluţii pentru reintroducerea lor în circuitul productiv. În acest sens pentru reziduuri de natură industrială sau pentru produsele de natură industrială ajunse într-un stadiu de nefolosinţă a fost mai usor să se găsească soluţii tehnologice de reciclare precum: reciclarea hârtiei, a sticlei, fierului vechi, bateriilor, etc.</w:t>
      </w:r>
    </w:p>
    <w:p w:rsidR="00934C02" w:rsidRPr="00934C02" w:rsidRDefault="00934C02" w:rsidP="00934C02">
      <w:pPr>
        <w:spacing w:after="0" w:line="240" w:lineRule="auto"/>
        <w:jc w:val="both"/>
        <w:rPr>
          <w:rFonts w:ascii="Arial" w:hAnsi="Arial" w:cs="Arial"/>
          <w:sz w:val="24"/>
          <w:szCs w:val="24"/>
        </w:rPr>
      </w:pPr>
      <w:r w:rsidRPr="00934C02">
        <w:rPr>
          <w:rFonts w:ascii="Arial" w:hAnsi="Arial" w:cs="Arial"/>
          <w:sz w:val="24"/>
          <w:szCs w:val="24"/>
        </w:rPr>
        <w:t xml:space="preserve">        </w:t>
      </w:r>
      <w:r w:rsidRPr="00934C02">
        <w:rPr>
          <w:rFonts w:ascii="Arial" w:hAnsi="Arial" w:cs="Arial"/>
          <w:sz w:val="24"/>
          <w:szCs w:val="24"/>
        </w:rPr>
        <w:tab/>
        <w:t xml:space="preserve"> Valorificarea maximă a deşeurilor se produce atunci când fiecare component dintr-un anumit deşeu industrial se recilclează în circuitul pentru care a fost realizat. </w:t>
      </w:r>
      <w:r w:rsidRPr="00934C02">
        <w:rPr>
          <w:rFonts w:ascii="Arial" w:hAnsi="Arial" w:cs="Arial"/>
          <w:sz w:val="24"/>
          <w:szCs w:val="24"/>
        </w:rPr>
        <w:lastRenderedPageBreak/>
        <w:t>Astfel este mult mai economic de reintrodus deşeurile de bumbac, cartoanele în circuitul fabricilor de hârtie, decât  sa fie arse.</w:t>
      </w:r>
    </w:p>
    <w:p w:rsidR="00934C02" w:rsidRPr="00934C02" w:rsidRDefault="00934C02" w:rsidP="00934C02">
      <w:pPr>
        <w:spacing w:after="0" w:line="240" w:lineRule="auto"/>
        <w:jc w:val="both"/>
        <w:rPr>
          <w:rFonts w:ascii="Arial" w:hAnsi="Arial" w:cs="Arial"/>
          <w:sz w:val="24"/>
          <w:szCs w:val="24"/>
        </w:rPr>
      </w:pPr>
      <w:r w:rsidRPr="00934C02">
        <w:rPr>
          <w:rFonts w:ascii="Arial" w:hAnsi="Arial" w:cs="Arial"/>
          <w:sz w:val="24"/>
          <w:szCs w:val="24"/>
        </w:rPr>
        <w:t xml:space="preserve">        </w:t>
      </w:r>
      <w:r w:rsidRPr="00934C02">
        <w:rPr>
          <w:rFonts w:ascii="Arial" w:hAnsi="Arial" w:cs="Arial"/>
          <w:sz w:val="24"/>
          <w:szCs w:val="24"/>
        </w:rPr>
        <w:tab/>
        <w:t>Folosirea reziduurilor menajere ca sursă de energie calorică poate fi o soluţie pentru reciclarea acestora, dar aspectul economic arată că, consumul de energie în acest caz este destul de ridicat. Din acest motiv, pentru reciclarea deşeurilor organice mai economică şi mai productivă este folosirea lor în agricultură ca sursă de elemente nutritive, solul reprezentând un mediu care are însuşirea de a degrada majoritatea substanţelor organice, mai puţin cele anorganice.</w:t>
      </w:r>
    </w:p>
    <w:p w:rsidR="00934C02" w:rsidRPr="00934C02" w:rsidRDefault="00934C02" w:rsidP="00934C02">
      <w:pPr>
        <w:spacing w:after="0" w:line="240" w:lineRule="auto"/>
        <w:jc w:val="both"/>
        <w:rPr>
          <w:rFonts w:ascii="Arial" w:hAnsi="Arial" w:cs="Arial"/>
          <w:sz w:val="24"/>
          <w:szCs w:val="24"/>
        </w:rPr>
      </w:pPr>
      <w:r w:rsidRPr="00934C02">
        <w:rPr>
          <w:rFonts w:ascii="Arial" w:hAnsi="Arial" w:cs="Arial"/>
          <w:sz w:val="24"/>
          <w:szCs w:val="24"/>
        </w:rPr>
        <w:t xml:space="preserve">        Folosirea solului ca epurator natural trebuie controlată pentru a nu introduce în sol substanţe care să declanşeze efecte degradatorii asupra solului însuşi. Soluţia aceasta este cu atât mai bine venită cu cât în ultimele decenii intensificarea chimizării agriculturii, folosirea îngrăşămintelor minerale, a condus la degradarea materiei organice naturale a solului (humusul).</w:t>
      </w:r>
    </w:p>
    <w:p w:rsidR="00934C02" w:rsidRPr="00934C02" w:rsidRDefault="00934C02" w:rsidP="00934C02">
      <w:pPr>
        <w:spacing w:after="0" w:line="240" w:lineRule="auto"/>
        <w:jc w:val="both"/>
        <w:rPr>
          <w:rFonts w:ascii="Arial" w:hAnsi="Arial" w:cs="Arial"/>
          <w:sz w:val="24"/>
          <w:szCs w:val="24"/>
        </w:rPr>
      </w:pPr>
      <w:r w:rsidRPr="00934C02">
        <w:rPr>
          <w:rFonts w:ascii="Arial" w:hAnsi="Arial" w:cs="Arial"/>
          <w:sz w:val="24"/>
          <w:szCs w:val="24"/>
        </w:rPr>
        <w:t xml:space="preserve">          Criza materiei organice din sol se explică prin diminuările de recoltă şi prin creşterea adâncimii de prelucrare a solului. Solul este un mediu favorabil reciclării majorităţii deşeurilor.</w:t>
      </w:r>
    </w:p>
    <w:p w:rsidR="00934C02" w:rsidRPr="00934C02" w:rsidRDefault="00934C02" w:rsidP="00934C02">
      <w:pPr>
        <w:rPr>
          <w:rFonts w:ascii="Arial" w:hAnsi="Arial" w:cs="Arial"/>
          <w:sz w:val="24"/>
          <w:szCs w:val="24"/>
          <w:lang w:val="ro-RO"/>
        </w:rPr>
      </w:pPr>
    </w:p>
    <w:p w:rsidR="00934C02" w:rsidRPr="00934C02" w:rsidRDefault="00934C02" w:rsidP="00934C02">
      <w:pPr>
        <w:spacing w:after="0" w:line="240" w:lineRule="auto"/>
        <w:rPr>
          <w:rFonts w:ascii="Arial" w:hAnsi="Arial" w:cs="Arial"/>
          <w:b/>
          <w:sz w:val="24"/>
          <w:szCs w:val="24"/>
          <w:lang w:val="ro-RO"/>
        </w:rPr>
      </w:pPr>
      <w:r w:rsidRPr="00934C02">
        <w:rPr>
          <w:rFonts w:ascii="Arial" w:hAnsi="Arial" w:cs="Arial"/>
          <w:b/>
          <w:sz w:val="24"/>
          <w:szCs w:val="24"/>
          <w:lang w:val="ro-RO"/>
        </w:rPr>
        <w:t>VII.1. Generarea şi gestionarea deşeurilor: tendinţe, impacturi şi prognoze</w:t>
      </w:r>
    </w:p>
    <w:p w:rsidR="00934C02" w:rsidRPr="00934C02" w:rsidRDefault="00934C02" w:rsidP="00934C02">
      <w:pPr>
        <w:spacing w:after="0" w:line="240" w:lineRule="auto"/>
        <w:rPr>
          <w:rFonts w:ascii="Arial" w:hAnsi="Arial" w:cs="Arial"/>
          <w:b/>
          <w:sz w:val="24"/>
          <w:szCs w:val="24"/>
          <w:lang w:val="ro-RO"/>
        </w:rPr>
      </w:pPr>
    </w:p>
    <w:p w:rsidR="00934C02" w:rsidRPr="00934C02" w:rsidRDefault="00934C02" w:rsidP="00934C02">
      <w:pPr>
        <w:spacing w:after="0" w:line="240" w:lineRule="auto"/>
        <w:rPr>
          <w:rFonts w:ascii="Arial" w:hAnsi="Arial" w:cs="Arial"/>
          <w:b/>
          <w:sz w:val="24"/>
          <w:szCs w:val="24"/>
          <w:lang w:val="ro-RO"/>
        </w:rPr>
      </w:pPr>
    </w:p>
    <w:p w:rsidR="00934C02" w:rsidRPr="00934C02" w:rsidRDefault="00934C02" w:rsidP="00934C02">
      <w:pPr>
        <w:spacing w:after="0" w:line="240" w:lineRule="auto"/>
        <w:ind w:firstLine="720"/>
        <w:jc w:val="both"/>
        <w:rPr>
          <w:rFonts w:ascii="Arial" w:hAnsi="Arial" w:cs="Arial"/>
          <w:sz w:val="24"/>
          <w:szCs w:val="24"/>
        </w:rPr>
      </w:pPr>
      <w:r w:rsidRPr="00934C02">
        <w:rPr>
          <w:rFonts w:ascii="Arial" w:hAnsi="Arial" w:cs="Arial"/>
          <w:sz w:val="24"/>
          <w:szCs w:val="24"/>
        </w:rPr>
        <w:t>Producerea de deşeuri este rezultatul activităţilor economice şi gospodăreşti. Cantitatea şi calitatea deşeurilor urbane depinde de standardul de viaţă  şi de modul de consum al populaţiei, iar deşeurile industriale –atât cele periculoase, cât şi cele nepericuloase-depind de tehnologiile folosite pentru prelucrarea materiilor prime în cadrul proceselor de fabricaţie.</w:t>
      </w:r>
    </w:p>
    <w:p w:rsidR="00934C02" w:rsidRPr="00934C02" w:rsidRDefault="00934C02" w:rsidP="00934C02">
      <w:pPr>
        <w:autoSpaceDE w:val="0"/>
        <w:autoSpaceDN w:val="0"/>
        <w:adjustRightInd w:val="0"/>
        <w:spacing w:after="0" w:line="240" w:lineRule="auto"/>
        <w:jc w:val="both"/>
        <w:rPr>
          <w:rFonts w:ascii="Arial" w:hAnsi="Arial" w:cs="Arial"/>
          <w:sz w:val="24"/>
          <w:szCs w:val="24"/>
        </w:rPr>
      </w:pPr>
      <w:r w:rsidRPr="00934C02">
        <w:rPr>
          <w:rFonts w:ascii="Arial" w:hAnsi="Arial" w:cs="Arial"/>
          <w:sz w:val="24"/>
          <w:szCs w:val="24"/>
        </w:rPr>
        <w:t xml:space="preserve">          Deşeurile sunt substanţe rezultate în urma unor procese biologice sau tehnologice, care nu mai pot fi folosite ca atare, pe care deţinătorul le înlătură, are intenţia sau obligaţia de a le înlătura, dintre care unele sunt refolosibile. </w:t>
      </w:r>
    </w:p>
    <w:p w:rsidR="00934C02" w:rsidRPr="00934C02" w:rsidRDefault="00934C02" w:rsidP="00934C02">
      <w:pPr>
        <w:autoSpaceDE w:val="0"/>
        <w:autoSpaceDN w:val="0"/>
        <w:adjustRightInd w:val="0"/>
        <w:spacing w:after="0" w:line="240" w:lineRule="auto"/>
        <w:jc w:val="both"/>
        <w:rPr>
          <w:rFonts w:ascii="Arial" w:hAnsi="Arial" w:cs="Arial"/>
          <w:sz w:val="24"/>
          <w:szCs w:val="24"/>
          <w:lang w:val="pt-BR"/>
        </w:rPr>
      </w:pPr>
      <w:r w:rsidRPr="00934C02">
        <w:rPr>
          <w:rFonts w:ascii="Arial" w:hAnsi="Arial" w:cs="Arial"/>
          <w:sz w:val="24"/>
          <w:szCs w:val="24"/>
        </w:rPr>
        <w:t xml:space="preserve">         </w:t>
      </w:r>
      <w:r w:rsidRPr="00934C02">
        <w:rPr>
          <w:rFonts w:ascii="Arial" w:hAnsi="Arial" w:cs="Arial"/>
          <w:sz w:val="24"/>
          <w:szCs w:val="24"/>
          <w:lang w:val="pt-BR"/>
        </w:rPr>
        <w:t>Gestionarea deşeurilor cuprinde toate activităţile de colectare, transport şi eliminare a deşeurilor. Deşeurile reprezintă o problemă majoră în fiecare ţară europeană, iar cantităţile de deşeuri sunt în general în creştere. Generarea deşeurilor implică o pierdere de materiale şi energie şi impune costuri  economice şi de mediu în creştere pentru societate pentru colectarea, tratarea şi evacuarea lor.</w:t>
      </w:r>
    </w:p>
    <w:p w:rsidR="00934C02" w:rsidRPr="00934C02" w:rsidRDefault="00934C02" w:rsidP="00934C02">
      <w:pPr>
        <w:spacing w:after="0" w:line="240" w:lineRule="auto"/>
        <w:ind w:left="147" w:right="147" w:firstLine="573"/>
        <w:jc w:val="both"/>
        <w:rPr>
          <w:rFonts w:ascii="Arial" w:hAnsi="Arial" w:cs="Arial"/>
          <w:sz w:val="24"/>
          <w:szCs w:val="24"/>
        </w:rPr>
      </w:pPr>
      <w:r w:rsidRPr="00934C02">
        <w:rPr>
          <w:rFonts w:ascii="Arial" w:hAnsi="Arial" w:cs="Arial"/>
          <w:sz w:val="24"/>
          <w:szCs w:val="24"/>
        </w:rPr>
        <w:t>Obiectivele prioritare ale gestionării deşeurilor sunt: prevenirea sau reducerea producerii de deşeuri şi a gradului de periculozitate al acestora şi reutilizarea şi valorificarea deşeurilor prin reciclare ori recuperare sau orice alt proces prin care se obţin materii prime secundare, ori utilizarea deşeurilor ca sursă de energie.</w:t>
      </w:r>
    </w:p>
    <w:p w:rsidR="00934C02" w:rsidRPr="00934C02" w:rsidRDefault="00934C02" w:rsidP="00934C02">
      <w:pPr>
        <w:spacing w:after="0" w:line="240" w:lineRule="auto"/>
        <w:ind w:left="147" w:right="147" w:firstLine="573"/>
        <w:jc w:val="both"/>
        <w:rPr>
          <w:rFonts w:ascii="Arial" w:hAnsi="Arial" w:cs="Arial"/>
          <w:sz w:val="24"/>
          <w:szCs w:val="24"/>
        </w:rPr>
      </w:pPr>
      <w:r w:rsidRPr="00934C02">
        <w:rPr>
          <w:rFonts w:ascii="Arial" w:hAnsi="Arial" w:cs="Arial"/>
          <w:sz w:val="24"/>
          <w:szCs w:val="24"/>
        </w:rPr>
        <w:t xml:space="preserve">Procesele şi metodele folosite pentru valorificarea sau eliminarea deşeurilor trebuie să nu pună în pericol sănătatea populaţiei şi a mediului, respectând următoarelor principii: </w:t>
      </w:r>
    </w:p>
    <w:p w:rsidR="00934C02" w:rsidRPr="00934C02" w:rsidRDefault="00934C02" w:rsidP="00934C02">
      <w:pPr>
        <w:spacing w:after="0" w:line="240" w:lineRule="auto"/>
        <w:ind w:left="147" w:right="147" w:firstLine="573"/>
        <w:jc w:val="both"/>
        <w:rPr>
          <w:rFonts w:ascii="Arial" w:hAnsi="Arial" w:cs="Arial"/>
          <w:sz w:val="24"/>
          <w:szCs w:val="24"/>
        </w:rPr>
      </w:pPr>
      <w:r w:rsidRPr="00934C02">
        <w:rPr>
          <w:rFonts w:ascii="Arial" w:hAnsi="Arial" w:cs="Arial"/>
          <w:sz w:val="24"/>
          <w:szCs w:val="24"/>
        </w:rPr>
        <w:t>- să nu prezinte riscuri pentru apă, aer, sol, faună sau vegetaţie;</w:t>
      </w:r>
    </w:p>
    <w:p w:rsidR="00934C02" w:rsidRPr="00934C02" w:rsidRDefault="00934C02" w:rsidP="00934C02">
      <w:pPr>
        <w:spacing w:after="0" w:line="240" w:lineRule="auto"/>
        <w:ind w:right="147"/>
        <w:jc w:val="both"/>
        <w:rPr>
          <w:rFonts w:ascii="Arial" w:hAnsi="Arial" w:cs="Arial"/>
          <w:sz w:val="24"/>
          <w:szCs w:val="24"/>
        </w:rPr>
      </w:pPr>
      <w:r w:rsidRPr="00934C02">
        <w:rPr>
          <w:rFonts w:ascii="Arial" w:hAnsi="Arial" w:cs="Arial"/>
          <w:sz w:val="24"/>
          <w:szCs w:val="24"/>
        </w:rPr>
        <w:t xml:space="preserve">           - să nu producă poluare fonică sau miros neplăcut; </w:t>
      </w:r>
    </w:p>
    <w:p w:rsidR="00934C02" w:rsidRPr="00934C02" w:rsidRDefault="00934C02" w:rsidP="00934C02">
      <w:pPr>
        <w:spacing w:after="0" w:line="240" w:lineRule="auto"/>
        <w:ind w:left="147" w:right="147"/>
        <w:jc w:val="both"/>
        <w:rPr>
          <w:rFonts w:ascii="Arial" w:hAnsi="Arial" w:cs="Arial"/>
          <w:sz w:val="24"/>
          <w:szCs w:val="24"/>
        </w:rPr>
      </w:pPr>
      <w:r w:rsidRPr="00934C02">
        <w:rPr>
          <w:rFonts w:ascii="Arial" w:hAnsi="Arial" w:cs="Arial"/>
          <w:sz w:val="24"/>
          <w:szCs w:val="24"/>
        </w:rPr>
        <w:t xml:space="preserve">        - să nu afecteze peisajele sau zonele protejate, fiind interzisă abandonarea, aruncarea sau eliminarea necontrolată a deşeurilor.</w:t>
      </w:r>
    </w:p>
    <w:p w:rsidR="00934C02" w:rsidRPr="00934C02" w:rsidRDefault="00934C02" w:rsidP="00934C02">
      <w:pPr>
        <w:spacing w:after="0" w:line="240" w:lineRule="auto"/>
        <w:ind w:right="147"/>
        <w:jc w:val="both"/>
        <w:rPr>
          <w:rFonts w:ascii="Arial" w:hAnsi="Arial" w:cs="Arial"/>
          <w:sz w:val="24"/>
          <w:szCs w:val="24"/>
        </w:rPr>
      </w:pPr>
      <w:r w:rsidRPr="00934C02">
        <w:rPr>
          <w:rFonts w:ascii="Arial" w:hAnsi="Arial" w:cs="Arial"/>
          <w:sz w:val="24"/>
          <w:szCs w:val="24"/>
          <w:lang w:val="ro-RO"/>
        </w:rPr>
        <w:lastRenderedPageBreak/>
        <w:t xml:space="preserve">          Problema gestiunii deşeurilor este complexă. Înţelegerea corectă a problemelor conduce la alegerea soluţiilor optime de rezolvare a acestora şi în final la gestionarea ecologic raţională a deşeurilor şi la salvarea unor resurse naturale preţioase atât pentru noi, dar mai ales pentru generaţiile viitoare</w:t>
      </w:r>
      <w:r w:rsidRPr="00934C02">
        <w:rPr>
          <w:rFonts w:ascii="Arial" w:hAnsi="Arial" w:cs="Arial"/>
          <w:sz w:val="24"/>
          <w:szCs w:val="24"/>
        </w:rPr>
        <w:t xml:space="preserve">. </w:t>
      </w:r>
      <w:r w:rsidRPr="00934C02">
        <w:rPr>
          <w:rFonts w:ascii="Arial" w:hAnsi="Arial" w:cs="Arial"/>
          <w:sz w:val="24"/>
          <w:szCs w:val="24"/>
          <w:lang w:val="ro-RO"/>
        </w:rPr>
        <w:t>Avem datoria morală să lăsăm generaţiilor viitoare un mediu curat.</w:t>
      </w:r>
    </w:p>
    <w:p w:rsidR="00934C02" w:rsidRPr="00934C02" w:rsidRDefault="00934C02" w:rsidP="00934C02">
      <w:pPr>
        <w:spacing w:after="0" w:line="240" w:lineRule="auto"/>
        <w:jc w:val="both"/>
        <w:rPr>
          <w:rFonts w:ascii="Arial" w:hAnsi="Arial" w:cs="Arial"/>
          <w:sz w:val="24"/>
          <w:szCs w:val="24"/>
        </w:rPr>
      </w:pPr>
      <w:r w:rsidRPr="00934C02">
        <w:rPr>
          <w:rFonts w:ascii="Arial" w:hAnsi="Arial" w:cs="Arial"/>
          <w:sz w:val="24"/>
          <w:szCs w:val="24"/>
        </w:rPr>
        <w:t xml:space="preserve">          Impactul semnificativ al deşeurilor se manifestă sub forma modificărilor de peisaj, poluării aerului prin suspensiile antrenate de vânt, a apelor de suprafaţă care devin bogate în nitriţi, nitraţi, substanţe periculoase şi a solului care devine infertil şi inapt de a susţine formele specifice de viaţă. </w:t>
      </w:r>
    </w:p>
    <w:p w:rsidR="00934C02" w:rsidRPr="00934C02" w:rsidRDefault="00934C02" w:rsidP="00934C02">
      <w:pPr>
        <w:spacing w:after="0" w:line="240" w:lineRule="auto"/>
        <w:jc w:val="both"/>
        <w:rPr>
          <w:rFonts w:ascii="Arial" w:hAnsi="Arial" w:cs="Arial"/>
          <w:sz w:val="24"/>
          <w:szCs w:val="24"/>
        </w:rPr>
      </w:pPr>
      <w:r w:rsidRPr="00934C02">
        <w:rPr>
          <w:rFonts w:ascii="Arial" w:hAnsi="Arial" w:cs="Arial"/>
          <w:sz w:val="24"/>
          <w:szCs w:val="24"/>
        </w:rPr>
        <w:t xml:space="preserve">         O importanţă deosebită trebuie acordată resturilor industriale care în anumite amestecuri pot genera de</w:t>
      </w:r>
      <w:r w:rsidRPr="00934C02">
        <w:rPr>
          <w:rFonts w:ascii="Arial" w:hAnsi="Arial" w:cs="Arial"/>
          <w:sz w:val="24"/>
          <w:szCs w:val="24"/>
          <w:lang w:val="ro-RO"/>
        </w:rPr>
        <w:t>ş</w:t>
      </w:r>
      <w:r w:rsidRPr="00934C02">
        <w:rPr>
          <w:rFonts w:ascii="Arial" w:hAnsi="Arial" w:cs="Arial"/>
          <w:sz w:val="24"/>
          <w:szCs w:val="24"/>
        </w:rPr>
        <w:t xml:space="preserve">euri inflamabile, corozive sau chiar explozive care să pună în pericol aşezările umane. </w:t>
      </w:r>
    </w:p>
    <w:p w:rsidR="00934C02" w:rsidRPr="00934C02" w:rsidRDefault="00934C02" w:rsidP="00934C02">
      <w:pPr>
        <w:spacing w:after="0" w:line="240" w:lineRule="auto"/>
        <w:jc w:val="both"/>
        <w:rPr>
          <w:rFonts w:ascii="Arial" w:hAnsi="Arial" w:cs="Arial"/>
          <w:sz w:val="24"/>
          <w:szCs w:val="24"/>
        </w:rPr>
      </w:pPr>
      <w:r w:rsidRPr="00934C02">
        <w:rPr>
          <w:rFonts w:ascii="Arial" w:hAnsi="Arial" w:cs="Arial"/>
          <w:sz w:val="24"/>
          <w:szCs w:val="24"/>
        </w:rPr>
        <w:t xml:space="preserve">         Depozitarea deşeurilor, pe lângă faptul că este un proces tehnologic scump, poluează mediul, iar singura soluţie pentru această problemă este colectarea selectivă şi reciclarea lor.  </w:t>
      </w:r>
    </w:p>
    <w:p w:rsidR="00934C02" w:rsidRPr="00934C02" w:rsidRDefault="00934C02" w:rsidP="00934C02">
      <w:pPr>
        <w:spacing w:after="0" w:line="240" w:lineRule="auto"/>
        <w:jc w:val="both"/>
        <w:rPr>
          <w:rFonts w:ascii="Arial" w:hAnsi="Arial" w:cs="Arial"/>
          <w:sz w:val="24"/>
          <w:szCs w:val="24"/>
          <w:lang w:val="ro-RO"/>
        </w:rPr>
      </w:pPr>
      <w:r w:rsidRPr="00934C02">
        <w:rPr>
          <w:rFonts w:ascii="Arial" w:hAnsi="Arial" w:cs="Arial"/>
          <w:sz w:val="24"/>
          <w:szCs w:val="24"/>
        </w:rPr>
        <w:t xml:space="preserve">         Măsuri concrete sunt necesare pentru reciclarea deşeurilor deoarece cantitatea de materii prime secundare potenţial utilizabile şi în acelaşi timp eliminate, este foarte importantă, antrenând o risipă de materii prime şi resurse energetice. De asemenea ar trebui reduse substanţele periculoase din deşeurile menajere care împiedică buna funcţionare a instalaţiilor de eliminare a deşeurilor şi respectate condiţiile de colectare separată care asigură costuri avantajoase de reciclare.</w:t>
      </w:r>
    </w:p>
    <w:p w:rsidR="00934C02" w:rsidRPr="00934C02" w:rsidRDefault="00934C02" w:rsidP="00934C02">
      <w:pPr>
        <w:spacing w:after="0" w:line="240" w:lineRule="auto"/>
        <w:jc w:val="both"/>
        <w:rPr>
          <w:rFonts w:ascii="Arial" w:eastAsia="Arial Unicode MS" w:hAnsi="Arial" w:cs="Arial"/>
          <w:sz w:val="24"/>
          <w:szCs w:val="24"/>
          <w:lang w:val="ro-RO" w:eastAsia="ro-RO"/>
        </w:rPr>
      </w:pPr>
      <w:r w:rsidRPr="00934C02">
        <w:rPr>
          <w:rFonts w:ascii="Arial" w:eastAsia="Arial Unicode MS" w:hAnsi="Arial" w:cs="Arial"/>
          <w:sz w:val="24"/>
          <w:szCs w:val="24"/>
          <w:lang w:val="ro-RO" w:eastAsia="ro-RO"/>
        </w:rPr>
        <w:t xml:space="preserve">           Consumul ridicat de resurse creează presiuni asupra mediului în toate regiunile din lume.   </w:t>
      </w:r>
    </w:p>
    <w:p w:rsidR="00934C02" w:rsidRPr="00934C02" w:rsidRDefault="00934C02" w:rsidP="00934C02">
      <w:pPr>
        <w:spacing w:after="0" w:line="240" w:lineRule="auto"/>
        <w:jc w:val="both"/>
        <w:rPr>
          <w:rFonts w:ascii="Arial" w:eastAsia="Arial Unicode MS" w:hAnsi="Arial" w:cs="Arial"/>
          <w:sz w:val="24"/>
          <w:szCs w:val="24"/>
          <w:lang w:val="ro-RO" w:eastAsia="ro-RO"/>
        </w:rPr>
      </w:pPr>
      <w:r w:rsidRPr="00934C02">
        <w:rPr>
          <w:rFonts w:ascii="Arial" w:eastAsia="Arial Unicode MS" w:hAnsi="Arial" w:cs="Arial"/>
          <w:sz w:val="24"/>
          <w:szCs w:val="24"/>
          <w:lang w:val="ro-RO" w:eastAsia="ro-RO"/>
        </w:rPr>
        <w:t xml:space="preserve">             Aceste presiuni includ epuizarea resurselor neregenerabile, utilizarea intensivă a resurselor regenerabile, transporturile, emisii mari în apă, aer şi sol provenite din activităţi miniere, precum şi producţia, consumul şi producerea de deşeuri. Se acceptă în general că există limite fizice pentru creşterea continuă a utilizării resurselor. Locuinţele, alimentele şi mobilitatea justifică cea mai mare cotă de utilizare a resurselor şi de exercitare a presiunii asupra mediului.  </w:t>
      </w:r>
    </w:p>
    <w:p w:rsidR="00934C02" w:rsidRPr="00934C02" w:rsidRDefault="00934C02" w:rsidP="00934C02">
      <w:pPr>
        <w:spacing w:after="0" w:line="240" w:lineRule="auto"/>
        <w:jc w:val="both"/>
        <w:rPr>
          <w:rFonts w:ascii="Arial" w:hAnsi="Arial" w:cs="Arial"/>
          <w:sz w:val="24"/>
          <w:szCs w:val="24"/>
        </w:rPr>
      </w:pPr>
      <w:r w:rsidRPr="00934C02">
        <w:rPr>
          <w:rFonts w:ascii="Arial" w:hAnsi="Arial" w:cs="Arial"/>
          <w:sz w:val="24"/>
          <w:szCs w:val="24"/>
        </w:rPr>
        <w:t xml:space="preserve">          Eliminarea deşeurilor poate cauza o serie de </w:t>
      </w:r>
      <w:r w:rsidRPr="00934C02">
        <w:rPr>
          <w:rFonts w:ascii="Arial" w:hAnsi="Arial" w:cs="Arial"/>
          <w:i/>
          <w:sz w:val="24"/>
          <w:szCs w:val="24"/>
        </w:rPr>
        <w:t>impacturi</w:t>
      </w:r>
      <w:r w:rsidRPr="00934C02">
        <w:rPr>
          <w:rFonts w:ascii="Arial" w:hAnsi="Arial" w:cs="Arial"/>
          <w:sz w:val="24"/>
          <w:szCs w:val="24"/>
        </w:rPr>
        <w:t xml:space="preserve"> asupra sănătăţii şi a mediului, inclusiv emisiile în aer, apa de suprafaţă şi pânza freatică, în funcţie de modul în care acestea sunt gestionate. Deşeurile reprezintă, de asemenea, o pierdere de resurse naturale (cum ar fi metalele sau alte materiale reciclabile pe care le conţin sau potenţialul acestora ca sursă de energie). Prin urmare, buna gestionare a deşeurilor poate proteja sănătatea publică şi calitatea mediului, în acelaşi timp susţinând conservarea resurselor</w:t>
      </w:r>
    </w:p>
    <w:p w:rsidR="00934C02" w:rsidRPr="00934C02" w:rsidRDefault="00934C02" w:rsidP="00934C02">
      <w:pPr>
        <w:spacing w:after="0" w:line="240" w:lineRule="auto"/>
        <w:jc w:val="both"/>
        <w:rPr>
          <w:rFonts w:ascii="Arial" w:hAnsi="Arial" w:cs="Arial"/>
          <w:sz w:val="24"/>
          <w:szCs w:val="24"/>
        </w:rPr>
      </w:pPr>
    </w:p>
    <w:p w:rsidR="00934C02" w:rsidRPr="00934C02" w:rsidRDefault="00934C02" w:rsidP="00934C02">
      <w:pPr>
        <w:spacing w:after="0" w:line="240" w:lineRule="auto"/>
        <w:jc w:val="both"/>
        <w:rPr>
          <w:rFonts w:ascii="Arial" w:hAnsi="Arial" w:cs="Arial"/>
          <w:b/>
          <w:i/>
          <w:sz w:val="24"/>
          <w:szCs w:val="24"/>
          <w:u w:val="single"/>
          <w:lang w:val="it-IT"/>
        </w:rPr>
      </w:pPr>
      <w:r w:rsidRPr="00934C02">
        <w:rPr>
          <w:rFonts w:ascii="Arial" w:hAnsi="Arial" w:cs="Arial"/>
          <w:b/>
          <w:i/>
          <w:sz w:val="24"/>
          <w:szCs w:val="24"/>
        </w:rPr>
        <w:t>VII.1.1. Generarea şi gestionarea deşeurilor municipale</w:t>
      </w:r>
    </w:p>
    <w:p w:rsidR="00934C02" w:rsidRPr="00934C02" w:rsidRDefault="00934C02" w:rsidP="00934C02">
      <w:pPr>
        <w:spacing w:after="0" w:line="240" w:lineRule="auto"/>
        <w:jc w:val="both"/>
        <w:rPr>
          <w:rFonts w:ascii="Arial" w:hAnsi="Arial" w:cs="Arial"/>
          <w:i/>
          <w:sz w:val="24"/>
          <w:szCs w:val="24"/>
        </w:rPr>
      </w:pPr>
      <w:r w:rsidRPr="00934C02">
        <w:rPr>
          <w:rFonts w:ascii="Arial" w:hAnsi="Arial" w:cs="Arial"/>
          <w:i/>
          <w:sz w:val="24"/>
          <w:szCs w:val="24"/>
          <w:lang w:val="it-IT"/>
        </w:rPr>
        <w:t xml:space="preserve"> </w:t>
      </w:r>
    </w:p>
    <w:p w:rsidR="00934C02" w:rsidRPr="00934C02" w:rsidRDefault="00934C02" w:rsidP="00934C02">
      <w:pPr>
        <w:spacing w:after="0" w:line="240" w:lineRule="auto"/>
        <w:jc w:val="both"/>
        <w:rPr>
          <w:rFonts w:ascii="Arial" w:hAnsi="Arial" w:cs="Arial"/>
          <w:b/>
          <w:i/>
          <w:sz w:val="24"/>
          <w:szCs w:val="24"/>
        </w:rPr>
      </w:pPr>
      <w:r w:rsidRPr="00934C02">
        <w:rPr>
          <w:rFonts w:ascii="Arial" w:hAnsi="Arial" w:cs="Arial"/>
          <w:b/>
          <w:i/>
          <w:sz w:val="24"/>
          <w:szCs w:val="24"/>
        </w:rPr>
        <w:t>Generarea deşeurilor municipale</w:t>
      </w:r>
    </w:p>
    <w:p w:rsidR="00934C02" w:rsidRPr="00934C02" w:rsidRDefault="00934C02" w:rsidP="00934C02">
      <w:pPr>
        <w:spacing w:after="0" w:line="240" w:lineRule="auto"/>
        <w:jc w:val="both"/>
        <w:rPr>
          <w:rFonts w:ascii="Arial" w:hAnsi="Arial" w:cs="Arial"/>
          <w:b/>
          <w:i/>
          <w:sz w:val="24"/>
          <w:szCs w:val="24"/>
        </w:rPr>
      </w:pPr>
    </w:p>
    <w:p w:rsidR="00934C02" w:rsidRPr="00934C02" w:rsidRDefault="00934C02" w:rsidP="00934C02">
      <w:pPr>
        <w:spacing w:after="0" w:line="240" w:lineRule="auto"/>
        <w:jc w:val="both"/>
        <w:rPr>
          <w:rFonts w:ascii="Arial" w:hAnsi="Arial" w:cs="Arial"/>
          <w:sz w:val="24"/>
          <w:szCs w:val="24"/>
        </w:rPr>
      </w:pPr>
      <w:r w:rsidRPr="00934C02">
        <w:rPr>
          <w:rFonts w:ascii="Arial" w:hAnsi="Arial" w:cs="Arial"/>
          <w:sz w:val="24"/>
          <w:szCs w:val="24"/>
        </w:rPr>
        <w:t xml:space="preserve">             În conformitate cu prevederile Strategiei Naţionale de Gestionare a Deşeurilor 2014-2020, “deşeurile municipale sunt reprezentate de totalitatea deşeurilor menajere şi similare acestora generate în mediul urban şi rural din gospodării, instituţii, unităţi comerciale şi de la operatori economici, deşeuri stradale colectate din spaţii publice, </w:t>
      </w:r>
      <w:r w:rsidRPr="00934C02">
        <w:rPr>
          <w:rFonts w:ascii="Arial" w:hAnsi="Arial" w:cs="Arial"/>
          <w:sz w:val="24"/>
          <w:szCs w:val="24"/>
        </w:rPr>
        <w:lastRenderedPageBreak/>
        <w:t>străzi, parcuri, spaţii verzi, la care se adaugă şi deşeuri din construcţii şi demolări rezultate din amenajări interioare ale locuinţelor colectate de operatorii de salubritate”.</w:t>
      </w:r>
    </w:p>
    <w:p w:rsidR="008D2617" w:rsidRDefault="00934C02" w:rsidP="00934C02">
      <w:pPr>
        <w:widowControl w:val="0"/>
        <w:autoSpaceDE w:val="0"/>
        <w:autoSpaceDN w:val="0"/>
        <w:adjustRightInd w:val="0"/>
        <w:spacing w:after="0" w:line="240" w:lineRule="auto"/>
        <w:ind w:right="-20"/>
        <w:jc w:val="both"/>
        <w:rPr>
          <w:rFonts w:ascii="Arial" w:eastAsia="SimSun" w:hAnsi="Arial" w:cs="Arial"/>
          <w:i/>
          <w:sz w:val="24"/>
          <w:szCs w:val="24"/>
        </w:rPr>
      </w:pPr>
      <w:r w:rsidRPr="00934C02">
        <w:rPr>
          <w:rFonts w:ascii="Arial" w:eastAsia="SimSun" w:hAnsi="Arial" w:cs="Arial"/>
          <w:i/>
          <w:sz w:val="24"/>
          <w:szCs w:val="24"/>
        </w:rPr>
        <w:t xml:space="preserve"> </w:t>
      </w:r>
    </w:p>
    <w:p w:rsidR="008D2617" w:rsidRDefault="008D2617" w:rsidP="00934C02">
      <w:pPr>
        <w:widowControl w:val="0"/>
        <w:autoSpaceDE w:val="0"/>
        <w:autoSpaceDN w:val="0"/>
        <w:adjustRightInd w:val="0"/>
        <w:spacing w:after="0" w:line="240" w:lineRule="auto"/>
        <w:ind w:right="-20"/>
        <w:jc w:val="both"/>
        <w:rPr>
          <w:rFonts w:ascii="Arial" w:eastAsia="SimSun" w:hAnsi="Arial" w:cs="Arial"/>
          <w:i/>
          <w:sz w:val="24"/>
          <w:szCs w:val="24"/>
        </w:rPr>
      </w:pPr>
    </w:p>
    <w:p w:rsidR="00934C02" w:rsidRPr="00934C02" w:rsidRDefault="00934C02" w:rsidP="00934C02">
      <w:pPr>
        <w:widowControl w:val="0"/>
        <w:autoSpaceDE w:val="0"/>
        <w:autoSpaceDN w:val="0"/>
        <w:adjustRightInd w:val="0"/>
        <w:spacing w:after="0" w:line="240" w:lineRule="auto"/>
        <w:ind w:right="-20"/>
        <w:jc w:val="both"/>
        <w:rPr>
          <w:rFonts w:ascii="Arial" w:eastAsia="SimSun" w:hAnsi="Arial" w:cs="Arial"/>
          <w:i/>
          <w:sz w:val="24"/>
          <w:szCs w:val="24"/>
        </w:rPr>
      </w:pPr>
      <w:r w:rsidRPr="00934C02">
        <w:rPr>
          <w:rFonts w:ascii="Arial" w:eastAsia="SimSun" w:hAnsi="Arial" w:cs="Arial"/>
          <w:i/>
          <w:sz w:val="24"/>
          <w:szCs w:val="24"/>
        </w:rPr>
        <w:t>Cantităţi de deşeuri municipale generate</w:t>
      </w:r>
    </w:p>
    <w:p w:rsidR="00934C02" w:rsidRPr="00934C02" w:rsidRDefault="00934C02" w:rsidP="00934C02">
      <w:pPr>
        <w:widowControl w:val="0"/>
        <w:autoSpaceDE w:val="0"/>
        <w:autoSpaceDN w:val="0"/>
        <w:adjustRightInd w:val="0"/>
        <w:spacing w:after="0" w:line="240" w:lineRule="auto"/>
        <w:ind w:right="-20"/>
        <w:jc w:val="both"/>
        <w:rPr>
          <w:rFonts w:ascii="Arial" w:eastAsia="SimSun" w:hAnsi="Arial" w:cs="Arial"/>
          <w:i/>
          <w:sz w:val="24"/>
          <w:szCs w:val="24"/>
        </w:rPr>
      </w:pPr>
    </w:p>
    <w:p w:rsidR="00934C02" w:rsidRPr="00934C02" w:rsidRDefault="00934C02" w:rsidP="00934C02">
      <w:pPr>
        <w:widowControl w:val="0"/>
        <w:autoSpaceDE w:val="0"/>
        <w:autoSpaceDN w:val="0"/>
        <w:adjustRightInd w:val="0"/>
        <w:spacing w:after="0" w:line="240" w:lineRule="auto"/>
        <w:ind w:right="-159" w:firstLine="720"/>
        <w:jc w:val="both"/>
        <w:rPr>
          <w:rFonts w:ascii="Arial" w:eastAsia="SimSun" w:hAnsi="Arial" w:cs="Arial"/>
          <w:sz w:val="24"/>
          <w:szCs w:val="24"/>
        </w:rPr>
      </w:pPr>
      <w:r w:rsidRPr="00934C02">
        <w:rPr>
          <w:rFonts w:ascii="Arial" w:eastAsia="SimSun" w:hAnsi="Arial" w:cs="Arial"/>
          <w:sz w:val="24"/>
          <w:szCs w:val="24"/>
        </w:rPr>
        <w:t>Deşeurile municipale generate cuprind atât deşeurile generate şi colectate (în amestec sau selectiv), cât si deşeurile generate şi necolectate.</w:t>
      </w:r>
    </w:p>
    <w:p w:rsidR="00934C02" w:rsidRPr="00934C02" w:rsidRDefault="00934C02" w:rsidP="00934C02">
      <w:pPr>
        <w:widowControl w:val="0"/>
        <w:autoSpaceDE w:val="0"/>
        <w:autoSpaceDN w:val="0"/>
        <w:adjustRightInd w:val="0"/>
        <w:spacing w:after="0" w:line="240" w:lineRule="auto"/>
        <w:ind w:right="-159" w:firstLine="720"/>
        <w:jc w:val="both"/>
        <w:rPr>
          <w:rFonts w:ascii="Arial" w:eastAsia="SimSun" w:hAnsi="Arial" w:cs="Arial"/>
          <w:sz w:val="24"/>
          <w:szCs w:val="24"/>
        </w:rPr>
      </w:pPr>
      <w:r w:rsidRPr="00934C02">
        <w:rPr>
          <w:rFonts w:ascii="Arial" w:eastAsia="SimSun" w:hAnsi="Arial" w:cs="Arial"/>
          <w:sz w:val="24"/>
          <w:szCs w:val="24"/>
        </w:rPr>
        <w:t>Deşeurile generate şi necolectate sunt reprezentate în cea mai mare parte de deşeurile menajere din zonele în care populaţia nu este deservită de servicii de salubrizare.</w:t>
      </w:r>
    </w:p>
    <w:p w:rsidR="00934C02" w:rsidRPr="00934C02" w:rsidRDefault="00934C02" w:rsidP="00934C02">
      <w:pPr>
        <w:widowControl w:val="0"/>
        <w:autoSpaceDE w:val="0"/>
        <w:autoSpaceDN w:val="0"/>
        <w:adjustRightInd w:val="0"/>
        <w:spacing w:after="0" w:line="240" w:lineRule="auto"/>
        <w:ind w:left="120" w:right="-220" w:firstLine="720"/>
        <w:jc w:val="both"/>
        <w:rPr>
          <w:rFonts w:ascii="Arial" w:eastAsia="SimSun" w:hAnsi="Arial" w:cs="Arial"/>
          <w:sz w:val="24"/>
          <w:szCs w:val="24"/>
        </w:rPr>
      </w:pPr>
      <w:r w:rsidRPr="00934C02">
        <w:rPr>
          <w:rFonts w:ascii="Arial" w:eastAsia="SimSun" w:hAnsi="Arial" w:cs="Arial"/>
          <w:sz w:val="24"/>
          <w:szCs w:val="24"/>
        </w:rPr>
        <w:t>Indicatorii de generare deşeuri menajere în mediul urban şi rural utilizaţi sunt specifici județului şi sunt calculaşi/estimaţi luând în considerare indicatorii stabiliţi</w:t>
      </w:r>
      <w:r w:rsidRPr="00934C02">
        <w:rPr>
          <w:rFonts w:ascii="Arial" w:hAnsi="Arial" w:cs="Arial"/>
          <w:sz w:val="24"/>
          <w:szCs w:val="24"/>
          <w:lang w:val="ro-RO" w:eastAsia="ro-RO"/>
        </w:rPr>
        <w:t xml:space="preserve"> în PRGD pentru anul 2003, adică 0,9 kg/loc</w:t>
      </w:r>
      <w:r w:rsidRPr="00934C02">
        <w:rPr>
          <w:rFonts w:ascii="Arial" w:hAnsi="Arial" w:cs="Arial"/>
          <w:sz w:val="24"/>
          <w:szCs w:val="24"/>
          <w:lang w:val="ro-RO" w:eastAsia="ro-RO"/>
        </w:rPr>
        <w:sym w:font="Symbol" w:char="F0D7"/>
      </w:r>
      <w:r w:rsidRPr="00934C02">
        <w:rPr>
          <w:rFonts w:ascii="Arial" w:hAnsi="Arial" w:cs="Arial"/>
          <w:sz w:val="24"/>
          <w:szCs w:val="24"/>
          <w:lang w:val="ro-RO" w:eastAsia="ro-RO"/>
        </w:rPr>
        <w:t>zi în mediu urban şi 0,4 kg/loc</w:t>
      </w:r>
      <w:r w:rsidRPr="00934C02">
        <w:rPr>
          <w:rFonts w:ascii="Arial" w:hAnsi="Arial" w:cs="Arial"/>
          <w:sz w:val="24"/>
          <w:szCs w:val="24"/>
          <w:lang w:val="ro-RO" w:eastAsia="ro-RO"/>
        </w:rPr>
        <w:sym w:font="Symbol" w:char="F0D7"/>
      </w:r>
      <w:r w:rsidRPr="00934C02">
        <w:rPr>
          <w:rFonts w:ascii="Arial" w:hAnsi="Arial" w:cs="Arial"/>
          <w:sz w:val="24"/>
          <w:szCs w:val="24"/>
          <w:lang w:val="ro-RO" w:eastAsia="ro-RO"/>
        </w:rPr>
        <w:t xml:space="preserve">zi în mediu rural, iar pentru anii următori s-a aplicat o creştere anuală de 0,8 % </w:t>
      </w:r>
      <w:r w:rsidRPr="00934C02">
        <w:rPr>
          <w:rFonts w:ascii="Arial" w:eastAsia="SimSun" w:hAnsi="Arial" w:cs="Arial"/>
          <w:sz w:val="24"/>
          <w:szCs w:val="24"/>
        </w:rPr>
        <w:t xml:space="preserve"> .</w:t>
      </w:r>
    </w:p>
    <w:p w:rsidR="00934C02" w:rsidRPr="00934C02" w:rsidRDefault="00934C02" w:rsidP="00934C02">
      <w:pPr>
        <w:spacing w:after="0" w:line="240" w:lineRule="auto"/>
        <w:ind w:firstLine="720"/>
        <w:jc w:val="both"/>
        <w:rPr>
          <w:rFonts w:ascii="Arial" w:hAnsi="Arial" w:cs="Arial"/>
          <w:sz w:val="24"/>
          <w:szCs w:val="24"/>
        </w:rPr>
      </w:pPr>
      <w:r w:rsidRPr="00934C02">
        <w:rPr>
          <w:rFonts w:ascii="Arial" w:hAnsi="Arial" w:cs="Arial"/>
          <w:sz w:val="24"/>
          <w:szCs w:val="24"/>
        </w:rPr>
        <w:t xml:space="preserve"> Colectarea deșeurilor municipale este responsabilitatea municipalităţilor, care îşi pot realiza aceste atribuţii fie direct (prin serviciile de specialitate din cadrul Consiliilor Locale), fie indirect (prin delegarea acestei responsabilităţi pe bază de contract, către firme specializate şi autorizate pentru desfăşurarea serviciilor de salubritate).</w:t>
      </w:r>
    </w:p>
    <w:p w:rsidR="00934C02" w:rsidRPr="00934C02" w:rsidRDefault="00934C02" w:rsidP="00934C02">
      <w:pPr>
        <w:widowControl w:val="0"/>
        <w:autoSpaceDE w:val="0"/>
        <w:autoSpaceDN w:val="0"/>
        <w:adjustRightInd w:val="0"/>
        <w:spacing w:after="0" w:line="240" w:lineRule="auto"/>
        <w:ind w:right="-170"/>
        <w:jc w:val="both"/>
        <w:rPr>
          <w:rFonts w:ascii="Arial" w:eastAsia="SimSun" w:hAnsi="Arial" w:cs="Arial"/>
          <w:sz w:val="24"/>
          <w:szCs w:val="24"/>
        </w:rPr>
      </w:pPr>
      <w:r w:rsidRPr="00934C02">
        <w:rPr>
          <w:rFonts w:ascii="Arial" w:eastAsia="SimSun" w:hAnsi="Arial" w:cs="Arial"/>
          <w:sz w:val="24"/>
          <w:szCs w:val="24"/>
        </w:rPr>
        <w:t xml:space="preserve">             În prezent, în judeţul Vaslui managementul deşeurilor municipale nu se realizează la standardele europene. Depozitarea se face în general în perioada de tranziţie în depozitele municipale a altor judeţe. Nu există staţii de transfer, staţii de compostare, instalaţii de tratare mecano-biologică a deşeurilor, instalaţii pentru tratarea termică a deşeurilor menajere, iar modul de depozitare şi eliminare a deşeurilor este neconform şi necorespunzător normelor şi directivelor Uniunii Europene.</w:t>
      </w:r>
    </w:p>
    <w:p w:rsidR="00934C02" w:rsidRPr="00934C02" w:rsidRDefault="00934C02" w:rsidP="00934C02">
      <w:pPr>
        <w:widowControl w:val="0"/>
        <w:autoSpaceDE w:val="0"/>
        <w:autoSpaceDN w:val="0"/>
        <w:adjustRightInd w:val="0"/>
        <w:spacing w:after="0" w:line="240" w:lineRule="auto"/>
        <w:ind w:right="-170"/>
        <w:jc w:val="both"/>
        <w:rPr>
          <w:rFonts w:ascii="Arial" w:hAnsi="Arial" w:cs="Arial"/>
          <w:sz w:val="24"/>
          <w:szCs w:val="24"/>
        </w:rPr>
      </w:pPr>
      <w:r w:rsidRPr="00934C02">
        <w:rPr>
          <w:rFonts w:ascii="Arial" w:eastAsia="SimSun" w:hAnsi="Arial" w:cs="Arial"/>
          <w:sz w:val="24"/>
          <w:szCs w:val="24"/>
        </w:rPr>
        <w:t xml:space="preserve"> </w:t>
      </w:r>
      <w:r w:rsidRPr="00934C02">
        <w:rPr>
          <w:rFonts w:ascii="Arial" w:eastAsia="SimSun" w:hAnsi="Arial" w:cs="Arial"/>
          <w:sz w:val="24"/>
          <w:szCs w:val="24"/>
        </w:rPr>
        <w:tab/>
        <w:t>În mediul rural, în general nu sunt servicii organizate pentru colectarea deşeurilor, transportul la locul de depozitare fiind realizat de către generatori. În zona rurală doar un număr mic de gospodării - aproape de 10% - beneficiază de servicii de colectare.</w:t>
      </w:r>
    </w:p>
    <w:p w:rsidR="00934C02" w:rsidRPr="00934C02" w:rsidRDefault="00934C02" w:rsidP="00934C02">
      <w:pPr>
        <w:spacing w:after="0" w:line="240" w:lineRule="auto"/>
        <w:ind w:firstLine="720"/>
        <w:jc w:val="both"/>
        <w:rPr>
          <w:rFonts w:ascii="Arial" w:hAnsi="Arial" w:cs="Arial"/>
          <w:sz w:val="24"/>
          <w:szCs w:val="24"/>
        </w:rPr>
      </w:pPr>
    </w:p>
    <w:p w:rsidR="00934C02" w:rsidRPr="00934C02" w:rsidRDefault="00934C02" w:rsidP="00934C02">
      <w:pPr>
        <w:widowControl w:val="0"/>
        <w:autoSpaceDE w:val="0"/>
        <w:autoSpaceDN w:val="0"/>
        <w:adjustRightInd w:val="0"/>
        <w:spacing w:after="0" w:line="240" w:lineRule="auto"/>
        <w:ind w:right="-20"/>
        <w:jc w:val="both"/>
        <w:rPr>
          <w:rFonts w:ascii="Arial" w:eastAsia="SimSun" w:hAnsi="Arial" w:cs="Arial"/>
          <w:i/>
          <w:sz w:val="24"/>
          <w:szCs w:val="24"/>
        </w:rPr>
      </w:pPr>
      <w:r w:rsidRPr="00934C02">
        <w:rPr>
          <w:rFonts w:ascii="Arial" w:eastAsia="SimSun" w:hAnsi="Arial" w:cs="Arial"/>
          <w:i/>
          <w:sz w:val="24"/>
          <w:szCs w:val="24"/>
        </w:rPr>
        <w:t>Deşeuri  generate şi colectate</w:t>
      </w:r>
    </w:p>
    <w:p w:rsidR="00934C02" w:rsidRPr="00934C02" w:rsidRDefault="00934C02" w:rsidP="00934C02">
      <w:pPr>
        <w:widowControl w:val="0"/>
        <w:autoSpaceDE w:val="0"/>
        <w:autoSpaceDN w:val="0"/>
        <w:adjustRightInd w:val="0"/>
        <w:spacing w:after="0" w:line="240" w:lineRule="auto"/>
        <w:ind w:left="120" w:right="-20"/>
        <w:jc w:val="both"/>
        <w:rPr>
          <w:rFonts w:ascii="Arial" w:eastAsia="SimSun" w:hAnsi="Arial" w:cs="Arial"/>
          <w:color w:val="FF0000"/>
          <w:sz w:val="24"/>
          <w:szCs w:val="24"/>
        </w:rPr>
      </w:pPr>
    </w:p>
    <w:p w:rsidR="00934C02" w:rsidRPr="00934C02" w:rsidRDefault="00934C02" w:rsidP="00934C02">
      <w:pPr>
        <w:widowControl w:val="0"/>
        <w:autoSpaceDE w:val="0"/>
        <w:autoSpaceDN w:val="0"/>
        <w:adjustRightInd w:val="0"/>
        <w:spacing w:after="0" w:line="240" w:lineRule="auto"/>
        <w:ind w:right="180" w:firstLine="720"/>
        <w:jc w:val="both"/>
        <w:rPr>
          <w:rFonts w:ascii="Arial" w:eastAsia="SimSun" w:hAnsi="Arial" w:cs="Arial"/>
          <w:sz w:val="24"/>
          <w:szCs w:val="24"/>
        </w:rPr>
      </w:pPr>
      <w:r w:rsidRPr="00934C02">
        <w:rPr>
          <w:rFonts w:ascii="Arial" w:eastAsia="SimSun" w:hAnsi="Arial" w:cs="Arial"/>
          <w:sz w:val="24"/>
          <w:szCs w:val="24"/>
        </w:rPr>
        <w:t>În judeţul Vaslui colectarea şi transportul deşeurilor au aspecte specifice diferite între zonele urbane şi cele rurale. În zonele urbane, majoritatea populaţiei beneficiază de servicii de colectare a deşeurilor. Pentru a avea o reală imagine a  evoluţiei cantităţilor de deşeuri, prezentăm în continuare evoluţia acestora în ultimii 5 ani, respectiv în perioada 2010-2014 (perioadă pentru care se deţin date validate de ANPM, aplicatiile SD-din SIM si</w:t>
      </w:r>
      <w:r w:rsidRPr="00934C02">
        <w:t xml:space="preserve"> </w:t>
      </w:r>
      <w:r w:rsidRPr="00934C02">
        <w:rPr>
          <w:rFonts w:ascii="Arial" w:eastAsia="SimSun" w:hAnsi="Arial" w:cs="Arial"/>
          <w:sz w:val="24"/>
          <w:szCs w:val="24"/>
        </w:rPr>
        <w:t xml:space="preserve">MEDIUS </w:t>
      </w:r>
      <w:r w:rsidRPr="00934C02">
        <w:rPr>
          <w:rFonts w:ascii="Arial" w:hAnsi="Arial" w:cs="Arial"/>
          <w:sz w:val="24"/>
          <w:szCs w:val="24"/>
        </w:rPr>
        <w:t>).</w:t>
      </w:r>
    </w:p>
    <w:p w:rsidR="00934C02" w:rsidRPr="00934C02" w:rsidRDefault="00934C02" w:rsidP="00934C02">
      <w:pPr>
        <w:spacing w:after="0" w:line="240" w:lineRule="auto"/>
        <w:jc w:val="both"/>
        <w:rPr>
          <w:rFonts w:ascii="Arial" w:hAnsi="Arial" w:cs="Arial"/>
          <w:sz w:val="24"/>
          <w:szCs w:val="24"/>
          <w:lang w:val="pl-PL"/>
        </w:rPr>
      </w:pPr>
      <w:r w:rsidRPr="00934C02">
        <w:rPr>
          <w:rFonts w:ascii="Arial" w:hAnsi="Arial" w:cs="Arial"/>
          <w:sz w:val="24"/>
          <w:szCs w:val="24"/>
        </w:rPr>
        <w:t xml:space="preserve">       </w:t>
      </w:r>
      <w:r w:rsidRPr="00934C02">
        <w:rPr>
          <w:rFonts w:ascii="Arial" w:hAnsi="Arial" w:cs="Arial"/>
          <w:sz w:val="24"/>
          <w:szCs w:val="24"/>
        </w:rPr>
        <w:tab/>
        <w:t xml:space="preserve"> Evoluţia cantităţilor totale de deşeuri municipale generate la nivel judeţean </w:t>
      </w:r>
      <w:r w:rsidRPr="00934C02">
        <w:rPr>
          <w:rFonts w:ascii="Arial" w:hAnsi="Arial" w:cs="Arial"/>
          <w:sz w:val="24"/>
          <w:szCs w:val="24"/>
          <w:lang w:val="pl-PL"/>
        </w:rPr>
        <w:t>este redată în tabelul de mai jos:</w:t>
      </w:r>
    </w:p>
    <w:p w:rsidR="00934C02" w:rsidRPr="00934C02" w:rsidRDefault="00934C02" w:rsidP="00934C02">
      <w:pPr>
        <w:spacing w:after="0" w:line="240" w:lineRule="auto"/>
        <w:jc w:val="both"/>
        <w:rPr>
          <w:rFonts w:ascii="Arial" w:hAnsi="Arial" w:cs="Arial"/>
          <w:sz w:val="24"/>
          <w:szCs w:val="24"/>
        </w:rPr>
      </w:pPr>
    </w:p>
    <w:p w:rsidR="00934C02" w:rsidRPr="00934C02" w:rsidRDefault="00934C02" w:rsidP="00934C02">
      <w:pPr>
        <w:spacing w:after="0" w:line="240" w:lineRule="auto"/>
        <w:jc w:val="both"/>
        <w:rPr>
          <w:rFonts w:ascii="Arial" w:eastAsia="Times New Roman" w:hAnsi="Arial" w:cs="Arial"/>
          <w:sz w:val="24"/>
          <w:szCs w:val="24"/>
          <w:lang w:val="it-IT"/>
        </w:rPr>
      </w:pPr>
      <w:r w:rsidRPr="00934C02">
        <w:rPr>
          <w:rFonts w:ascii="Arial" w:eastAsia="Times New Roman" w:hAnsi="Arial" w:cs="Arial"/>
          <w:sz w:val="24"/>
          <w:szCs w:val="24"/>
          <w:lang w:val="it-IT"/>
        </w:rPr>
        <w:t>Tabelul VII.1. Cantităţi de deşeuri municipale generate în perioada 2010-2014</w:t>
      </w:r>
    </w:p>
    <w:tbl>
      <w:tblPr>
        <w:tblStyle w:val="TableGrid"/>
        <w:tblW w:w="10013" w:type="dxa"/>
        <w:tblLayout w:type="fixed"/>
        <w:tblLook w:val="04A0" w:firstRow="1" w:lastRow="0" w:firstColumn="1" w:lastColumn="0" w:noHBand="0" w:noVBand="1"/>
      </w:tblPr>
      <w:tblGrid>
        <w:gridCol w:w="3482"/>
        <w:gridCol w:w="1217"/>
        <w:gridCol w:w="21"/>
        <w:gridCol w:w="1205"/>
        <w:gridCol w:w="22"/>
        <w:gridCol w:w="1341"/>
        <w:gridCol w:w="21"/>
        <w:gridCol w:w="1341"/>
        <w:gridCol w:w="22"/>
        <w:gridCol w:w="1334"/>
        <w:gridCol w:w="7"/>
      </w:tblGrid>
      <w:tr w:rsidR="00934C02" w:rsidRPr="00934C02" w:rsidTr="00934C02">
        <w:trPr>
          <w:trHeight w:val="196"/>
        </w:trPr>
        <w:tc>
          <w:tcPr>
            <w:tcW w:w="3482" w:type="dxa"/>
            <w:vMerge w:val="restart"/>
            <w:tcBorders>
              <w:top w:val="double" w:sz="4" w:space="0" w:color="auto"/>
              <w:left w:val="double" w:sz="4" w:space="0" w:color="auto"/>
              <w:bottom w:val="single" w:sz="4" w:space="0" w:color="auto"/>
              <w:right w:val="double" w:sz="4" w:space="0" w:color="auto"/>
            </w:tcBorders>
            <w:hideMark/>
          </w:tcPr>
          <w:p w:rsidR="00934C02" w:rsidRPr="00934C02" w:rsidRDefault="00934C02" w:rsidP="00934C02">
            <w:pPr>
              <w:jc w:val="center"/>
              <w:rPr>
                <w:rFonts w:ascii="Arial" w:hAnsi="Arial" w:cs="Arial"/>
                <w:b/>
                <w:lang w:val="it-IT"/>
              </w:rPr>
            </w:pPr>
            <w:r w:rsidRPr="00934C02">
              <w:rPr>
                <w:rFonts w:ascii="Arial" w:hAnsi="Arial" w:cs="Arial"/>
                <w:b/>
                <w:i/>
              </w:rPr>
              <w:t>Total deşeuri municipal generate, din care:</w:t>
            </w:r>
          </w:p>
        </w:tc>
        <w:tc>
          <w:tcPr>
            <w:tcW w:w="1238" w:type="dxa"/>
            <w:gridSpan w:val="2"/>
            <w:tcBorders>
              <w:top w:val="double" w:sz="4" w:space="0" w:color="auto"/>
              <w:left w:val="double" w:sz="4" w:space="0" w:color="auto"/>
              <w:bottom w:val="single" w:sz="4" w:space="0" w:color="auto"/>
              <w:right w:val="double" w:sz="4" w:space="0" w:color="auto"/>
            </w:tcBorders>
            <w:hideMark/>
          </w:tcPr>
          <w:p w:rsidR="00934C02" w:rsidRPr="00934C02" w:rsidRDefault="00934C02" w:rsidP="00934C02">
            <w:pPr>
              <w:jc w:val="center"/>
              <w:rPr>
                <w:rFonts w:ascii="Arial" w:hAnsi="Arial" w:cs="Arial"/>
                <w:b/>
                <w:lang w:val="it-IT"/>
              </w:rPr>
            </w:pPr>
            <w:r w:rsidRPr="00934C02">
              <w:rPr>
                <w:rFonts w:ascii="Arial" w:hAnsi="Arial" w:cs="Arial"/>
                <w:b/>
                <w:lang w:val="it-IT"/>
              </w:rPr>
              <w:t>2010</w:t>
            </w:r>
          </w:p>
        </w:tc>
        <w:tc>
          <w:tcPr>
            <w:tcW w:w="1227" w:type="dxa"/>
            <w:gridSpan w:val="2"/>
            <w:tcBorders>
              <w:top w:val="double" w:sz="4" w:space="0" w:color="auto"/>
              <w:left w:val="double" w:sz="4" w:space="0" w:color="auto"/>
              <w:bottom w:val="single" w:sz="4" w:space="0" w:color="auto"/>
              <w:right w:val="double" w:sz="4" w:space="0" w:color="auto"/>
            </w:tcBorders>
            <w:hideMark/>
          </w:tcPr>
          <w:p w:rsidR="00934C02" w:rsidRPr="00934C02" w:rsidRDefault="00934C02" w:rsidP="00934C02">
            <w:pPr>
              <w:jc w:val="center"/>
              <w:rPr>
                <w:rFonts w:ascii="Arial" w:hAnsi="Arial" w:cs="Arial"/>
                <w:b/>
                <w:lang w:val="it-IT"/>
              </w:rPr>
            </w:pPr>
            <w:r w:rsidRPr="00934C02">
              <w:rPr>
                <w:rFonts w:ascii="Arial" w:hAnsi="Arial" w:cs="Arial"/>
                <w:b/>
                <w:lang w:val="it-IT"/>
              </w:rPr>
              <w:t>2011</w:t>
            </w:r>
          </w:p>
        </w:tc>
        <w:tc>
          <w:tcPr>
            <w:tcW w:w="1362" w:type="dxa"/>
            <w:gridSpan w:val="2"/>
            <w:tcBorders>
              <w:top w:val="double" w:sz="4" w:space="0" w:color="auto"/>
              <w:left w:val="double" w:sz="4" w:space="0" w:color="auto"/>
              <w:bottom w:val="single" w:sz="4" w:space="0" w:color="auto"/>
              <w:right w:val="double" w:sz="4" w:space="0" w:color="auto"/>
            </w:tcBorders>
            <w:hideMark/>
          </w:tcPr>
          <w:p w:rsidR="00934C02" w:rsidRPr="00934C02" w:rsidRDefault="00934C02" w:rsidP="00934C02">
            <w:pPr>
              <w:jc w:val="center"/>
              <w:rPr>
                <w:rFonts w:ascii="Arial" w:hAnsi="Arial" w:cs="Arial"/>
                <w:b/>
                <w:lang w:val="it-IT"/>
              </w:rPr>
            </w:pPr>
            <w:r w:rsidRPr="00934C02">
              <w:rPr>
                <w:rFonts w:ascii="Arial" w:hAnsi="Arial" w:cs="Arial"/>
                <w:b/>
                <w:lang w:val="it-IT"/>
              </w:rPr>
              <w:t>2012</w:t>
            </w:r>
          </w:p>
        </w:tc>
        <w:tc>
          <w:tcPr>
            <w:tcW w:w="1363" w:type="dxa"/>
            <w:gridSpan w:val="2"/>
            <w:tcBorders>
              <w:top w:val="double" w:sz="4" w:space="0" w:color="auto"/>
              <w:left w:val="double" w:sz="4" w:space="0" w:color="auto"/>
              <w:bottom w:val="single" w:sz="4" w:space="0" w:color="auto"/>
              <w:right w:val="double" w:sz="4" w:space="0" w:color="auto"/>
            </w:tcBorders>
            <w:hideMark/>
          </w:tcPr>
          <w:p w:rsidR="00934C02" w:rsidRPr="00934C02" w:rsidRDefault="00934C02" w:rsidP="00934C02">
            <w:pPr>
              <w:jc w:val="center"/>
              <w:rPr>
                <w:rFonts w:ascii="Arial" w:hAnsi="Arial" w:cs="Arial"/>
                <w:b/>
                <w:lang w:val="it-IT"/>
              </w:rPr>
            </w:pPr>
            <w:r w:rsidRPr="00934C02">
              <w:rPr>
                <w:rFonts w:ascii="Arial" w:hAnsi="Arial" w:cs="Arial"/>
                <w:b/>
                <w:lang w:val="it-IT"/>
              </w:rPr>
              <w:t>2013</w:t>
            </w:r>
          </w:p>
        </w:tc>
        <w:tc>
          <w:tcPr>
            <w:tcW w:w="1341" w:type="dxa"/>
            <w:gridSpan w:val="2"/>
            <w:tcBorders>
              <w:top w:val="double" w:sz="4" w:space="0" w:color="auto"/>
              <w:left w:val="double" w:sz="4" w:space="0" w:color="auto"/>
              <w:bottom w:val="single" w:sz="4" w:space="0" w:color="auto"/>
              <w:right w:val="double" w:sz="4" w:space="0" w:color="auto"/>
            </w:tcBorders>
            <w:hideMark/>
          </w:tcPr>
          <w:p w:rsidR="00934C02" w:rsidRPr="00934C02" w:rsidRDefault="00934C02" w:rsidP="00934C02">
            <w:pPr>
              <w:jc w:val="center"/>
              <w:rPr>
                <w:rFonts w:ascii="Arial" w:hAnsi="Arial" w:cs="Arial"/>
                <w:b/>
                <w:lang w:val="it-IT"/>
              </w:rPr>
            </w:pPr>
            <w:r w:rsidRPr="00934C02">
              <w:rPr>
                <w:rFonts w:ascii="Arial" w:hAnsi="Arial" w:cs="Arial"/>
                <w:b/>
                <w:lang w:val="it-IT"/>
              </w:rPr>
              <w:t>2014</w:t>
            </w:r>
          </w:p>
        </w:tc>
      </w:tr>
      <w:tr w:rsidR="00934C02" w:rsidRPr="00934C02" w:rsidTr="00934C02">
        <w:trPr>
          <w:trHeight w:val="279"/>
        </w:trPr>
        <w:tc>
          <w:tcPr>
            <w:tcW w:w="3482" w:type="dxa"/>
            <w:vMerge/>
            <w:tcBorders>
              <w:top w:val="double" w:sz="4" w:space="0" w:color="auto"/>
              <w:left w:val="double" w:sz="4" w:space="0" w:color="auto"/>
              <w:bottom w:val="single" w:sz="4" w:space="0" w:color="auto"/>
              <w:right w:val="double" w:sz="4" w:space="0" w:color="auto"/>
            </w:tcBorders>
            <w:vAlign w:val="center"/>
            <w:hideMark/>
          </w:tcPr>
          <w:p w:rsidR="00934C02" w:rsidRPr="00934C02" w:rsidRDefault="00934C02" w:rsidP="00934C02">
            <w:pPr>
              <w:rPr>
                <w:rFonts w:ascii="Arial" w:hAnsi="Arial" w:cs="Arial"/>
                <w:b/>
                <w:lang w:val="it-IT"/>
              </w:rPr>
            </w:pPr>
          </w:p>
        </w:tc>
        <w:tc>
          <w:tcPr>
            <w:tcW w:w="1238" w:type="dxa"/>
            <w:gridSpan w:val="2"/>
            <w:tcBorders>
              <w:top w:val="single" w:sz="4" w:space="0" w:color="auto"/>
              <w:left w:val="double" w:sz="4" w:space="0" w:color="auto"/>
              <w:bottom w:val="single" w:sz="4" w:space="0" w:color="auto"/>
              <w:right w:val="double" w:sz="4" w:space="0" w:color="auto"/>
            </w:tcBorders>
          </w:tcPr>
          <w:p w:rsidR="00934C02" w:rsidRPr="00934C02" w:rsidRDefault="00934C02" w:rsidP="00934C02">
            <w:pPr>
              <w:rPr>
                <w:rFonts w:ascii="Arial" w:hAnsi="Arial" w:cs="Arial"/>
              </w:rPr>
            </w:pPr>
            <w:r w:rsidRPr="00934C02">
              <w:rPr>
                <w:rFonts w:ascii="Arial" w:hAnsi="Arial" w:cs="Arial"/>
              </w:rPr>
              <w:t>135929</w:t>
            </w:r>
          </w:p>
        </w:tc>
        <w:tc>
          <w:tcPr>
            <w:tcW w:w="1227" w:type="dxa"/>
            <w:gridSpan w:val="2"/>
            <w:tcBorders>
              <w:top w:val="single" w:sz="4" w:space="0" w:color="auto"/>
              <w:left w:val="double" w:sz="4" w:space="0" w:color="auto"/>
              <w:bottom w:val="single" w:sz="4" w:space="0" w:color="auto"/>
              <w:right w:val="double" w:sz="4" w:space="0" w:color="auto"/>
            </w:tcBorders>
          </w:tcPr>
          <w:p w:rsidR="00934C02" w:rsidRPr="00934C02" w:rsidRDefault="00934C02" w:rsidP="00934C02">
            <w:pPr>
              <w:rPr>
                <w:rFonts w:ascii="Arial" w:hAnsi="Arial" w:cs="Arial"/>
              </w:rPr>
            </w:pPr>
            <w:r w:rsidRPr="00934C02">
              <w:rPr>
                <w:rFonts w:ascii="Arial" w:hAnsi="Arial" w:cs="Arial"/>
              </w:rPr>
              <w:t>98319</w:t>
            </w:r>
          </w:p>
        </w:tc>
        <w:tc>
          <w:tcPr>
            <w:tcW w:w="1362" w:type="dxa"/>
            <w:gridSpan w:val="2"/>
            <w:tcBorders>
              <w:top w:val="single" w:sz="4" w:space="0" w:color="auto"/>
              <w:left w:val="double" w:sz="4" w:space="0" w:color="auto"/>
              <w:bottom w:val="single" w:sz="4" w:space="0" w:color="auto"/>
              <w:right w:val="double" w:sz="4" w:space="0" w:color="auto"/>
            </w:tcBorders>
          </w:tcPr>
          <w:p w:rsidR="00934C02" w:rsidRPr="00934C02" w:rsidRDefault="00934C02" w:rsidP="00934C02">
            <w:pPr>
              <w:rPr>
                <w:rFonts w:ascii="Arial" w:hAnsi="Arial" w:cs="Arial"/>
              </w:rPr>
            </w:pPr>
            <w:r w:rsidRPr="00934C02">
              <w:rPr>
                <w:rFonts w:ascii="Arial" w:hAnsi="Arial" w:cs="Arial"/>
              </w:rPr>
              <w:t>106672.6</w:t>
            </w:r>
          </w:p>
        </w:tc>
        <w:tc>
          <w:tcPr>
            <w:tcW w:w="1363" w:type="dxa"/>
            <w:gridSpan w:val="2"/>
            <w:tcBorders>
              <w:top w:val="single" w:sz="4" w:space="0" w:color="auto"/>
              <w:left w:val="double" w:sz="4" w:space="0" w:color="auto"/>
              <w:bottom w:val="single" w:sz="4" w:space="0" w:color="auto"/>
              <w:right w:val="double" w:sz="4" w:space="0" w:color="auto"/>
            </w:tcBorders>
          </w:tcPr>
          <w:p w:rsidR="00934C02" w:rsidRPr="00934C02" w:rsidRDefault="00934C02" w:rsidP="00934C02">
            <w:pPr>
              <w:jc w:val="center"/>
              <w:rPr>
                <w:rFonts w:ascii="Arial" w:hAnsi="Arial" w:cs="Arial"/>
                <w:lang w:val="it-IT"/>
              </w:rPr>
            </w:pPr>
            <w:r w:rsidRPr="00934C02">
              <w:rPr>
                <w:rFonts w:ascii="Arial" w:hAnsi="Arial" w:cs="Arial"/>
                <w:lang w:val="it-IT"/>
              </w:rPr>
              <w:t>84239.5</w:t>
            </w:r>
          </w:p>
        </w:tc>
        <w:tc>
          <w:tcPr>
            <w:tcW w:w="1341" w:type="dxa"/>
            <w:gridSpan w:val="2"/>
            <w:tcBorders>
              <w:top w:val="single" w:sz="4" w:space="0" w:color="auto"/>
              <w:left w:val="double" w:sz="4" w:space="0" w:color="auto"/>
              <w:bottom w:val="single" w:sz="4" w:space="0" w:color="auto"/>
              <w:right w:val="double" w:sz="4" w:space="0" w:color="auto"/>
            </w:tcBorders>
          </w:tcPr>
          <w:p w:rsidR="00934C02" w:rsidRPr="00934C02" w:rsidRDefault="00934C02" w:rsidP="00934C02">
            <w:pPr>
              <w:jc w:val="center"/>
              <w:rPr>
                <w:rFonts w:ascii="Arial" w:hAnsi="Arial" w:cs="Arial"/>
                <w:lang w:val="it-IT"/>
              </w:rPr>
            </w:pPr>
            <w:r w:rsidRPr="00934C02">
              <w:rPr>
                <w:rFonts w:ascii="Arial" w:hAnsi="Arial" w:cs="Arial"/>
                <w:lang w:val="it-IT"/>
              </w:rPr>
              <w:t>79169.46</w:t>
            </w:r>
          </w:p>
        </w:tc>
      </w:tr>
      <w:tr w:rsidR="00934C02" w:rsidRPr="00934C02" w:rsidTr="00934C02">
        <w:trPr>
          <w:trHeight w:val="74"/>
        </w:trPr>
        <w:tc>
          <w:tcPr>
            <w:tcW w:w="3482" w:type="dxa"/>
            <w:tcBorders>
              <w:top w:val="single" w:sz="4" w:space="0" w:color="auto"/>
              <w:left w:val="double" w:sz="4" w:space="0" w:color="auto"/>
              <w:bottom w:val="single" w:sz="4" w:space="0" w:color="auto"/>
              <w:right w:val="double" w:sz="4" w:space="0" w:color="auto"/>
            </w:tcBorders>
            <w:hideMark/>
          </w:tcPr>
          <w:p w:rsidR="00934C02" w:rsidRPr="00934C02" w:rsidRDefault="00934C02" w:rsidP="00934C02">
            <w:pPr>
              <w:jc w:val="center"/>
              <w:rPr>
                <w:rFonts w:ascii="Arial" w:hAnsi="Arial" w:cs="Arial"/>
                <w:lang w:val="it-IT"/>
              </w:rPr>
            </w:pPr>
            <w:r w:rsidRPr="00934C02">
              <w:rPr>
                <w:rFonts w:ascii="Arial" w:hAnsi="Arial" w:cs="Arial"/>
                <w:lang w:val="it-IT"/>
              </w:rPr>
              <w:t>- deşeuri menajere şi asimilabile</w:t>
            </w:r>
          </w:p>
        </w:tc>
        <w:tc>
          <w:tcPr>
            <w:tcW w:w="1238" w:type="dxa"/>
            <w:gridSpan w:val="2"/>
            <w:tcBorders>
              <w:top w:val="single" w:sz="4" w:space="0" w:color="auto"/>
              <w:left w:val="double" w:sz="4" w:space="0" w:color="auto"/>
              <w:bottom w:val="single" w:sz="4" w:space="0" w:color="auto"/>
              <w:right w:val="double" w:sz="4" w:space="0" w:color="auto"/>
            </w:tcBorders>
          </w:tcPr>
          <w:p w:rsidR="00934C02" w:rsidRPr="00934C02" w:rsidRDefault="00934C02" w:rsidP="00934C02">
            <w:pPr>
              <w:rPr>
                <w:rFonts w:ascii="Arial" w:hAnsi="Arial" w:cs="Arial"/>
              </w:rPr>
            </w:pPr>
            <w:r w:rsidRPr="00934C02">
              <w:rPr>
                <w:rFonts w:ascii="Arial" w:hAnsi="Arial" w:cs="Arial"/>
              </w:rPr>
              <w:t>45352</w:t>
            </w:r>
          </w:p>
        </w:tc>
        <w:tc>
          <w:tcPr>
            <w:tcW w:w="1227" w:type="dxa"/>
            <w:gridSpan w:val="2"/>
            <w:tcBorders>
              <w:top w:val="single" w:sz="4" w:space="0" w:color="auto"/>
              <w:left w:val="double" w:sz="4" w:space="0" w:color="auto"/>
              <w:bottom w:val="single" w:sz="4" w:space="0" w:color="auto"/>
              <w:right w:val="double" w:sz="4" w:space="0" w:color="auto"/>
            </w:tcBorders>
          </w:tcPr>
          <w:p w:rsidR="00934C02" w:rsidRPr="00934C02" w:rsidRDefault="00934C02" w:rsidP="00934C02">
            <w:pPr>
              <w:rPr>
                <w:rFonts w:ascii="Arial" w:hAnsi="Arial" w:cs="Arial"/>
              </w:rPr>
            </w:pPr>
            <w:r w:rsidRPr="00934C02">
              <w:rPr>
                <w:rFonts w:ascii="Arial" w:hAnsi="Arial" w:cs="Arial"/>
              </w:rPr>
              <w:t>35455</w:t>
            </w:r>
          </w:p>
        </w:tc>
        <w:tc>
          <w:tcPr>
            <w:tcW w:w="1362" w:type="dxa"/>
            <w:gridSpan w:val="2"/>
            <w:tcBorders>
              <w:top w:val="single" w:sz="4" w:space="0" w:color="auto"/>
              <w:left w:val="double" w:sz="4" w:space="0" w:color="auto"/>
              <w:bottom w:val="single" w:sz="4" w:space="0" w:color="auto"/>
              <w:right w:val="double" w:sz="4" w:space="0" w:color="auto"/>
            </w:tcBorders>
          </w:tcPr>
          <w:p w:rsidR="00934C02" w:rsidRPr="00934C02" w:rsidRDefault="00934C02" w:rsidP="00934C02">
            <w:pPr>
              <w:rPr>
                <w:rFonts w:ascii="Arial" w:hAnsi="Arial" w:cs="Arial"/>
              </w:rPr>
            </w:pPr>
            <w:r w:rsidRPr="00934C02">
              <w:rPr>
                <w:rFonts w:ascii="Arial" w:hAnsi="Arial" w:cs="Arial"/>
              </w:rPr>
              <w:t>26874</w:t>
            </w:r>
          </w:p>
        </w:tc>
        <w:tc>
          <w:tcPr>
            <w:tcW w:w="1363" w:type="dxa"/>
            <w:gridSpan w:val="2"/>
            <w:tcBorders>
              <w:top w:val="single" w:sz="4" w:space="0" w:color="auto"/>
              <w:left w:val="double" w:sz="4" w:space="0" w:color="auto"/>
              <w:bottom w:val="single" w:sz="4" w:space="0" w:color="auto"/>
              <w:right w:val="double" w:sz="4" w:space="0" w:color="auto"/>
            </w:tcBorders>
          </w:tcPr>
          <w:p w:rsidR="00934C02" w:rsidRPr="00934C02" w:rsidRDefault="00934C02" w:rsidP="00934C02">
            <w:pPr>
              <w:jc w:val="center"/>
              <w:rPr>
                <w:rFonts w:ascii="Arial" w:hAnsi="Arial" w:cs="Arial"/>
                <w:lang w:val="it-IT"/>
              </w:rPr>
            </w:pPr>
            <w:r w:rsidRPr="00934C02">
              <w:rPr>
                <w:rFonts w:ascii="Arial" w:hAnsi="Arial" w:cs="Arial"/>
                <w:lang w:val="it-IT"/>
              </w:rPr>
              <w:t>23796.5</w:t>
            </w:r>
          </w:p>
        </w:tc>
        <w:tc>
          <w:tcPr>
            <w:tcW w:w="1341" w:type="dxa"/>
            <w:gridSpan w:val="2"/>
            <w:tcBorders>
              <w:top w:val="single" w:sz="4" w:space="0" w:color="auto"/>
              <w:left w:val="double" w:sz="4" w:space="0" w:color="auto"/>
              <w:bottom w:val="single" w:sz="4" w:space="0" w:color="auto"/>
              <w:right w:val="double" w:sz="4" w:space="0" w:color="auto"/>
            </w:tcBorders>
          </w:tcPr>
          <w:p w:rsidR="00934C02" w:rsidRPr="00934C02" w:rsidRDefault="00934C02" w:rsidP="00934C02">
            <w:pPr>
              <w:jc w:val="center"/>
              <w:rPr>
                <w:rFonts w:ascii="Arial" w:hAnsi="Arial" w:cs="Arial"/>
                <w:lang w:val="it-IT"/>
              </w:rPr>
            </w:pPr>
            <w:r w:rsidRPr="00934C02">
              <w:rPr>
                <w:rFonts w:ascii="Arial" w:hAnsi="Arial" w:cs="Arial"/>
                <w:lang w:val="it-IT"/>
              </w:rPr>
              <w:t>26522.26</w:t>
            </w:r>
          </w:p>
        </w:tc>
      </w:tr>
      <w:tr w:rsidR="00934C02" w:rsidRPr="00934C02" w:rsidTr="00934C02">
        <w:trPr>
          <w:trHeight w:val="213"/>
        </w:trPr>
        <w:tc>
          <w:tcPr>
            <w:tcW w:w="3482" w:type="dxa"/>
            <w:tcBorders>
              <w:top w:val="single" w:sz="4" w:space="0" w:color="auto"/>
              <w:left w:val="double" w:sz="4" w:space="0" w:color="auto"/>
              <w:bottom w:val="single" w:sz="4" w:space="0" w:color="auto"/>
              <w:right w:val="double" w:sz="4" w:space="0" w:color="auto"/>
            </w:tcBorders>
            <w:hideMark/>
          </w:tcPr>
          <w:p w:rsidR="00934C02" w:rsidRPr="00934C02" w:rsidRDefault="00934C02" w:rsidP="00934C02">
            <w:pPr>
              <w:jc w:val="center"/>
              <w:rPr>
                <w:rFonts w:ascii="Arial" w:hAnsi="Arial" w:cs="Arial"/>
                <w:lang w:val="it-IT"/>
              </w:rPr>
            </w:pPr>
            <w:r w:rsidRPr="00934C02">
              <w:rPr>
                <w:rFonts w:ascii="Arial" w:hAnsi="Arial" w:cs="Arial"/>
                <w:lang w:val="it-IT"/>
              </w:rPr>
              <w:t>-deşeuri din servicii municipale</w:t>
            </w:r>
          </w:p>
        </w:tc>
        <w:tc>
          <w:tcPr>
            <w:tcW w:w="1238" w:type="dxa"/>
            <w:gridSpan w:val="2"/>
            <w:tcBorders>
              <w:top w:val="single" w:sz="4" w:space="0" w:color="auto"/>
              <w:left w:val="double" w:sz="4" w:space="0" w:color="auto"/>
              <w:bottom w:val="single" w:sz="4" w:space="0" w:color="auto"/>
              <w:right w:val="double" w:sz="4" w:space="0" w:color="auto"/>
            </w:tcBorders>
          </w:tcPr>
          <w:p w:rsidR="00934C02" w:rsidRPr="00934C02" w:rsidRDefault="00934C02" w:rsidP="00934C02">
            <w:pPr>
              <w:rPr>
                <w:rFonts w:ascii="Arial" w:hAnsi="Arial" w:cs="Arial"/>
              </w:rPr>
            </w:pPr>
            <w:r w:rsidRPr="00934C02">
              <w:rPr>
                <w:rFonts w:ascii="Arial" w:hAnsi="Arial" w:cs="Arial"/>
              </w:rPr>
              <w:t>10955.8</w:t>
            </w:r>
          </w:p>
        </w:tc>
        <w:tc>
          <w:tcPr>
            <w:tcW w:w="1227" w:type="dxa"/>
            <w:gridSpan w:val="2"/>
            <w:tcBorders>
              <w:top w:val="single" w:sz="4" w:space="0" w:color="auto"/>
              <w:left w:val="double" w:sz="4" w:space="0" w:color="auto"/>
              <w:bottom w:val="single" w:sz="4" w:space="0" w:color="auto"/>
              <w:right w:val="double" w:sz="4" w:space="0" w:color="auto"/>
            </w:tcBorders>
          </w:tcPr>
          <w:p w:rsidR="00934C02" w:rsidRPr="00934C02" w:rsidRDefault="00934C02" w:rsidP="00934C02">
            <w:pPr>
              <w:rPr>
                <w:rFonts w:ascii="Arial" w:hAnsi="Arial" w:cs="Arial"/>
              </w:rPr>
            </w:pPr>
            <w:r w:rsidRPr="00934C02">
              <w:rPr>
                <w:rFonts w:ascii="Arial" w:hAnsi="Arial" w:cs="Arial"/>
              </w:rPr>
              <w:t>8129.8</w:t>
            </w:r>
          </w:p>
        </w:tc>
        <w:tc>
          <w:tcPr>
            <w:tcW w:w="1362" w:type="dxa"/>
            <w:gridSpan w:val="2"/>
            <w:tcBorders>
              <w:top w:val="single" w:sz="4" w:space="0" w:color="auto"/>
              <w:left w:val="double" w:sz="4" w:space="0" w:color="auto"/>
              <w:bottom w:val="single" w:sz="4" w:space="0" w:color="auto"/>
              <w:right w:val="double" w:sz="4" w:space="0" w:color="auto"/>
            </w:tcBorders>
          </w:tcPr>
          <w:p w:rsidR="00934C02" w:rsidRPr="00934C02" w:rsidRDefault="00934C02" w:rsidP="00934C02">
            <w:pPr>
              <w:rPr>
                <w:rFonts w:ascii="Arial" w:hAnsi="Arial" w:cs="Arial"/>
              </w:rPr>
            </w:pPr>
            <w:r w:rsidRPr="00934C02">
              <w:rPr>
                <w:rFonts w:ascii="Arial" w:hAnsi="Arial" w:cs="Arial"/>
              </w:rPr>
              <w:t>7262</w:t>
            </w:r>
          </w:p>
        </w:tc>
        <w:tc>
          <w:tcPr>
            <w:tcW w:w="1363" w:type="dxa"/>
            <w:gridSpan w:val="2"/>
            <w:tcBorders>
              <w:top w:val="single" w:sz="4" w:space="0" w:color="auto"/>
              <w:left w:val="double" w:sz="4" w:space="0" w:color="auto"/>
              <w:bottom w:val="single" w:sz="4" w:space="0" w:color="auto"/>
              <w:right w:val="double" w:sz="4" w:space="0" w:color="auto"/>
            </w:tcBorders>
          </w:tcPr>
          <w:p w:rsidR="00934C02" w:rsidRPr="00934C02" w:rsidRDefault="00934C02" w:rsidP="00934C02">
            <w:pPr>
              <w:jc w:val="center"/>
              <w:rPr>
                <w:rFonts w:ascii="Arial" w:hAnsi="Arial" w:cs="Arial"/>
                <w:lang w:val="it-IT"/>
              </w:rPr>
            </w:pPr>
            <w:r w:rsidRPr="00934C02">
              <w:rPr>
                <w:rFonts w:ascii="Arial" w:hAnsi="Arial" w:cs="Arial"/>
                <w:lang w:val="it-IT"/>
              </w:rPr>
              <w:t>7146</w:t>
            </w:r>
          </w:p>
        </w:tc>
        <w:tc>
          <w:tcPr>
            <w:tcW w:w="1341" w:type="dxa"/>
            <w:gridSpan w:val="2"/>
            <w:tcBorders>
              <w:top w:val="single" w:sz="4" w:space="0" w:color="auto"/>
              <w:left w:val="double" w:sz="4" w:space="0" w:color="auto"/>
              <w:bottom w:val="single" w:sz="4" w:space="0" w:color="auto"/>
              <w:right w:val="double" w:sz="4" w:space="0" w:color="auto"/>
            </w:tcBorders>
          </w:tcPr>
          <w:p w:rsidR="00934C02" w:rsidRPr="00934C02" w:rsidRDefault="00934C02" w:rsidP="00934C02">
            <w:pPr>
              <w:jc w:val="center"/>
              <w:rPr>
                <w:rFonts w:ascii="Arial" w:hAnsi="Arial" w:cs="Arial"/>
                <w:lang w:val="it-IT"/>
              </w:rPr>
            </w:pPr>
            <w:r w:rsidRPr="00934C02">
              <w:rPr>
                <w:rFonts w:ascii="Arial" w:hAnsi="Arial" w:cs="Arial"/>
                <w:lang w:val="it-IT"/>
              </w:rPr>
              <w:t>5185.83</w:t>
            </w:r>
          </w:p>
        </w:tc>
      </w:tr>
      <w:tr w:rsidR="00934C02" w:rsidRPr="00934C02" w:rsidTr="00934C02">
        <w:trPr>
          <w:trHeight w:val="250"/>
        </w:trPr>
        <w:tc>
          <w:tcPr>
            <w:tcW w:w="3482" w:type="dxa"/>
            <w:tcBorders>
              <w:top w:val="single" w:sz="4" w:space="0" w:color="auto"/>
              <w:left w:val="double" w:sz="4" w:space="0" w:color="auto"/>
              <w:bottom w:val="single" w:sz="4" w:space="0" w:color="auto"/>
              <w:right w:val="double" w:sz="4" w:space="0" w:color="auto"/>
            </w:tcBorders>
            <w:hideMark/>
          </w:tcPr>
          <w:p w:rsidR="00934C02" w:rsidRPr="00934C02" w:rsidRDefault="00934C02" w:rsidP="00934C02">
            <w:pPr>
              <w:jc w:val="center"/>
              <w:rPr>
                <w:rFonts w:ascii="Arial" w:hAnsi="Arial" w:cs="Arial"/>
                <w:lang w:val="it-IT"/>
              </w:rPr>
            </w:pPr>
            <w:r w:rsidRPr="00934C02">
              <w:rPr>
                <w:rFonts w:ascii="Arial" w:hAnsi="Arial" w:cs="Arial"/>
                <w:lang w:val="it-IT"/>
              </w:rPr>
              <w:t>-deşeuri din construcţii şi demolari</w:t>
            </w:r>
          </w:p>
        </w:tc>
        <w:tc>
          <w:tcPr>
            <w:tcW w:w="1238" w:type="dxa"/>
            <w:gridSpan w:val="2"/>
            <w:tcBorders>
              <w:top w:val="single" w:sz="4" w:space="0" w:color="auto"/>
              <w:left w:val="double" w:sz="4" w:space="0" w:color="auto"/>
              <w:bottom w:val="single" w:sz="4" w:space="0" w:color="auto"/>
              <w:right w:val="double" w:sz="4" w:space="0" w:color="auto"/>
            </w:tcBorders>
          </w:tcPr>
          <w:p w:rsidR="00934C02" w:rsidRPr="00934C02" w:rsidRDefault="00934C02" w:rsidP="00934C02">
            <w:pPr>
              <w:rPr>
                <w:rFonts w:ascii="Arial" w:hAnsi="Arial" w:cs="Arial"/>
              </w:rPr>
            </w:pPr>
            <w:r w:rsidRPr="00934C02">
              <w:rPr>
                <w:rFonts w:ascii="Arial" w:hAnsi="Arial" w:cs="Arial"/>
              </w:rPr>
              <w:t>15032</w:t>
            </w:r>
          </w:p>
        </w:tc>
        <w:tc>
          <w:tcPr>
            <w:tcW w:w="1227" w:type="dxa"/>
            <w:gridSpan w:val="2"/>
            <w:tcBorders>
              <w:top w:val="single" w:sz="4" w:space="0" w:color="auto"/>
              <w:left w:val="double" w:sz="4" w:space="0" w:color="auto"/>
              <w:bottom w:val="single" w:sz="4" w:space="0" w:color="auto"/>
              <w:right w:val="double" w:sz="4" w:space="0" w:color="auto"/>
            </w:tcBorders>
          </w:tcPr>
          <w:p w:rsidR="00934C02" w:rsidRPr="00934C02" w:rsidRDefault="00934C02" w:rsidP="00934C02">
            <w:pPr>
              <w:rPr>
                <w:rFonts w:ascii="Arial" w:hAnsi="Arial" w:cs="Arial"/>
              </w:rPr>
            </w:pPr>
            <w:r w:rsidRPr="00934C02">
              <w:rPr>
                <w:rFonts w:ascii="Arial" w:hAnsi="Arial" w:cs="Arial"/>
              </w:rPr>
              <w:t>15296</w:t>
            </w:r>
          </w:p>
        </w:tc>
        <w:tc>
          <w:tcPr>
            <w:tcW w:w="1362" w:type="dxa"/>
            <w:gridSpan w:val="2"/>
            <w:tcBorders>
              <w:top w:val="single" w:sz="4" w:space="0" w:color="auto"/>
              <w:left w:val="double" w:sz="4" w:space="0" w:color="auto"/>
              <w:bottom w:val="single" w:sz="4" w:space="0" w:color="auto"/>
              <w:right w:val="double" w:sz="4" w:space="0" w:color="auto"/>
            </w:tcBorders>
          </w:tcPr>
          <w:p w:rsidR="00934C02" w:rsidRPr="00934C02" w:rsidRDefault="00934C02" w:rsidP="00934C02">
            <w:pPr>
              <w:rPr>
                <w:rFonts w:ascii="Arial" w:hAnsi="Arial" w:cs="Arial"/>
              </w:rPr>
            </w:pPr>
            <w:r w:rsidRPr="00934C02">
              <w:rPr>
                <w:rFonts w:ascii="Arial" w:hAnsi="Arial" w:cs="Arial"/>
              </w:rPr>
              <w:t>12751.9</w:t>
            </w:r>
          </w:p>
        </w:tc>
        <w:tc>
          <w:tcPr>
            <w:tcW w:w="1363" w:type="dxa"/>
            <w:gridSpan w:val="2"/>
            <w:tcBorders>
              <w:top w:val="single" w:sz="4" w:space="0" w:color="auto"/>
              <w:left w:val="double" w:sz="4" w:space="0" w:color="auto"/>
              <w:bottom w:val="single" w:sz="4" w:space="0" w:color="auto"/>
              <w:right w:val="double" w:sz="4" w:space="0" w:color="auto"/>
            </w:tcBorders>
          </w:tcPr>
          <w:p w:rsidR="00934C02" w:rsidRPr="00934C02" w:rsidRDefault="00934C02" w:rsidP="00934C02">
            <w:pPr>
              <w:jc w:val="center"/>
              <w:rPr>
                <w:rFonts w:ascii="Arial" w:hAnsi="Arial" w:cs="Arial"/>
                <w:lang w:val="it-IT"/>
              </w:rPr>
            </w:pPr>
            <w:r w:rsidRPr="00934C02">
              <w:rPr>
                <w:rFonts w:ascii="Arial" w:hAnsi="Arial" w:cs="Arial"/>
                <w:lang w:val="it-IT"/>
              </w:rPr>
              <w:t>4552</w:t>
            </w:r>
          </w:p>
        </w:tc>
        <w:tc>
          <w:tcPr>
            <w:tcW w:w="1341" w:type="dxa"/>
            <w:gridSpan w:val="2"/>
            <w:tcBorders>
              <w:top w:val="single" w:sz="4" w:space="0" w:color="auto"/>
              <w:left w:val="double" w:sz="4" w:space="0" w:color="auto"/>
              <w:bottom w:val="single" w:sz="4" w:space="0" w:color="auto"/>
              <w:right w:val="double" w:sz="4" w:space="0" w:color="auto"/>
            </w:tcBorders>
          </w:tcPr>
          <w:p w:rsidR="00934C02" w:rsidRPr="00934C02" w:rsidRDefault="00934C02" w:rsidP="00934C02">
            <w:pPr>
              <w:jc w:val="center"/>
              <w:rPr>
                <w:rFonts w:ascii="Arial" w:hAnsi="Arial" w:cs="Arial"/>
                <w:lang w:val="it-IT"/>
              </w:rPr>
            </w:pPr>
            <w:r w:rsidRPr="00934C02">
              <w:rPr>
                <w:rFonts w:ascii="Arial" w:hAnsi="Arial" w:cs="Arial"/>
                <w:lang w:val="it-IT"/>
              </w:rPr>
              <w:t>5056</w:t>
            </w:r>
          </w:p>
        </w:tc>
      </w:tr>
      <w:tr w:rsidR="00934C02" w:rsidRPr="00934C02" w:rsidTr="00934C02">
        <w:trPr>
          <w:trHeight w:val="356"/>
        </w:trPr>
        <w:tc>
          <w:tcPr>
            <w:tcW w:w="3482" w:type="dxa"/>
            <w:tcBorders>
              <w:top w:val="single" w:sz="4" w:space="0" w:color="auto"/>
              <w:left w:val="double" w:sz="4" w:space="0" w:color="auto"/>
              <w:bottom w:val="double" w:sz="4" w:space="0" w:color="auto"/>
              <w:right w:val="double" w:sz="4" w:space="0" w:color="auto"/>
            </w:tcBorders>
            <w:hideMark/>
          </w:tcPr>
          <w:p w:rsidR="00934C02" w:rsidRPr="00934C02" w:rsidRDefault="00934C02" w:rsidP="00934C02">
            <w:pPr>
              <w:jc w:val="center"/>
              <w:rPr>
                <w:rFonts w:ascii="Arial" w:hAnsi="Arial" w:cs="Arial"/>
                <w:lang w:val="it-IT"/>
              </w:rPr>
            </w:pPr>
            <w:r w:rsidRPr="00934C02">
              <w:rPr>
                <w:rFonts w:ascii="Arial" w:hAnsi="Arial" w:cs="Arial"/>
                <w:lang w:val="it-IT"/>
              </w:rPr>
              <w:lastRenderedPageBreak/>
              <w:t>-deşeuri municipale generate  şi necolectate</w:t>
            </w:r>
          </w:p>
        </w:tc>
        <w:tc>
          <w:tcPr>
            <w:tcW w:w="1238" w:type="dxa"/>
            <w:gridSpan w:val="2"/>
            <w:tcBorders>
              <w:top w:val="single" w:sz="4" w:space="0" w:color="auto"/>
              <w:left w:val="double" w:sz="4" w:space="0" w:color="auto"/>
              <w:bottom w:val="double" w:sz="4" w:space="0" w:color="auto"/>
              <w:right w:val="double" w:sz="4" w:space="0" w:color="auto"/>
            </w:tcBorders>
          </w:tcPr>
          <w:p w:rsidR="00934C02" w:rsidRPr="00934C02" w:rsidRDefault="00934C02" w:rsidP="00934C02">
            <w:pPr>
              <w:rPr>
                <w:rFonts w:ascii="Arial" w:hAnsi="Arial" w:cs="Arial"/>
              </w:rPr>
            </w:pPr>
            <w:r w:rsidRPr="00934C02">
              <w:rPr>
                <w:rFonts w:ascii="Arial" w:hAnsi="Arial" w:cs="Arial"/>
              </w:rPr>
              <w:t>64589.52</w:t>
            </w:r>
          </w:p>
        </w:tc>
        <w:tc>
          <w:tcPr>
            <w:tcW w:w="1227" w:type="dxa"/>
            <w:gridSpan w:val="2"/>
            <w:tcBorders>
              <w:top w:val="single" w:sz="4" w:space="0" w:color="auto"/>
              <w:left w:val="double" w:sz="4" w:space="0" w:color="auto"/>
              <w:bottom w:val="double" w:sz="4" w:space="0" w:color="auto"/>
              <w:right w:val="double" w:sz="4" w:space="0" w:color="auto"/>
            </w:tcBorders>
          </w:tcPr>
          <w:p w:rsidR="00934C02" w:rsidRPr="00934C02" w:rsidRDefault="00934C02" w:rsidP="00934C02">
            <w:pPr>
              <w:rPr>
                <w:rFonts w:ascii="Arial" w:hAnsi="Arial" w:cs="Arial"/>
              </w:rPr>
            </w:pPr>
            <w:r w:rsidRPr="00934C02">
              <w:rPr>
                <w:rFonts w:ascii="Arial" w:hAnsi="Arial" w:cs="Arial"/>
              </w:rPr>
              <w:t>39438.01</w:t>
            </w:r>
          </w:p>
        </w:tc>
        <w:tc>
          <w:tcPr>
            <w:tcW w:w="1362" w:type="dxa"/>
            <w:gridSpan w:val="2"/>
            <w:tcBorders>
              <w:top w:val="single" w:sz="4" w:space="0" w:color="auto"/>
              <w:left w:val="double" w:sz="4" w:space="0" w:color="auto"/>
              <w:bottom w:val="double" w:sz="4" w:space="0" w:color="auto"/>
              <w:right w:val="double" w:sz="4" w:space="0" w:color="auto"/>
            </w:tcBorders>
          </w:tcPr>
          <w:p w:rsidR="00934C02" w:rsidRPr="00934C02" w:rsidRDefault="00934C02" w:rsidP="00934C02">
            <w:pPr>
              <w:rPr>
                <w:rFonts w:ascii="Arial" w:hAnsi="Arial" w:cs="Arial"/>
              </w:rPr>
            </w:pPr>
            <w:r w:rsidRPr="00934C02">
              <w:rPr>
                <w:rFonts w:ascii="Arial" w:hAnsi="Arial" w:cs="Arial"/>
              </w:rPr>
              <w:t>59784,7</w:t>
            </w:r>
          </w:p>
        </w:tc>
        <w:tc>
          <w:tcPr>
            <w:tcW w:w="1363" w:type="dxa"/>
            <w:gridSpan w:val="2"/>
            <w:tcBorders>
              <w:top w:val="single" w:sz="4" w:space="0" w:color="auto"/>
              <w:left w:val="double" w:sz="4" w:space="0" w:color="auto"/>
              <w:bottom w:val="double" w:sz="4" w:space="0" w:color="auto"/>
              <w:right w:val="double" w:sz="4" w:space="0" w:color="auto"/>
            </w:tcBorders>
          </w:tcPr>
          <w:p w:rsidR="00934C02" w:rsidRPr="00934C02" w:rsidRDefault="00934C02" w:rsidP="00934C02">
            <w:pPr>
              <w:jc w:val="center"/>
              <w:rPr>
                <w:rFonts w:ascii="Arial" w:hAnsi="Arial" w:cs="Arial"/>
                <w:lang w:val="it-IT"/>
              </w:rPr>
            </w:pPr>
            <w:r w:rsidRPr="00934C02">
              <w:rPr>
                <w:rFonts w:ascii="Arial" w:hAnsi="Arial" w:cs="Arial"/>
                <w:lang w:val="it-IT"/>
              </w:rPr>
              <w:t>48745</w:t>
            </w:r>
          </w:p>
        </w:tc>
        <w:tc>
          <w:tcPr>
            <w:tcW w:w="1341" w:type="dxa"/>
            <w:gridSpan w:val="2"/>
            <w:tcBorders>
              <w:top w:val="single" w:sz="4" w:space="0" w:color="auto"/>
              <w:left w:val="double" w:sz="4" w:space="0" w:color="auto"/>
              <w:bottom w:val="double" w:sz="4" w:space="0" w:color="auto"/>
              <w:right w:val="double" w:sz="4" w:space="0" w:color="auto"/>
            </w:tcBorders>
          </w:tcPr>
          <w:p w:rsidR="00934C02" w:rsidRPr="00934C02" w:rsidRDefault="00934C02" w:rsidP="00934C02">
            <w:pPr>
              <w:jc w:val="center"/>
              <w:rPr>
                <w:rFonts w:ascii="Arial" w:hAnsi="Arial" w:cs="Arial"/>
                <w:lang w:val="it-IT"/>
              </w:rPr>
            </w:pPr>
            <w:r w:rsidRPr="00934C02">
              <w:rPr>
                <w:rFonts w:ascii="Arial" w:hAnsi="Arial" w:cs="Arial"/>
                <w:lang w:val="it-IT"/>
              </w:rPr>
              <w:t>42405.37</w:t>
            </w:r>
          </w:p>
        </w:tc>
      </w:tr>
      <w:tr w:rsidR="00934C02" w:rsidRPr="00934C02" w:rsidTr="00934C02">
        <w:trPr>
          <w:gridAfter w:val="1"/>
          <w:wAfter w:w="7" w:type="dxa"/>
          <w:trHeight w:val="545"/>
        </w:trPr>
        <w:tc>
          <w:tcPr>
            <w:tcW w:w="3482" w:type="dxa"/>
            <w:tcBorders>
              <w:top w:val="double" w:sz="4" w:space="0" w:color="auto"/>
              <w:left w:val="double" w:sz="4" w:space="0" w:color="auto"/>
              <w:bottom w:val="double" w:sz="4" w:space="0" w:color="auto"/>
              <w:right w:val="double" w:sz="4" w:space="0" w:color="auto"/>
            </w:tcBorders>
            <w:hideMark/>
          </w:tcPr>
          <w:p w:rsidR="00934C02" w:rsidRPr="00934C02" w:rsidRDefault="00934C02" w:rsidP="00934C02">
            <w:pPr>
              <w:jc w:val="center"/>
              <w:rPr>
                <w:rFonts w:ascii="Arial" w:hAnsi="Arial" w:cs="Arial"/>
                <w:b/>
              </w:rPr>
            </w:pPr>
            <w:r w:rsidRPr="00934C02">
              <w:rPr>
                <w:rFonts w:ascii="Arial" w:hAnsi="Arial" w:cs="Arial"/>
                <w:b/>
              </w:rPr>
              <w:t>Indicatorul de generare</w:t>
            </w:r>
          </w:p>
          <w:p w:rsidR="00934C02" w:rsidRPr="00934C02" w:rsidRDefault="00934C02" w:rsidP="00934C02">
            <w:pPr>
              <w:jc w:val="center"/>
              <w:rPr>
                <w:rFonts w:ascii="Arial" w:hAnsi="Arial" w:cs="Arial"/>
              </w:rPr>
            </w:pPr>
            <w:r w:rsidRPr="00934C02">
              <w:rPr>
                <w:rFonts w:ascii="Arial" w:hAnsi="Arial" w:cs="Arial"/>
                <w:b/>
              </w:rPr>
              <w:t>[Kg pe cap de locuitor şi an]</w:t>
            </w:r>
          </w:p>
        </w:tc>
        <w:tc>
          <w:tcPr>
            <w:tcW w:w="1217" w:type="dxa"/>
            <w:tcBorders>
              <w:top w:val="double" w:sz="4" w:space="0" w:color="auto"/>
              <w:left w:val="double" w:sz="4" w:space="0" w:color="auto"/>
              <w:bottom w:val="double" w:sz="4" w:space="0" w:color="auto"/>
              <w:right w:val="double" w:sz="4" w:space="0" w:color="auto"/>
            </w:tcBorders>
          </w:tcPr>
          <w:p w:rsidR="00934C02" w:rsidRPr="00934C02" w:rsidRDefault="00934C02" w:rsidP="00934C02">
            <w:pPr>
              <w:jc w:val="center"/>
              <w:rPr>
                <w:rFonts w:ascii="Arial" w:hAnsi="Arial" w:cs="Arial"/>
              </w:rPr>
            </w:pPr>
            <w:r w:rsidRPr="00934C02">
              <w:rPr>
                <w:rFonts w:ascii="Arial" w:hAnsi="Arial" w:cs="Arial"/>
              </w:rPr>
              <w:t>301</w:t>
            </w:r>
          </w:p>
        </w:tc>
        <w:tc>
          <w:tcPr>
            <w:tcW w:w="1226" w:type="dxa"/>
            <w:gridSpan w:val="2"/>
            <w:tcBorders>
              <w:top w:val="double" w:sz="4" w:space="0" w:color="auto"/>
              <w:left w:val="double" w:sz="4" w:space="0" w:color="auto"/>
              <w:bottom w:val="double" w:sz="4" w:space="0" w:color="auto"/>
              <w:right w:val="double" w:sz="4" w:space="0" w:color="auto"/>
            </w:tcBorders>
            <w:hideMark/>
          </w:tcPr>
          <w:p w:rsidR="00934C02" w:rsidRPr="00934C02" w:rsidRDefault="00934C02" w:rsidP="00934C02">
            <w:pPr>
              <w:jc w:val="center"/>
              <w:rPr>
                <w:rFonts w:ascii="Arial" w:hAnsi="Arial" w:cs="Arial"/>
              </w:rPr>
            </w:pPr>
            <w:r w:rsidRPr="00934C02">
              <w:rPr>
                <w:rFonts w:ascii="Arial" w:hAnsi="Arial" w:cs="Arial"/>
              </w:rPr>
              <w:t>265</w:t>
            </w:r>
          </w:p>
        </w:tc>
        <w:tc>
          <w:tcPr>
            <w:tcW w:w="1363" w:type="dxa"/>
            <w:gridSpan w:val="2"/>
            <w:tcBorders>
              <w:top w:val="double" w:sz="4" w:space="0" w:color="auto"/>
              <w:left w:val="double" w:sz="4" w:space="0" w:color="auto"/>
              <w:bottom w:val="double" w:sz="4" w:space="0" w:color="auto"/>
              <w:right w:val="double" w:sz="4" w:space="0" w:color="auto"/>
            </w:tcBorders>
            <w:hideMark/>
          </w:tcPr>
          <w:p w:rsidR="00934C02" w:rsidRPr="00934C02" w:rsidRDefault="00934C02" w:rsidP="00934C02">
            <w:pPr>
              <w:jc w:val="center"/>
              <w:rPr>
                <w:rFonts w:ascii="Arial" w:hAnsi="Arial" w:cs="Arial"/>
              </w:rPr>
            </w:pPr>
            <w:r w:rsidRPr="00934C02">
              <w:rPr>
                <w:rFonts w:ascii="Arial" w:hAnsi="Arial" w:cs="Arial"/>
              </w:rPr>
              <w:t>226.8</w:t>
            </w:r>
          </w:p>
        </w:tc>
        <w:tc>
          <w:tcPr>
            <w:tcW w:w="1362" w:type="dxa"/>
            <w:gridSpan w:val="2"/>
            <w:tcBorders>
              <w:top w:val="double" w:sz="4" w:space="0" w:color="auto"/>
              <w:left w:val="double" w:sz="4" w:space="0" w:color="auto"/>
              <w:bottom w:val="double" w:sz="4" w:space="0" w:color="auto"/>
              <w:right w:val="double" w:sz="4" w:space="0" w:color="auto"/>
            </w:tcBorders>
          </w:tcPr>
          <w:p w:rsidR="00934C02" w:rsidRPr="00934C02" w:rsidRDefault="00934C02" w:rsidP="00934C02">
            <w:pPr>
              <w:jc w:val="center"/>
              <w:rPr>
                <w:rFonts w:ascii="Arial" w:hAnsi="Arial" w:cs="Arial"/>
              </w:rPr>
            </w:pPr>
            <w:r w:rsidRPr="00934C02">
              <w:rPr>
                <w:rFonts w:ascii="Arial" w:hAnsi="Arial" w:cs="Arial"/>
              </w:rPr>
              <w:t>215.7</w:t>
            </w:r>
          </w:p>
        </w:tc>
        <w:tc>
          <w:tcPr>
            <w:tcW w:w="1356" w:type="dxa"/>
            <w:gridSpan w:val="2"/>
            <w:tcBorders>
              <w:top w:val="double" w:sz="4" w:space="0" w:color="auto"/>
              <w:left w:val="double" w:sz="4" w:space="0" w:color="auto"/>
              <w:bottom w:val="double" w:sz="4" w:space="0" w:color="auto"/>
              <w:right w:val="double" w:sz="4" w:space="0" w:color="auto"/>
            </w:tcBorders>
          </w:tcPr>
          <w:p w:rsidR="00934C02" w:rsidRPr="00934C02" w:rsidRDefault="00934C02" w:rsidP="00934C02">
            <w:pPr>
              <w:jc w:val="center"/>
              <w:rPr>
                <w:rFonts w:ascii="Arial" w:hAnsi="Arial" w:cs="Arial"/>
              </w:rPr>
            </w:pPr>
            <w:r w:rsidRPr="00934C02">
              <w:rPr>
                <w:rFonts w:ascii="Arial" w:hAnsi="Arial" w:cs="Arial"/>
              </w:rPr>
              <w:t>203.3</w:t>
            </w:r>
          </w:p>
        </w:tc>
      </w:tr>
    </w:tbl>
    <w:p w:rsidR="00934C02" w:rsidRPr="00934C02" w:rsidRDefault="00934C02" w:rsidP="00934C02">
      <w:pPr>
        <w:spacing w:after="0" w:line="240" w:lineRule="auto"/>
        <w:jc w:val="both"/>
        <w:rPr>
          <w:rFonts w:ascii="Arial" w:eastAsia="Times New Roman" w:hAnsi="Arial" w:cs="Arial"/>
          <w:i/>
          <w:sz w:val="20"/>
          <w:szCs w:val="20"/>
        </w:rPr>
      </w:pPr>
      <w:r w:rsidRPr="00934C02">
        <w:rPr>
          <w:rFonts w:ascii="Arial" w:eastAsia="Times New Roman" w:hAnsi="Arial" w:cs="Arial"/>
          <w:i/>
          <w:sz w:val="20"/>
          <w:szCs w:val="20"/>
        </w:rPr>
        <w:t xml:space="preserve">         Sursa: APM Vaslui – aplicaţiile: MEDIUS şi SD (din SIM),cu date validate de ANPM</w:t>
      </w:r>
    </w:p>
    <w:p w:rsidR="00934C02" w:rsidRPr="00934C02" w:rsidRDefault="00934C02" w:rsidP="00934C02">
      <w:pPr>
        <w:spacing w:after="0" w:line="240" w:lineRule="auto"/>
        <w:ind w:firstLine="567"/>
        <w:rPr>
          <w:rFonts w:ascii="Arial" w:eastAsia="Times New Roman" w:hAnsi="Arial" w:cs="Arial"/>
          <w:sz w:val="24"/>
          <w:szCs w:val="24"/>
        </w:rPr>
      </w:pPr>
    </w:p>
    <w:p w:rsidR="00934C02" w:rsidRPr="00934C02" w:rsidRDefault="00934C02" w:rsidP="00934C02">
      <w:pPr>
        <w:spacing w:after="0" w:line="240" w:lineRule="auto"/>
        <w:ind w:firstLine="567"/>
        <w:rPr>
          <w:rFonts w:ascii="Arial" w:eastAsia="Times New Roman" w:hAnsi="Arial" w:cs="Arial"/>
          <w:sz w:val="24"/>
          <w:szCs w:val="24"/>
        </w:rPr>
      </w:pPr>
      <w:r w:rsidRPr="00934C02">
        <w:rPr>
          <w:rFonts w:ascii="Arial" w:eastAsia="Times New Roman" w:hAnsi="Arial" w:cs="Arial"/>
          <w:noProof/>
          <w:sz w:val="24"/>
          <w:szCs w:val="24"/>
        </w:rPr>
        <w:drawing>
          <wp:inline distT="0" distB="0" distL="0" distR="0" wp14:anchorId="53AB65DF" wp14:editId="716FF0C1">
            <wp:extent cx="5572462" cy="2979868"/>
            <wp:effectExtent l="0" t="0" r="9525" b="11430"/>
            <wp:docPr id="232" name="Chart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934C02" w:rsidRPr="00934C02" w:rsidRDefault="00934C02" w:rsidP="00934C02">
      <w:pPr>
        <w:spacing w:after="0" w:line="240" w:lineRule="auto"/>
        <w:ind w:firstLine="567"/>
        <w:rPr>
          <w:rFonts w:ascii="Arial" w:eastAsia="Times New Roman" w:hAnsi="Arial" w:cs="Arial"/>
          <w:sz w:val="24"/>
          <w:szCs w:val="24"/>
        </w:rPr>
      </w:pPr>
      <w:r w:rsidRPr="00934C02">
        <w:rPr>
          <w:rFonts w:ascii="Arial" w:eastAsia="SimSun" w:hAnsi="Arial" w:cs="Arial"/>
          <w:sz w:val="24"/>
          <w:szCs w:val="24"/>
        </w:rPr>
        <w:t xml:space="preserve"> </w:t>
      </w:r>
      <w:r w:rsidRPr="00934C02">
        <w:rPr>
          <w:rFonts w:ascii="Arial" w:eastAsia="Times New Roman" w:hAnsi="Arial" w:cs="Arial"/>
          <w:sz w:val="24"/>
          <w:szCs w:val="24"/>
        </w:rPr>
        <w:t>Figura VII.1. Cantităţi de deşeuri generate şi colectate, în perioada 2010-2014</w:t>
      </w:r>
    </w:p>
    <w:p w:rsidR="00934C02" w:rsidRPr="00934C02" w:rsidRDefault="00934C02" w:rsidP="00934C02">
      <w:pPr>
        <w:spacing w:after="0" w:line="240" w:lineRule="auto"/>
        <w:ind w:firstLine="567"/>
        <w:rPr>
          <w:rFonts w:ascii="Arial" w:eastAsia="Times New Roman" w:hAnsi="Arial" w:cs="Arial"/>
          <w:sz w:val="24"/>
          <w:szCs w:val="24"/>
        </w:rPr>
      </w:pPr>
    </w:p>
    <w:p w:rsidR="00934C02" w:rsidRPr="00934C02" w:rsidRDefault="00934C02" w:rsidP="00934C02">
      <w:pPr>
        <w:spacing w:after="0" w:line="240" w:lineRule="auto"/>
        <w:ind w:firstLine="567"/>
        <w:rPr>
          <w:rFonts w:ascii="Arial" w:eastAsia="Times New Roman" w:hAnsi="Arial" w:cs="Arial"/>
          <w:sz w:val="24"/>
          <w:szCs w:val="24"/>
        </w:rPr>
      </w:pPr>
      <w:r w:rsidRPr="00934C02">
        <w:rPr>
          <w:rFonts w:ascii="Times New Roman" w:eastAsia="Times New Roman" w:hAnsi="Times New Roman" w:cs="Times New Roman"/>
          <w:noProof/>
          <w:sz w:val="24"/>
          <w:szCs w:val="24"/>
        </w:rPr>
        <w:drawing>
          <wp:inline distT="0" distB="0" distL="0" distR="0" wp14:anchorId="6E7406A9" wp14:editId="74306678">
            <wp:extent cx="5572462" cy="2850777"/>
            <wp:effectExtent l="0" t="0" r="9525" b="26035"/>
            <wp:docPr id="233" name="Chart 2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934C02" w:rsidRPr="00934C02" w:rsidRDefault="00934C02" w:rsidP="00934C02">
      <w:pPr>
        <w:spacing w:after="0" w:line="240" w:lineRule="auto"/>
        <w:jc w:val="center"/>
        <w:rPr>
          <w:rFonts w:ascii="Arial" w:eastAsia="Times New Roman" w:hAnsi="Arial" w:cs="Arial"/>
          <w:sz w:val="24"/>
          <w:szCs w:val="24"/>
          <w:lang w:val="ro-RO"/>
        </w:rPr>
      </w:pPr>
      <w:r w:rsidRPr="00934C02">
        <w:rPr>
          <w:rFonts w:ascii="Arial" w:eastAsia="Times New Roman" w:hAnsi="Arial" w:cs="Arial"/>
          <w:sz w:val="24"/>
          <w:szCs w:val="24"/>
        </w:rPr>
        <w:t>Figura VII.2. Evoluţia indicatorului de generare a deşeurilor în perioada 2010-2014</w:t>
      </w:r>
    </w:p>
    <w:p w:rsidR="00934C02" w:rsidRPr="00934C02" w:rsidRDefault="00934C02" w:rsidP="00934C02">
      <w:pPr>
        <w:widowControl w:val="0"/>
        <w:autoSpaceDE w:val="0"/>
        <w:autoSpaceDN w:val="0"/>
        <w:adjustRightInd w:val="0"/>
        <w:spacing w:after="0" w:line="240" w:lineRule="auto"/>
        <w:ind w:right="-20"/>
        <w:jc w:val="both"/>
        <w:rPr>
          <w:rFonts w:ascii="Arial" w:hAnsi="Arial" w:cs="Arial"/>
          <w:sz w:val="24"/>
          <w:szCs w:val="24"/>
        </w:rPr>
      </w:pPr>
    </w:p>
    <w:p w:rsidR="00934C02" w:rsidRPr="00934C02" w:rsidRDefault="00934C02" w:rsidP="00934C02">
      <w:pPr>
        <w:widowControl w:val="0"/>
        <w:autoSpaceDE w:val="0"/>
        <w:autoSpaceDN w:val="0"/>
        <w:adjustRightInd w:val="0"/>
        <w:spacing w:after="0" w:line="240" w:lineRule="auto"/>
        <w:ind w:right="-20"/>
        <w:jc w:val="both"/>
        <w:rPr>
          <w:rFonts w:ascii="Arial" w:eastAsia="SimSun" w:hAnsi="Arial" w:cs="Arial"/>
          <w:color w:val="FF0000"/>
          <w:sz w:val="24"/>
          <w:szCs w:val="24"/>
        </w:rPr>
      </w:pPr>
      <w:r w:rsidRPr="00934C02">
        <w:rPr>
          <w:rFonts w:ascii="Arial" w:eastAsia="SimSun" w:hAnsi="Arial" w:cs="Arial"/>
          <w:sz w:val="24"/>
          <w:szCs w:val="24"/>
        </w:rPr>
        <w:t>Varianta pozitivă înseamnă scăderea valorii indicatorului faţă de anul precedent.</w:t>
      </w:r>
    </w:p>
    <w:p w:rsidR="00934C02" w:rsidRPr="00934C02" w:rsidRDefault="00934C02" w:rsidP="00934C02">
      <w:pPr>
        <w:spacing w:after="0" w:line="240" w:lineRule="auto"/>
        <w:ind w:firstLine="720"/>
        <w:jc w:val="both"/>
        <w:rPr>
          <w:rFonts w:ascii="Arial" w:hAnsi="Arial" w:cs="Arial"/>
          <w:color w:val="FF0000"/>
          <w:sz w:val="24"/>
          <w:szCs w:val="24"/>
          <w:lang w:val="ro-RO" w:eastAsia="ro-RO"/>
        </w:rPr>
      </w:pPr>
      <w:r w:rsidRPr="00934C02">
        <w:rPr>
          <w:rFonts w:ascii="Arial" w:hAnsi="Arial" w:cs="Arial"/>
          <w:sz w:val="24"/>
          <w:szCs w:val="24"/>
        </w:rPr>
        <w:lastRenderedPageBreak/>
        <w:t>În anul 2014  (anul pentru care se deţin date validate), cantitatea de deșeuri municipale colectată prin intermediul serviciilor proprii specializate ale primăriilor sau ale firmelor de salubritate a fost de 36765 tone.</w:t>
      </w:r>
      <w:r w:rsidRPr="00934C02">
        <w:rPr>
          <w:rFonts w:ascii="Arial" w:hAnsi="Arial" w:cs="Arial"/>
          <w:color w:val="FF0000"/>
          <w:sz w:val="24"/>
          <w:szCs w:val="24"/>
          <w:lang w:val="ro-RO" w:eastAsia="ro-RO"/>
        </w:rPr>
        <w:t xml:space="preserve"> </w:t>
      </w:r>
    </w:p>
    <w:p w:rsidR="00934C02" w:rsidRPr="00934C02" w:rsidRDefault="00934C02" w:rsidP="00934C02">
      <w:pPr>
        <w:spacing w:after="0" w:line="240" w:lineRule="auto"/>
        <w:jc w:val="both"/>
        <w:rPr>
          <w:rFonts w:ascii="Arial" w:hAnsi="Arial" w:cs="Arial"/>
          <w:color w:val="000000" w:themeColor="text1"/>
          <w:sz w:val="24"/>
          <w:szCs w:val="24"/>
        </w:rPr>
      </w:pPr>
      <w:r w:rsidRPr="00934C02">
        <w:rPr>
          <w:rFonts w:ascii="Arial" w:hAnsi="Arial" w:cs="Arial"/>
          <w:sz w:val="24"/>
          <w:szCs w:val="24"/>
        </w:rPr>
        <w:t xml:space="preserve">           </w:t>
      </w:r>
      <w:r w:rsidRPr="00934C02">
        <w:rPr>
          <w:rFonts w:ascii="Arial" w:hAnsi="Arial" w:cs="Arial"/>
          <w:color w:val="000000" w:themeColor="text1"/>
          <w:sz w:val="24"/>
          <w:szCs w:val="24"/>
        </w:rPr>
        <w:t>Faţă de evoluţia anilor anteriori se observă că în anul 2014 cantitatea de deşeuri</w:t>
      </w:r>
      <w:r w:rsidRPr="00934C02">
        <w:rPr>
          <w:rFonts w:ascii="Times New Roman" w:hAnsi="Times New Roman" w:cs="Times New Roman"/>
          <w:color w:val="000000" w:themeColor="text1"/>
          <w:sz w:val="28"/>
          <w:szCs w:val="28"/>
        </w:rPr>
        <w:t xml:space="preserve"> </w:t>
      </w:r>
      <w:r w:rsidRPr="00934C02">
        <w:rPr>
          <w:rFonts w:ascii="Arial" w:hAnsi="Arial" w:cs="Arial"/>
          <w:color w:val="000000" w:themeColor="text1"/>
          <w:sz w:val="24"/>
          <w:szCs w:val="24"/>
        </w:rPr>
        <w:t>municipale colectată a fost aproximativ similar celei din anul 2013.</w:t>
      </w:r>
    </w:p>
    <w:p w:rsidR="00934C02" w:rsidRPr="00934C02" w:rsidRDefault="00934C02" w:rsidP="00934C02">
      <w:pPr>
        <w:spacing w:after="0" w:line="240" w:lineRule="auto"/>
        <w:ind w:firstLine="720"/>
        <w:jc w:val="both"/>
        <w:rPr>
          <w:rFonts w:ascii="Arial" w:hAnsi="Arial" w:cs="Arial"/>
          <w:sz w:val="24"/>
          <w:szCs w:val="24"/>
        </w:rPr>
      </w:pPr>
      <w:r w:rsidRPr="00934C02">
        <w:rPr>
          <w:rFonts w:ascii="Arial" w:hAnsi="Arial" w:cs="Arial"/>
          <w:sz w:val="24"/>
          <w:szCs w:val="24"/>
        </w:rPr>
        <w:t xml:space="preserve">Din cantitatea totală de deșeuri municipale colectată de operatorii de salubritate, 72.11 % este reprezentată de deșeurile menajere și asimilabile. </w:t>
      </w:r>
    </w:p>
    <w:p w:rsidR="00934C02" w:rsidRPr="00934C02" w:rsidRDefault="00934C02" w:rsidP="00934C02">
      <w:pPr>
        <w:spacing w:after="0" w:line="240" w:lineRule="auto"/>
        <w:jc w:val="both"/>
        <w:rPr>
          <w:rFonts w:ascii="Arial" w:hAnsi="Arial" w:cs="Arial"/>
          <w:i/>
          <w:sz w:val="24"/>
          <w:szCs w:val="24"/>
        </w:rPr>
      </w:pPr>
      <w:r w:rsidRPr="00934C02">
        <w:rPr>
          <w:rFonts w:ascii="Arial" w:hAnsi="Arial" w:cs="Arial"/>
          <w:i/>
          <w:sz w:val="24"/>
          <w:szCs w:val="24"/>
        </w:rPr>
        <w:t xml:space="preserve"> </w:t>
      </w:r>
    </w:p>
    <w:p w:rsidR="00934C02" w:rsidRPr="00934C02" w:rsidRDefault="00934C02" w:rsidP="00934C02">
      <w:pPr>
        <w:spacing w:after="0" w:line="240" w:lineRule="auto"/>
        <w:jc w:val="both"/>
        <w:rPr>
          <w:rFonts w:ascii="Arial" w:hAnsi="Arial" w:cs="Arial"/>
          <w:color w:val="000000" w:themeColor="text1"/>
          <w:sz w:val="24"/>
          <w:szCs w:val="24"/>
          <w:lang w:val="ro-RO"/>
        </w:rPr>
      </w:pPr>
      <w:r w:rsidRPr="00934C02">
        <w:rPr>
          <w:rFonts w:ascii="Arial" w:hAnsi="Arial" w:cs="Arial"/>
          <w:i/>
          <w:sz w:val="24"/>
          <w:szCs w:val="24"/>
        </w:rPr>
        <w:t xml:space="preserve"> </w:t>
      </w:r>
      <w:r w:rsidRPr="00934C02">
        <w:rPr>
          <w:rFonts w:ascii="Arial" w:hAnsi="Arial" w:cs="Arial"/>
          <w:color w:val="000000" w:themeColor="text1"/>
          <w:sz w:val="24"/>
          <w:szCs w:val="24"/>
          <w:lang w:val="ro-RO"/>
        </w:rPr>
        <w:t xml:space="preserve">Tabelul </w:t>
      </w:r>
      <w:r w:rsidRPr="00934C02">
        <w:rPr>
          <w:rFonts w:ascii="Arial" w:hAnsi="Arial" w:cs="Arial"/>
        </w:rPr>
        <w:t xml:space="preserve">VII.2. </w:t>
      </w:r>
      <w:r w:rsidRPr="00934C02">
        <w:rPr>
          <w:rFonts w:ascii="Arial" w:hAnsi="Arial" w:cs="Arial"/>
          <w:color w:val="000000" w:themeColor="text1"/>
          <w:sz w:val="24"/>
          <w:szCs w:val="24"/>
          <w:lang w:val="ro-RO"/>
        </w:rPr>
        <w:t>Cantităţi de deşeuri colectate de municipalităţi în anul 2014</w:t>
      </w:r>
    </w:p>
    <w:tbl>
      <w:tblPr>
        <w:tblW w:w="0" w:type="auto"/>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0"/>
        <w:gridCol w:w="4078"/>
        <w:gridCol w:w="1858"/>
      </w:tblGrid>
      <w:tr w:rsidR="00934C02" w:rsidRPr="00934C02" w:rsidTr="00934C02">
        <w:trPr>
          <w:tblCellSpacing w:w="20" w:type="dxa"/>
          <w:jc w:val="center"/>
        </w:trPr>
        <w:tc>
          <w:tcPr>
            <w:tcW w:w="368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eastAsia="Times New Roman" w:hAnsi="Arial" w:cs="Arial"/>
                <w:b/>
                <w:color w:val="000000" w:themeColor="text1"/>
                <w:sz w:val="20"/>
                <w:szCs w:val="20"/>
              </w:rPr>
            </w:pPr>
            <w:r w:rsidRPr="00934C02">
              <w:rPr>
                <w:rFonts w:ascii="Arial" w:eastAsia="Times New Roman" w:hAnsi="Arial" w:cs="Arial"/>
                <w:b/>
                <w:color w:val="000000" w:themeColor="text1"/>
                <w:sz w:val="20"/>
                <w:szCs w:val="20"/>
              </w:rPr>
              <w:t>Deşeuri colectate</w:t>
            </w:r>
          </w:p>
        </w:tc>
        <w:tc>
          <w:tcPr>
            <w:tcW w:w="4038"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eastAsia="Times New Roman" w:hAnsi="Arial" w:cs="Arial"/>
                <w:b/>
                <w:color w:val="000000" w:themeColor="text1"/>
                <w:sz w:val="20"/>
                <w:szCs w:val="20"/>
              </w:rPr>
            </w:pPr>
            <w:r w:rsidRPr="00934C02">
              <w:rPr>
                <w:rFonts w:ascii="Arial" w:eastAsia="Times New Roman" w:hAnsi="Arial" w:cs="Arial"/>
                <w:b/>
                <w:color w:val="000000" w:themeColor="text1"/>
                <w:sz w:val="20"/>
                <w:szCs w:val="20"/>
              </w:rPr>
              <w:t>Cantitate colectată- mii tone -</w:t>
            </w:r>
          </w:p>
        </w:tc>
        <w:tc>
          <w:tcPr>
            <w:tcW w:w="1798"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eastAsia="Times New Roman" w:hAnsi="Arial" w:cs="Arial"/>
                <w:b/>
                <w:color w:val="000000" w:themeColor="text1"/>
                <w:sz w:val="20"/>
                <w:szCs w:val="20"/>
              </w:rPr>
            </w:pPr>
            <w:r w:rsidRPr="00934C02">
              <w:rPr>
                <w:rFonts w:ascii="Arial" w:eastAsia="Times New Roman" w:hAnsi="Arial" w:cs="Arial"/>
                <w:b/>
                <w:color w:val="000000" w:themeColor="text1"/>
                <w:sz w:val="20"/>
                <w:szCs w:val="20"/>
              </w:rPr>
              <w:t>Procent (%)</w:t>
            </w:r>
          </w:p>
        </w:tc>
      </w:tr>
      <w:tr w:rsidR="00934C02" w:rsidRPr="00934C02" w:rsidTr="00934C02">
        <w:trPr>
          <w:tblCellSpacing w:w="20" w:type="dxa"/>
          <w:jc w:val="center"/>
        </w:trPr>
        <w:tc>
          <w:tcPr>
            <w:tcW w:w="368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Times New Roman" w:hAnsi="Arial" w:cs="Arial"/>
                <w:color w:val="000000" w:themeColor="text1"/>
                <w:sz w:val="20"/>
                <w:szCs w:val="20"/>
              </w:rPr>
            </w:pPr>
            <w:r w:rsidRPr="00934C02">
              <w:rPr>
                <w:rFonts w:ascii="Arial" w:eastAsia="Times New Roman" w:hAnsi="Arial" w:cs="Arial"/>
                <w:color w:val="000000" w:themeColor="text1"/>
                <w:sz w:val="20"/>
                <w:szCs w:val="20"/>
              </w:rPr>
              <w:t>Deşeuri menajere şi asimilabile</w:t>
            </w:r>
          </w:p>
        </w:tc>
        <w:tc>
          <w:tcPr>
            <w:tcW w:w="4038"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eastAsia="Times New Roman" w:hAnsi="Arial" w:cs="Arial"/>
                <w:color w:val="000000" w:themeColor="text1"/>
                <w:sz w:val="20"/>
                <w:szCs w:val="20"/>
              </w:rPr>
            </w:pPr>
            <w:r w:rsidRPr="00934C02">
              <w:rPr>
                <w:rFonts w:ascii="Arial" w:eastAsia="Times New Roman" w:hAnsi="Arial" w:cs="Arial"/>
                <w:color w:val="000000" w:themeColor="text1"/>
                <w:sz w:val="20"/>
                <w:szCs w:val="20"/>
              </w:rPr>
              <w:t>26.522</w:t>
            </w:r>
          </w:p>
        </w:tc>
        <w:tc>
          <w:tcPr>
            <w:tcW w:w="1798"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eastAsia="Times New Roman" w:hAnsi="Arial" w:cs="Arial"/>
                <w:color w:val="000000" w:themeColor="text1"/>
                <w:sz w:val="20"/>
                <w:szCs w:val="20"/>
              </w:rPr>
            </w:pPr>
            <w:r w:rsidRPr="00934C02">
              <w:rPr>
                <w:rFonts w:ascii="Arial" w:eastAsia="Times New Roman" w:hAnsi="Arial" w:cs="Arial"/>
                <w:color w:val="000000" w:themeColor="text1"/>
                <w:sz w:val="20"/>
                <w:szCs w:val="20"/>
              </w:rPr>
              <w:t>72.11</w:t>
            </w:r>
          </w:p>
        </w:tc>
      </w:tr>
      <w:tr w:rsidR="00934C02" w:rsidRPr="00934C02" w:rsidTr="00934C02">
        <w:trPr>
          <w:tblCellSpacing w:w="20" w:type="dxa"/>
          <w:jc w:val="center"/>
        </w:trPr>
        <w:tc>
          <w:tcPr>
            <w:tcW w:w="368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Times New Roman" w:hAnsi="Arial" w:cs="Arial"/>
                <w:color w:val="000000" w:themeColor="text1"/>
                <w:sz w:val="20"/>
                <w:szCs w:val="20"/>
              </w:rPr>
            </w:pPr>
            <w:r w:rsidRPr="00934C02">
              <w:rPr>
                <w:rFonts w:ascii="Arial" w:eastAsia="Times New Roman" w:hAnsi="Arial" w:cs="Arial"/>
                <w:color w:val="000000" w:themeColor="text1"/>
                <w:sz w:val="20"/>
                <w:szCs w:val="20"/>
              </w:rPr>
              <w:t>Deşeuri din servicii municipale</w:t>
            </w:r>
          </w:p>
        </w:tc>
        <w:tc>
          <w:tcPr>
            <w:tcW w:w="4038"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eastAsia="Times New Roman" w:hAnsi="Arial" w:cs="Arial"/>
                <w:color w:val="000000" w:themeColor="text1"/>
                <w:sz w:val="20"/>
                <w:szCs w:val="20"/>
              </w:rPr>
            </w:pPr>
            <w:r w:rsidRPr="00934C02">
              <w:rPr>
                <w:rFonts w:ascii="Arial" w:eastAsia="Times New Roman" w:hAnsi="Arial" w:cs="Arial"/>
                <w:color w:val="000000" w:themeColor="text1"/>
                <w:sz w:val="20"/>
                <w:szCs w:val="20"/>
              </w:rPr>
              <w:t>5.185</w:t>
            </w:r>
          </w:p>
        </w:tc>
        <w:tc>
          <w:tcPr>
            <w:tcW w:w="1798"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eastAsia="Times New Roman" w:hAnsi="Arial" w:cs="Arial"/>
                <w:color w:val="000000" w:themeColor="text1"/>
                <w:sz w:val="20"/>
                <w:szCs w:val="20"/>
              </w:rPr>
            </w:pPr>
            <w:r w:rsidRPr="00934C02">
              <w:rPr>
                <w:rFonts w:ascii="Arial" w:eastAsia="Times New Roman" w:hAnsi="Arial" w:cs="Arial"/>
                <w:color w:val="000000" w:themeColor="text1"/>
                <w:sz w:val="20"/>
                <w:szCs w:val="20"/>
              </w:rPr>
              <w:t>14.10</w:t>
            </w:r>
          </w:p>
        </w:tc>
      </w:tr>
      <w:tr w:rsidR="00934C02" w:rsidRPr="00934C02" w:rsidTr="00934C02">
        <w:trPr>
          <w:tblCellSpacing w:w="20" w:type="dxa"/>
          <w:jc w:val="center"/>
        </w:trPr>
        <w:tc>
          <w:tcPr>
            <w:tcW w:w="368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Times New Roman" w:hAnsi="Arial" w:cs="Arial"/>
                <w:color w:val="000000" w:themeColor="text1"/>
                <w:sz w:val="20"/>
                <w:szCs w:val="20"/>
              </w:rPr>
            </w:pPr>
            <w:r w:rsidRPr="00934C02">
              <w:rPr>
                <w:rFonts w:ascii="Arial" w:eastAsia="Times New Roman" w:hAnsi="Arial" w:cs="Arial"/>
                <w:color w:val="000000" w:themeColor="text1"/>
                <w:sz w:val="20"/>
                <w:szCs w:val="20"/>
              </w:rPr>
              <w:t>Deşeuri din construcţii/demolări</w:t>
            </w:r>
          </w:p>
        </w:tc>
        <w:tc>
          <w:tcPr>
            <w:tcW w:w="4038"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eastAsia="Times New Roman" w:hAnsi="Arial" w:cs="Arial"/>
                <w:color w:val="000000" w:themeColor="text1"/>
                <w:sz w:val="20"/>
                <w:szCs w:val="20"/>
              </w:rPr>
            </w:pPr>
            <w:r w:rsidRPr="00934C02">
              <w:rPr>
                <w:rFonts w:ascii="Arial" w:eastAsia="Times New Roman" w:hAnsi="Arial" w:cs="Arial"/>
                <w:color w:val="000000" w:themeColor="text1"/>
                <w:sz w:val="20"/>
                <w:szCs w:val="20"/>
              </w:rPr>
              <w:t>5.07</w:t>
            </w:r>
          </w:p>
        </w:tc>
        <w:tc>
          <w:tcPr>
            <w:tcW w:w="1798"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eastAsia="Times New Roman" w:hAnsi="Arial" w:cs="Arial"/>
                <w:color w:val="000000" w:themeColor="text1"/>
                <w:sz w:val="20"/>
                <w:szCs w:val="20"/>
              </w:rPr>
            </w:pPr>
            <w:r w:rsidRPr="00934C02">
              <w:rPr>
                <w:rFonts w:ascii="Arial" w:eastAsia="Times New Roman" w:hAnsi="Arial" w:cs="Arial"/>
                <w:color w:val="000000" w:themeColor="text1"/>
                <w:sz w:val="20"/>
                <w:szCs w:val="20"/>
              </w:rPr>
              <w:t>13.79</w:t>
            </w:r>
          </w:p>
        </w:tc>
      </w:tr>
      <w:tr w:rsidR="00934C02" w:rsidRPr="00934C02" w:rsidTr="00934C02">
        <w:trPr>
          <w:tblCellSpacing w:w="20" w:type="dxa"/>
          <w:jc w:val="center"/>
        </w:trPr>
        <w:tc>
          <w:tcPr>
            <w:tcW w:w="368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eastAsia="Times New Roman" w:hAnsi="Arial" w:cs="Arial"/>
                <w:color w:val="000000" w:themeColor="text1"/>
                <w:sz w:val="20"/>
                <w:szCs w:val="20"/>
              </w:rPr>
            </w:pPr>
            <w:r w:rsidRPr="00934C02">
              <w:rPr>
                <w:rFonts w:ascii="Arial" w:eastAsia="Times New Roman" w:hAnsi="Arial" w:cs="Arial"/>
                <w:color w:val="000000" w:themeColor="text1"/>
                <w:sz w:val="20"/>
                <w:szCs w:val="20"/>
              </w:rPr>
              <w:t>TOTAL</w:t>
            </w:r>
          </w:p>
        </w:tc>
        <w:tc>
          <w:tcPr>
            <w:tcW w:w="4038"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eastAsia="Times New Roman" w:hAnsi="Arial" w:cs="Arial"/>
                <w:color w:val="000000" w:themeColor="text1"/>
                <w:sz w:val="20"/>
                <w:szCs w:val="20"/>
              </w:rPr>
            </w:pPr>
            <w:r w:rsidRPr="00934C02">
              <w:rPr>
                <w:rFonts w:ascii="Arial" w:eastAsia="Times New Roman" w:hAnsi="Arial" w:cs="Arial"/>
                <w:color w:val="000000" w:themeColor="text1"/>
                <w:sz w:val="20"/>
                <w:szCs w:val="20"/>
              </w:rPr>
              <w:t>36.777</w:t>
            </w:r>
          </w:p>
        </w:tc>
        <w:tc>
          <w:tcPr>
            <w:tcW w:w="1798"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eastAsia="Times New Roman" w:hAnsi="Arial" w:cs="Arial"/>
                <w:color w:val="000000" w:themeColor="text1"/>
                <w:sz w:val="20"/>
                <w:szCs w:val="20"/>
              </w:rPr>
            </w:pPr>
            <w:r w:rsidRPr="00934C02">
              <w:rPr>
                <w:rFonts w:ascii="Arial" w:eastAsia="Times New Roman" w:hAnsi="Arial" w:cs="Arial"/>
                <w:color w:val="000000" w:themeColor="text1"/>
                <w:sz w:val="20"/>
                <w:szCs w:val="20"/>
              </w:rPr>
              <w:t>100</w:t>
            </w:r>
          </w:p>
        </w:tc>
      </w:tr>
    </w:tbl>
    <w:p w:rsidR="00934C02" w:rsidRPr="00934C02" w:rsidRDefault="00934C02" w:rsidP="00934C02">
      <w:pPr>
        <w:spacing w:after="0" w:line="240" w:lineRule="auto"/>
        <w:jc w:val="both"/>
        <w:rPr>
          <w:rFonts w:ascii="Arial" w:eastAsia="Times New Roman" w:hAnsi="Arial" w:cs="Arial"/>
          <w:i/>
          <w:sz w:val="20"/>
          <w:szCs w:val="20"/>
        </w:rPr>
      </w:pPr>
      <w:r w:rsidRPr="00934C02">
        <w:rPr>
          <w:rFonts w:ascii="Arial" w:eastAsia="Times New Roman" w:hAnsi="Arial" w:cs="Arial"/>
          <w:i/>
          <w:sz w:val="20"/>
          <w:szCs w:val="20"/>
        </w:rPr>
        <w:t>Sursa: APM Vaslui – aplicaţiile: MEDIUS şi SD (din SIM),cu date validate de ANPM</w:t>
      </w:r>
    </w:p>
    <w:p w:rsidR="00934C02" w:rsidRPr="00934C02" w:rsidRDefault="00934C02" w:rsidP="00934C02">
      <w:pPr>
        <w:spacing w:after="0" w:line="240" w:lineRule="auto"/>
        <w:jc w:val="both"/>
        <w:rPr>
          <w:rFonts w:ascii="Arial" w:eastAsia="Times New Roman" w:hAnsi="Arial" w:cs="Arial"/>
          <w:i/>
          <w:sz w:val="20"/>
          <w:szCs w:val="20"/>
        </w:rPr>
      </w:pPr>
    </w:p>
    <w:p w:rsidR="00934C02" w:rsidRPr="00934C02" w:rsidRDefault="00934C02" w:rsidP="00934C02">
      <w:pPr>
        <w:spacing w:after="0" w:line="240" w:lineRule="auto"/>
        <w:jc w:val="both"/>
        <w:rPr>
          <w:rFonts w:ascii="Arial" w:eastAsia="Times New Roman" w:hAnsi="Arial" w:cs="Arial"/>
          <w:i/>
          <w:sz w:val="20"/>
          <w:szCs w:val="20"/>
        </w:rPr>
      </w:pPr>
    </w:p>
    <w:p w:rsidR="00934C02" w:rsidRPr="00934C02" w:rsidRDefault="00934C02" w:rsidP="00934C02">
      <w:pPr>
        <w:spacing w:after="0" w:line="240" w:lineRule="auto"/>
        <w:jc w:val="both"/>
        <w:rPr>
          <w:rFonts w:ascii="Arial" w:eastAsia="Times New Roman" w:hAnsi="Arial" w:cs="Arial"/>
          <w:b/>
          <w:iCs/>
          <w:sz w:val="24"/>
          <w:szCs w:val="24"/>
          <w:lang w:val="ro-RO"/>
        </w:rPr>
      </w:pPr>
      <w:r w:rsidRPr="00934C02">
        <w:rPr>
          <w:rFonts w:ascii="Times New Roman" w:eastAsia="Times New Roman" w:hAnsi="Times New Roman" w:cs="Times New Roman"/>
          <w:b/>
          <w:noProof/>
          <w:color w:val="FF0000"/>
          <w:sz w:val="24"/>
          <w:szCs w:val="24"/>
        </w:rPr>
        <w:drawing>
          <wp:inline distT="0" distB="0" distL="0" distR="0" wp14:anchorId="7FD80B24" wp14:editId="1E306688">
            <wp:extent cx="6248400" cy="1592513"/>
            <wp:effectExtent l="0" t="0" r="19050" b="27305"/>
            <wp:docPr id="234" name="Chart 2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934C02" w:rsidRPr="00934C02" w:rsidRDefault="00934C02" w:rsidP="00934C02">
      <w:pPr>
        <w:spacing w:after="0" w:line="240" w:lineRule="auto"/>
        <w:jc w:val="both"/>
        <w:rPr>
          <w:rFonts w:ascii="Arial" w:eastAsia="Times New Roman" w:hAnsi="Arial" w:cs="Arial"/>
          <w:iCs/>
          <w:sz w:val="24"/>
          <w:szCs w:val="24"/>
          <w:lang w:val="ro-RO"/>
        </w:rPr>
      </w:pPr>
      <w:r w:rsidRPr="00934C02">
        <w:rPr>
          <w:rFonts w:ascii="Arial" w:eastAsia="Times New Roman" w:hAnsi="Arial" w:cs="Arial"/>
          <w:iCs/>
          <w:sz w:val="24"/>
          <w:szCs w:val="24"/>
          <w:lang w:val="ro-RO"/>
        </w:rPr>
        <w:t xml:space="preserve">        Figura</w:t>
      </w:r>
      <w:r w:rsidRPr="00934C02">
        <w:rPr>
          <w:rFonts w:ascii="Arial" w:eastAsia="Times New Roman" w:hAnsi="Arial" w:cs="Arial"/>
          <w:sz w:val="24"/>
          <w:szCs w:val="24"/>
          <w:lang w:val="it-IT"/>
        </w:rPr>
        <w:t xml:space="preserve"> </w:t>
      </w:r>
      <w:r w:rsidRPr="00934C02">
        <w:rPr>
          <w:rFonts w:ascii="Arial" w:eastAsia="Times New Roman" w:hAnsi="Arial" w:cs="Arial"/>
          <w:sz w:val="24"/>
          <w:szCs w:val="24"/>
        </w:rPr>
        <w:t xml:space="preserve">VII.3. </w:t>
      </w:r>
      <w:r w:rsidRPr="00934C02">
        <w:rPr>
          <w:rFonts w:ascii="Arial" w:eastAsia="Times New Roman" w:hAnsi="Arial" w:cs="Arial"/>
          <w:iCs/>
          <w:sz w:val="24"/>
          <w:szCs w:val="24"/>
          <w:lang w:val="ro-RO"/>
        </w:rPr>
        <w:t>Cantităţi de deşeuri colectate de municipalităţi în 2014</w:t>
      </w:r>
    </w:p>
    <w:p w:rsidR="00934C02" w:rsidRPr="00934C02" w:rsidRDefault="00934C02" w:rsidP="00934C02">
      <w:pPr>
        <w:spacing w:after="0" w:line="240" w:lineRule="auto"/>
        <w:jc w:val="both"/>
        <w:rPr>
          <w:rFonts w:ascii="Arial" w:eastAsia="Times New Roman" w:hAnsi="Arial" w:cs="Arial"/>
          <w:iCs/>
          <w:sz w:val="24"/>
          <w:szCs w:val="24"/>
          <w:lang w:val="ro-RO"/>
        </w:rPr>
      </w:pPr>
    </w:p>
    <w:p w:rsidR="00934C02" w:rsidRPr="00934C02" w:rsidRDefault="00934C02" w:rsidP="00934C02">
      <w:pPr>
        <w:rPr>
          <w:lang w:val="ro-RO"/>
        </w:rPr>
      </w:pPr>
    </w:p>
    <w:p w:rsidR="00934C02" w:rsidRPr="00934C02" w:rsidRDefault="00934C02" w:rsidP="00934C02">
      <w:pPr>
        <w:rPr>
          <w:lang w:val="ro-RO"/>
        </w:rPr>
      </w:pPr>
    </w:p>
    <w:p w:rsidR="00934C02" w:rsidRPr="00934C02" w:rsidRDefault="00934C02" w:rsidP="00934C02">
      <w:pPr>
        <w:rPr>
          <w:lang w:val="ro-RO"/>
        </w:rPr>
      </w:pPr>
    </w:p>
    <w:p w:rsidR="00934C02" w:rsidRPr="00934C02" w:rsidRDefault="00934C02" w:rsidP="00934C02">
      <w:pPr>
        <w:rPr>
          <w:lang w:val="ro-RO"/>
        </w:rPr>
      </w:pPr>
    </w:p>
    <w:p w:rsidR="00934C02" w:rsidRPr="00934C02" w:rsidRDefault="00934C02" w:rsidP="00934C02">
      <w:pPr>
        <w:rPr>
          <w:lang w:val="ro-RO"/>
        </w:rPr>
      </w:pPr>
    </w:p>
    <w:p w:rsidR="00934C02" w:rsidRPr="00934C02" w:rsidRDefault="00934C02" w:rsidP="00934C02">
      <w:pPr>
        <w:rPr>
          <w:lang w:val="ro-RO"/>
        </w:rPr>
      </w:pPr>
    </w:p>
    <w:p w:rsidR="00934C02" w:rsidRPr="00934C02" w:rsidRDefault="00934C02" w:rsidP="00934C02">
      <w:pPr>
        <w:rPr>
          <w:lang w:val="ro-RO"/>
        </w:rPr>
      </w:pPr>
    </w:p>
    <w:p w:rsidR="00934C02" w:rsidRPr="00934C02" w:rsidRDefault="00934C02" w:rsidP="00934C02">
      <w:pPr>
        <w:tabs>
          <w:tab w:val="left" w:pos="1609"/>
        </w:tabs>
        <w:rPr>
          <w:lang w:val="ro-RO"/>
        </w:rPr>
        <w:sectPr w:rsidR="00934C02" w:rsidRPr="00934C02" w:rsidSect="00934C02">
          <w:pgSz w:w="12240" w:h="15840"/>
          <w:pgMar w:top="1440" w:right="1440" w:bottom="1440" w:left="1440" w:header="720" w:footer="720" w:gutter="0"/>
          <w:cols w:space="720"/>
          <w:docGrid w:linePitch="360"/>
        </w:sectPr>
      </w:pPr>
    </w:p>
    <w:p w:rsidR="00934C02" w:rsidRPr="00934C02" w:rsidRDefault="00934C02" w:rsidP="00934C02">
      <w:pPr>
        <w:spacing w:after="0" w:line="240" w:lineRule="auto"/>
        <w:jc w:val="both"/>
        <w:rPr>
          <w:rFonts w:ascii="Arial" w:eastAsia="Times New Roman" w:hAnsi="Arial" w:cs="Arial"/>
          <w:iCs/>
          <w:sz w:val="24"/>
          <w:szCs w:val="24"/>
          <w:lang w:val="ro-RO"/>
        </w:rPr>
      </w:pPr>
      <w:r w:rsidRPr="00934C02">
        <w:rPr>
          <w:rFonts w:ascii="Times New Roman" w:eastAsia="Times New Roman" w:hAnsi="Times New Roman" w:cs="Times New Roman"/>
          <w:noProof/>
          <w:color w:val="FF0000"/>
          <w:sz w:val="24"/>
          <w:szCs w:val="24"/>
        </w:rPr>
        <w:lastRenderedPageBreak/>
        <w:drawing>
          <wp:anchor distT="0" distB="0" distL="114300" distR="114300" simplePos="0" relativeHeight="251666432" behindDoc="0" locked="0" layoutInCell="1" allowOverlap="1" wp14:anchorId="41DA2C06" wp14:editId="69D7B9FE">
            <wp:simplePos x="0" y="0"/>
            <wp:positionH relativeFrom="column">
              <wp:posOffset>-334010</wp:posOffset>
            </wp:positionH>
            <wp:positionV relativeFrom="paragraph">
              <wp:posOffset>64135</wp:posOffset>
            </wp:positionV>
            <wp:extent cx="8444230" cy="2194560"/>
            <wp:effectExtent l="0" t="0" r="13970" b="15240"/>
            <wp:wrapSquare wrapText="bothSides"/>
            <wp:docPr id="235" name="Chart 2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14:sizeRelH relativeFrom="margin">
              <wp14:pctWidth>0</wp14:pctWidth>
            </wp14:sizeRelH>
            <wp14:sizeRelV relativeFrom="margin">
              <wp14:pctHeight>0</wp14:pctHeight>
            </wp14:sizeRelV>
          </wp:anchor>
        </w:drawing>
      </w:r>
      <w:r w:rsidRPr="00934C02">
        <w:rPr>
          <w:rFonts w:ascii="Arial" w:eastAsia="Times New Roman" w:hAnsi="Arial" w:cs="Arial"/>
          <w:iCs/>
          <w:sz w:val="24"/>
          <w:szCs w:val="24"/>
          <w:lang w:val="ro-RO"/>
        </w:rPr>
        <w:t>Figura</w:t>
      </w:r>
      <w:r w:rsidRPr="00934C02">
        <w:rPr>
          <w:rFonts w:ascii="Arial" w:eastAsia="Times New Roman" w:hAnsi="Arial" w:cs="Arial"/>
          <w:sz w:val="24"/>
          <w:szCs w:val="24"/>
          <w:lang w:val="it-IT"/>
        </w:rPr>
        <w:t xml:space="preserve"> </w:t>
      </w:r>
      <w:r w:rsidRPr="00934C02">
        <w:rPr>
          <w:rFonts w:ascii="Arial" w:eastAsia="Times New Roman" w:hAnsi="Arial" w:cs="Arial"/>
          <w:sz w:val="24"/>
          <w:szCs w:val="24"/>
        </w:rPr>
        <w:t xml:space="preserve">VII.4. </w:t>
      </w:r>
      <w:r w:rsidRPr="00934C02">
        <w:rPr>
          <w:rFonts w:ascii="Arial" w:eastAsia="Times New Roman" w:hAnsi="Arial" w:cs="Arial"/>
          <w:iCs/>
          <w:sz w:val="24"/>
          <w:szCs w:val="24"/>
          <w:lang w:val="ro-RO"/>
        </w:rPr>
        <w:t>Cantităţi de deşeuri colectate de municipalităţi în 2014</w:t>
      </w:r>
    </w:p>
    <w:p w:rsidR="00934C02" w:rsidRPr="00934C02" w:rsidRDefault="00934C02" w:rsidP="00934C02">
      <w:pPr>
        <w:spacing w:after="0" w:line="240" w:lineRule="auto"/>
        <w:jc w:val="both"/>
        <w:rPr>
          <w:rFonts w:ascii="Arial" w:eastAsia="Times New Roman" w:hAnsi="Arial" w:cs="Arial"/>
          <w:iCs/>
          <w:sz w:val="24"/>
          <w:szCs w:val="24"/>
          <w:lang w:val="ro-RO"/>
        </w:rPr>
      </w:pPr>
    </w:p>
    <w:p w:rsidR="00934C02" w:rsidRPr="00934C02" w:rsidRDefault="00934C02" w:rsidP="00934C02">
      <w:pPr>
        <w:spacing w:after="0" w:line="240" w:lineRule="auto"/>
        <w:rPr>
          <w:rFonts w:ascii="Arial" w:eastAsia="Times New Roman" w:hAnsi="Arial" w:cs="Arial"/>
          <w:sz w:val="24"/>
          <w:szCs w:val="24"/>
          <w:lang w:val="pl-PL" w:eastAsia="pl-PL"/>
        </w:rPr>
      </w:pPr>
      <w:r w:rsidRPr="00934C02">
        <w:rPr>
          <w:rFonts w:ascii="Arial" w:eastAsia="Times New Roman" w:hAnsi="Arial" w:cs="Arial"/>
          <w:sz w:val="24"/>
          <w:szCs w:val="24"/>
          <w:lang w:val="pl-PL" w:eastAsia="pl-PL"/>
        </w:rPr>
        <w:t xml:space="preserve">             Tabelul </w:t>
      </w:r>
      <w:r w:rsidRPr="00934C02">
        <w:rPr>
          <w:rFonts w:ascii="Arial" w:eastAsia="Times New Roman" w:hAnsi="Arial" w:cs="Arial"/>
          <w:sz w:val="24"/>
          <w:szCs w:val="24"/>
          <w:lang w:val="it-IT" w:eastAsia="pl-PL"/>
        </w:rPr>
        <w:t>VII.3</w:t>
      </w:r>
      <w:r w:rsidRPr="00934C02">
        <w:rPr>
          <w:rFonts w:ascii="Arial" w:eastAsia="Times New Roman" w:hAnsi="Arial" w:cs="Arial"/>
          <w:sz w:val="24"/>
          <w:szCs w:val="24"/>
          <w:lang w:val="pl-PL" w:eastAsia="pl-PL"/>
        </w:rPr>
        <w:t>. Evoluţia compoziţiei deşeurilor menajere 2012-2014</w:t>
      </w:r>
    </w:p>
    <w:tbl>
      <w:tblPr>
        <w:tblW w:w="11880" w:type="dxa"/>
        <w:tblCellSpacing w:w="20" w:type="dxa"/>
        <w:tblInd w:w="96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350"/>
        <w:gridCol w:w="810"/>
        <w:gridCol w:w="900"/>
        <w:gridCol w:w="1080"/>
        <w:gridCol w:w="810"/>
        <w:gridCol w:w="1080"/>
        <w:gridCol w:w="1080"/>
        <w:gridCol w:w="1260"/>
        <w:gridCol w:w="1080"/>
        <w:gridCol w:w="1170"/>
        <w:gridCol w:w="1260"/>
      </w:tblGrid>
      <w:tr w:rsidR="00934C02" w:rsidRPr="00934C02" w:rsidTr="00934C02">
        <w:trPr>
          <w:cantSplit/>
          <w:trHeight w:val="296"/>
          <w:tblCellSpacing w:w="20" w:type="dxa"/>
        </w:trPr>
        <w:tc>
          <w:tcPr>
            <w:tcW w:w="1290" w:type="dxa"/>
            <w:vMerge w:val="restart"/>
            <w:tcBorders>
              <w:top w:val="single" w:sz="2" w:space="0" w:color="auto"/>
              <w:left w:val="single" w:sz="2" w:space="0" w:color="auto"/>
              <w:bottom w:val="single" w:sz="2" w:space="0" w:color="auto"/>
              <w:right w:val="single" w:sz="2" w:space="0" w:color="auto"/>
            </w:tcBorders>
          </w:tcPr>
          <w:p w:rsidR="00934C02" w:rsidRPr="00934C02" w:rsidRDefault="00934C02" w:rsidP="00934C02">
            <w:pPr>
              <w:spacing w:after="0" w:line="240" w:lineRule="auto"/>
              <w:jc w:val="center"/>
              <w:rPr>
                <w:rFonts w:ascii="Arial" w:hAnsi="Arial" w:cs="Arial"/>
                <w:b/>
                <w:sz w:val="16"/>
                <w:szCs w:val="16"/>
              </w:rPr>
            </w:pPr>
          </w:p>
          <w:p w:rsidR="00934C02" w:rsidRPr="00934C02" w:rsidRDefault="00934C02" w:rsidP="00934C02">
            <w:pPr>
              <w:spacing w:after="0" w:line="240" w:lineRule="auto"/>
              <w:jc w:val="center"/>
              <w:rPr>
                <w:rFonts w:ascii="Arial" w:hAnsi="Arial" w:cs="Arial"/>
                <w:b/>
                <w:sz w:val="16"/>
                <w:szCs w:val="16"/>
              </w:rPr>
            </w:pPr>
          </w:p>
          <w:p w:rsidR="00934C02" w:rsidRPr="00934C02" w:rsidRDefault="00934C02" w:rsidP="00934C02">
            <w:pPr>
              <w:spacing w:after="0" w:line="240" w:lineRule="auto"/>
              <w:jc w:val="center"/>
              <w:rPr>
                <w:rFonts w:ascii="Arial" w:hAnsi="Arial" w:cs="Arial"/>
                <w:b/>
                <w:sz w:val="16"/>
                <w:szCs w:val="16"/>
              </w:rPr>
            </w:pPr>
            <w:r w:rsidRPr="00934C02">
              <w:rPr>
                <w:rFonts w:ascii="Arial" w:hAnsi="Arial" w:cs="Arial"/>
                <w:b/>
                <w:sz w:val="16"/>
                <w:szCs w:val="16"/>
              </w:rPr>
              <w:t>Compoziţia</w:t>
            </w:r>
          </w:p>
        </w:tc>
        <w:tc>
          <w:tcPr>
            <w:tcW w:w="1670" w:type="dxa"/>
            <w:gridSpan w:val="2"/>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b/>
                <w:sz w:val="16"/>
                <w:szCs w:val="16"/>
              </w:rPr>
            </w:pPr>
            <w:r w:rsidRPr="00934C02">
              <w:rPr>
                <w:rFonts w:ascii="Arial" w:hAnsi="Arial" w:cs="Arial"/>
                <w:b/>
                <w:sz w:val="16"/>
                <w:szCs w:val="16"/>
              </w:rPr>
              <w:t>2010</w:t>
            </w:r>
          </w:p>
        </w:tc>
        <w:tc>
          <w:tcPr>
            <w:tcW w:w="1850" w:type="dxa"/>
            <w:gridSpan w:val="2"/>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b/>
                <w:sz w:val="16"/>
                <w:szCs w:val="16"/>
              </w:rPr>
            </w:pPr>
            <w:r w:rsidRPr="00934C02">
              <w:rPr>
                <w:rFonts w:ascii="Arial" w:hAnsi="Arial" w:cs="Arial"/>
                <w:b/>
                <w:sz w:val="16"/>
                <w:szCs w:val="16"/>
              </w:rPr>
              <w:t>2011</w:t>
            </w:r>
          </w:p>
        </w:tc>
        <w:tc>
          <w:tcPr>
            <w:tcW w:w="2120" w:type="dxa"/>
            <w:gridSpan w:val="2"/>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b/>
                <w:sz w:val="16"/>
                <w:szCs w:val="16"/>
              </w:rPr>
            </w:pPr>
            <w:r w:rsidRPr="00934C02">
              <w:rPr>
                <w:rFonts w:ascii="Arial" w:hAnsi="Arial" w:cs="Arial"/>
                <w:b/>
                <w:sz w:val="16"/>
                <w:szCs w:val="16"/>
              </w:rPr>
              <w:t>2012</w:t>
            </w:r>
          </w:p>
        </w:tc>
        <w:tc>
          <w:tcPr>
            <w:tcW w:w="2300" w:type="dxa"/>
            <w:gridSpan w:val="2"/>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b/>
                <w:sz w:val="16"/>
                <w:szCs w:val="16"/>
              </w:rPr>
            </w:pPr>
            <w:r w:rsidRPr="00934C02">
              <w:rPr>
                <w:rFonts w:ascii="Arial" w:hAnsi="Arial" w:cs="Arial"/>
                <w:b/>
                <w:sz w:val="16"/>
                <w:szCs w:val="16"/>
              </w:rPr>
              <w:t>2013</w:t>
            </w:r>
          </w:p>
        </w:tc>
        <w:tc>
          <w:tcPr>
            <w:tcW w:w="2370" w:type="dxa"/>
            <w:gridSpan w:val="2"/>
            <w:tcBorders>
              <w:top w:val="single" w:sz="4" w:space="0" w:color="auto"/>
              <w:left w:val="single" w:sz="2"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b/>
                <w:sz w:val="16"/>
                <w:szCs w:val="16"/>
              </w:rPr>
            </w:pPr>
            <w:r w:rsidRPr="00934C02">
              <w:rPr>
                <w:rFonts w:ascii="Arial" w:hAnsi="Arial" w:cs="Arial"/>
                <w:b/>
                <w:sz w:val="16"/>
                <w:szCs w:val="16"/>
              </w:rPr>
              <w:t>2014</w:t>
            </w:r>
          </w:p>
        </w:tc>
      </w:tr>
      <w:tr w:rsidR="00934C02" w:rsidRPr="00934C02" w:rsidTr="00934C02">
        <w:trPr>
          <w:cantSplit/>
          <w:trHeight w:val="619"/>
          <w:tblCellSpacing w:w="20" w:type="dxa"/>
        </w:trPr>
        <w:tc>
          <w:tcPr>
            <w:tcW w:w="1290" w:type="dxa"/>
            <w:vMerge/>
            <w:tcBorders>
              <w:top w:val="single" w:sz="2" w:space="0" w:color="auto"/>
              <w:left w:val="single" w:sz="2" w:space="0" w:color="auto"/>
              <w:bottom w:val="single" w:sz="2" w:space="0" w:color="auto"/>
              <w:right w:val="single" w:sz="2" w:space="0" w:color="auto"/>
            </w:tcBorders>
            <w:vAlign w:val="center"/>
            <w:hideMark/>
          </w:tcPr>
          <w:p w:rsidR="00934C02" w:rsidRPr="00934C02" w:rsidRDefault="00934C02" w:rsidP="00934C02">
            <w:pPr>
              <w:spacing w:after="0" w:line="240" w:lineRule="auto"/>
              <w:rPr>
                <w:rFonts w:ascii="Arial" w:hAnsi="Arial" w:cs="Arial"/>
                <w:b/>
                <w:sz w:val="16"/>
                <w:szCs w:val="16"/>
              </w:rPr>
            </w:pPr>
          </w:p>
        </w:tc>
        <w:tc>
          <w:tcPr>
            <w:tcW w:w="77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b/>
                <w:sz w:val="16"/>
                <w:szCs w:val="16"/>
              </w:rPr>
            </w:pPr>
            <w:r w:rsidRPr="00934C02">
              <w:rPr>
                <w:rFonts w:ascii="Arial" w:hAnsi="Arial" w:cs="Arial"/>
                <w:b/>
                <w:sz w:val="16"/>
                <w:szCs w:val="16"/>
              </w:rPr>
              <w:t>Cantit. (mii tone)</w:t>
            </w:r>
          </w:p>
        </w:tc>
        <w:tc>
          <w:tcPr>
            <w:tcW w:w="86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b/>
                <w:sz w:val="16"/>
                <w:szCs w:val="16"/>
              </w:rPr>
            </w:pPr>
            <w:r w:rsidRPr="00934C02">
              <w:rPr>
                <w:rFonts w:ascii="Arial" w:hAnsi="Arial" w:cs="Arial"/>
                <w:b/>
                <w:sz w:val="16"/>
                <w:szCs w:val="16"/>
              </w:rPr>
              <w:t>%</w:t>
            </w:r>
          </w:p>
        </w:tc>
        <w:tc>
          <w:tcPr>
            <w:tcW w:w="104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b/>
                <w:sz w:val="16"/>
                <w:szCs w:val="16"/>
              </w:rPr>
            </w:pPr>
            <w:r w:rsidRPr="00934C02">
              <w:rPr>
                <w:rFonts w:ascii="Arial" w:hAnsi="Arial" w:cs="Arial"/>
                <w:b/>
                <w:sz w:val="16"/>
                <w:szCs w:val="16"/>
              </w:rPr>
              <w:t>Cantit. (mii tone)</w:t>
            </w:r>
          </w:p>
        </w:tc>
        <w:tc>
          <w:tcPr>
            <w:tcW w:w="77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ind w:right="-160"/>
              <w:jc w:val="center"/>
              <w:rPr>
                <w:rFonts w:ascii="Arial" w:hAnsi="Arial" w:cs="Arial"/>
                <w:b/>
                <w:sz w:val="16"/>
                <w:szCs w:val="16"/>
              </w:rPr>
            </w:pPr>
            <w:r w:rsidRPr="00934C02">
              <w:rPr>
                <w:rFonts w:ascii="Arial" w:hAnsi="Arial" w:cs="Arial"/>
                <w:b/>
                <w:sz w:val="16"/>
                <w:szCs w:val="16"/>
              </w:rPr>
              <w:t>%</w:t>
            </w:r>
          </w:p>
        </w:tc>
        <w:tc>
          <w:tcPr>
            <w:tcW w:w="104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b/>
                <w:sz w:val="16"/>
                <w:szCs w:val="16"/>
              </w:rPr>
            </w:pPr>
            <w:r w:rsidRPr="00934C02">
              <w:rPr>
                <w:rFonts w:ascii="Arial" w:hAnsi="Arial" w:cs="Arial"/>
                <w:b/>
                <w:sz w:val="16"/>
                <w:szCs w:val="16"/>
              </w:rPr>
              <w:t>Cantit. (mii tone)</w:t>
            </w:r>
          </w:p>
        </w:tc>
        <w:tc>
          <w:tcPr>
            <w:tcW w:w="104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b/>
                <w:sz w:val="16"/>
                <w:szCs w:val="16"/>
              </w:rPr>
            </w:pPr>
            <w:r w:rsidRPr="00934C02">
              <w:rPr>
                <w:rFonts w:ascii="Arial" w:hAnsi="Arial" w:cs="Arial"/>
                <w:b/>
                <w:sz w:val="16"/>
                <w:szCs w:val="16"/>
              </w:rPr>
              <w:t>%</w:t>
            </w:r>
          </w:p>
        </w:tc>
        <w:tc>
          <w:tcPr>
            <w:tcW w:w="122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b/>
                <w:sz w:val="16"/>
                <w:szCs w:val="16"/>
              </w:rPr>
            </w:pPr>
            <w:r w:rsidRPr="00934C02">
              <w:rPr>
                <w:rFonts w:ascii="Arial" w:hAnsi="Arial" w:cs="Arial"/>
                <w:b/>
                <w:sz w:val="16"/>
                <w:szCs w:val="16"/>
              </w:rPr>
              <w:t>Cantit. (mii tone)</w:t>
            </w:r>
          </w:p>
        </w:tc>
        <w:tc>
          <w:tcPr>
            <w:tcW w:w="104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b/>
                <w:sz w:val="16"/>
                <w:szCs w:val="16"/>
              </w:rPr>
            </w:pPr>
            <w:r w:rsidRPr="00934C02">
              <w:rPr>
                <w:rFonts w:ascii="Arial" w:hAnsi="Arial" w:cs="Arial"/>
                <w:b/>
                <w:sz w:val="16"/>
                <w:szCs w:val="16"/>
              </w:rPr>
              <w:t>%</w:t>
            </w:r>
          </w:p>
        </w:tc>
        <w:tc>
          <w:tcPr>
            <w:tcW w:w="1130" w:type="dxa"/>
            <w:tcBorders>
              <w:top w:val="single" w:sz="4" w:space="0" w:color="auto"/>
              <w:left w:val="single" w:sz="2"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b/>
                <w:sz w:val="16"/>
                <w:szCs w:val="16"/>
              </w:rPr>
            </w:pPr>
            <w:r w:rsidRPr="00934C02">
              <w:rPr>
                <w:rFonts w:ascii="Arial" w:hAnsi="Arial" w:cs="Arial"/>
                <w:b/>
                <w:sz w:val="16"/>
                <w:szCs w:val="16"/>
              </w:rPr>
              <w:t>Cantit. (mii tone)</w:t>
            </w:r>
          </w:p>
        </w:tc>
        <w:tc>
          <w:tcPr>
            <w:tcW w:w="120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b/>
                <w:sz w:val="16"/>
                <w:szCs w:val="16"/>
              </w:rPr>
            </w:pPr>
            <w:r w:rsidRPr="00934C02">
              <w:rPr>
                <w:rFonts w:ascii="Arial" w:hAnsi="Arial" w:cs="Arial"/>
                <w:b/>
                <w:sz w:val="16"/>
                <w:szCs w:val="16"/>
              </w:rPr>
              <w:t>%</w:t>
            </w:r>
          </w:p>
        </w:tc>
      </w:tr>
      <w:tr w:rsidR="00934C02" w:rsidRPr="00934C02" w:rsidTr="00934C02">
        <w:trPr>
          <w:cantSplit/>
          <w:trHeight w:val="296"/>
          <w:tblCellSpacing w:w="20" w:type="dxa"/>
        </w:trPr>
        <w:tc>
          <w:tcPr>
            <w:tcW w:w="129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rPr>
                <w:rFonts w:ascii="Arial" w:hAnsi="Arial" w:cs="Arial"/>
                <w:sz w:val="16"/>
                <w:szCs w:val="16"/>
              </w:rPr>
            </w:pPr>
            <w:r w:rsidRPr="00934C02">
              <w:rPr>
                <w:rFonts w:ascii="Arial" w:hAnsi="Arial" w:cs="Arial"/>
                <w:sz w:val="16"/>
                <w:szCs w:val="16"/>
              </w:rPr>
              <w:t>hârtie/carton</w:t>
            </w:r>
          </w:p>
        </w:tc>
        <w:tc>
          <w:tcPr>
            <w:tcW w:w="77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5,239</w:t>
            </w:r>
          </w:p>
        </w:tc>
        <w:tc>
          <w:tcPr>
            <w:tcW w:w="86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11,55</w:t>
            </w:r>
          </w:p>
        </w:tc>
        <w:tc>
          <w:tcPr>
            <w:tcW w:w="104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2,316</w:t>
            </w:r>
          </w:p>
        </w:tc>
        <w:tc>
          <w:tcPr>
            <w:tcW w:w="77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6,53</w:t>
            </w:r>
          </w:p>
        </w:tc>
        <w:tc>
          <w:tcPr>
            <w:tcW w:w="104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2,633</w:t>
            </w:r>
          </w:p>
        </w:tc>
        <w:tc>
          <w:tcPr>
            <w:tcW w:w="104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9,8</w:t>
            </w:r>
          </w:p>
        </w:tc>
        <w:tc>
          <w:tcPr>
            <w:tcW w:w="1220" w:type="dxa"/>
            <w:tcBorders>
              <w:top w:val="single" w:sz="2" w:space="0" w:color="auto"/>
              <w:left w:val="single" w:sz="2" w:space="0" w:color="auto"/>
              <w:bottom w:val="single" w:sz="2" w:space="0" w:color="auto"/>
              <w:right w:val="single" w:sz="2" w:space="0" w:color="auto"/>
            </w:tcBorders>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2,649</w:t>
            </w:r>
          </w:p>
        </w:tc>
        <w:tc>
          <w:tcPr>
            <w:tcW w:w="1040" w:type="dxa"/>
            <w:tcBorders>
              <w:top w:val="single" w:sz="2" w:space="0" w:color="auto"/>
              <w:left w:val="single" w:sz="2" w:space="0" w:color="auto"/>
              <w:bottom w:val="single" w:sz="2" w:space="0" w:color="auto"/>
              <w:right w:val="single" w:sz="2" w:space="0" w:color="auto"/>
            </w:tcBorders>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11,13</w:t>
            </w:r>
          </w:p>
        </w:tc>
        <w:tc>
          <w:tcPr>
            <w:tcW w:w="1130"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0,82</w:t>
            </w:r>
          </w:p>
        </w:tc>
        <w:tc>
          <w:tcPr>
            <w:tcW w:w="1200"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3.09</w:t>
            </w:r>
          </w:p>
        </w:tc>
      </w:tr>
      <w:tr w:rsidR="00934C02" w:rsidRPr="00934C02" w:rsidTr="00934C02">
        <w:trPr>
          <w:cantSplit/>
          <w:trHeight w:val="296"/>
          <w:tblCellSpacing w:w="20" w:type="dxa"/>
        </w:trPr>
        <w:tc>
          <w:tcPr>
            <w:tcW w:w="129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rPr>
                <w:rFonts w:ascii="Arial" w:hAnsi="Arial" w:cs="Arial"/>
                <w:sz w:val="16"/>
                <w:szCs w:val="16"/>
              </w:rPr>
            </w:pPr>
            <w:r w:rsidRPr="00934C02">
              <w:rPr>
                <w:rFonts w:ascii="Arial" w:hAnsi="Arial" w:cs="Arial"/>
                <w:sz w:val="16"/>
                <w:szCs w:val="16"/>
              </w:rPr>
              <w:t>sticlǎ</w:t>
            </w:r>
          </w:p>
        </w:tc>
        <w:tc>
          <w:tcPr>
            <w:tcW w:w="77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0,188</w:t>
            </w:r>
          </w:p>
        </w:tc>
        <w:tc>
          <w:tcPr>
            <w:tcW w:w="86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0,42</w:t>
            </w:r>
          </w:p>
        </w:tc>
        <w:tc>
          <w:tcPr>
            <w:tcW w:w="104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0,071</w:t>
            </w:r>
          </w:p>
        </w:tc>
        <w:tc>
          <w:tcPr>
            <w:tcW w:w="77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0,20</w:t>
            </w:r>
          </w:p>
        </w:tc>
        <w:tc>
          <w:tcPr>
            <w:tcW w:w="104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0,479</w:t>
            </w:r>
          </w:p>
        </w:tc>
        <w:tc>
          <w:tcPr>
            <w:tcW w:w="104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1,78</w:t>
            </w:r>
          </w:p>
        </w:tc>
        <w:tc>
          <w:tcPr>
            <w:tcW w:w="1220" w:type="dxa"/>
            <w:tcBorders>
              <w:top w:val="single" w:sz="2" w:space="0" w:color="auto"/>
              <w:left w:val="single" w:sz="2" w:space="0" w:color="auto"/>
              <w:bottom w:val="single" w:sz="2" w:space="0" w:color="auto"/>
              <w:right w:val="single" w:sz="2" w:space="0" w:color="auto"/>
            </w:tcBorders>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0,53</w:t>
            </w:r>
          </w:p>
        </w:tc>
        <w:tc>
          <w:tcPr>
            <w:tcW w:w="1040" w:type="dxa"/>
            <w:tcBorders>
              <w:top w:val="single" w:sz="2" w:space="0" w:color="auto"/>
              <w:left w:val="single" w:sz="2" w:space="0" w:color="auto"/>
              <w:bottom w:val="single" w:sz="2" w:space="0" w:color="auto"/>
              <w:right w:val="single" w:sz="2" w:space="0" w:color="auto"/>
            </w:tcBorders>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2,23</w:t>
            </w:r>
          </w:p>
        </w:tc>
        <w:tc>
          <w:tcPr>
            <w:tcW w:w="1130"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0,05</w:t>
            </w:r>
          </w:p>
        </w:tc>
        <w:tc>
          <w:tcPr>
            <w:tcW w:w="1200" w:type="dxa"/>
            <w:tcBorders>
              <w:top w:val="outset" w:sz="6"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0.19</w:t>
            </w:r>
          </w:p>
        </w:tc>
      </w:tr>
      <w:tr w:rsidR="00934C02" w:rsidRPr="00934C02" w:rsidTr="00934C02">
        <w:trPr>
          <w:cantSplit/>
          <w:trHeight w:val="296"/>
          <w:tblCellSpacing w:w="20" w:type="dxa"/>
        </w:trPr>
        <w:tc>
          <w:tcPr>
            <w:tcW w:w="129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rPr>
                <w:rFonts w:ascii="Arial" w:hAnsi="Arial" w:cs="Arial"/>
                <w:sz w:val="16"/>
                <w:szCs w:val="16"/>
              </w:rPr>
            </w:pPr>
            <w:r w:rsidRPr="00934C02">
              <w:rPr>
                <w:rFonts w:ascii="Arial" w:hAnsi="Arial" w:cs="Arial"/>
                <w:sz w:val="16"/>
                <w:szCs w:val="16"/>
              </w:rPr>
              <w:t>metal</w:t>
            </w:r>
          </w:p>
        </w:tc>
        <w:tc>
          <w:tcPr>
            <w:tcW w:w="77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0,426</w:t>
            </w:r>
          </w:p>
        </w:tc>
        <w:tc>
          <w:tcPr>
            <w:tcW w:w="86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0,94</w:t>
            </w:r>
          </w:p>
        </w:tc>
        <w:tc>
          <w:tcPr>
            <w:tcW w:w="104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0,301</w:t>
            </w:r>
          </w:p>
        </w:tc>
        <w:tc>
          <w:tcPr>
            <w:tcW w:w="77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0,85</w:t>
            </w:r>
          </w:p>
        </w:tc>
        <w:tc>
          <w:tcPr>
            <w:tcW w:w="104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0,471</w:t>
            </w:r>
          </w:p>
        </w:tc>
        <w:tc>
          <w:tcPr>
            <w:tcW w:w="104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1,75</w:t>
            </w:r>
          </w:p>
        </w:tc>
        <w:tc>
          <w:tcPr>
            <w:tcW w:w="1220" w:type="dxa"/>
            <w:tcBorders>
              <w:top w:val="single" w:sz="2" w:space="0" w:color="auto"/>
              <w:left w:val="single" w:sz="2" w:space="0" w:color="auto"/>
              <w:bottom w:val="single" w:sz="2" w:space="0" w:color="auto"/>
              <w:right w:val="single" w:sz="2" w:space="0" w:color="auto"/>
            </w:tcBorders>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0,51</w:t>
            </w:r>
          </w:p>
        </w:tc>
        <w:tc>
          <w:tcPr>
            <w:tcW w:w="1040" w:type="dxa"/>
            <w:tcBorders>
              <w:top w:val="single" w:sz="2" w:space="0" w:color="auto"/>
              <w:left w:val="single" w:sz="2" w:space="0" w:color="auto"/>
              <w:bottom w:val="single" w:sz="2" w:space="0" w:color="auto"/>
              <w:right w:val="single" w:sz="2" w:space="0" w:color="auto"/>
            </w:tcBorders>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2,14</w:t>
            </w:r>
          </w:p>
        </w:tc>
        <w:tc>
          <w:tcPr>
            <w:tcW w:w="1130" w:type="dxa"/>
            <w:tcBorders>
              <w:top w:val="single" w:sz="4" w:space="0" w:color="auto"/>
              <w:left w:val="single" w:sz="2"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0,12</w:t>
            </w:r>
          </w:p>
        </w:tc>
        <w:tc>
          <w:tcPr>
            <w:tcW w:w="1200" w:type="dxa"/>
            <w:tcBorders>
              <w:top w:val="single" w:sz="4" w:space="0" w:color="auto"/>
              <w:left w:val="single" w:sz="2"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0.45</w:t>
            </w:r>
          </w:p>
        </w:tc>
      </w:tr>
      <w:tr w:rsidR="00934C02" w:rsidRPr="00934C02" w:rsidTr="00934C02">
        <w:trPr>
          <w:cantSplit/>
          <w:trHeight w:val="369"/>
          <w:tblCellSpacing w:w="20" w:type="dxa"/>
        </w:trPr>
        <w:tc>
          <w:tcPr>
            <w:tcW w:w="129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rPr>
                <w:rFonts w:ascii="Arial" w:hAnsi="Arial" w:cs="Arial"/>
                <w:sz w:val="16"/>
                <w:szCs w:val="16"/>
              </w:rPr>
            </w:pPr>
            <w:r w:rsidRPr="00934C02">
              <w:rPr>
                <w:rFonts w:ascii="Arial" w:hAnsi="Arial" w:cs="Arial"/>
                <w:sz w:val="16"/>
                <w:szCs w:val="16"/>
              </w:rPr>
              <w:t>plastic</w:t>
            </w:r>
          </w:p>
        </w:tc>
        <w:tc>
          <w:tcPr>
            <w:tcW w:w="77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4,799</w:t>
            </w:r>
          </w:p>
        </w:tc>
        <w:tc>
          <w:tcPr>
            <w:tcW w:w="86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10,58</w:t>
            </w:r>
          </w:p>
        </w:tc>
        <w:tc>
          <w:tcPr>
            <w:tcW w:w="104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2,376</w:t>
            </w:r>
          </w:p>
        </w:tc>
        <w:tc>
          <w:tcPr>
            <w:tcW w:w="77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6,70</w:t>
            </w:r>
          </w:p>
        </w:tc>
        <w:tc>
          <w:tcPr>
            <w:tcW w:w="104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1,993</w:t>
            </w:r>
          </w:p>
        </w:tc>
        <w:tc>
          <w:tcPr>
            <w:tcW w:w="104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7,42</w:t>
            </w:r>
          </w:p>
        </w:tc>
        <w:tc>
          <w:tcPr>
            <w:tcW w:w="1220" w:type="dxa"/>
            <w:tcBorders>
              <w:top w:val="single" w:sz="2" w:space="0" w:color="auto"/>
              <w:left w:val="single" w:sz="2" w:space="0" w:color="auto"/>
              <w:bottom w:val="single" w:sz="2" w:space="0" w:color="auto"/>
              <w:right w:val="single" w:sz="2" w:space="0" w:color="auto"/>
            </w:tcBorders>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 xml:space="preserve"> 1,96</w:t>
            </w:r>
          </w:p>
        </w:tc>
        <w:tc>
          <w:tcPr>
            <w:tcW w:w="1040" w:type="dxa"/>
            <w:tcBorders>
              <w:top w:val="single" w:sz="2" w:space="0" w:color="auto"/>
              <w:left w:val="single" w:sz="2" w:space="0" w:color="auto"/>
              <w:bottom w:val="single" w:sz="2" w:space="0" w:color="auto"/>
              <w:right w:val="single" w:sz="2" w:space="0" w:color="auto"/>
            </w:tcBorders>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8,24</w:t>
            </w:r>
          </w:p>
        </w:tc>
        <w:tc>
          <w:tcPr>
            <w:tcW w:w="1130" w:type="dxa"/>
            <w:tcBorders>
              <w:top w:val="single" w:sz="4" w:space="0" w:color="auto"/>
              <w:left w:val="single" w:sz="2"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1,26</w:t>
            </w:r>
          </w:p>
        </w:tc>
        <w:tc>
          <w:tcPr>
            <w:tcW w:w="1200" w:type="dxa"/>
            <w:tcBorders>
              <w:top w:val="single" w:sz="4" w:space="0" w:color="auto"/>
              <w:left w:val="single" w:sz="2"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4.76</w:t>
            </w:r>
          </w:p>
        </w:tc>
      </w:tr>
      <w:tr w:rsidR="00934C02" w:rsidRPr="00934C02" w:rsidTr="00934C02">
        <w:trPr>
          <w:cantSplit/>
          <w:trHeight w:val="296"/>
          <w:tblCellSpacing w:w="20" w:type="dxa"/>
        </w:trPr>
        <w:tc>
          <w:tcPr>
            <w:tcW w:w="129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rPr>
                <w:rFonts w:ascii="Arial" w:hAnsi="Arial" w:cs="Arial"/>
                <w:sz w:val="16"/>
                <w:szCs w:val="16"/>
              </w:rPr>
            </w:pPr>
            <w:r w:rsidRPr="00934C02">
              <w:rPr>
                <w:rFonts w:ascii="Arial" w:hAnsi="Arial" w:cs="Arial"/>
                <w:sz w:val="16"/>
                <w:szCs w:val="16"/>
              </w:rPr>
              <w:t>textile</w:t>
            </w:r>
          </w:p>
        </w:tc>
        <w:tc>
          <w:tcPr>
            <w:tcW w:w="77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0</w:t>
            </w:r>
          </w:p>
        </w:tc>
        <w:tc>
          <w:tcPr>
            <w:tcW w:w="86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0</w:t>
            </w:r>
          </w:p>
        </w:tc>
        <w:tc>
          <w:tcPr>
            <w:tcW w:w="104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0</w:t>
            </w:r>
          </w:p>
        </w:tc>
        <w:tc>
          <w:tcPr>
            <w:tcW w:w="77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0</w:t>
            </w:r>
          </w:p>
        </w:tc>
        <w:tc>
          <w:tcPr>
            <w:tcW w:w="104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0</w:t>
            </w:r>
          </w:p>
        </w:tc>
        <w:tc>
          <w:tcPr>
            <w:tcW w:w="104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0</w:t>
            </w:r>
          </w:p>
        </w:tc>
        <w:tc>
          <w:tcPr>
            <w:tcW w:w="122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0</w:t>
            </w:r>
          </w:p>
        </w:tc>
        <w:tc>
          <w:tcPr>
            <w:tcW w:w="104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0</w:t>
            </w:r>
          </w:p>
        </w:tc>
        <w:tc>
          <w:tcPr>
            <w:tcW w:w="1130" w:type="dxa"/>
            <w:tcBorders>
              <w:top w:val="single" w:sz="4" w:space="0" w:color="auto"/>
              <w:left w:val="single" w:sz="2"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0</w:t>
            </w:r>
          </w:p>
        </w:tc>
        <w:tc>
          <w:tcPr>
            <w:tcW w:w="1200" w:type="dxa"/>
            <w:tcBorders>
              <w:top w:val="single" w:sz="4" w:space="0" w:color="auto"/>
              <w:left w:val="single" w:sz="2"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0</w:t>
            </w:r>
          </w:p>
        </w:tc>
      </w:tr>
      <w:tr w:rsidR="00934C02" w:rsidRPr="00934C02" w:rsidTr="00934C02">
        <w:trPr>
          <w:cantSplit/>
          <w:trHeight w:val="542"/>
          <w:tblCellSpacing w:w="20" w:type="dxa"/>
        </w:trPr>
        <w:tc>
          <w:tcPr>
            <w:tcW w:w="129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rPr>
                <w:rFonts w:ascii="Arial" w:hAnsi="Arial" w:cs="Arial"/>
                <w:sz w:val="16"/>
                <w:szCs w:val="16"/>
                <w:lang w:val="it-IT"/>
              </w:rPr>
            </w:pPr>
            <w:r w:rsidRPr="00934C02">
              <w:rPr>
                <w:rFonts w:ascii="Arial" w:hAnsi="Arial" w:cs="Arial"/>
                <w:sz w:val="16"/>
                <w:szCs w:val="16"/>
                <w:lang w:val="it-IT"/>
              </w:rPr>
              <w:t>deşeuri biodegradabile (vegetale şi animale)</w:t>
            </w:r>
          </w:p>
        </w:tc>
        <w:tc>
          <w:tcPr>
            <w:tcW w:w="77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34,692</w:t>
            </w:r>
          </w:p>
        </w:tc>
        <w:tc>
          <w:tcPr>
            <w:tcW w:w="86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76,49</w:t>
            </w:r>
          </w:p>
        </w:tc>
        <w:tc>
          <w:tcPr>
            <w:tcW w:w="104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30,351</w:t>
            </w:r>
          </w:p>
        </w:tc>
        <w:tc>
          <w:tcPr>
            <w:tcW w:w="77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85,6</w:t>
            </w:r>
          </w:p>
        </w:tc>
        <w:tc>
          <w:tcPr>
            <w:tcW w:w="104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21,289</w:t>
            </w:r>
          </w:p>
        </w:tc>
        <w:tc>
          <w:tcPr>
            <w:tcW w:w="104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79,22</w:t>
            </w:r>
          </w:p>
        </w:tc>
        <w:tc>
          <w:tcPr>
            <w:tcW w:w="1220" w:type="dxa"/>
            <w:tcBorders>
              <w:top w:val="single" w:sz="2" w:space="0" w:color="auto"/>
              <w:left w:val="single" w:sz="2" w:space="0" w:color="auto"/>
              <w:bottom w:val="single" w:sz="2" w:space="0" w:color="auto"/>
              <w:right w:val="single" w:sz="2" w:space="0" w:color="auto"/>
            </w:tcBorders>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17,525</w:t>
            </w:r>
          </w:p>
        </w:tc>
        <w:tc>
          <w:tcPr>
            <w:tcW w:w="1040" w:type="dxa"/>
            <w:tcBorders>
              <w:top w:val="single" w:sz="2" w:space="0" w:color="auto"/>
              <w:left w:val="single" w:sz="2" w:space="0" w:color="auto"/>
              <w:bottom w:val="single" w:sz="2" w:space="0" w:color="auto"/>
              <w:right w:val="single" w:sz="4" w:space="0" w:color="auto"/>
            </w:tcBorders>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73,64</w:t>
            </w:r>
          </w:p>
        </w:tc>
        <w:tc>
          <w:tcPr>
            <w:tcW w:w="1130" w:type="dxa"/>
            <w:tcBorders>
              <w:top w:val="single" w:sz="4" w:space="0" w:color="auto"/>
              <w:left w:val="single" w:sz="2"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22,92</w:t>
            </w:r>
          </w:p>
        </w:tc>
        <w:tc>
          <w:tcPr>
            <w:tcW w:w="1200"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86,42</w:t>
            </w:r>
          </w:p>
        </w:tc>
      </w:tr>
      <w:tr w:rsidR="00934C02" w:rsidRPr="00934C02" w:rsidTr="00934C02">
        <w:trPr>
          <w:cantSplit/>
          <w:trHeight w:val="310"/>
          <w:tblCellSpacing w:w="20" w:type="dxa"/>
        </w:trPr>
        <w:tc>
          <w:tcPr>
            <w:tcW w:w="129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rPr>
                <w:rFonts w:ascii="Arial" w:hAnsi="Arial" w:cs="Arial"/>
                <w:sz w:val="16"/>
                <w:szCs w:val="16"/>
              </w:rPr>
            </w:pPr>
            <w:r w:rsidRPr="00934C02">
              <w:rPr>
                <w:rFonts w:ascii="Arial" w:hAnsi="Arial" w:cs="Arial"/>
                <w:sz w:val="16"/>
                <w:szCs w:val="16"/>
              </w:rPr>
              <w:t xml:space="preserve">altele *) </w:t>
            </w:r>
          </w:p>
        </w:tc>
        <w:tc>
          <w:tcPr>
            <w:tcW w:w="77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0,008</w:t>
            </w:r>
          </w:p>
        </w:tc>
        <w:tc>
          <w:tcPr>
            <w:tcW w:w="86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0,02</w:t>
            </w:r>
          </w:p>
        </w:tc>
        <w:tc>
          <w:tcPr>
            <w:tcW w:w="104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0,04</w:t>
            </w:r>
          </w:p>
        </w:tc>
        <w:tc>
          <w:tcPr>
            <w:tcW w:w="77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0,12</w:t>
            </w:r>
          </w:p>
        </w:tc>
        <w:tc>
          <w:tcPr>
            <w:tcW w:w="104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0,009</w:t>
            </w:r>
          </w:p>
        </w:tc>
        <w:tc>
          <w:tcPr>
            <w:tcW w:w="104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0,03</w:t>
            </w:r>
          </w:p>
        </w:tc>
        <w:tc>
          <w:tcPr>
            <w:tcW w:w="1220" w:type="dxa"/>
            <w:tcBorders>
              <w:top w:val="single" w:sz="2" w:space="0" w:color="auto"/>
              <w:left w:val="single" w:sz="2" w:space="0" w:color="auto"/>
              <w:bottom w:val="single" w:sz="2" w:space="0" w:color="auto"/>
              <w:right w:val="single" w:sz="2" w:space="0" w:color="auto"/>
            </w:tcBorders>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0,623</w:t>
            </w:r>
          </w:p>
        </w:tc>
        <w:tc>
          <w:tcPr>
            <w:tcW w:w="1040" w:type="dxa"/>
            <w:tcBorders>
              <w:top w:val="single" w:sz="2" w:space="0" w:color="auto"/>
              <w:left w:val="single" w:sz="2" w:space="0" w:color="auto"/>
              <w:bottom w:val="single" w:sz="2" w:space="0" w:color="auto"/>
              <w:right w:val="single" w:sz="4" w:space="0" w:color="auto"/>
            </w:tcBorders>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2,61</w:t>
            </w:r>
          </w:p>
        </w:tc>
        <w:tc>
          <w:tcPr>
            <w:tcW w:w="1130" w:type="dxa"/>
            <w:tcBorders>
              <w:top w:val="single" w:sz="4" w:space="0" w:color="auto"/>
              <w:left w:val="single" w:sz="2"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1,35</w:t>
            </w:r>
          </w:p>
        </w:tc>
        <w:tc>
          <w:tcPr>
            <w:tcW w:w="1200"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5,09</w:t>
            </w:r>
          </w:p>
        </w:tc>
      </w:tr>
      <w:tr w:rsidR="00934C02" w:rsidRPr="00934C02" w:rsidTr="00934C02">
        <w:trPr>
          <w:cantSplit/>
          <w:trHeight w:val="133"/>
          <w:tblCellSpacing w:w="20" w:type="dxa"/>
        </w:trPr>
        <w:tc>
          <w:tcPr>
            <w:tcW w:w="129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rPr>
                <w:rFonts w:ascii="Arial" w:hAnsi="Arial" w:cs="Arial"/>
                <w:sz w:val="16"/>
                <w:szCs w:val="16"/>
              </w:rPr>
            </w:pPr>
            <w:r w:rsidRPr="00934C02">
              <w:rPr>
                <w:rFonts w:ascii="Arial" w:hAnsi="Arial" w:cs="Arial"/>
                <w:sz w:val="16"/>
                <w:szCs w:val="16"/>
              </w:rPr>
              <w:t>Total</w:t>
            </w:r>
          </w:p>
        </w:tc>
        <w:tc>
          <w:tcPr>
            <w:tcW w:w="77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45,352</w:t>
            </w:r>
          </w:p>
        </w:tc>
        <w:tc>
          <w:tcPr>
            <w:tcW w:w="86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100</w:t>
            </w:r>
          </w:p>
        </w:tc>
        <w:tc>
          <w:tcPr>
            <w:tcW w:w="104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35,455</w:t>
            </w:r>
          </w:p>
        </w:tc>
        <w:tc>
          <w:tcPr>
            <w:tcW w:w="77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100</w:t>
            </w:r>
          </w:p>
        </w:tc>
        <w:tc>
          <w:tcPr>
            <w:tcW w:w="104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26.874</w:t>
            </w:r>
          </w:p>
        </w:tc>
        <w:tc>
          <w:tcPr>
            <w:tcW w:w="1040"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100</w:t>
            </w:r>
          </w:p>
        </w:tc>
        <w:tc>
          <w:tcPr>
            <w:tcW w:w="1220" w:type="dxa"/>
            <w:tcBorders>
              <w:top w:val="single" w:sz="2" w:space="0" w:color="auto"/>
              <w:left w:val="single" w:sz="2" w:space="0" w:color="auto"/>
              <w:bottom w:val="single" w:sz="2" w:space="0" w:color="auto"/>
              <w:right w:val="single" w:sz="2" w:space="0" w:color="auto"/>
            </w:tcBorders>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23,797</w:t>
            </w:r>
          </w:p>
        </w:tc>
        <w:tc>
          <w:tcPr>
            <w:tcW w:w="1040" w:type="dxa"/>
            <w:tcBorders>
              <w:top w:val="single" w:sz="2" w:space="0" w:color="auto"/>
              <w:left w:val="single" w:sz="2" w:space="0" w:color="auto"/>
              <w:bottom w:val="single" w:sz="2" w:space="0" w:color="auto"/>
              <w:right w:val="single" w:sz="2" w:space="0" w:color="auto"/>
            </w:tcBorders>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100</w:t>
            </w:r>
          </w:p>
        </w:tc>
        <w:tc>
          <w:tcPr>
            <w:tcW w:w="1130" w:type="dxa"/>
            <w:tcBorders>
              <w:top w:val="single" w:sz="4" w:space="0" w:color="auto"/>
              <w:left w:val="single" w:sz="2"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26,522</w:t>
            </w:r>
          </w:p>
        </w:tc>
        <w:tc>
          <w:tcPr>
            <w:tcW w:w="1200" w:type="dxa"/>
            <w:tcBorders>
              <w:top w:val="single" w:sz="4" w:space="0" w:color="auto"/>
              <w:left w:val="single" w:sz="2"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sz w:val="16"/>
                <w:szCs w:val="16"/>
              </w:rPr>
            </w:pPr>
            <w:r w:rsidRPr="00934C02">
              <w:rPr>
                <w:rFonts w:ascii="Arial" w:hAnsi="Arial" w:cs="Arial"/>
                <w:sz w:val="16"/>
                <w:szCs w:val="16"/>
              </w:rPr>
              <w:t>100</w:t>
            </w:r>
          </w:p>
        </w:tc>
      </w:tr>
    </w:tbl>
    <w:p w:rsidR="00934C02" w:rsidRPr="00934C02" w:rsidRDefault="00934C02" w:rsidP="00934C02">
      <w:pPr>
        <w:widowControl w:val="0"/>
        <w:spacing w:after="0" w:line="240" w:lineRule="auto"/>
        <w:ind w:firstLine="709"/>
        <w:jc w:val="both"/>
        <w:rPr>
          <w:rFonts w:ascii="Arial" w:hAnsi="Arial" w:cs="Arial"/>
          <w:i/>
          <w:sz w:val="20"/>
          <w:szCs w:val="20"/>
          <w:lang w:val="it-IT"/>
        </w:rPr>
      </w:pPr>
      <w:r w:rsidRPr="00934C02">
        <w:rPr>
          <w:rFonts w:ascii="Arial" w:hAnsi="Arial" w:cs="Arial"/>
          <w:i/>
          <w:sz w:val="20"/>
          <w:szCs w:val="20"/>
          <w:lang w:val="it-IT"/>
        </w:rPr>
        <w:t>*</w:t>
      </w:r>
      <w:r w:rsidRPr="00934C02">
        <w:rPr>
          <w:rFonts w:ascii="Arial" w:hAnsi="Arial" w:cs="Arial"/>
          <w:i/>
          <w:sz w:val="20"/>
          <w:szCs w:val="20"/>
          <w:vertAlign w:val="superscript"/>
          <w:lang w:val="it-IT"/>
        </w:rPr>
        <w:t xml:space="preserve">) </w:t>
      </w:r>
      <w:r w:rsidRPr="00934C02">
        <w:rPr>
          <w:rFonts w:ascii="Arial" w:hAnsi="Arial" w:cs="Arial"/>
          <w:i/>
          <w:sz w:val="20"/>
          <w:szCs w:val="20"/>
          <w:lang w:val="it-IT"/>
        </w:rPr>
        <w:t xml:space="preserve">– deşeurile inerte sunt  incluse în categoria altele </w:t>
      </w:r>
    </w:p>
    <w:p w:rsidR="00934C02" w:rsidRPr="00934C02" w:rsidRDefault="00934C02" w:rsidP="00934C02">
      <w:pPr>
        <w:spacing w:after="0" w:line="240" w:lineRule="auto"/>
        <w:jc w:val="both"/>
        <w:rPr>
          <w:rFonts w:ascii="Arial" w:eastAsia="Times New Roman" w:hAnsi="Arial" w:cs="Arial"/>
          <w:i/>
          <w:sz w:val="20"/>
          <w:szCs w:val="20"/>
        </w:rPr>
      </w:pPr>
      <w:r w:rsidRPr="00934C02">
        <w:rPr>
          <w:rFonts w:ascii="Arial" w:eastAsia="Times New Roman" w:hAnsi="Arial" w:cs="Arial"/>
          <w:i/>
          <w:sz w:val="20"/>
          <w:szCs w:val="20"/>
        </w:rPr>
        <w:t xml:space="preserve">             Sursa: APM Vaslui – aplicaţiile: MEDIUS şi SD (din SIM),cu date validate de ANPM</w:t>
      </w:r>
    </w:p>
    <w:p w:rsidR="00934C02" w:rsidRPr="00934C02" w:rsidRDefault="00934C02" w:rsidP="00934C02">
      <w:pPr>
        <w:spacing w:after="0" w:line="240" w:lineRule="auto"/>
        <w:jc w:val="both"/>
        <w:rPr>
          <w:rFonts w:ascii="Arial" w:eastAsia="Times New Roman" w:hAnsi="Arial" w:cs="Arial"/>
          <w:i/>
          <w:sz w:val="20"/>
          <w:szCs w:val="20"/>
        </w:rPr>
        <w:sectPr w:rsidR="00934C02" w:rsidRPr="00934C02" w:rsidSect="00934C02">
          <w:pgSz w:w="15840" w:h="12240" w:orient="landscape"/>
          <w:pgMar w:top="1440" w:right="1440" w:bottom="1440" w:left="1440" w:header="720" w:footer="720" w:gutter="0"/>
          <w:cols w:space="720"/>
          <w:docGrid w:linePitch="360"/>
        </w:sectPr>
      </w:pPr>
    </w:p>
    <w:p w:rsidR="008D2617" w:rsidRDefault="008D2617" w:rsidP="00934C02">
      <w:pPr>
        <w:spacing w:after="0" w:line="240" w:lineRule="auto"/>
        <w:jc w:val="center"/>
        <w:rPr>
          <w:rFonts w:ascii="Arial" w:eastAsia="Times New Roman" w:hAnsi="Arial" w:cs="Arial"/>
          <w:iCs/>
          <w:sz w:val="24"/>
          <w:szCs w:val="24"/>
          <w:lang w:val="ro-RO" w:eastAsia="pl-PL"/>
        </w:rPr>
      </w:pPr>
    </w:p>
    <w:p w:rsidR="008D2617" w:rsidRDefault="008D2617" w:rsidP="00934C02">
      <w:pPr>
        <w:spacing w:after="0" w:line="240" w:lineRule="auto"/>
        <w:jc w:val="center"/>
        <w:rPr>
          <w:rFonts w:ascii="Arial" w:eastAsia="Times New Roman" w:hAnsi="Arial" w:cs="Arial"/>
          <w:iCs/>
          <w:sz w:val="24"/>
          <w:szCs w:val="24"/>
          <w:lang w:val="ro-RO" w:eastAsia="pl-PL"/>
        </w:rPr>
      </w:pPr>
    </w:p>
    <w:p w:rsidR="00934C02" w:rsidRPr="00934C02" w:rsidRDefault="00934C02" w:rsidP="00934C02">
      <w:pPr>
        <w:spacing w:after="0" w:line="240" w:lineRule="auto"/>
        <w:jc w:val="center"/>
        <w:rPr>
          <w:rFonts w:ascii="Arial" w:eastAsia="Times New Roman" w:hAnsi="Arial" w:cs="Arial"/>
          <w:sz w:val="24"/>
          <w:szCs w:val="24"/>
          <w:lang w:val="pl-PL" w:eastAsia="pl-PL"/>
        </w:rPr>
      </w:pPr>
      <w:r w:rsidRPr="00934C02">
        <w:rPr>
          <w:rFonts w:ascii="Arial" w:eastAsia="Times New Roman" w:hAnsi="Arial" w:cs="Arial"/>
          <w:noProof/>
          <w:sz w:val="24"/>
          <w:szCs w:val="24"/>
        </w:rPr>
        <w:drawing>
          <wp:anchor distT="0" distB="0" distL="114300" distR="114300" simplePos="0" relativeHeight="251665408" behindDoc="0" locked="0" layoutInCell="1" allowOverlap="1" wp14:anchorId="140740FC" wp14:editId="7554B2C0">
            <wp:simplePos x="0" y="0"/>
            <wp:positionH relativeFrom="column">
              <wp:posOffset>699135</wp:posOffset>
            </wp:positionH>
            <wp:positionV relativeFrom="paragraph">
              <wp:posOffset>-602615</wp:posOffset>
            </wp:positionV>
            <wp:extent cx="5787390" cy="2877820"/>
            <wp:effectExtent l="0" t="0" r="22860" b="17780"/>
            <wp:wrapSquare wrapText="right"/>
            <wp:docPr id="236" name="Chart 2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14:sizeRelH relativeFrom="page">
              <wp14:pctWidth>0</wp14:pctWidth>
            </wp14:sizeRelH>
            <wp14:sizeRelV relativeFrom="page">
              <wp14:pctHeight>0</wp14:pctHeight>
            </wp14:sizeRelV>
          </wp:anchor>
        </w:drawing>
      </w:r>
      <w:r w:rsidRPr="00934C02">
        <w:rPr>
          <w:rFonts w:ascii="Arial" w:eastAsia="Times New Roman" w:hAnsi="Arial" w:cs="Arial"/>
          <w:iCs/>
          <w:sz w:val="24"/>
          <w:szCs w:val="24"/>
          <w:lang w:val="ro-RO" w:eastAsia="pl-PL"/>
        </w:rPr>
        <w:t>Figura</w:t>
      </w:r>
      <w:r w:rsidRPr="00934C02">
        <w:rPr>
          <w:rFonts w:ascii="Arial" w:eastAsia="Times New Roman" w:hAnsi="Arial" w:cs="Arial"/>
          <w:sz w:val="24"/>
          <w:szCs w:val="24"/>
          <w:lang w:val="it-IT" w:eastAsia="pl-PL"/>
        </w:rPr>
        <w:t xml:space="preserve"> </w:t>
      </w:r>
      <w:r w:rsidRPr="00934C02">
        <w:rPr>
          <w:rFonts w:ascii="Arial" w:eastAsia="Times New Roman" w:hAnsi="Arial" w:cs="Arial"/>
          <w:sz w:val="24"/>
          <w:szCs w:val="24"/>
          <w:lang w:val="pl-PL" w:eastAsia="pl-PL"/>
        </w:rPr>
        <w:t>VII.5. Evoluţia compoziţiei deşeurilor menajere  (tone)</w:t>
      </w:r>
    </w:p>
    <w:p w:rsidR="00934C02" w:rsidRDefault="00934C02" w:rsidP="00934C02">
      <w:pPr>
        <w:spacing w:after="0" w:line="240" w:lineRule="auto"/>
        <w:jc w:val="center"/>
        <w:rPr>
          <w:rFonts w:ascii="Arial" w:eastAsia="Times New Roman" w:hAnsi="Arial" w:cs="Arial"/>
          <w:sz w:val="24"/>
          <w:szCs w:val="24"/>
          <w:lang w:val="pl-PL" w:eastAsia="pl-PL"/>
        </w:rPr>
      </w:pPr>
    </w:p>
    <w:p w:rsidR="008D2617" w:rsidRDefault="008D2617" w:rsidP="00934C02">
      <w:pPr>
        <w:spacing w:after="0" w:line="240" w:lineRule="auto"/>
        <w:jc w:val="center"/>
        <w:rPr>
          <w:rFonts w:ascii="Arial" w:eastAsia="Times New Roman" w:hAnsi="Arial" w:cs="Arial"/>
          <w:sz w:val="24"/>
          <w:szCs w:val="24"/>
          <w:lang w:val="pl-PL" w:eastAsia="pl-PL"/>
        </w:rPr>
      </w:pPr>
    </w:p>
    <w:p w:rsidR="008D2617" w:rsidRDefault="008D2617" w:rsidP="00934C02">
      <w:pPr>
        <w:spacing w:after="0" w:line="240" w:lineRule="auto"/>
        <w:jc w:val="center"/>
        <w:rPr>
          <w:rFonts w:ascii="Arial" w:eastAsia="Times New Roman" w:hAnsi="Arial" w:cs="Arial"/>
          <w:sz w:val="24"/>
          <w:szCs w:val="24"/>
          <w:lang w:val="pl-PL" w:eastAsia="pl-PL"/>
        </w:rPr>
      </w:pPr>
    </w:p>
    <w:p w:rsidR="008D2617" w:rsidRPr="00934C02" w:rsidRDefault="008D2617" w:rsidP="00934C02">
      <w:pPr>
        <w:spacing w:after="0" w:line="240" w:lineRule="auto"/>
        <w:jc w:val="center"/>
        <w:rPr>
          <w:rFonts w:ascii="Arial" w:eastAsia="Times New Roman" w:hAnsi="Arial" w:cs="Arial"/>
          <w:sz w:val="24"/>
          <w:szCs w:val="24"/>
          <w:lang w:val="pl-PL" w:eastAsia="pl-PL"/>
        </w:rPr>
      </w:pPr>
    </w:p>
    <w:p w:rsidR="00934C02" w:rsidRPr="00934C02" w:rsidRDefault="00934C02" w:rsidP="00934C02">
      <w:pPr>
        <w:spacing w:after="0" w:line="240" w:lineRule="auto"/>
        <w:jc w:val="center"/>
        <w:rPr>
          <w:rFonts w:ascii="Arial" w:eastAsia="Times New Roman" w:hAnsi="Arial" w:cs="Arial"/>
          <w:lang w:val="pl-PL" w:eastAsia="pl-PL"/>
        </w:rPr>
      </w:pPr>
      <w:r w:rsidRPr="00934C02">
        <w:rPr>
          <w:rFonts w:ascii="Times New Roman" w:eastAsia="Times New Roman" w:hAnsi="Times New Roman" w:cs="Times New Roman"/>
          <w:noProof/>
          <w:sz w:val="24"/>
          <w:szCs w:val="24"/>
        </w:rPr>
        <w:drawing>
          <wp:inline distT="0" distB="0" distL="0" distR="0" wp14:anchorId="4D5A5A39" wp14:editId="1E441AE5">
            <wp:extent cx="5671185" cy="2808605"/>
            <wp:effectExtent l="0" t="0" r="0" b="0"/>
            <wp:docPr id="237" name="Chart 2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934C02" w:rsidRPr="00934C02" w:rsidRDefault="00934C02" w:rsidP="00934C02">
      <w:pPr>
        <w:spacing w:after="0" w:line="240" w:lineRule="auto"/>
        <w:jc w:val="center"/>
        <w:rPr>
          <w:rFonts w:ascii="Arial" w:eastAsia="Times New Roman" w:hAnsi="Arial" w:cs="Arial"/>
          <w:iCs/>
          <w:sz w:val="24"/>
          <w:szCs w:val="24"/>
          <w:lang w:val="ro-RO" w:eastAsia="pl-PL"/>
        </w:rPr>
      </w:pPr>
      <w:r w:rsidRPr="00934C02">
        <w:rPr>
          <w:rFonts w:ascii="Times New Roman" w:eastAsia="Times New Roman" w:hAnsi="Times New Roman" w:cs="Times New Roman"/>
          <w:sz w:val="24"/>
          <w:szCs w:val="24"/>
          <w:lang w:val="ro-RO" w:eastAsia="pl-PL"/>
        </w:rPr>
        <w:t xml:space="preserve">   </w:t>
      </w:r>
      <w:r w:rsidRPr="00934C02">
        <w:rPr>
          <w:rFonts w:ascii="Arial" w:eastAsia="Times New Roman" w:hAnsi="Arial" w:cs="Arial"/>
          <w:sz w:val="24"/>
          <w:szCs w:val="24"/>
          <w:lang w:val="pl-PL" w:eastAsia="pl-PL"/>
        </w:rPr>
        <w:t>Figura VII.6. Evoluţia compoziţiei deşeurilor menajere (%)</w:t>
      </w:r>
    </w:p>
    <w:p w:rsidR="00934C02" w:rsidRPr="00934C02" w:rsidRDefault="00934C02" w:rsidP="00934C02">
      <w:pPr>
        <w:spacing w:after="0" w:line="240" w:lineRule="auto"/>
        <w:jc w:val="center"/>
        <w:rPr>
          <w:rFonts w:ascii="Arial" w:eastAsia="Times New Roman" w:hAnsi="Arial" w:cs="Arial"/>
          <w:iCs/>
          <w:sz w:val="24"/>
          <w:szCs w:val="24"/>
          <w:lang w:val="ro-RO" w:eastAsia="pl-PL"/>
        </w:rPr>
        <w:sectPr w:rsidR="00934C02" w:rsidRPr="00934C02" w:rsidSect="00934C02">
          <w:pgSz w:w="12240" w:h="15840"/>
          <w:pgMar w:top="1440" w:right="1440" w:bottom="1440" w:left="1440" w:header="720" w:footer="720" w:gutter="0"/>
          <w:cols w:space="720"/>
          <w:docGrid w:linePitch="360"/>
        </w:sectPr>
      </w:pPr>
    </w:p>
    <w:p w:rsidR="00934C02" w:rsidRPr="00934C02" w:rsidRDefault="00934C02" w:rsidP="00934C02">
      <w:pPr>
        <w:spacing w:after="0" w:line="240" w:lineRule="auto"/>
        <w:rPr>
          <w:rFonts w:ascii="Arial" w:hAnsi="Arial" w:cs="Arial"/>
          <w:sz w:val="24"/>
          <w:szCs w:val="24"/>
          <w:lang w:val="ro-RO" w:eastAsia="pl-PL"/>
        </w:rPr>
      </w:pPr>
      <w:r w:rsidRPr="00934C02">
        <w:rPr>
          <w:lang w:val="ro-RO" w:eastAsia="pl-PL"/>
        </w:rPr>
        <w:lastRenderedPageBreak/>
        <w:t xml:space="preserve">                                    </w:t>
      </w:r>
      <w:r w:rsidRPr="00934C02">
        <w:rPr>
          <w:rFonts w:ascii="Arial" w:hAnsi="Arial" w:cs="Arial"/>
        </w:rPr>
        <w:t xml:space="preserve">Tabelul </w:t>
      </w:r>
      <w:r w:rsidRPr="00934C02">
        <w:rPr>
          <w:rFonts w:ascii="Arial" w:hAnsi="Arial" w:cs="Arial"/>
          <w:lang w:val="it-IT"/>
        </w:rPr>
        <w:t>VII.4</w:t>
      </w:r>
      <w:r w:rsidRPr="00934C02">
        <w:rPr>
          <w:rFonts w:ascii="Arial" w:hAnsi="Arial" w:cs="Arial"/>
        </w:rPr>
        <w:t>. Compoziţia deşeurilor menajere în anul 2014</w:t>
      </w:r>
    </w:p>
    <w:tbl>
      <w:tblPr>
        <w:tblW w:w="5333" w:type="dxa"/>
        <w:jc w:val="center"/>
        <w:tblCellSpacing w:w="20" w:type="dxa"/>
        <w:tblInd w:w="15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42"/>
        <w:gridCol w:w="1996"/>
        <w:gridCol w:w="1495"/>
      </w:tblGrid>
      <w:tr w:rsidR="00934C02" w:rsidRPr="00934C02" w:rsidTr="00934C02">
        <w:trPr>
          <w:cantSplit/>
          <w:trHeight w:val="132"/>
          <w:tblCellSpacing w:w="20" w:type="dxa"/>
          <w:jc w:val="center"/>
        </w:trPr>
        <w:tc>
          <w:tcPr>
            <w:tcW w:w="1782" w:type="dxa"/>
            <w:vMerge w:val="restart"/>
            <w:tcBorders>
              <w:top w:val="single" w:sz="2" w:space="0" w:color="auto"/>
              <w:left w:val="single" w:sz="2" w:space="0" w:color="auto"/>
              <w:bottom w:val="single" w:sz="2" w:space="0" w:color="auto"/>
              <w:right w:val="single" w:sz="2" w:space="0" w:color="auto"/>
            </w:tcBorders>
          </w:tcPr>
          <w:p w:rsidR="00934C02" w:rsidRPr="00934C02" w:rsidRDefault="00934C02" w:rsidP="00934C02">
            <w:pPr>
              <w:keepNext/>
              <w:spacing w:after="60"/>
              <w:jc w:val="center"/>
              <w:outlineLvl w:val="0"/>
              <w:rPr>
                <w:rFonts w:ascii="Arial" w:eastAsia="Times New Roman" w:hAnsi="Arial" w:cs="Arial"/>
                <w:b/>
                <w:bCs/>
                <w:i/>
                <w:color w:val="000000" w:themeColor="text1"/>
                <w:kern w:val="32"/>
                <w:sz w:val="20"/>
                <w:szCs w:val="20"/>
              </w:rPr>
            </w:pPr>
          </w:p>
          <w:p w:rsidR="00934C02" w:rsidRPr="00934C02" w:rsidRDefault="00934C02" w:rsidP="00934C02">
            <w:pPr>
              <w:keepNext/>
              <w:spacing w:after="60"/>
              <w:jc w:val="center"/>
              <w:outlineLvl w:val="0"/>
              <w:rPr>
                <w:rFonts w:ascii="Arial" w:eastAsia="Times New Roman" w:hAnsi="Arial" w:cs="Arial"/>
                <w:b/>
                <w:bCs/>
                <w:i/>
                <w:color w:val="000000" w:themeColor="text1"/>
                <w:kern w:val="32"/>
                <w:sz w:val="20"/>
                <w:szCs w:val="20"/>
              </w:rPr>
            </w:pPr>
            <w:r w:rsidRPr="00934C02">
              <w:rPr>
                <w:rFonts w:ascii="Arial" w:eastAsia="Times New Roman" w:hAnsi="Arial" w:cs="Arial"/>
                <w:b/>
                <w:bCs/>
                <w:i/>
                <w:color w:val="000000" w:themeColor="text1"/>
                <w:kern w:val="32"/>
                <w:sz w:val="20"/>
                <w:szCs w:val="20"/>
              </w:rPr>
              <w:t>Compoziţia</w:t>
            </w:r>
          </w:p>
        </w:tc>
        <w:tc>
          <w:tcPr>
            <w:tcW w:w="3431" w:type="dxa"/>
            <w:gridSpan w:val="2"/>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keepNext/>
              <w:spacing w:after="60"/>
              <w:jc w:val="center"/>
              <w:outlineLvl w:val="0"/>
              <w:rPr>
                <w:rFonts w:ascii="Arial" w:eastAsia="Times New Roman" w:hAnsi="Arial" w:cs="Arial"/>
                <w:b/>
                <w:bCs/>
                <w:i/>
                <w:color w:val="000000" w:themeColor="text1"/>
                <w:kern w:val="32"/>
                <w:sz w:val="20"/>
                <w:szCs w:val="20"/>
              </w:rPr>
            </w:pPr>
            <w:r w:rsidRPr="00934C02">
              <w:rPr>
                <w:rFonts w:ascii="Arial" w:eastAsia="Times New Roman" w:hAnsi="Arial" w:cs="Arial"/>
                <w:b/>
                <w:bCs/>
                <w:i/>
                <w:color w:val="000000" w:themeColor="text1"/>
                <w:kern w:val="32"/>
                <w:sz w:val="20"/>
                <w:szCs w:val="20"/>
              </w:rPr>
              <w:t>2014</w:t>
            </w:r>
          </w:p>
        </w:tc>
      </w:tr>
      <w:tr w:rsidR="00934C02" w:rsidRPr="00934C02" w:rsidTr="00934C02">
        <w:trPr>
          <w:cantSplit/>
          <w:trHeight w:val="135"/>
          <w:tblCellSpacing w:w="20" w:type="dxa"/>
          <w:jc w:val="center"/>
        </w:trPr>
        <w:tc>
          <w:tcPr>
            <w:tcW w:w="1782" w:type="dxa"/>
            <w:vMerge/>
            <w:tcBorders>
              <w:top w:val="single" w:sz="2" w:space="0" w:color="auto"/>
              <w:left w:val="single" w:sz="2" w:space="0" w:color="auto"/>
              <w:bottom w:val="single" w:sz="2" w:space="0" w:color="auto"/>
              <w:right w:val="single" w:sz="2" w:space="0" w:color="auto"/>
            </w:tcBorders>
            <w:vAlign w:val="center"/>
            <w:hideMark/>
          </w:tcPr>
          <w:p w:rsidR="00934C02" w:rsidRPr="00934C02" w:rsidRDefault="00934C02" w:rsidP="00934C02">
            <w:pPr>
              <w:spacing w:after="0" w:line="240" w:lineRule="auto"/>
              <w:rPr>
                <w:rFonts w:ascii="Arial" w:eastAsia="Times New Roman" w:hAnsi="Arial" w:cs="Arial"/>
                <w:b/>
                <w:bCs/>
                <w:i/>
                <w:color w:val="000000" w:themeColor="text1"/>
                <w:kern w:val="32"/>
                <w:sz w:val="20"/>
                <w:szCs w:val="20"/>
              </w:rPr>
            </w:pPr>
          </w:p>
        </w:tc>
        <w:tc>
          <w:tcPr>
            <w:tcW w:w="1956"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keepNext/>
              <w:spacing w:after="60"/>
              <w:ind w:right="-143"/>
              <w:jc w:val="center"/>
              <w:outlineLvl w:val="0"/>
              <w:rPr>
                <w:rFonts w:ascii="Arial" w:eastAsia="Times New Roman" w:hAnsi="Arial" w:cs="Arial"/>
                <w:b/>
                <w:bCs/>
                <w:i/>
                <w:color w:val="000000" w:themeColor="text1"/>
                <w:kern w:val="32"/>
                <w:sz w:val="20"/>
                <w:szCs w:val="20"/>
              </w:rPr>
            </w:pPr>
            <w:r w:rsidRPr="00934C02">
              <w:rPr>
                <w:rFonts w:ascii="Arial" w:eastAsia="Times New Roman" w:hAnsi="Arial" w:cs="Arial"/>
                <w:b/>
                <w:bCs/>
                <w:i/>
                <w:color w:val="000000" w:themeColor="text1"/>
                <w:kern w:val="32"/>
                <w:sz w:val="20"/>
                <w:szCs w:val="20"/>
              </w:rPr>
              <w:t>Cantitate (mii tone)</w:t>
            </w:r>
          </w:p>
        </w:tc>
        <w:tc>
          <w:tcPr>
            <w:tcW w:w="1435"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keepNext/>
              <w:spacing w:after="60"/>
              <w:jc w:val="center"/>
              <w:outlineLvl w:val="0"/>
              <w:rPr>
                <w:rFonts w:ascii="Arial" w:eastAsia="Times New Roman" w:hAnsi="Arial" w:cs="Arial"/>
                <w:b/>
                <w:bCs/>
                <w:i/>
                <w:color w:val="000000" w:themeColor="text1"/>
                <w:kern w:val="32"/>
                <w:sz w:val="20"/>
                <w:szCs w:val="20"/>
              </w:rPr>
            </w:pPr>
            <w:r w:rsidRPr="00934C02">
              <w:rPr>
                <w:rFonts w:ascii="Arial" w:eastAsia="Times New Roman" w:hAnsi="Arial" w:cs="Arial"/>
                <w:b/>
                <w:bCs/>
                <w:i/>
                <w:color w:val="000000" w:themeColor="text1"/>
                <w:kern w:val="32"/>
                <w:sz w:val="20"/>
                <w:szCs w:val="20"/>
              </w:rPr>
              <w:t>%</w:t>
            </w:r>
          </w:p>
        </w:tc>
      </w:tr>
      <w:tr w:rsidR="00934C02" w:rsidRPr="00934C02" w:rsidTr="00934C02">
        <w:trPr>
          <w:cantSplit/>
          <w:trHeight w:val="361"/>
          <w:tblCellSpacing w:w="20" w:type="dxa"/>
          <w:jc w:val="center"/>
        </w:trPr>
        <w:tc>
          <w:tcPr>
            <w:tcW w:w="1782"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keepNext/>
              <w:spacing w:after="60"/>
              <w:outlineLvl w:val="0"/>
              <w:rPr>
                <w:rFonts w:ascii="Arial" w:eastAsia="Times New Roman" w:hAnsi="Arial" w:cs="Arial"/>
                <w:bCs/>
                <w:i/>
                <w:color w:val="000000" w:themeColor="text1"/>
                <w:kern w:val="32"/>
                <w:sz w:val="20"/>
                <w:szCs w:val="20"/>
              </w:rPr>
            </w:pPr>
            <w:r w:rsidRPr="00934C02">
              <w:rPr>
                <w:rFonts w:ascii="Arial" w:eastAsia="Times New Roman" w:hAnsi="Arial" w:cs="Arial"/>
                <w:bCs/>
                <w:i/>
                <w:color w:val="000000" w:themeColor="text1"/>
                <w:kern w:val="32"/>
                <w:sz w:val="20"/>
                <w:szCs w:val="20"/>
              </w:rPr>
              <w:t>Sticlǎ</w:t>
            </w:r>
          </w:p>
        </w:tc>
        <w:tc>
          <w:tcPr>
            <w:tcW w:w="1956"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bCs/>
                <w:color w:val="000000" w:themeColor="text1"/>
                <w:sz w:val="20"/>
                <w:szCs w:val="20"/>
              </w:rPr>
            </w:pPr>
            <w:r w:rsidRPr="00934C02">
              <w:rPr>
                <w:rFonts w:ascii="Arial" w:hAnsi="Arial" w:cs="Arial"/>
                <w:bCs/>
                <w:color w:val="000000" w:themeColor="text1"/>
                <w:sz w:val="20"/>
                <w:szCs w:val="20"/>
              </w:rPr>
              <w:t>0,05</w:t>
            </w:r>
          </w:p>
        </w:tc>
        <w:tc>
          <w:tcPr>
            <w:tcW w:w="1435"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color w:val="000000" w:themeColor="text1"/>
                <w:sz w:val="20"/>
                <w:szCs w:val="20"/>
              </w:rPr>
            </w:pPr>
            <w:r w:rsidRPr="00934C02">
              <w:rPr>
                <w:rFonts w:ascii="Arial" w:hAnsi="Arial" w:cs="Arial"/>
                <w:color w:val="000000" w:themeColor="text1"/>
                <w:sz w:val="20"/>
                <w:szCs w:val="20"/>
              </w:rPr>
              <w:t>0,19</w:t>
            </w:r>
          </w:p>
        </w:tc>
      </w:tr>
      <w:tr w:rsidR="00934C02" w:rsidRPr="00934C02" w:rsidTr="00934C02">
        <w:trPr>
          <w:cantSplit/>
          <w:trHeight w:val="227"/>
          <w:tblCellSpacing w:w="20" w:type="dxa"/>
          <w:jc w:val="center"/>
        </w:trPr>
        <w:tc>
          <w:tcPr>
            <w:tcW w:w="1782"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keepNext/>
              <w:spacing w:after="60"/>
              <w:outlineLvl w:val="0"/>
              <w:rPr>
                <w:rFonts w:ascii="Arial" w:eastAsia="Times New Roman" w:hAnsi="Arial" w:cs="Arial"/>
                <w:bCs/>
                <w:i/>
                <w:color w:val="000000" w:themeColor="text1"/>
                <w:kern w:val="32"/>
                <w:sz w:val="20"/>
                <w:szCs w:val="20"/>
              </w:rPr>
            </w:pPr>
            <w:r w:rsidRPr="00934C02">
              <w:rPr>
                <w:rFonts w:ascii="Arial" w:eastAsia="Times New Roman" w:hAnsi="Arial" w:cs="Arial"/>
                <w:bCs/>
                <w:i/>
                <w:color w:val="000000" w:themeColor="text1"/>
                <w:kern w:val="32"/>
                <w:sz w:val="20"/>
                <w:szCs w:val="20"/>
              </w:rPr>
              <w:t>Hârtie/carton</w:t>
            </w:r>
          </w:p>
        </w:tc>
        <w:tc>
          <w:tcPr>
            <w:tcW w:w="1956"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bCs/>
                <w:color w:val="000000" w:themeColor="text1"/>
                <w:sz w:val="20"/>
                <w:szCs w:val="20"/>
              </w:rPr>
            </w:pPr>
            <w:r w:rsidRPr="00934C02">
              <w:rPr>
                <w:rFonts w:ascii="Arial" w:hAnsi="Arial" w:cs="Arial"/>
                <w:bCs/>
                <w:color w:val="000000" w:themeColor="text1"/>
                <w:sz w:val="20"/>
                <w:szCs w:val="20"/>
              </w:rPr>
              <w:t>0,82</w:t>
            </w:r>
          </w:p>
        </w:tc>
        <w:tc>
          <w:tcPr>
            <w:tcW w:w="1435"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color w:val="000000" w:themeColor="text1"/>
                <w:sz w:val="20"/>
                <w:szCs w:val="20"/>
              </w:rPr>
            </w:pPr>
            <w:r w:rsidRPr="00934C02">
              <w:rPr>
                <w:rFonts w:ascii="Arial" w:hAnsi="Arial" w:cs="Arial"/>
                <w:color w:val="000000" w:themeColor="text1"/>
                <w:sz w:val="20"/>
                <w:szCs w:val="20"/>
              </w:rPr>
              <w:t>3,09</w:t>
            </w:r>
          </w:p>
        </w:tc>
      </w:tr>
      <w:tr w:rsidR="00934C02" w:rsidRPr="00934C02" w:rsidTr="00934C02">
        <w:trPr>
          <w:cantSplit/>
          <w:trHeight w:val="267"/>
          <w:tblCellSpacing w:w="20" w:type="dxa"/>
          <w:jc w:val="center"/>
        </w:trPr>
        <w:tc>
          <w:tcPr>
            <w:tcW w:w="1782"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keepNext/>
              <w:spacing w:after="60"/>
              <w:outlineLvl w:val="0"/>
              <w:rPr>
                <w:rFonts w:ascii="Arial" w:eastAsia="Times New Roman" w:hAnsi="Arial" w:cs="Arial"/>
                <w:bCs/>
                <w:i/>
                <w:color w:val="000000" w:themeColor="text1"/>
                <w:kern w:val="32"/>
                <w:sz w:val="20"/>
                <w:szCs w:val="20"/>
              </w:rPr>
            </w:pPr>
            <w:r w:rsidRPr="00934C02">
              <w:rPr>
                <w:rFonts w:ascii="Arial" w:eastAsia="Times New Roman" w:hAnsi="Arial" w:cs="Arial"/>
                <w:bCs/>
                <w:i/>
                <w:color w:val="000000" w:themeColor="text1"/>
                <w:kern w:val="32"/>
                <w:sz w:val="20"/>
                <w:szCs w:val="20"/>
              </w:rPr>
              <w:t>Lemn</w:t>
            </w:r>
          </w:p>
        </w:tc>
        <w:tc>
          <w:tcPr>
            <w:tcW w:w="1956"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bCs/>
                <w:color w:val="000000" w:themeColor="text1"/>
                <w:sz w:val="20"/>
                <w:szCs w:val="20"/>
              </w:rPr>
            </w:pPr>
            <w:r w:rsidRPr="00934C02">
              <w:rPr>
                <w:rFonts w:ascii="Arial" w:hAnsi="Arial" w:cs="Arial"/>
                <w:bCs/>
                <w:color w:val="000000" w:themeColor="text1"/>
                <w:sz w:val="20"/>
                <w:szCs w:val="20"/>
              </w:rPr>
              <w:t>0,007</w:t>
            </w:r>
          </w:p>
        </w:tc>
        <w:tc>
          <w:tcPr>
            <w:tcW w:w="1435"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color w:val="000000" w:themeColor="text1"/>
                <w:sz w:val="20"/>
                <w:szCs w:val="20"/>
              </w:rPr>
            </w:pPr>
            <w:r w:rsidRPr="00934C02">
              <w:rPr>
                <w:rFonts w:ascii="Arial" w:hAnsi="Arial" w:cs="Arial"/>
                <w:color w:val="000000" w:themeColor="text1"/>
                <w:sz w:val="20"/>
                <w:szCs w:val="20"/>
              </w:rPr>
              <w:t>0,03</w:t>
            </w:r>
          </w:p>
        </w:tc>
      </w:tr>
      <w:tr w:rsidR="00934C02" w:rsidRPr="00934C02" w:rsidTr="00934C02">
        <w:trPr>
          <w:cantSplit/>
          <w:trHeight w:val="55"/>
          <w:tblCellSpacing w:w="20" w:type="dxa"/>
          <w:jc w:val="center"/>
        </w:trPr>
        <w:tc>
          <w:tcPr>
            <w:tcW w:w="1782"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keepNext/>
              <w:spacing w:after="60"/>
              <w:outlineLvl w:val="0"/>
              <w:rPr>
                <w:rFonts w:ascii="Arial" w:eastAsia="Times New Roman" w:hAnsi="Arial" w:cs="Arial"/>
                <w:bCs/>
                <w:i/>
                <w:color w:val="000000" w:themeColor="text1"/>
                <w:kern w:val="32"/>
                <w:sz w:val="20"/>
                <w:szCs w:val="20"/>
              </w:rPr>
            </w:pPr>
            <w:r w:rsidRPr="00934C02">
              <w:rPr>
                <w:rFonts w:ascii="Arial" w:eastAsia="Times New Roman" w:hAnsi="Arial" w:cs="Arial"/>
                <w:bCs/>
                <w:i/>
                <w:color w:val="000000" w:themeColor="text1"/>
                <w:kern w:val="32"/>
                <w:sz w:val="20"/>
                <w:szCs w:val="20"/>
              </w:rPr>
              <w:t>Metal</w:t>
            </w:r>
          </w:p>
        </w:tc>
        <w:tc>
          <w:tcPr>
            <w:tcW w:w="1956"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bCs/>
                <w:color w:val="000000" w:themeColor="text1"/>
                <w:sz w:val="20"/>
                <w:szCs w:val="20"/>
              </w:rPr>
            </w:pPr>
            <w:r w:rsidRPr="00934C02">
              <w:rPr>
                <w:rFonts w:ascii="Arial" w:hAnsi="Arial" w:cs="Arial"/>
                <w:bCs/>
                <w:color w:val="000000" w:themeColor="text1"/>
                <w:sz w:val="20"/>
                <w:szCs w:val="20"/>
              </w:rPr>
              <w:t>0,12</w:t>
            </w:r>
          </w:p>
        </w:tc>
        <w:tc>
          <w:tcPr>
            <w:tcW w:w="1435"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color w:val="000000" w:themeColor="text1"/>
                <w:sz w:val="20"/>
                <w:szCs w:val="20"/>
              </w:rPr>
            </w:pPr>
            <w:r w:rsidRPr="00934C02">
              <w:rPr>
                <w:rFonts w:ascii="Arial" w:hAnsi="Arial" w:cs="Arial"/>
                <w:color w:val="000000" w:themeColor="text1"/>
                <w:sz w:val="20"/>
                <w:szCs w:val="20"/>
              </w:rPr>
              <w:t>0,45</w:t>
            </w:r>
          </w:p>
        </w:tc>
      </w:tr>
      <w:tr w:rsidR="00934C02" w:rsidRPr="00934C02" w:rsidTr="00934C02">
        <w:trPr>
          <w:cantSplit/>
          <w:trHeight w:val="260"/>
          <w:tblCellSpacing w:w="20" w:type="dxa"/>
          <w:jc w:val="center"/>
        </w:trPr>
        <w:tc>
          <w:tcPr>
            <w:tcW w:w="1782"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keepNext/>
              <w:spacing w:after="60"/>
              <w:outlineLvl w:val="0"/>
              <w:rPr>
                <w:rFonts w:ascii="Arial" w:eastAsia="Times New Roman" w:hAnsi="Arial" w:cs="Arial"/>
                <w:bCs/>
                <w:i/>
                <w:color w:val="000000" w:themeColor="text1"/>
                <w:kern w:val="32"/>
                <w:sz w:val="20"/>
                <w:szCs w:val="20"/>
              </w:rPr>
            </w:pPr>
            <w:r w:rsidRPr="00934C02">
              <w:rPr>
                <w:rFonts w:ascii="Arial" w:eastAsia="Times New Roman" w:hAnsi="Arial" w:cs="Arial"/>
                <w:bCs/>
                <w:i/>
                <w:color w:val="000000" w:themeColor="text1"/>
                <w:kern w:val="32"/>
                <w:sz w:val="20"/>
                <w:szCs w:val="20"/>
              </w:rPr>
              <w:t>Plastic</w:t>
            </w:r>
          </w:p>
        </w:tc>
        <w:tc>
          <w:tcPr>
            <w:tcW w:w="1956"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bCs/>
                <w:color w:val="000000" w:themeColor="text1"/>
                <w:sz w:val="20"/>
                <w:szCs w:val="20"/>
              </w:rPr>
            </w:pPr>
            <w:r w:rsidRPr="00934C02">
              <w:rPr>
                <w:rFonts w:ascii="Arial" w:hAnsi="Arial" w:cs="Arial"/>
                <w:bCs/>
                <w:color w:val="000000" w:themeColor="text1"/>
                <w:sz w:val="20"/>
                <w:szCs w:val="20"/>
              </w:rPr>
              <w:t>1,26</w:t>
            </w:r>
          </w:p>
        </w:tc>
        <w:tc>
          <w:tcPr>
            <w:tcW w:w="1435"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color w:val="000000" w:themeColor="text1"/>
                <w:sz w:val="20"/>
                <w:szCs w:val="20"/>
              </w:rPr>
            </w:pPr>
            <w:r w:rsidRPr="00934C02">
              <w:rPr>
                <w:rFonts w:ascii="Arial" w:hAnsi="Arial" w:cs="Arial"/>
                <w:color w:val="000000" w:themeColor="text1"/>
                <w:sz w:val="20"/>
                <w:szCs w:val="20"/>
              </w:rPr>
              <w:t>4,75</w:t>
            </w:r>
          </w:p>
        </w:tc>
      </w:tr>
      <w:tr w:rsidR="00934C02" w:rsidRPr="00934C02" w:rsidTr="00934C02">
        <w:trPr>
          <w:cantSplit/>
          <w:trHeight w:val="267"/>
          <w:tblCellSpacing w:w="20" w:type="dxa"/>
          <w:jc w:val="center"/>
        </w:trPr>
        <w:tc>
          <w:tcPr>
            <w:tcW w:w="1782"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keepNext/>
              <w:spacing w:after="60"/>
              <w:outlineLvl w:val="0"/>
              <w:rPr>
                <w:rFonts w:ascii="Arial" w:eastAsia="Times New Roman" w:hAnsi="Arial" w:cs="Arial"/>
                <w:bCs/>
                <w:i/>
                <w:color w:val="000000" w:themeColor="text1"/>
                <w:kern w:val="32"/>
                <w:sz w:val="20"/>
                <w:szCs w:val="20"/>
              </w:rPr>
            </w:pPr>
            <w:r w:rsidRPr="00934C02">
              <w:rPr>
                <w:rFonts w:ascii="Arial" w:eastAsia="Times New Roman" w:hAnsi="Arial" w:cs="Arial"/>
                <w:bCs/>
                <w:i/>
                <w:color w:val="000000" w:themeColor="text1"/>
                <w:kern w:val="32"/>
                <w:sz w:val="20"/>
                <w:szCs w:val="20"/>
              </w:rPr>
              <w:t>Biodegradabile</w:t>
            </w:r>
          </w:p>
        </w:tc>
        <w:tc>
          <w:tcPr>
            <w:tcW w:w="1956"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bCs/>
                <w:color w:val="000000" w:themeColor="text1"/>
                <w:sz w:val="20"/>
                <w:szCs w:val="20"/>
              </w:rPr>
            </w:pPr>
            <w:r w:rsidRPr="00934C02">
              <w:rPr>
                <w:rFonts w:ascii="Arial" w:hAnsi="Arial" w:cs="Arial"/>
                <w:bCs/>
                <w:color w:val="000000" w:themeColor="text1"/>
                <w:sz w:val="20"/>
                <w:szCs w:val="20"/>
              </w:rPr>
              <w:t>22,92</w:t>
            </w:r>
          </w:p>
        </w:tc>
        <w:tc>
          <w:tcPr>
            <w:tcW w:w="1435"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color w:val="000000" w:themeColor="text1"/>
                <w:sz w:val="20"/>
                <w:szCs w:val="20"/>
              </w:rPr>
            </w:pPr>
            <w:r w:rsidRPr="00934C02">
              <w:rPr>
                <w:rFonts w:ascii="Arial" w:hAnsi="Arial" w:cs="Arial"/>
                <w:color w:val="000000" w:themeColor="text1"/>
                <w:sz w:val="20"/>
                <w:szCs w:val="20"/>
              </w:rPr>
              <w:t>86,42</w:t>
            </w:r>
          </w:p>
        </w:tc>
      </w:tr>
      <w:tr w:rsidR="00934C02" w:rsidRPr="00934C02" w:rsidTr="00934C02">
        <w:trPr>
          <w:cantSplit/>
          <w:trHeight w:val="225"/>
          <w:tblCellSpacing w:w="20" w:type="dxa"/>
          <w:jc w:val="center"/>
        </w:trPr>
        <w:tc>
          <w:tcPr>
            <w:tcW w:w="1782"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keepNext/>
              <w:spacing w:after="60"/>
              <w:outlineLvl w:val="0"/>
              <w:rPr>
                <w:rFonts w:ascii="Arial" w:eastAsia="Times New Roman" w:hAnsi="Arial" w:cs="Arial"/>
                <w:bCs/>
                <w:i/>
                <w:color w:val="000000" w:themeColor="text1"/>
                <w:kern w:val="32"/>
                <w:sz w:val="20"/>
                <w:szCs w:val="20"/>
              </w:rPr>
            </w:pPr>
            <w:r w:rsidRPr="00934C02">
              <w:rPr>
                <w:rFonts w:ascii="Arial" w:eastAsia="Times New Roman" w:hAnsi="Arial" w:cs="Arial"/>
                <w:bCs/>
                <w:i/>
                <w:color w:val="000000" w:themeColor="text1"/>
                <w:kern w:val="32"/>
                <w:sz w:val="20"/>
                <w:szCs w:val="20"/>
              </w:rPr>
              <w:t>Voluminoase</w:t>
            </w:r>
          </w:p>
        </w:tc>
        <w:tc>
          <w:tcPr>
            <w:tcW w:w="1956"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bCs/>
                <w:color w:val="000000" w:themeColor="text1"/>
                <w:sz w:val="20"/>
                <w:szCs w:val="20"/>
              </w:rPr>
            </w:pPr>
            <w:r w:rsidRPr="00934C02">
              <w:rPr>
                <w:rFonts w:ascii="Arial" w:hAnsi="Arial" w:cs="Arial"/>
                <w:bCs/>
                <w:color w:val="000000" w:themeColor="text1"/>
                <w:sz w:val="20"/>
                <w:szCs w:val="20"/>
              </w:rPr>
              <w:t>0</w:t>
            </w:r>
          </w:p>
        </w:tc>
        <w:tc>
          <w:tcPr>
            <w:tcW w:w="1435"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color w:val="000000" w:themeColor="text1"/>
                <w:sz w:val="20"/>
                <w:szCs w:val="20"/>
              </w:rPr>
            </w:pPr>
            <w:r w:rsidRPr="00934C02">
              <w:rPr>
                <w:rFonts w:ascii="Arial" w:hAnsi="Arial" w:cs="Arial"/>
                <w:color w:val="000000" w:themeColor="text1"/>
                <w:sz w:val="20"/>
                <w:szCs w:val="20"/>
              </w:rPr>
              <w:t>0</w:t>
            </w:r>
          </w:p>
        </w:tc>
      </w:tr>
      <w:tr w:rsidR="00934C02" w:rsidRPr="00934C02" w:rsidTr="00934C02">
        <w:trPr>
          <w:cantSplit/>
          <w:trHeight w:val="360"/>
          <w:tblCellSpacing w:w="20" w:type="dxa"/>
          <w:jc w:val="center"/>
        </w:trPr>
        <w:tc>
          <w:tcPr>
            <w:tcW w:w="1782"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keepNext/>
              <w:spacing w:after="60"/>
              <w:outlineLvl w:val="0"/>
              <w:rPr>
                <w:rFonts w:ascii="Arial" w:eastAsia="Times New Roman" w:hAnsi="Arial" w:cs="Arial"/>
                <w:bCs/>
                <w:i/>
                <w:color w:val="000000" w:themeColor="text1"/>
                <w:kern w:val="32"/>
                <w:sz w:val="20"/>
                <w:szCs w:val="20"/>
              </w:rPr>
            </w:pPr>
            <w:r w:rsidRPr="00934C02">
              <w:rPr>
                <w:rFonts w:ascii="Arial" w:eastAsia="Times New Roman" w:hAnsi="Arial" w:cs="Arial"/>
                <w:bCs/>
                <w:i/>
                <w:color w:val="000000" w:themeColor="text1"/>
                <w:kern w:val="32"/>
                <w:sz w:val="20"/>
                <w:szCs w:val="20"/>
              </w:rPr>
              <w:t>Inerte</w:t>
            </w:r>
          </w:p>
        </w:tc>
        <w:tc>
          <w:tcPr>
            <w:tcW w:w="1956"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bCs/>
                <w:color w:val="000000" w:themeColor="text1"/>
                <w:sz w:val="20"/>
                <w:szCs w:val="20"/>
              </w:rPr>
            </w:pPr>
            <w:r w:rsidRPr="00934C02">
              <w:rPr>
                <w:rFonts w:ascii="Arial" w:hAnsi="Arial" w:cs="Arial"/>
                <w:bCs/>
                <w:color w:val="000000" w:themeColor="text1"/>
                <w:sz w:val="20"/>
                <w:szCs w:val="20"/>
              </w:rPr>
              <w:t>0,06</w:t>
            </w:r>
          </w:p>
        </w:tc>
        <w:tc>
          <w:tcPr>
            <w:tcW w:w="1435"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color w:val="000000" w:themeColor="text1"/>
                <w:sz w:val="20"/>
                <w:szCs w:val="20"/>
              </w:rPr>
            </w:pPr>
            <w:r w:rsidRPr="00934C02">
              <w:rPr>
                <w:rFonts w:ascii="Arial" w:hAnsi="Arial" w:cs="Arial"/>
                <w:color w:val="000000" w:themeColor="text1"/>
                <w:sz w:val="20"/>
                <w:szCs w:val="20"/>
              </w:rPr>
              <w:t>0,23</w:t>
            </w:r>
          </w:p>
        </w:tc>
      </w:tr>
      <w:tr w:rsidR="00934C02" w:rsidRPr="00934C02" w:rsidTr="00934C02">
        <w:trPr>
          <w:cantSplit/>
          <w:trHeight w:val="355"/>
          <w:tblCellSpacing w:w="20" w:type="dxa"/>
          <w:jc w:val="center"/>
        </w:trPr>
        <w:tc>
          <w:tcPr>
            <w:tcW w:w="1782"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keepNext/>
              <w:spacing w:after="60"/>
              <w:outlineLvl w:val="0"/>
              <w:rPr>
                <w:rFonts w:ascii="Arial" w:eastAsia="Times New Roman" w:hAnsi="Arial" w:cs="Arial"/>
                <w:bCs/>
                <w:i/>
                <w:color w:val="000000" w:themeColor="text1"/>
                <w:kern w:val="32"/>
                <w:sz w:val="20"/>
                <w:szCs w:val="20"/>
              </w:rPr>
            </w:pPr>
            <w:r w:rsidRPr="00934C02">
              <w:rPr>
                <w:rFonts w:ascii="Arial" w:eastAsia="Times New Roman" w:hAnsi="Arial" w:cs="Arial"/>
                <w:bCs/>
                <w:i/>
                <w:color w:val="000000" w:themeColor="text1"/>
                <w:kern w:val="32"/>
                <w:sz w:val="20"/>
                <w:szCs w:val="20"/>
              </w:rPr>
              <w:t xml:space="preserve">Altele </w:t>
            </w:r>
            <w:r w:rsidRPr="00934C02">
              <w:rPr>
                <w:rFonts w:ascii="Arial" w:eastAsia="Times New Roman" w:hAnsi="Arial" w:cs="Arial"/>
                <w:bCs/>
                <w:i/>
                <w:color w:val="000000" w:themeColor="text1"/>
                <w:kern w:val="32"/>
                <w:sz w:val="20"/>
                <w:szCs w:val="20"/>
                <w:vertAlign w:val="superscript"/>
              </w:rPr>
              <w:t xml:space="preserve"> </w:t>
            </w:r>
          </w:p>
        </w:tc>
        <w:tc>
          <w:tcPr>
            <w:tcW w:w="1956"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bCs/>
                <w:color w:val="000000" w:themeColor="text1"/>
                <w:sz w:val="20"/>
                <w:szCs w:val="20"/>
              </w:rPr>
            </w:pPr>
            <w:r w:rsidRPr="00934C02">
              <w:rPr>
                <w:rFonts w:ascii="Arial" w:hAnsi="Arial" w:cs="Arial"/>
                <w:bCs/>
                <w:color w:val="000000" w:themeColor="text1"/>
                <w:sz w:val="20"/>
                <w:szCs w:val="20"/>
              </w:rPr>
              <w:t>1,29</w:t>
            </w:r>
          </w:p>
        </w:tc>
        <w:tc>
          <w:tcPr>
            <w:tcW w:w="1435"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spacing w:after="0" w:line="240" w:lineRule="auto"/>
              <w:jc w:val="center"/>
              <w:rPr>
                <w:rFonts w:ascii="Arial" w:hAnsi="Arial" w:cs="Arial"/>
                <w:color w:val="000000" w:themeColor="text1"/>
                <w:sz w:val="20"/>
                <w:szCs w:val="20"/>
              </w:rPr>
            </w:pPr>
            <w:r w:rsidRPr="00934C02">
              <w:rPr>
                <w:rFonts w:ascii="Arial" w:hAnsi="Arial" w:cs="Arial"/>
                <w:color w:val="000000" w:themeColor="text1"/>
                <w:sz w:val="20"/>
                <w:szCs w:val="20"/>
              </w:rPr>
              <w:t>4,84</w:t>
            </w:r>
          </w:p>
        </w:tc>
      </w:tr>
      <w:tr w:rsidR="00934C02" w:rsidRPr="00934C02" w:rsidTr="00934C02">
        <w:trPr>
          <w:cantSplit/>
          <w:trHeight w:val="85"/>
          <w:tblCellSpacing w:w="20" w:type="dxa"/>
          <w:jc w:val="center"/>
        </w:trPr>
        <w:tc>
          <w:tcPr>
            <w:tcW w:w="1782"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keepNext/>
              <w:spacing w:after="60"/>
              <w:outlineLvl w:val="0"/>
              <w:rPr>
                <w:rFonts w:ascii="Arial" w:eastAsia="Times New Roman" w:hAnsi="Arial" w:cs="Arial"/>
                <w:bCs/>
                <w:i/>
                <w:color w:val="000000" w:themeColor="text1"/>
                <w:kern w:val="32"/>
                <w:sz w:val="20"/>
                <w:szCs w:val="20"/>
              </w:rPr>
            </w:pPr>
            <w:r w:rsidRPr="00934C02">
              <w:rPr>
                <w:rFonts w:ascii="Arial" w:eastAsia="Times New Roman" w:hAnsi="Arial" w:cs="Arial"/>
                <w:bCs/>
                <w:i/>
                <w:color w:val="000000" w:themeColor="text1"/>
                <w:kern w:val="32"/>
                <w:sz w:val="20"/>
                <w:szCs w:val="20"/>
              </w:rPr>
              <w:t>Total</w:t>
            </w:r>
          </w:p>
        </w:tc>
        <w:tc>
          <w:tcPr>
            <w:tcW w:w="1956"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keepNext/>
              <w:spacing w:after="60"/>
              <w:jc w:val="center"/>
              <w:outlineLvl w:val="0"/>
              <w:rPr>
                <w:rFonts w:ascii="Arial" w:eastAsia="Times New Roman" w:hAnsi="Arial" w:cs="Arial"/>
                <w:bCs/>
                <w:i/>
                <w:color w:val="000000" w:themeColor="text1"/>
                <w:kern w:val="32"/>
                <w:sz w:val="20"/>
                <w:szCs w:val="20"/>
              </w:rPr>
            </w:pPr>
            <w:r w:rsidRPr="00934C02">
              <w:rPr>
                <w:rFonts w:ascii="Arial" w:eastAsia="Times New Roman" w:hAnsi="Arial" w:cs="Arial"/>
                <w:bCs/>
                <w:i/>
                <w:color w:val="000000" w:themeColor="text1"/>
                <w:kern w:val="32"/>
                <w:sz w:val="20"/>
                <w:szCs w:val="20"/>
              </w:rPr>
              <w:t>26,522</w:t>
            </w:r>
          </w:p>
        </w:tc>
        <w:tc>
          <w:tcPr>
            <w:tcW w:w="1435" w:type="dxa"/>
            <w:tcBorders>
              <w:top w:val="single" w:sz="2" w:space="0" w:color="auto"/>
              <w:left w:val="single" w:sz="2" w:space="0" w:color="auto"/>
              <w:bottom w:val="single" w:sz="2" w:space="0" w:color="auto"/>
              <w:right w:val="single" w:sz="2" w:space="0" w:color="auto"/>
            </w:tcBorders>
            <w:hideMark/>
          </w:tcPr>
          <w:p w:rsidR="00934C02" w:rsidRPr="00934C02" w:rsidRDefault="00934C02" w:rsidP="00934C02">
            <w:pPr>
              <w:keepNext/>
              <w:spacing w:after="60"/>
              <w:jc w:val="center"/>
              <w:outlineLvl w:val="0"/>
              <w:rPr>
                <w:rFonts w:ascii="Arial" w:eastAsia="Times New Roman" w:hAnsi="Arial" w:cs="Arial"/>
                <w:bCs/>
                <w:i/>
                <w:color w:val="000000" w:themeColor="text1"/>
                <w:kern w:val="32"/>
                <w:sz w:val="20"/>
                <w:szCs w:val="20"/>
              </w:rPr>
            </w:pPr>
            <w:r w:rsidRPr="00934C02">
              <w:rPr>
                <w:rFonts w:ascii="Arial" w:eastAsia="Times New Roman" w:hAnsi="Arial" w:cs="Arial"/>
                <w:bCs/>
                <w:i/>
                <w:color w:val="000000" w:themeColor="text1"/>
                <w:kern w:val="32"/>
                <w:sz w:val="20"/>
                <w:szCs w:val="20"/>
              </w:rPr>
              <w:t>100</w:t>
            </w:r>
          </w:p>
        </w:tc>
      </w:tr>
    </w:tbl>
    <w:p w:rsidR="00934C02" w:rsidRPr="00934C02" w:rsidRDefault="00934C02" w:rsidP="00934C02">
      <w:pPr>
        <w:jc w:val="both"/>
        <w:rPr>
          <w:rFonts w:cs="Arial"/>
          <w:i/>
          <w:color w:val="000000" w:themeColor="text1"/>
          <w:sz w:val="20"/>
          <w:szCs w:val="20"/>
          <w:lang w:val="es-ES"/>
        </w:rPr>
      </w:pPr>
      <w:r w:rsidRPr="00934C02">
        <w:rPr>
          <w:rFonts w:cs="Arial"/>
          <w:i/>
          <w:color w:val="000000" w:themeColor="text1"/>
          <w:sz w:val="20"/>
          <w:szCs w:val="20"/>
          <w:lang w:val="es-ES"/>
        </w:rPr>
        <w:t xml:space="preserve">                         </w:t>
      </w:r>
      <w:r w:rsidRPr="00934C02">
        <w:rPr>
          <w:rFonts w:cs="Arial"/>
          <w:i/>
          <w:color w:val="000000" w:themeColor="text1"/>
          <w:sz w:val="20"/>
          <w:szCs w:val="20"/>
          <w:lang w:val="es-ES"/>
        </w:rPr>
        <w:tab/>
        <w:t xml:space="preserve">            </w:t>
      </w:r>
      <w:r w:rsidRPr="00934C02">
        <w:rPr>
          <w:rFonts w:ascii="Arial" w:hAnsi="Arial" w:cs="Arial"/>
          <w:i/>
          <w:color w:val="000000" w:themeColor="text1"/>
          <w:sz w:val="20"/>
          <w:szCs w:val="20"/>
        </w:rPr>
        <w:t>Sursa: APM Vaslui – aplicaţia SD (din SIM),cu date validate de ANPM</w:t>
      </w:r>
    </w:p>
    <w:p w:rsidR="00934C02" w:rsidRPr="00934C02" w:rsidRDefault="00934C02" w:rsidP="00934C02">
      <w:pPr>
        <w:spacing w:after="0" w:line="240" w:lineRule="auto"/>
        <w:ind w:hanging="120"/>
        <w:jc w:val="center"/>
        <w:rPr>
          <w:rFonts w:ascii="Times New Roman" w:eastAsia="Times New Roman" w:hAnsi="Times New Roman" w:cs="Times New Roman"/>
          <w:sz w:val="24"/>
          <w:szCs w:val="24"/>
          <w:lang w:val="ro-RO" w:eastAsia="pl-PL"/>
        </w:rPr>
      </w:pPr>
      <w:r w:rsidRPr="00934C02">
        <w:rPr>
          <w:rFonts w:ascii="Times New Roman" w:eastAsia="Times New Roman" w:hAnsi="Times New Roman" w:cs="Times New Roman"/>
          <w:noProof/>
          <w:sz w:val="24"/>
          <w:szCs w:val="24"/>
        </w:rPr>
        <w:drawing>
          <wp:inline distT="0" distB="0" distL="0" distR="0" wp14:anchorId="35C88308" wp14:editId="68579A74">
            <wp:extent cx="5066851" cy="2957627"/>
            <wp:effectExtent l="0" t="0" r="19685" b="14605"/>
            <wp:docPr id="238" name="Chart 2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934C02" w:rsidRPr="00934C02" w:rsidRDefault="00934C02" w:rsidP="00934C02">
      <w:pPr>
        <w:spacing w:after="0" w:line="240" w:lineRule="auto"/>
        <w:ind w:hanging="120"/>
        <w:rPr>
          <w:rFonts w:ascii="Times New Roman" w:eastAsia="Times New Roman" w:hAnsi="Times New Roman" w:cs="Times New Roman"/>
          <w:sz w:val="24"/>
          <w:szCs w:val="24"/>
          <w:lang w:val="ro-RO" w:eastAsia="pl-PL"/>
        </w:rPr>
      </w:pPr>
      <w:r w:rsidRPr="00934C02">
        <w:rPr>
          <w:rFonts w:ascii="Times New Roman" w:eastAsia="Times New Roman" w:hAnsi="Times New Roman" w:cs="Times New Roman"/>
          <w:sz w:val="24"/>
          <w:szCs w:val="24"/>
          <w:lang w:val="ro-RO" w:eastAsia="pl-PL"/>
        </w:rPr>
        <w:t xml:space="preserve">                </w:t>
      </w:r>
      <w:r w:rsidRPr="00934C02">
        <w:rPr>
          <w:rFonts w:ascii="Arial" w:eastAsia="Times New Roman" w:hAnsi="Arial" w:cs="Arial"/>
          <w:sz w:val="24"/>
          <w:szCs w:val="24"/>
          <w:lang w:val="pt-BR" w:eastAsia="pl-PL"/>
        </w:rPr>
        <w:t xml:space="preserve">Figura </w:t>
      </w:r>
      <w:r w:rsidRPr="00934C02">
        <w:rPr>
          <w:rFonts w:ascii="Arial" w:eastAsia="Times New Roman" w:hAnsi="Arial" w:cs="Arial"/>
          <w:sz w:val="24"/>
          <w:szCs w:val="24"/>
          <w:lang w:val="pl-PL" w:eastAsia="pl-PL"/>
        </w:rPr>
        <w:t xml:space="preserve">VII.7. </w:t>
      </w:r>
      <w:r w:rsidRPr="00934C02">
        <w:rPr>
          <w:rFonts w:ascii="Arial" w:eastAsia="Times New Roman" w:hAnsi="Arial" w:cs="Arial"/>
          <w:sz w:val="24"/>
          <w:szCs w:val="24"/>
          <w:lang w:val="pt-BR" w:eastAsia="pl-PL"/>
        </w:rPr>
        <w:t>Compoziţia deşeurilor menajere în anul 2014</w:t>
      </w:r>
    </w:p>
    <w:p w:rsidR="00934C02" w:rsidRPr="00934C02" w:rsidRDefault="00934C02" w:rsidP="00934C02">
      <w:pPr>
        <w:spacing w:after="0" w:line="240" w:lineRule="auto"/>
        <w:rPr>
          <w:rFonts w:ascii="Times New Roman" w:eastAsia="Times New Roman" w:hAnsi="Times New Roman" w:cs="Times New Roman"/>
          <w:sz w:val="24"/>
          <w:szCs w:val="24"/>
          <w:lang w:val="ro-RO" w:eastAsia="pl-PL"/>
        </w:rPr>
      </w:pPr>
    </w:p>
    <w:p w:rsidR="00934C02" w:rsidRPr="00934C02" w:rsidRDefault="00934C02" w:rsidP="00934C02">
      <w:pPr>
        <w:spacing w:after="0" w:line="240" w:lineRule="auto"/>
        <w:rPr>
          <w:rFonts w:ascii="Times New Roman" w:eastAsia="Times New Roman" w:hAnsi="Times New Roman" w:cs="Times New Roman"/>
          <w:sz w:val="24"/>
          <w:szCs w:val="24"/>
          <w:lang w:val="ro-RO" w:eastAsia="pl-PL"/>
        </w:rPr>
      </w:pPr>
    </w:p>
    <w:p w:rsidR="00934C02" w:rsidRPr="00934C02" w:rsidRDefault="00934C02" w:rsidP="00934C02">
      <w:pPr>
        <w:spacing w:after="0" w:line="240" w:lineRule="auto"/>
        <w:rPr>
          <w:rFonts w:ascii="Arial" w:eastAsia="Times New Roman" w:hAnsi="Arial" w:cs="Arial"/>
          <w:b/>
          <w:i/>
          <w:sz w:val="24"/>
          <w:szCs w:val="24"/>
          <w:lang w:val="it-IT" w:eastAsia="pl-PL"/>
        </w:rPr>
      </w:pPr>
      <w:r w:rsidRPr="00934C02">
        <w:rPr>
          <w:rFonts w:ascii="Arial" w:eastAsia="Times New Roman" w:hAnsi="Arial" w:cs="Arial"/>
          <w:b/>
          <w:i/>
          <w:sz w:val="24"/>
          <w:szCs w:val="24"/>
          <w:lang w:val="it-IT" w:eastAsia="pl-PL"/>
        </w:rPr>
        <w:t>Colectarea selectivă şi reciclarea deşeurilor</w:t>
      </w:r>
    </w:p>
    <w:p w:rsidR="00934C02" w:rsidRPr="00934C02" w:rsidRDefault="00934C02" w:rsidP="00934C02">
      <w:pPr>
        <w:spacing w:after="0" w:line="240" w:lineRule="auto"/>
        <w:rPr>
          <w:rFonts w:ascii="Times New Roman" w:eastAsia="Times New Roman" w:hAnsi="Times New Roman" w:cs="Arial"/>
          <w:b/>
          <w:i/>
          <w:sz w:val="24"/>
          <w:szCs w:val="24"/>
          <w:lang w:val="it-IT" w:eastAsia="pl-PL"/>
        </w:rPr>
      </w:pPr>
    </w:p>
    <w:p w:rsidR="00934C02" w:rsidRPr="00934C02" w:rsidRDefault="00934C02" w:rsidP="00934C02">
      <w:pPr>
        <w:spacing w:after="0" w:line="240" w:lineRule="auto"/>
        <w:jc w:val="both"/>
        <w:rPr>
          <w:rFonts w:ascii="ArialMT" w:eastAsia="Times New Roman" w:hAnsi="ArialMT" w:cs="ArialMT"/>
          <w:sz w:val="24"/>
          <w:szCs w:val="24"/>
          <w:lang w:val="it-IT" w:eastAsia="pl-PL"/>
        </w:rPr>
      </w:pPr>
      <w:r w:rsidRPr="00934C02">
        <w:rPr>
          <w:rFonts w:ascii="Times New Roman" w:eastAsia="Times New Roman" w:hAnsi="Times New Roman" w:cs="Arial"/>
          <w:b/>
          <w:i/>
          <w:sz w:val="24"/>
          <w:szCs w:val="24"/>
          <w:lang w:val="it-IT" w:eastAsia="pl-PL"/>
        </w:rPr>
        <w:t xml:space="preserve">         </w:t>
      </w:r>
      <w:r w:rsidRPr="00934C02">
        <w:rPr>
          <w:rFonts w:ascii="ArialMT" w:eastAsia="Times New Roman" w:hAnsi="ArialMT" w:cs="ArialMT"/>
          <w:sz w:val="24"/>
          <w:szCs w:val="24"/>
          <w:lang w:val="it-IT" w:eastAsia="pl-PL"/>
        </w:rPr>
        <w:t>Autorităţilor administraţiei publice locale le revine responsabilitatea organizării sistemului de colectare selectivă a deşeurilor, a asigurării spaţiilor necesare pentru depozitarea temporarã a deşeurilor colectate selectiv şi a organizării valorificării  acestor deşeuri. În acelaşi timp au un rol important în acţiunile de sensibilizare a factorilor responsabili de colectarea selectivã a deşeurilor.</w:t>
      </w:r>
    </w:p>
    <w:p w:rsidR="00934C02" w:rsidRPr="00934C02" w:rsidRDefault="00934C02" w:rsidP="00934C02">
      <w:pPr>
        <w:autoSpaceDE w:val="0"/>
        <w:autoSpaceDN w:val="0"/>
        <w:adjustRightInd w:val="0"/>
        <w:spacing w:after="0" w:line="240" w:lineRule="auto"/>
        <w:ind w:firstLine="720"/>
        <w:jc w:val="both"/>
        <w:rPr>
          <w:rFonts w:ascii="Arial" w:hAnsi="Arial" w:cs="Arial"/>
          <w:color w:val="000000" w:themeColor="text1"/>
          <w:sz w:val="24"/>
          <w:szCs w:val="24"/>
        </w:rPr>
      </w:pPr>
      <w:r w:rsidRPr="00934C02">
        <w:rPr>
          <w:rFonts w:ascii="Arial" w:hAnsi="Arial" w:cs="Arial"/>
          <w:color w:val="000000" w:themeColor="text1"/>
          <w:sz w:val="24"/>
          <w:szCs w:val="24"/>
        </w:rPr>
        <w:lastRenderedPageBreak/>
        <w:t xml:space="preserve">La nivelul judeţului Vaslui, sistemul de colectare selectivă a deşeurilor de la populaţie  se află în  stadiul de extindere. În municipiile Vaslui şi Bârlad s-au amenajat  spaţii pentru colectarea selectivă a deşeurilor de ambalaje </w:t>
      </w:r>
      <w:r w:rsidRPr="00934C02">
        <w:rPr>
          <w:rFonts w:ascii="Arial" w:hAnsi="Arial" w:cs="Arial"/>
          <w:color w:val="000000" w:themeColor="text1"/>
          <w:sz w:val="24"/>
          <w:szCs w:val="24"/>
          <w:lang w:val="ro-RO"/>
        </w:rPr>
        <w:t>în parteneriat cu Eco-Rom Ambalaje</w:t>
      </w:r>
      <w:r w:rsidRPr="00934C02">
        <w:rPr>
          <w:rFonts w:ascii="Arial" w:hAnsi="Arial" w:cs="Arial"/>
          <w:color w:val="000000" w:themeColor="text1"/>
          <w:sz w:val="24"/>
          <w:szCs w:val="24"/>
        </w:rPr>
        <w:t xml:space="preserve">. În  municipiul Huşi s-a implementat proiectul </w:t>
      </w:r>
      <w:r w:rsidRPr="00934C02">
        <w:rPr>
          <w:rFonts w:ascii="Arial" w:hAnsi="Arial" w:cs="Arial"/>
          <w:i/>
          <w:color w:val="000000" w:themeColor="text1"/>
          <w:sz w:val="24"/>
          <w:szCs w:val="24"/>
          <w:lang w:val="pt-BR"/>
        </w:rPr>
        <w:t>”Dezvoltarea colectării selective a deşeurilor în mun. Huşi, jud.Vaslui</w:t>
      </w:r>
      <w:r w:rsidRPr="00934C02">
        <w:rPr>
          <w:rFonts w:ascii="Arial" w:hAnsi="Arial" w:cs="Arial"/>
          <w:b/>
          <w:color w:val="000000" w:themeColor="text1"/>
          <w:sz w:val="24"/>
          <w:szCs w:val="24"/>
          <w:lang w:val="pt-BR"/>
        </w:rPr>
        <w:t xml:space="preserve"> ”</w:t>
      </w:r>
      <w:r w:rsidRPr="00934C02">
        <w:rPr>
          <w:rFonts w:ascii="Arial" w:hAnsi="Arial" w:cs="Arial"/>
          <w:color w:val="000000" w:themeColor="text1"/>
          <w:sz w:val="24"/>
          <w:szCs w:val="24"/>
          <w:lang w:val="pt-BR"/>
        </w:rPr>
        <w:t xml:space="preserve"> prin care s-au înfiinţat  29 puncte de colectare selectivă. În oraşul Negreşti s-a finalizat proiectul ”Sistem de colectare selectivă şi valorificare a deşeurilor reciclabile în zona Negreşti, jud.Vaslui” prin care s-a </w:t>
      </w:r>
      <w:r w:rsidRPr="00934C02">
        <w:rPr>
          <w:rFonts w:ascii="Arial" w:hAnsi="Arial" w:cs="Arial"/>
          <w:color w:val="000000" w:themeColor="text1"/>
          <w:sz w:val="24"/>
          <w:szCs w:val="24"/>
        </w:rPr>
        <w:t>realizat infrastructura necesară colectării selective : 16 puncte de colectare selectivă în oraşul Negreşti, 6 puncte de colectare în localităţile limitrofe Parpaniţa, Cioatele, Valea Mare Glodeni, Poiana, Căzăneşti. De asemenea, î</w:t>
      </w:r>
      <w:r w:rsidRPr="00934C02">
        <w:rPr>
          <w:rFonts w:ascii="Arial" w:hAnsi="Arial" w:cs="Arial"/>
          <w:color w:val="000000" w:themeColor="text1"/>
          <w:sz w:val="24"/>
          <w:szCs w:val="24"/>
          <w:lang w:val="ro-RO"/>
        </w:rPr>
        <w:t xml:space="preserve">n zona rurală a judeţului, </w:t>
      </w:r>
      <w:r w:rsidRPr="00934C02">
        <w:rPr>
          <w:rFonts w:ascii="Arial" w:hAnsi="Arial" w:cs="Arial"/>
          <w:color w:val="000000" w:themeColor="text1"/>
          <w:sz w:val="24"/>
          <w:szCs w:val="24"/>
        </w:rPr>
        <w:t xml:space="preserve">sistemul de colectare selectivă a deşeurilor de la populaţie  s-a extins în urma finalizării următoarelor proiecte: </w:t>
      </w:r>
    </w:p>
    <w:p w:rsidR="00934C02" w:rsidRPr="00934C02" w:rsidRDefault="00934C02" w:rsidP="00934C02">
      <w:pPr>
        <w:autoSpaceDE w:val="0"/>
        <w:autoSpaceDN w:val="0"/>
        <w:adjustRightInd w:val="0"/>
        <w:spacing w:after="0" w:line="240" w:lineRule="auto"/>
        <w:ind w:firstLine="720"/>
        <w:jc w:val="both"/>
        <w:rPr>
          <w:rFonts w:ascii="Arial" w:hAnsi="Arial" w:cs="Arial"/>
          <w:i/>
          <w:color w:val="000000" w:themeColor="text1"/>
          <w:sz w:val="24"/>
          <w:szCs w:val="24"/>
          <w:lang w:val="it-IT"/>
        </w:rPr>
      </w:pPr>
      <w:r w:rsidRPr="00934C02">
        <w:rPr>
          <w:rFonts w:ascii="Arial" w:hAnsi="Arial" w:cs="Arial"/>
          <w:color w:val="000000" w:themeColor="text1"/>
          <w:sz w:val="24"/>
          <w:szCs w:val="24"/>
        </w:rPr>
        <w:t>-“</w:t>
      </w:r>
      <w:r w:rsidRPr="00934C02">
        <w:rPr>
          <w:rFonts w:ascii="Arial" w:hAnsi="Arial" w:cs="Arial"/>
          <w:i/>
          <w:color w:val="000000" w:themeColor="text1"/>
          <w:sz w:val="24"/>
          <w:szCs w:val="24"/>
          <w:lang w:val="it-IT"/>
        </w:rPr>
        <w:t>Sistem de colectare selectivă a deşeurilor menajere în comuna Dimitrie Cantemir, Judeţul Vaslui - Staţie de sortare şi depozitare materiale refolosibile şi gunoi menajer, platforme betonate”;</w:t>
      </w:r>
    </w:p>
    <w:p w:rsidR="00934C02" w:rsidRPr="00934C02" w:rsidRDefault="00934C02" w:rsidP="00934C02">
      <w:pPr>
        <w:autoSpaceDE w:val="0"/>
        <w:autoSpaceDN w:val="0"/>
        <w:adjustRightInd w:val="0"/>
        <w:spacing w:after="0" w:line="240" w:lineRule="auto"/>
        <w:ind w:firstLine="720"/>
        <w:jc w:val="both"/>
        <w:rPr>
          <w:rFonts w:ascii="Arial" w:hAnsi="Arial" w:cs="Arial"/>
          <w:i/>
          <w:color w:val="000000" w:themeColor="text1"/>
          <w:sz w:val="24"/>
          <w:szCs w:val="24"/>
        </w:rPr>
      </w:pPr>
      <w:r w:rsidRPr="00934C02">
        <w:rPr>
          <w:rFonts w:ascii="Arial" w:hAnsi="Arial" w:cs="Arial"/>
          <w:i/>
          <w:color w:val="000000" w:themeColor="text1"/>
          <w:sz w:val="24"/>
          <w:szCs w:val="24"/>
          <w:lang w:val="it-IT"/>
        </w:rPr>
        <w:t>-</w:t>
      </w:r>
      <w:r w:rsidRPr="00934C02">
        <w:rPr>
          <w:rFonts w:ascii="Arial" w:hAnsi="Arial" w:cs="Arial"/>
          <w:i/>
          <w:color w:val="000000" w:themeColor="text1"/>
          <w:sz w:val="24"/>
          <w:szCs w:val="24"/>
        </w:rPr>
        <w:t>„Sistem de colectare selectivă şi transport a deşeurilor municipale, din comunele: Perieni, Pogana, Iana, Puieşti, Voineşti, Ghergheşti, judeţul Vaslui.”;</w:t>
      </w:r>
    </w:p>
    <w:p w:rsidR="00934C02" w:rsidRPr="00934C02" w:rsidRDefault="00934C02" w:rsidP="00934C02">
      <w:pPr>
        <w:autoSpaceDE w:val="0"/>
        <w:autoSpaceDN w:val="0"/>
        <w:adjustRightInd w:val="0"/>
        <w:spacing w:after="0" w:line="240" w:lineRule="auto"/>
        <w:ind w:firstLine="720"/>
        <w:jc w:val="both"/>
        <w:rPr>
          <w:rFonts w:ascii="Arial" w:hAnsi="Arial" w:cs="Arial"/>
          <w:i/>
          <w:color w:val="000000" w:themeColor="text1"/>
          <w:sz w:val="24"/>
          <w:szCs w:val="24"/>
          <w:lang w:val="it-IT"/>
        </w:rPr>
      </w:pPr>
      <w:r w:rsidRPr="00934C02">
        <w:rPr>
          <w:rFonts w:ascii="Arial" w:hAnsi="Arial" w:cs="Arial"/>
          <w:i/>
          <w:color w:val="000000" w:themeColor="text1"/>
          <w:sz w:val="24"/>
          <w:szCs w:val="24"/>
        </w:rPr>
        <w:t>-</w:t>
      </w:r>
      <w:r w:rsidRPr="00934C02">
        <w:rPr>
          <w:rFonts w:ascii="Arial" w:hAnsi="Arial" w:cs="Arial"/>
          <w:i/>
          <w:color w:val="000000" w:themeColor="text1"/>
          <w:sz w:val="24"/>
          <w:szCs w:val="24"/>
          <w:lang w:val="it-IT"/>
        </w:rPr>
        <w:t>„Sistem de colectare selectivă şi transport a deşeurilor municipale pe Valea Racovei (comunele:</w:t>
      </w:r>
      <w:r w:rsidRPr="00934C02">
        <w:rPr>
          <w:rFonts w:ascii="Arial" w:hAnsi="Arial" w:cs="Arial"/>
          <w:color w:val="000000" w:themeColor="text1"/>
          <w:sz w:val="24"/>
          <w:szCs w:val="24"/>
          <w:lang w:val="it-IT"/>
        </w:rPr>
        <w:t xml:space="preserve"> </w:t>
      </w:r>
      <w:r w:rsidRPr="00934C02">
        <w:rPr>
          <w:rFonts w:ascii="Arial" w:hAnsi="Arial" w:cs="Arial"/>
          <w:i/>
          <w:color w:val="000000" w:themeColor="text1"/>
          <w:sz w:val="24"/>
          <w:szCs w:val="24"/>
          <w:lang w:val="it-IT"/>
        </w:rPr>
        <w:t>Ivăneşti, Laza, Poieneşti, Puşcaşi, Pungeşti, Gârceni, Dragomireşti)  judeţul Vaslui”;</w:t>
      </w:r>
    </w:p>
    <w:p w:rsidR="00934C02" w:rsidRPr="00934C02" w:rsidRDefault="00934C02" w:rsidP="00934C02">
      <w:pPr>
        <w:autoSpaceDE w:val="0"/>
        <w:autoSpaceDN w:val="0"/>
        <w:adjustRightInd w:val="0"/>
        <w:spacing w:after="0" w:line="240" w:lineRule="auto"/>
        <w:ind w:firstLine="720"/>
        <w:jc w:val="both"/>
        <w:rPr>
          <w:rFonts w:ascii="Arial" w:hAnsi="Arial" w:cs="Arial"/>
          <w:i/>
          <w:color w:val="000000" w:themeColor="text1"/>
          <w:sz w:val="24"/>
          <w:szCs w:val="24"/>
        </w:rPr>
      </w:pPr>
      <w:r w:rsidRPr="00934C02">
        <w:rPr>
          <w:rFonts w:ascii="Arial" w:hAnsi="Arial" w:cs="Arial"/>
          <w:i/>
          <w:color w:val="000000" w:themeColor="text1"/>
          <w:sz w:val="24"/>
          <w:szCs w:val="24"/>
          <w:lang w:val="it-IT"/>
        </w:rPr>
        <w:t>-</w:t>
      </w:r>
      <w:r w:rsidRPr="00934C02">
        <w:rPr>
          <w:rFonts w:ascii="Arial" w:hAnsi="Arial" w:cs="Arial"/>
          <w:i/>
          <w:color w:val="000000" w:themeColor="text1"/>
          <w:sz w:val="24"/>
          <w:szCs w:val="24"/>
        </w:rPr>
        <w:t>“Sistem de colectare selectivă şi transport a deşeurilor din comunele: Pochidia, Ciocani, Iveşti, Tutova, Coroieşti, Pogoneşti, judeţul Vaslui”;</w:t>
      </w:r>
    </w:p>
    <w:p w:rsidR="00934C02" w:rsidRPr="00934C02" w:rsidRDefault="00934C02" w:rsidP="00934C02">
      <w:pPr>
        <w:autoSpaceDE w:val="0"/>
        <w:autoSpaceDN w:val="0"/>
        <w:adjustRightInd w:val="0"/>
        <w:spacing w:after="0" w:line="240" w:lineRule="auto"/>
        <w:ind w:firstLine="720"/>
        <w:jc w:val="both"/>
        <w:rPr>
          <w:rFonts w:ascii="Arial" w:hAnsi="Arial" w:cs="Arial"/>
          <w:i/>
          <w:color w:val="000000" w:themeColor="text1"/>
          <w:sz w:val="24"/>
          <w:szCs w:val="24"/>
          <w:lang w:val="it-IT"/>
        </w:rPr>
      </w:pPr>
      <w:r w:rsidRPr="00934C02">
        <w:rPr>
          <w:rFonts w:ascii="Arial" w:hAnsi="Arial" w:cs="Arial"/>
          <w:i/>
          <w:color w:val="000000" w:themeColor="text1"/>
          <w:sz w:val="24"/>
          <w:szCs w:val="24"/>
        </w:rPr>
        <w:t>-“</w:t>
      </w:r>
      <w:r w:rsidRPr="00934C02">
        <w:rPr>
          <w:rFonts w:ascii="Arial" w:hAnsi="Arial" w:cs="Arial"/>
          <w:i/>
          <w:color w:val="000000" w:themeColor="text1"/>
          <w:sz w:val="24"/>
          <w:szCs w:val="24"/>
          <w:lang w:val="pt-BR"/>
        </w:rPr>
        <w:t xml:space="preserve"> Sistem de colectare selectivă a deşeurilor menajere şi crearea de platforme de compostare în comuna Stănileşti “</w:t>
      </w:r>
    </w:p>
    <w:p w:rsidR="00934C02" w:rsidRPr="00934C02" w:rsidRDefault="00934C02" w:rsidP="00934C02">
      <w:pPr>
        <w:autoSpaceDE w:val="0"/>
        <w:autoSpaceDN w:val="0"/>
        <w:adjustRightInd w:val="0"/>
        <w:spacing w:after="0" w:line="240" w:lineRule="auto"/>
        <w:jc w:val="both"/>
        <w:rPr>
          <w:rFonts w:ascii="Arial" w:hAnsi="Arial" w:cs="Arial"/>
          <w:sz w:val="24"/>
          <w:szCs w:val="24"/>
          <w:lang w:val="it-IT"/>
        </w:rPr>
      </w:pPr>
      <w:r w:rsidRPr="00934C02">
        <w:rPr>
          <w:rFonts w:ascii="Arial" w:hAnsi="Arial" w:cs="Arial"/>
          <w:sz w:val="24"/>
          <w:szCs w:val="24"/>
        </w:rPr>
        <w:t xml:space="preserve">               În tabelul </w:t>
      </w:r>
      <w:r w:rsidRPr="00934C02">
        <w:rPr>
          <w:rFonts w:ascii="Arial" w:hAnsi="Arial" w:cs="Arial"/>
          <w:sz w:val="24"/>
          <w:szCs w:val="24"/>
          <w:lang w:val="it-IT"/>
        </w:rPr>
        <w:t>VII.5</w:t>
      </w:r>
      <w:r w:rsidRPr="00934C02">
        <w:rPr>
          <w:rFonts w:ascii="Arial" w:hAnsi="Arial" w:cs="Arial"/>
          <w:sz w:val="24"/>
          <w:szCs w:val="24"/>
        </w:rPr>
        <w:t xml:space="preserve">. sunt prezentate cantităţile de deşeuri colectate selectiv </w:t>
      </w:r>
      <w:r w:rsidRPr="00934C02">
        <w:rPr>
          <w:rFonts w:ascii="Arial" w:hAnsi="Arial" w:cs="Arial"/>
          <w:sz w:val="24"/>
          <w:szCs w:val="24"/>
          <w:lang w:val="it-IT"/>
        </w:rPr>
        <w:t>în perioada 2010-2014, în judeţul Vaslui.</w:t>
      </w:r>
    </w:p>
    <w:p w:rsidR="00934C02" w:rsidRPr="00934C02" w:rsidRDefault="00934C02" w:rsidP="00934C02">
      <w:pPr>
        <w:spacing w:after="0" w:line="240" w:lineRule="auto"/>
        <w:jc w:val="both"/>
        <w:rPr>
          <w:rFonts w:ascii="Arial" w:hAnsi="Arial" w:cs="Arial"/>
          <w:sz w:val="24"/>
          <w:szCs w:val="24"/>
          <w:lang w:val="it-IT"/>
        </w:rPr>
      </w:pPr>
    </w:p>
    <w:p w:rsidR="00934C02" w:rsidRPr="00934C02" w:rsidRDefault="00934C02" w:rsidP="00934C02">
      <w:pPr>
        <w:spacing w:after="0" w:line="240" w:lineRule="auto"/>
        <w:jc w:val="both"/>
        <w:rPr>
          <w:rFonts w:ascii="Arial" w:hAnsi="Arial" w:cs="Arial"/>
          <w:sz w:val="24"/>
          <w:szCs w:val="24"/>
          <w:lang w:val="it-IT"/>
        </w:rPr>
      </w:pPr>
      <w:r w:rsidRPr="00934C02">
        <w:rPr>
          <w:rFonts w:ascii="Arial" w:hAnsi="Arial" w:cs="Arial"/>
          <w:sz w:val="24"/>
          <w:szCs w:val="24"/>
        </w:rPr>
        <w:t xml:space="preserve">Tabelul </w:t>
      </w:r>
      <w:r w:rsidRPr="00934C02">
        <w:rPr>
          <w:rFonts w:ascii="Arial" w:hAnsi="Arial" w:cs="Arial"/>
          <w:sz w:val="24"/>
          <w:szCs w:val="24"/>
          <w:lang w:val="it-IT"/>
        </w:rPr>
        <w:t>VII.5</w:t>
      </w:r>
      <w:r w:rsidRPr="00934C02">
        <w:rPr>
          <w:rFonts w:ascii="Arial" w:hAnsi="Arial" w:cs="Arial"/>
          <w:sz w:val="24"/>
          <w:szCs w:val="24"/>
        </w:rPr>
        <w:t>. Cantităţi de deşeuri colectate selectiv în anii 2010, 2011, 2012, 2013 şi 2014</w:t>
      </w:r>
      <w:r w:rsidRPr="00934C02">
        <w:rPr>
          <w:rFonts w:ascii="Arial" w:hAnsi="Arial" w:cs="Arial"/>
          <w:sz w:val="24"/>
          <w:szCs w:val="24"/>
          <w:lang w:val="it-IT"/>
        </w:rPr>
        <w:t xml:space="preserve"> (tone/an)</w:t>
      </w:r>
    </w:p>
    <w:tbl>
      <w:tblPr>
        <w:tblW w:w="9554" w:type="dxa"/>
        <w:jc w:val="center"/>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980"/>
        <w:gridCol w:w="2440"/>
        <w:gridCol w:w="1080"/>
        <w:gridCol w:w="1033"/>
        <w:gridCol w:w="1353"/>
        <w:gridCol w:w="915"/>
        <w:gridCol w:w="896"/>
        <w:gridCol w:w="857"/>
      </w:tblGrid>
      <w:tr w:rsidR="00934C02" w:rsidRPr="00934C02" w:rsidTr="00934C02">
        <w:trPr>
          <w:trHeight w:val="784"/>
          <w:jc w:val="center"/>
        </w:trPr>
        <w:tc>
          <w:tcPr>
            <w:tcW w:w="980" w:type="dxa"/>
            <w:tcBorders>
              <w:top w:val="single" w:sz="6" w:space="0" w:color="auto"/>
              <w:left w:val="single" w:sz="6" w:space="0" w:color="auto"/>
              <w:bottom w:val="single" w:sz="6" w:space="0" w:color="auto"/>
              <w:right w:val="single" w:sz="6" w:space="0" w:color="auto"/>
            </w:tcBorders>
            <w:vAlign w:val="center"/>
            <w:hideMark/>
          </w:tcPr>
          <w:p w:rsidR="00934C02" w:rsidRPr="00934C02" w:rsidRDefault="00934C02" w:rsidP="00934C02">
            <w:pPr>
              <w:spacing w:after="0" w:line="240" w:lineRule="auto"/>
              <w:jc w:val="center"/>
              <w:rPr>
                <w:rFonts w:ascii="Arial" w:hAnsi="Arial" w:cs="Arial"/>
                <w:b/>
                <w:bCs/>
                <w:i/>
              </w:rPr>
            </w:pPr>
            <w:r w:rsidRPr="00934C02">
              <w:rPr>
                <w:rFonts w:ascii="Arial" w:hAnsi="Arial" w:cs="Arial"/>
                <w:b/>
                <w:bCs/>
                <w:i/>
              </w:rPr>
              <w:t>Anul</w:t>
            </w:r>
          </w:p>
        </w:tc>
        <w:tc>
          <w:tcPr>
            <w:tcW w:w="2440" w:type="dxa"/>
            <w:tcBorders>
              <w:top w:val="single" w:sz="6" w:space="0" w:color="auto"/>
              <w:left w:val="single" w:sz="6" w:space="0" w:color="auto"/>
              <w:bottom w:val="single" w:sz="6" w:space="0" w:color="auto"/>
              <w:right w:val="single" w:sz="6" w:space="0" w:color="auto"/>
            </w:tcBorders>
            <w:vAlign w:val="center"/>
            <w:hideMark/>
          </w:tcPr>
          <w:p w:rsidR="00934C02" w:rsidRPr="00934C02" w:rsidRDefault="00934C02" w:rsidP="00934C02">
            <w:pPr>
              <w:spacing w:after="0" w:line="240" w:lineRule="auto"/>
              <w:jc w:val="center"/>
              <w:rPr>
                <w:rFonts w:ascii="Arial" w:hAnsi="Arial" w:cs="Arial"/>
                <w:b/>
                <w:bCs/>
                <w:i/>
              </w:rPr>
            </w:pPr>
            <w:r w:rsidRPr="00934C02">
              <w:rPr>
                <w:rFonts w:ascii="Arial" w:hAnsi="Arial" w:cs="Arial"/>
                <w:b/>
                <w:bCs/>
                <w:i/>
              </w:rPr>
              <w:t xml:space="preserve">Cantitatea totală de deşeuri colectată </w:t>
            </w:r>
          </w:p>
          <w:p w:rsidR="00934C02" w:rsidRPr="00934C02" w:rsidRDefault="00934C02" w:rsidP="00934C02">
            <w:pPr>
              <w:spacing w:after="0" w:line="240" w:lineRule="auto"/>
              <w:jc w:val="center"/>
              <w:rPr>
                <w:rFonts w:ascii="Arial" w:hAnsi="Arial" w:cs="Arial"/>
                <w:b/>
                <w:bCs/>
                <w:i/>
              </w:rPr>
            </w:pPr>
            <w:r w:rsidRPr="00934C02">
              <w:rPr>
                <w:rFonts w:ascii="Arial" w:hAnsi="Arial" w:cs="Arial"/>
                <w:b/>
                <w:bCs/>
                <w:i/>
              </w:rPr>
              <w:t>(tone)</w:t>
            </w:r>
          </w:p>
        </w:tc>
        <w:tc>
          <w:tcPr>
            <w:tcW w:w="1080" w:type="dxa"/>
            <w:tcBorders>
              <w:top w:val="single" w:sz="6" w:space="0" w:color="auto"/>
              <w:left w:val="single" w:sz="6" w:space="0" w:color="auto"/>
              <w:bottom w:val="single" w:sz="6" w:space="0" w:color="auto"/>
              <w:right w:val="single" w:sz="6" w:space="0" w:color="auto"/>
            </w:tcBorders>
            <w:vAlign w:val="center"/>
            <w:hideMark/>
          </w:tcPr>
          <w:p w:rsidR="00934C02" w:rsidRPr="00934C02" w:rsidRDefault="00934C02" w:rsidP="00934C02">
            <w:pPr>
              <w:spacing w:after="0" w:line="240" w:lineRule="auto"/>
              <w:jc w:val="center"/>
              <w:rPr>
                <w:rFonts w:ascii="Arial" w:hAnsi="Arial" w:cs="Arial"/>
                <w:b/>
                <w:bCs/>
                <w:i/>
              </w:rPr>
            </w:pPr>
            <w:r w:rsidRPr="00934C02">
              <w:rPr>
                <w:rFonts w:ascii="Arial" w:hAnsi="Arial" w:cs="Arial"/>
                <w:b/>
                <w:bCs/>
                <w:i/>
              </w:rPr>
              <w:t>PET</w:t>
            </w:r>
          </w:p>
        </w:tc>
        <w:tc>
          <w:tcPr>
            <w:tcW w:w="1033" w:type="dxa"/>
            <w:tcBorders>
              <w:top w:val="single" w:sz="6" w:space="0" w:color="auto"/>
              <w:left w:val="single" w:sz="6" w:space="0" w:color="auto"/>
              <w:bottom w:val="single" w:sz="6" w:space="0" w:color="auto"/>
              <w:right w:val="single" w:sz="6" w:space="0" w:color="auto"/>
            </w:tcBorders>
            <w:vAlign w:val="center"/>
            <w:hideMark/>
          </w:tcPr>
          <w:p w:rsidR="00934C02" w:rsidRPr="00934C02" w:rsidRDefault="00934C02" w:rsidP="00934C02">
            <w:pPr>
              <w:spacing w:after="0" w:line="240" w:lineRule="auto"/>
              <w:jc w:val="center"/>
              <w:rPr>
                <w:rFonts w:ascii="Arial" w:hAnsi="Arial" w:cs="Arial"/>
                <w:b/>
                <w:bCs/>
                <w:i/>
              </w:rPr>
            </w:pPr>
            <w:r w:rsidRPr="00934C02">
              <w:rPr>
                <w:rFonts w:ascii="Arial" w:hAnsi="Arial" w:cs="Arial"/>
                <w:b/>
                <w:bCs/>
                <w:i/>
              </w:rPr>
              <w:t>Plastic</w:t>
            </w:r>
          </w:p>
        </w:tc>
        <w:tc>
          <w:tcPr>
            <w:tcW w:w="1353" w:type="dxa"/>
            <w:tcBorders>
              <w:top w:val="single" w:sz="6" w:space="0" w:color="auto"/>
              <w:left w:val="single" w:sz="6" w:space="0" w:color="auto"/>
              <w:bottom w:val="single" w:sz="6" w:space="0" w:color="auto"/>
              <w:right w:val="single" w:sz="6" w:space="0" w:color="auto"/>
            </w:tcBorders>
            <w:vAlign w:val="center"/>
            <w:hideMark/>
          </w:tcPr>
          <w:p w:rsidR="00934C02" w:rsidRPr="00934C02" w:rsidRDefault="00934C02" w:rsidP="00934C02">
            <w:pPr>
              <w:spacing w:after="0" w:line="240" w:lineRule="auto"/>
              <w:jc w:val="center"/>
              <w:rPr>
                <w:rFonts w:ascii="Arial" w:hAnsi="Arial" w:cs="Arial"/>
                <w:b/>
                <w:bCs/>
                <w:i/>
              </w:rPr>
            </w:pPr>
            <w:r w:rsidRPr="00934C02">
              <w:rPr>
                <w:rFonts w:ascii="Arial" w:hAnsi="Arial" w:cs="Arial"/>
                <w:b/>
                <w:bCs/>
                <w:i/>
              </w:rPr>
              <w:t>Hârtie/</w:t>
            </w:r>
          </w:p>
          <w:p w:rsidR="00934C02" w:rsidRPr="00934C02" w:rsidRDefault="00934C02" w:rsidP="00934C02">
            <w:pPr>
              <w:spacing w:after="0" w:line="240" w:lineRule="auto"/>
              <w:jc w:val="center"/>
              <w:rPr>
                <w:rFonts w:ascii="Arial" w:hAnsi="Arial" w:cs="Arial"/>
                <w:b/>
                <w:bCs/>
                <w:i/>
              </w:rPr>
            </w:pPr>
            <w:r w:rsidRPr="00934C02">
              <w:rPr>
                <w:rFonts w:ascii="Arial" w:hAnsi="Arial" w:cs="Arial"/>
                <w:b/>
                <w:bCs/>
                <w:i/>
              </w:rPr>
              <w:t>Carton</w:t>
            </w:r>
          </w:p>
        </w:tc>
        <w:tc>
          <w:tcPr>
            <w:tcW w:w="915" w:type="dxa"/>
            <w:tcBorders>
              <w:top w:val="single" w:sz="6" w:space="0" w:color="auto"/>
              <w:left w:val="single" w:sz="6" w:space="0" w:color="auto"/>
              <w:bottom w:val="single" w:sz="6" w:space="0" w:color="auto"/>
              <w:right w:val="single" w:sz="6" w:space="0" w:color="auto"/>
            </w:tcBorders>
            <w:vAlign w:val="center"/>
            <w:hideMark/>
          </w:tcPr>
          <w:p w:rsidR="00934C02" w:rsidRPr="00934C02" w:rsidRDefault="00934C02" w:rsidP="00934C02">
            <w:pPr>
              <w:spacing w:after="0" w:line="240" w:lineRule="auto"/>
              <w:jc w:val="center"/>
              <w:rPr>
                <w:rFonts w:ascii="Arial" w:hAnsi="Arial" w:cs="Arial"/>
                <w:b/>
                <w:bCs/>
                <w:i/>
              </w:rPr>
            </w:pPr>
            <w:r w:rsidRPr="00934C02">
              <w:rPr>
                <w:rFonts w:ascii="Arial" w:hAnsi="Arial" w:cs="Arial"/>
                <w:b/>
                <w:bCs/>
                <w:i/>
              </w:rPr>
              <w:t>Sticlă</w:t>
            </w:r>
          </w:p>
        </w:tc>
        <w:tc>
          <w:tcPr>
            <w:tcW w:w="896" w:type="dxa"/>
            <w:tcBorders>
              <w:top w:val="single" w:sz="6" w:space="0" w:color="auto"/>
              <w:left w:val="single" w:sz="6" w:space="0" w:color="auto"/>
              <w:bottom w:val="single" w:sz="6" w:space="0" w:color="auto"/>
              <w:right w:val="single" w:sz="6" w:space="0" w:color="auto"/>
            </w:tcBorders>
            <w:vAlign w:val="center"/>
            <w:hideMark/>
          </w:tcPr>
          <w:p w:rsidR="00934C02" w:rsidRPr="00934C02" w:rsidRDefault="00934C02" w:rsidP="00934C02">
            <w:pPr>
              <w:spacing w:after="0" w:line="240" w:lineRule="auto"/>
              <w:jc w:val="center"/>
              <w:rPr>
                <w:rFonts w:ascii="Arial" w:hAnsi="Arial" w:cs="Arial"/>
                <w:b/>
                <w:bCs/>
                <w:i/>
              </w:rPr>
            </w:pPr>
            <w:r w:rsidRPr="00934C02">
              <w:rPr>
                <w:rFonts w:ascii="Arial" w:hAnsi="Arial" w:cs="Arial"/>
                <w:b/>
                <w:bCs/>
                <w:i/>
              </w:rPr>
              <w:t>Metal</w:t>
            </w:r>
          </w:p>
        </w:tc>
        <w:tc>
          <w:tcPr>
            <w:tcW w:w="857" w:type="dxa"/>
            <w:tcBorders>
              <w:top w:val="single" w:sz="6" w:space="0" w:color="auto"/>
              <w:left w:val="single" w:sz="6" w:space="0" w:color="auto"/>
              <w:bottom w:val="single" w:sz="6" w:space="0" w:color="auto"/>
              <w:right w:val="single" w:sz="6" w:space="0" w:color="auto"/>
            </w:tcBorders>
            <w:vAlign w:val="center"/>
            <w:hideMark/>
          </w:tcPr>
          <w:p w:rsidR="00934C02" w:rsidRPr="00934C02" w:rsidRDefault="00934C02" w:rsidP="00934C02">
            <w:pPr>
              <w:spacing w:after="0" w:line="240" w:lineRule="auto"/>
              <w:jc w:val="center"/>
              <w:rPr>
                <w:rFonts w:ascii="Arial" w:hAnsi="Arial" w:cs="Arial"/>
                <w:b/>
                <w:bCs/>
                <w:i/>
              </w:rPr>
            </w:pPr>
            <w:r w:rsidRPr="00934C02">
              <w:rPr>
                <w:rFonts w:ascii="Arial" w:hAnsi="Arial" w:cs="Arial"/>
                <w:b/>
                <w:bCs/>
                <w:i/>
              </w:rPr>
              <w:t>Lemn</w:t>
            </w:r>
          </w:p>
        </w:tc>
      </w:tr>
      <w:tr w:rsidR="00934C02" w:rsidRPr="00934C02" w:rsidTr="00934C02">
        <w:trPr>
          <w:jc w:val="center"/>
        </w:trPr>
        <w:tc>
          <w:tcPr>
            <w:tcW w:w="980" w:type="dxa"/>
            <w:tcBorders>
              <w:top w:val="single" w:sz="6" w:space="0" w:color="auto"/>
              <w:left w:val="single" w:sz="6" w:space="0" w:color="auto"/>
              <w:bottom w:val="single" w:sz="6" w:space="0" w:color="auto"/>
              <w:right w:val="single" w:sz="6" w:space="0" w:color="auto"/>
            </w:tcBorders>
            <w:hideMark/>
          </w:tcPr>
          <w:p w:rsidR="00934C02" w:rsidRPr="00934C02" w:rsidRDefault="00934C02" w:rsidP="00934C02">
            <w:pPr>
              <w:spacing w:after="0" w:line="240" w:lineRule="auto"/>
              <w:jc w:val="center"/>
              <w:rPr>
                <w:rFonts w:ascii="Arial" w:hAnsi="Arial" w:cs="Arial"/>
                <w:b/>
                <w:i/>
              </w:rPr>
            </w:pPr>
            <w:r w:rsidRPr="00934C02">
              <w:rPr>
                <w:rFonts w:ascii="Arial" w:hAnsi="Arial" w:cs="Arial"/>
                <w:b/>
                <w:i/>
              </w:rPr>
              <w:t>2010</w:t>
            </w:r>
          </w:p>
        </w:tc>
        <w:tc>
          <w:tcPr>
            <w:tcW w:w="2440" w:type="dxa"/>
            <w:tcBorders>
              <w:top w:val="single" w:sz="6" w:space="0" w:color="auto"/>
              <w:left w:val="single" w:sz="6" w:space="0" w:color="auto"/>
              <w:bottom w:val="single" w:sz="6" w:space="0" w:color="auto"/>
              <w:right w:val="single" w:sz="6" w:space="0" w:color="auto"/>
            </w:tcBorders>
            <w:hideMark/>
          </w:tcPr>
          <w:p w:rsidR="00934C02" w:rsidRPr="00934C02" w:rsidRDefault="00934C02" w:rsidP="00934C02">
            <w:pPr>
              <w:spacing w:after="0" w:line="240" w:lineRule="auto"/>
              <w:jc w:val="center"/>
              <w:rPr>
                <w:rFonts w:ascii="Arial" w:hAnsi="Arial" w:cs="Arial"/>
                <w:bCs/>
              </w:rPr>
            </w:pPr>
            <w:r w:rsidRPr="00934C02">
              <w:rPr>
                <w:rFonts w:ascii="Arial" w:hAnsi="Arial" w:cs="Arial"/>
              </w:rPr>
              <w:t>175,593</w:t>
            </w:r>
          </w:p>
        </w:tc>
        <w:tc>
          <w:tcPr>
            <w:tcW w:w="1080" w:type="dxa"/>
            <w:tcBorders>
              <w:top w:val="single" w:sz="6" w:space="0" w:color="auto"/>
              <w:left w:val="single" w:sz="6" w:space="0" w:color="auto"/>
              <w:bottom w:val="single" w:sz="6" w:space="0" w:color="auto"/>
              <w:right w:val="single" w:sz="6" w:space="0" w:color="auto"/>
            </w:tcBorders>
            <w:hideMark/>
          </w:tcPr>
          <w:p w:rsidR="00934C02" w:rsidRPr="00934C02" w:rsidRDefault="00934C02" w:rsidP="00934C02">
            <w:pPr>
              <w:spacing w:after="0" w:line="240" w:lineRule="auto"/>
              <w:jc w:val="center"/>
              <w:rPr>
                <w:rFonts w:ascii="Arial" w:hAnsi="Arial" w:cs="Arial"/>
                <w:bCs/>
              </w:rPr>
            </w:pPr>
            <w:r w:rsidRPr="00934C02">
              <w:rPr>
                <w:rFonts w:ascii="Arial" w:hAnsi="Arial" w:cs="Arial"/>
              </w:rPr>
              <w:t>46,335</w:t>
            </w:r>
          </w:p>
        </w:tc>
        <w:tc>
          <w:tcPr>
            <w:tcW w:w="1033" w:type="dxa"/>
            <w:tcBorders>
              <w:top w:val="single" w:sz="6" w:space="0" w:color="auto"/>
              <w:left w:val="single" w:sz="6" w:space="0" w:color="auto"/>
              <w:bottom w:val="single" w:sz="6" w:space="0" w:color="auto"/>
              <w:right w:val="single" w:sz="6" w:space="0" w:color="auto"/>
            </w:tcBorders>
            <w:hideMark/>
          </w:tcPr>
          <w:p w:rsidR="00934C02" w:rsidRPr="00934C02" w:rsidRDefault="00934C02" w:rsidP="00934C02">
            <w:pPr>
              <w:spacing w:after="0" w:line="240" w:lineRule="auto"/>
              <w:jc w:val="center"/>
              <w:rPr>
                <w:rFonts w:ascii="Arial" w:hAnsi="Arial" w:cs="Arial"/>
                <w:bCs/>
              </w:rPr>
            </w:pPr>
            <w:r w:rsidRPr="00934C02">
              <w:rPr>
                <w:rFonts w:ascii="Arial" w:hAnsi="Arial" w:cs="Arial"/>
              </w:rPr>
              <w:t>7,548</w:t>
            </w:r>
          </w:p>
        </w:tc>
        <w:tc>
          <w:tcPr>
            <w:tcW w:w="1353" w:type="dxa"/>
            <w:tcBorders>
              <w:top w:val="single" w:sz="6" w:space="0" w:color="auto"/>
              <w:left w:val="single" w:sz="6" w:space="0" w:color="auto"/>
              <w:bottom w:val="single" w:sz="6" w:space="0" w:color="auto"/>
              <w:right w:val="single" w:sz="6" w:space="0" w:color="auto"/>
            </w:tcBorders>
            <w:hideMark/>
          </w:tcPr>
          <w:p w:rsidR="00934C02" w:rsidRPr="00934C02" w:rsidRDefault="00934C02" w:rsidP="00934C02">
            <w:pPr>
              <w:spacing w:after="0" w:line="240" w:lineRule="auto"/>
              <w:jc w:val="center"/>
              <w:rPr>
                <w:rFonts w:ascii="Arial" w:hAnsi="Arial" w:cs="Arial"/>
                <w:bCs/>
              </w:rPr>
            </w:pPr>
            <w:r w:rsidRPr="00934C02">
              <w:rPr>
                <w:rFonts w:ascii="Arial" w:hAnsi="Arial" w:cs="Arial"/>
              </w:rPr>
              <w:t>116,114</w:t>
            </w:r>
          </w:p>
        </w:tc>
        <w:tc>
          <w:tcPr>
            <w:tcW w:w="915" w:type="dxa"/>
            <w:tcBorders>
              <w:top w:val="single" w:sz="6" w:space="0" w:color="auto"/>
              <w:left w:val="single" w:sz="6" w:space="0" w:color="auto"/>
              <w:bottom w:val="single" w:sz="6" w:space="0" w:color="auto"/>
              <w:right w:val="single" w:sz="6" w:space="0" w:color="auto"/>
            </w:tcBorders>
            <w:hideMark/>
          </w:tcPr>
          <w:p w:rsidR="00934C02" w:rsidRPr="00934C02" w:rsidRDefault="00934C02" w:rsidP="00934C02">
            <w:pPr>
              <w:spacing w:after="0" w:line="240" w:lineRule="auto"/>
              <w:jc w:val="center"/>
              <w:rPr>
                <w:rFonts w:ascii="Arial" w:hAnsi="Arial" w:cs="Arial"/>
                <w:bCs/>
              </w:rPr>
            </w:pPr>
            <w:r w:rsidRPr="00934C02">
              <w:rPr>
                <w:rFonts w:ascii="Arial" w:hAnsi="Arial" w:cs="Arial"/>
              </w:rPr>
              <w:t>5,466</w:t>
            </w:r>
          </w:p>
        </w:tc>
        <w:tc>
          <w:tcPr>
            <w:tcW w:w="896" w:type="dxa"/>
            <w:tcBorders>
              <w:top w:val="single" w:sz="6" w:space="0" w:color="auto"/>
              <w:left w:val="single" w:sz="6" w:space="0" w:color="auto"/>
              <w:bottom w:val="single" w:sz="6" w:space="0" w:color="auto"/>
              <w:right w:val="single" w:sz="6" w:space="0" w:color="auto"/>
            </w:tcBorders>
            <w:hideMark/>
          </w:tcPr>
          <w:p w:rsidR="00934C02" w:rsidRPr="00934C02" w:rsidRDefault="00934C02" w:rsidP="00934C02">
            <w:pPr>
              <w:spacing w:after="0" w:line="240" w:lineRule="auto"/>
              <w:jc w:val="center"/>
              <w:rPr>
                <w:rFonts w:ascii="Arial" w:hAnsi="Arial" w:cs="Arial"/>
                <w:bCs/>
              </w:rPr>
            </w:pPr>
            <w:r w:rsidRPr="00934C02">
              <w:rPr>
                <w:rFonts w:ascii="Arial" w:hAnsi="Arial" w:cs="Arial"/>
              </w:rPr>
              <w:t>0,130</w:t>
            </w:r>
          </w:p>
        </w:tc>
        <w:tc>
          <w:tcPr>
            <w:tcW w:w="857" w:type="dxa"/>
            <w:tcBorders>
              <w:top w:val="single" w:sz="6" w:space="0" w:color="auto"/>
              <w:left w:val="single" w:sz="6" w:space="0" w:color="auto"/>
              <w:bottom w:val="single" w:sz="6" w:space="0" w:color="auto"/>
              <w:right w:val="single" w:sz="6" w:space="0" w:color="auto"/>
            </w:tcBorders>
            <w:hideMark/>
          </w:tcPr>
          <w:p w:rsidR="00934C02" w:rsidRPr="00934C02" w:rsidRDefault="00934C02" w:rsidP="00934C02">
            <w:pPr>
              <w:spacing w:after="0" w:line="240" w:lineRule="auto"/>
              <w:jc w:val="center"/>
              <w:rPr>
                <w:rFonts w:ascii="Arial" w:hAnsi="Arial" w:cs="Arial"/>
                <w:bCs/>
              </w:rPr>
            </w:pPr>
            <w:r w:rsidRPr="00934C02">
              <w:rPr>
                <w:rFonts w:ascii="Arial" w:hAnsi="Arial" w:cs="Arial"/>
              </w:rPr>
              <w:t>0</w:t>
            </w:r>
          </w:p>
        </w:tc>
      </w:tr>
      <w:tr w:rsidR="00934C02" w:rsidRPr="00934C02" w:rsidTr="00934C02">
        <w:trPr>
          <w:jc w:val="center"/>
        </w:trPr>
        <w:tc>
          <w:tcPr>
            <w:tcW w:w="980" w:type="dxa"/>
            <w:tcBorders>
              <w:top w:val="single" w:sz="6" w:space="0" w:color="auto"/>
              <w:left w:val="single" w:sz="6" w:space="0" w:color="auto"/>
              <w:bottom w:val="single" w:sz="6" w:space="0" w:color="auto"/>
              <w:right w:val="single" w:sz="6" w:space="0" w:color="auto"/>
            </w:tcBorders>
            <w:hideMark/>
          </w:tcPr>
          <w:p w:rsidR="00934C02" w:rsidRPr="00934C02" w:rsidRDefault="00934C02" w:rsidP="00934C02">
            <w:pPr>
              <w:spacing w:after="0" w:line="240" w:lineRule="auto"/>
              <w:jc w:val="center"/>
              <w:rPr>
                <w:rFonts w:ascii="Arial" w:hAnsi="Arial" w:cs="Arial"/>
                <w:b/>
                <w:i/>
              </w:rPr>
            </w:pPr>
            <w:r w:rsidRPr="00934C02">
              <w:rPr>
                <w:rFonts w:ascii="Arial" w:hAnsi="Arial" w:cs="Arial"/>
                <w:b/>
                <w:i/>
              </w:rPr>
              <w:t>2011</w:t>
            </w:r>
          </w:p>
        </w:tc>
        <w:tc>
          <w:tcPr>
            <w:tcW w:w="2440"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410,898</w:t>
            </w:r>
          </w:p>
        </w:tc>
        <w:tc>
          <w:tcPr>
            <w:tcW w:w="1080"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91,770</w:t>
            </w:r>
          </w:p>
        </w:tc>
        <w:tc>
          <w:tcPr>
            <w:tcW w:w="1033"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11,352</w:t>
            </w:r>
          </w:p>
        </w:tc>
        <w:tc>
          <w:tcPr>
            <w:tcW w:w="1353"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301,255</w:t>
            </w:r>
          </w:p>
        </w:tc>
        <w:tc>
          <w:tcPr>
            <w:tcW w:w="915"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0,446</w:t>
            </w:r>
          </w:p>
        </w:tc>
        <w:tc>
          <w:tcPr>
            <w:tcW w:w="896"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6,075</w:t>
            </w:r>
          </w:p>
        </w:tc>
        <w:tc>
          <w:tcPr>
            <w:tcW w:w="857"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0</w:t>
            </w:r>
          </w:p>
        </w:tc>
      </w:tr>
      <w:tr w:rsidR="00934C02" w:rsidRPr="00934C02" w:rsidTr="00934C02">
        <w:trPr>
          <w:jc w:val="center"/>
        </w:trPr>
        <w:tc>
          <w:tcPr>
            <w:tcW w:w="980" w:type="dxa"/>
            <w:tcBorders>
              <w:top w:val="single" w:sz="6" w:space="0" w:color="auto"/>
              <w:left w:val="single" w:sz="6" w:space="0" w:color="auto"/>
              <w:bottom w:val="single" w:sz="6" w:space="0" w:color="auto"/>
              <w:right w:val="single" w:sz="6" w:space="0" w:color="auto"/>
            </w:tcBorders>
            <w:hideMark/>
          </w:tcPr>
          <w:p w:rsidR="00934C02" w:rsidRPr="00934C02" w:rsidRDefault="00934C02" w:rsidP="00934C02">
            <w:pPr>
              <w:spacing w:after="0" w:line="240" w:lineRule="auto"/>
              <w:jc w:val="center"/>
              <w:rPr>
                <w:rFonts w:ascii="Arial" w:hAnsi="Arial" w:cs="Arial"/>
                <w:b/>
                <w:i/>
              </w:rPr>
            </w:pPr>
            <w:r w:rsidRPr="00934C02">
              <w:rPr>
                <w:rFonts w:ascii="Arial" w:hAnsi="Arial" w:cs="Arial"/>
                <w:b/>
                <w:i/>
              </w:rPr>
              <w:t>2012</w:t>
            </w:r>
          </w:p>
        </w:tc>
        <w:tc>
          <w:tcPr>
            <w:tcW w:w="2440"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791,633</w:t>
            </w:r>
          </w:p>
        </w:tc>
        <w:tc>
          <w:tcPr>
            <w:tcW w:w="1080"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237,445</w:t>
            </w:r>
          </w:p>
        </w:tc>
        <w:tc>
          <w:tcPr>
            <w:tcW w:w="1033"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47,450</w:t>
            </w:r>
          </w:p>
        </w:tc>
        <w:tc>
          <w:tcPr>
            <w:tcW w:w="1353"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488,593</w:t>
            </w:r>
          </w:p>
        </w:tc>
        <w:tc>
          <w:tcPr>
            <w:tcW w:w="915"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13,200</w:t>
            </w:r>
          </w:p>
        </w:tc>
        <w:tc>
          <w:tcPr>
            <w:tcW w:w="896"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4,945</w:t>
            </w:r>
          </w:p>
        </w:tc>
        <w:tc>
          <w:tcPr>
            <w:tcW w:w="857"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0</w:t>
            </w:r>
          </w:p>
        </w:tc>
      </w:tr>
      <w:tr w:rsidR="00934C02" w:rsidRPr="00934C02" w:rsidTr="00934C02">
        <w:trPr>
          <w:jc w:val="center"/>
        </w:trPr>
        <w:tc>
          <w:tcPr>
            <w:tcW w:w="980" w:type="dxa"/>
            <w:tcBorders>
              <w:top w:val="single" w:sz="6" w:space="0" w:color="auto"/>
              <w:left w:val="single" w:sz="6" w:space="0" w:color="auto"/>
              <w:bottom w:val="single" w:sz="6" w:space="0" w:color="auto"/>
              <w:right w:val="single" w:sz="6" w:space="0" w:color="auto"/>
            </w:tcBorders>
            <w:hideMark/>
          </w:tcPr>
          <w:p w:rsidR="00934C02" w:rsidRPr="00934C02" w:rsidRDefault="00934C02" w:rsidP="00934C02">
            <w:pPr>
              <w:spacing w:after="0" w:line="240" w:lineRule="auto"/>
              <w:jc w:val="center"/>
              <w:rPr>
                <w:rFonts w:ascii="Arial" w:hAnsi="Arial" w:cs="Arial"/>
                <w:b/>
                <w:i/>
              </w:rPr>
            </w:pPr>
            <w:r w:rsidRPr="00934C02">
              <w:rPr>
                <w:rFonts w:ascii="Arial" w:hAnsi="Arial" w:cs="Arial"/>
                <w:b/>
                <w:i/>
              </w:rPr>
              <w:t>2013</w:t>
            </w:r>
          </w:p>
        </w:tc>
        <w:tc>
          <w:tcPr>
            <w:tcW w:w="2440"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653,661</w:t>
            </w:r>
          </w:p>
        </w:tc>
        <w:tc>
          <w:tcPr>
            <w:tcW w:w="1080"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259,288</w:t>
            </w:r>
          </w:p>
        </w:tc>
        <w:tc>
          <w:tcPr>
            <w:tcW w:w="1033"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10,230</w:t>
            </w:r>
          </w:p>
        </w:tc>
        <w:tc>
          <w:tcPr>
            <w:tcW w:w="1353"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345,568</w:t>
            </w:r>
          </w:p>
        </w:tc>
        <w:tc>
          <w:tcPr>
            <w:tcW w:w="915"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25,805</w:t>
            </w:r>
          </w:p>
        </w:tc>
        <w:tc>
          <w:tcPr>
            <w:tcW w:w="896"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12.770</w:t>
            </w:r>
          </w:p>
        </w:tc>
        <w:tc>
          <w:tcPr>
            <w:tcW w:w="857"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0</w:t>
            </w:r>
          </w:p>
        </w:tc>
      </w:tr>
      <w:tr w:rsidR="00934C02" w:rsidRPr="00934C02" w:rsidTr="00934C02">
        <w:trPr>
          <w:trHeight w:val="186"/>
          <w:jc w:val="center"/>
        </w:trPr>
        <w:tc>
          <w:tcPr>
            <w:tcW w:w="980" w:type="dxa"/>
            <w:tcBorders>
              <w:top w:val="single" w:sz="6" w:space="0" w:color="auto"/>
              <w:left w:val="single" w:sz="6" w:space="0" w:color="auto"/>
              <w:bottom w:val="single" w:sz="6" w:space="0" w:color="auto"/>
              <w:right w:val="single" w:sz="6" w:space="0" w:color="auto"/>
            </w:tcBorders>
            <w:hideMark/>
          </w:tcPr>
          <w:p w:rsidR="00934C02" w:rsidRPr="00934C02" w:rsidRDefault="00934C02" w:rsidP="00934C02">
            <w:pPr>
              <w:spacing w:after="0" w:line="240" w:lineRule="auto"/>
              <w:jc w:val="center"/>
              <w:rPr>
                <w:rFonts w:ascii="Arial" w:hAnsi="Arial" w:cs="Arial"/>
                <w:b/>
                <w:i/>
              </w:rPr>
            </w:pPr>
            <w:r w:rsidRPr="00934C02">
              <w:rPr>
                <w:rFonts w:ascii="Arial" w:hAnsi="Arial" w:cs="Arial"/>
                <w:b/>
                <w:i/>
              </w:rPr>
              <w:t>2014</w:t>
            </w:r>
          </w:p>
        </w:tc>
        <w:tc>
          <w:tcPr>
            <w:tcW w:w="2440"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606,061</w:t>
            </w:r>
          </w:p>
        </w:tc>
        <w:tc>
          <w:tcPr>
            <w:tcW w:w="1080"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197,622</w:t>
            </w:r>
          </w:p>
        </w:tc>
        <w:tc>
          <w:tcPr>
            <w:tcW w:w="1033"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16,000</w:t>
            </w:r>
          </w:p>
        </w:tc>
        <w:tc>
          <w:tcPr>
            <w:tcW w:w="1353"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315,279</w:t>
            </w:r>
          </w:p>
        </w:tc>
        <w:tc>
          <w:tcPr>
            <w:tcW w:w="915"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46,500</w:t>
            </w:r>
          </w:p>
        </w:tc>
        <w:tc>
          <w:tcPr>
            <w:tcW w:w="896"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30,660</w:t>
            </w:r>
          </w:p>
        </w:tc>
        <w:tc>
          <w:tcPr>
            <w:tcW w:w="857"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0</w:t>
            </w:r>
          </w:p>
        </w:tc>
      </w:tr>
    </w:tbl>
    <w:p w:rsidR="00934C02" w:rsidRPr="00934C02" w:rsidRDefault="00934C02" w:rsidP="00934C02">
      <w:pPr>
        <w:spacing w:after="0" w:line="240" w:lineRule="auto"/>
        <w:jc w:val="center"/>
        <w:rPr>
          <w:rFonts w:ascii="Times New Roman" w:eastAsia="Times New Roman" w:hAnsi="Times New Roman" w:cs="Arial"/>
          <w:i/>
          <w:sz w:val="20"/>
          <w:szCs w:val="20"/>
          <w:lang w:val="pl-PL" w:eastAsia="pl-PL"/>
        </w:rPr>
      </w:pPr>
      <w:r w:rsidRPr="00934C02">
        <w:rPr>
          <w:rFonts w:ascii="Times New Roman" w:eastAsia="Times New Roman" w:hAnsi="Times New Roman" w:cs="Arial"/>
          <w:i/>
          <w:sz w:val="20"/>
          <w:szCs w:val="20"/>
          <w:lang w:val="pl-PL" w:eastAsia="pl-PL"/>
        </w:rPr>
        <w:t>Sursa: APM Vaslui – aplicaţiile: MEDIUS şi SD (din SIM),cu date validate de ANPM</w:t>
      </w:r>
    </w:p>
    <w:p w:rsidR="00934C02" w:rsidRPr="00934C02" w:rsidRDefault="00934C02" w:rsidP="00934C02">
      <w:pPr>
        <w:spacing w:after="0" w:line="240" w:lineRule="auto"/>
        <w:jc w:val="center"/>
        <w:rPr>
          <w:rFonts w:ascii="Times New Roman" w:eastAsia="Times New Roman" w:hAnsi="Times New Roman" w:cs="Arial"/>
          <w:i/>
          <w:sz w:val="20"/>
          <w:szCs w:val="20"/>
          <w:lang w:val="pl-PL" w:eastAsia="pl-PL"/>
        </w:rPr>
      </w:pPr>
    </w:p>
    <w:p w:rsidR="00934C02" w:rsidRPr="00934C02" w:rsidRDefault="00934C02" w:rsidP="00934C02">
      <w:pPr>
        <w:spacing w:after="0" w:line="240" w:lineRule="auto"/>
        <w:jc w:val="center"/>
        <w:rPr>
          <w:rFonts w:ascii="Times New Roman" w:eastAsia="Times New Roman" w:hAnsi="Times New Roman" w:cs="Arial"/>
          <w:i/>
          <w:noProof/>
          <w:sz w:val="20"/>
          <w:szCs w:val="20"/>
        </w:rPr>
      </w:pPr>
    </w:p>
    <w:p w:rsidR="00934C02" w:rsidRPr="00934C02" w:rsidRDefault="00934C02" w:rsidP="00934C02">
      <w:pPr>
        <w:spacing w:after="0" w:line="240" w:lineRule="auto"/>
        <w:jc w:val="center"/>
        <w:rPr>
          <w:rFonts w:ascii="Times New Roman" w:eastAsia="Times New Roman" w:hAnsi="Times New Roman" w:cs="Arial"/>
          <w:i/>
          <w:sz w:val="20"/>
          <w:szCs w:val="20"/>
          <w:lang w:val="ro-RO" w:eastAsia="pl-PL"/>
        </w:rPr>
      </w:pPr>
    </w:p>
    <w:p w:rsidR="00934C02" w:rsidRPr="00934C02" w:rsidRDefault="00934C02" w:rsidP="00934C02">
      <w:pPr>
        <w:spacing w:after="0" w:line="240" w:lineRule="auto"/>
        <w:jc w:val="center"/>
        <w:rPr>
          <w:rFonts w:ascii="Times New Roman" w:eastAsia="Times New Roman" w:hAnsi="Times New Roman" w:cs="Arial"/>
          <w:i/>
          <w:sz w:val="20"/>
          <w:szCs w:val="20"/>
          <w:lang w:val="ro-RO" w:eastAsia="pl-PL"/>
        </w:rPr>
      </w:pPr>
      <w:r w:rsidRPr="00934C02">
        <w:rPr>
          <w:rFonts w:ascii="Times New Roman" w:eastAsia="Times New Roman" w:hAnsi="Times New Roman" w:cs="Times New Roman"/>
          <w:i/>
          <w:noProof/>
          <w:sz w:val="24"/>
          <w:szCs w:val="24"/>
        </w:rPr>
        <w:lastRenderedPageBreak/>
        <w:drawing>
          <wp:inline distT="0" distB="0" distL="0" distR="0" wp14:anchorId="03CD3819" wp14:editId="72EDD665">
            <wp:extent cx="5607170" cy="2191109"/>
            <wp:effectExtent l="0" t="0" r="0" b="0"/>
            <wp:docPr id="239" name="Chart 2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934C02" w:rsidRPr="00934C02" w:rsidRDefault="00934C02" w:rsidP="00934C02">
      <w:pPr>
        <w:spacing w:after="0" w:line="240" w:lineRule="auto"/>
        <w:jc w:val="center"/>
        <w:rPr>
          <w:rFonts w:ascii="Times New Roman" w:eastAsia="Times New Roman" w:hAnsi="Times New Roman" w:cs="Arial"/>
          <w:i/>
          <w:sz w:val="20"/>
          <w:szCs w:val="20"/>
          <w:lang w:val="ro-RO" w:eastAsia="pl-PL"/>
        </w:rPr>
      </w:pPr>
    </w:p>
    <w:p w:rsidR="00934C02" w:rsidRPr="00934C02" w:rsidRDefault="00934C02" w:rsidP="00934C02">
      <w:pPr>
        <w:jc w:val="center"/>
        <w:rPr>
          <w:rFonts w:ascii="Arial" w:hAnsi="Arial" w:cs="Arial"/>
          <w:sz w:val="24"/>
          <w:szCs w:val="24"/>
        </w:rPr>
      </w:pPr>
      <w:r w:rsidRPr="00934C02">
        <w:rPr>
          <w:rFonts w:ascii="Arial" w:hAnsi="Arial" w:cs="Arial"/>
          <w:sz w:val="24"/>
          <w:szCs w:val="24"/>
        </w:rPr>
        <w:t>Figura VII.8.Variaţ</w:t>
      </w:r>
      <w:r w:rsidRPr="00934C02">
        <w:rPr>
          <w:rFonts w:ascii="Arial" w:hAnsi="Arial" w:cs="Arial"/>
          <w:sz w:val="24"/>
          <w:szCs w:val="24"/>
          <w:lang w:val="ro-RO"/>
        </w:rPr>
        <w:t xml:space="preserve">ia </w:t>
      </w:r>
      <w:r w:rsidRPr="00934C02">
        <w:rPr>
          <w:rFonts w:ascii="Arial" w:hAnsi="Arial" w:cs="Arial"/>
          <w:sz w:val="24"/>
          <w:szCs w:val="24"/>
        </w:rPr>
        <w:t>cantităţi de deşeuri colectate selectiv în perioada: 2008-2014</w:t>
      </w:r>
    </w:p>
    <w:p w:rsidR="00934C02" w:rsidRPr="00934C02" w:rsidRDefault="00934C02" w:rsidP="00934C02">
      <w:pPr>
        <w:rPr>
          <w:rFonts w:ascii="Arial" w:hAnsi="Arial" w:cs="Arial"/>
          <w:sz w:val="24"/>
          <w:szCs w:val="24"/>
        </w:rPr>
      </w:pPr>
      <w:r w:rsidRPr="00934C02">
        <w:rPr>
          <w:rFonts w:ascii="Arial" w:hAnsi="Arial" w:cs="Arial"/>
          <w:b/>
          <w:bCs/>
          <w:i/>
          <w:lang w:val="pt-BR"/>
        </w:rPr>
        <w:t xml:space="preserve"> Reciclarea deşeurilor municipale rezultate din colectare selectivă la sursă</w:t>
      </w:r>
    </w:p>
    <w:p w:rsidR="00934C02" w:rsidRPr="00934C02" w:rsidRDefault="00934C02" w:rsidP="00934C02">
      <w:pPr>
        <w:autoSpaceDE w:val="0"/>
        <w:autoSpaceDN w:val="0"/>
        <w:adjustRightInd w:val="0"/>
        <w:spacing w:after="0" w:line="240" w:lineRule="auto"/>
        <w:jc w:val="both"/>
        <w:rPr>
          <w:rFonts w:ascii="Arial" w:hAnsi="Arial" w:cs="Arial"/>
          <w:bCs/>
          <w:i/>
          <w:lang w:val="pt-BR"/>
        </w:rPr>
      </w:pPr>
    </w:p>
    <w:p w:rsidR="00934C02" w:rsidRPr="00934C02" w:rsidRDefault="00934C02" w:rsidP="00934C02">
      <w:pPr>
        <w:autoSpaceDE w:val="0"/>
        <w:autoSpaceDN w:val="0"/>
        <w:adjustRightInd w:val="0"/>
        <w:spacing w:after="0" w:line="240" w:lineRule="auto"/>
        <w:jc w:val="both"/>
        <w:rPr>
          <w:rFonts w:ascii="Arial" w:hAnsi="Arial" w:cs="Arial"/>
          <w:color w:val="FF0000"/>
          <w:sz w:val="24"/>
          <w:szCs w:val="24"/>
        </w:rPr>
      </w:pPr>
      <w:r w:rsidRPr="00934C02">
        <w:rPr>
          <w:rFonts w:ascii="Arial" w:hAnsi="Arial" w:cs="Arial"/>
          <w:lang w:val="pt-BR"/>
        </w:rPr>
        <w:t xml:space="preserve">         </w:t>
      </w:r>
      <w:r w:rsidRPr="00934C02">
        <w:rPr>
          <w:rFonts w:ascii="Arial" w:hAnsi="Arial" w:cs="Arial"/>
          <w:sz w:val="24"/>
          <w:szCs w:val="24"/>
        </w:rPr>
        <w:t>Operaţiile de tratare a deşeurilor rezultate din colectare selectivă care se efectuează în judeţul Vaslui sunt realizate în centrele de colectare-valorificare precum şi în centrele reciclatoare</w:t>
      </w:r>
      <w:r w:rsidRPr="00934C02">
        <w:rPr>
          <w:rFonts w:ascii="Arial" w:hAnsi="Arial" w:cs="Arial"/>
          <w:color w:val="FF0000"/>
          <w:sz w:val="24"/>
          <w:szCs w:val="24"/>
        </w:rPr>
        <w:t>.</w:t>
      </w:r>
    </w:p>
    <w:p w:rsidR="00934C02" w:rsidRPr="00934C02" w:rsidRDefault="00934C02" w:rsidP="00934C02">
      <w:pPr>
        <w:autoSpaceDE w:val="0"/>
        <w:autoSpaceDN w:val="0"/>
        <w:adjustRightInd w:val="0"/>
        <w:spacing w:after="0" w:line="240" w:lineRule="auto"/>
        <w:rPr>
          <w:rFonts w:ascii="Arial" w:hAnsi="Arial" w:cs="Arial"/>
        </w:rPr>
      </w:pPr>
    </w:p>
    <w:p w:rsidR="00934C02" w:rsidRPr="00934C02" w:rsidRDefault="00934C02" w:rsidP="00934C02">
      <w:pPr>
        <w:autoSpaceDE w:val="0"/>
        <w:autoSpaceDN w:val="0"/>
        <w:adjustRightInd w:val="0"/>
        <w:spacing w:after="0" w:line="240" w:lineRule="auto"/>
        <w:rPr>
          <w:rFonts w:ascii="Arial" w:hAnsi="Arial" w:cs="Arial"/>
        </w:rPr>
      </w:pPr>
      <w:r w:rsidRPr="00934C02">
        <w:rPr>
          <w:rFonts w:ascii="Arial" w:hAnsi="Arial" w:cs="Arial"/>
        </w:rPr>
        <w:t xml:space="preserve">Tabelul </w:t>
      </w:r>
      <w:r w:rsidRPr="00934C02">
        <w:rPr>
          <w:rFonts w:ascii="Arial" w:hAnsi="Arial" w:cs="Arial"/>
          <w:lang w:val="it-IT"/>
        </w:rPr>
        <w:t>VII.6.</w:t>
      </w:r>
      <w:r w:rsidRPr="00934C02">
        <w:rPr>
          <w:rFonts w:ascii="Arial" w:hAnsi="Arial" w:cs="Arial"/>
        </w:rPr>
        <w:t xml:space="preserve"> </w:t>
      </w:r>
      <w:r w:rsidRPr="00934C02">
        <w:rPr>
          <w:rFonts w:ascii="Arial" w:hAnsi="Arial" w:cs="Arial"/>
          <w:sz w:val="24"/>
          <w:szCs w:val="24"/>
        </w:rPr>
        <w:t>Operatori economici care gestionează deşeuri de ambalaje la sfârşitul anului 2015</w:t>
      </w:r>
    </w:p>
    <w:tbl>
      <w:tblPr>
        <w:tblW w:w="9498"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844"/>
        <w:gridCol w:w="708"/>
        <w:gridCol w:w="1276"/>
        <w:gridCol w:w="851"/>
        <w:gridCol w:w="992"/>
        <w:gridCol w:w="992"/>
        <w:gridCol w:w="992"/>
        <w:gridCol w:w="709"/>
        <w:gridCol w:w="1134"/>
      </w:tblGrid>
      <w:tr w:rsidR="00934C02" w:rsidRPr="00934C02" w:rsidTr="00855393">
        <w:trPr>
          <w:trHeight w:val="622"/>
        </w:trPr>
        <w:tc>
          <w:tcPr>
            <w:tcW w:w="1844" w:type="dxa"/>
            <w:vMerge w:val="restart"/>
            <w:tcBorders>
              <w:top w:val="single" w:sz="6" w:space="0" w:color="auto"/>
              <w:left w:val="single" w:sz="6" w:space="0" w:color="auto"/>
              <w:bottom w:val="single" w:sz="6" w:space="0" w:color="auto"/>
              <w:right w:val="single" w:sz="6" w:space="0" w:color="auto"/>
            </w:tcBorders>
            <w:hideMark/>
          </w:tcPr>
          <w:p w:rsidR="00934C02" w:rsidRPr="00934C02" w:rsidRDefault="00934C02" w:rsidP="00934C02">
            <w:pPr>
              <w:spacing w:after="0" w:line="240" w:lineRule="auto"/>
              <w:jc w:val="center"/>
              <w:rPr>
                <w:rFonts w:ascii="Arial" w:hAnsi="Arial" w:cs="Arial"/>
                <w:b/>
                <w:i/>
                <w:sz w:val="20"/>
                <w:szCs w:val="20"/>
              </w:rPr>
            </w:pPr>
            <w:r w:rsidRPr="00934C02">
              <w:rPr>
                <w:rFonts w:ascii="Arial" w:hAnsi="Arial" w:cs="Arial"/>
                <w:b/>
                <w:i/>
                <w:sz w:val="20"/>
                <w:szCs w:val="20"/>
              </w:rPr>
              <w:t>Material</w:t>
            </w:r>
          </w:p>
        </w:tc>
        <w:tc>
          <w:tcPr>
            <w:tcW w:w="708" w:type="dxa"/>
            <w:vMerge w:val="restart"/>
            <w:tcBorders>
              <w:top w:val="single" w:sz="6" w:space="0" w:color="auto"/>
              <w:left w:val="single" w:sz="6" w:space="0" w:color="auto"/>
              <w:bottom w:val="single" w:sz="4" w:space="0" w:color="auto"/>
              <w:right w:val="single" w:sz="6" w:space="0" w:color="auto"/>
            </w:tcBorders>
            <w:hideMark/>
          </w:tcPr>
          <w:p w:rsidR="00934C02" w:rsidRPr="00934C02" w:rsidRDefault="00934C02" w:rsidP="00934C02">
            <w:pPr>
              <w:spacing w:after="0" w:line="240" w:lineRule="auto"/>
              <w:jc w:val="center"/>
              <w:rPr>
                <w:rFonts w:ascii="Arial" w:hAnsi="Arial" w:cs="Arial"/>
                <w:b/>
                <w:i/>
                <w:sz w:val="20"/>
                <w:szCs w:val="20"/>
              </w:rPr>
            </w:pPr>
            <w:r w:rsidRPr="00934C02">
              <w:rPr>
                <w:rFonts w:ascii="Arial" w:hAnsi="Arial" w:cs="Arial"/>
                <w:b/>
                <w:i/>
                <w:sz w:val="20"/>
                <w:szCs w:val="20"/>
              </w:rPr>
              <w:t>PET</w:t>
            </w:r>
          </w:p>
        </w:tc>
        <w:tc>
          <w:tcPr>
            <w:tcW w:w="1276" w:type="dxa"/>
            <w:vMerge w:val="restart"/>
            <w:tcBorders>
              <w:top w:val="single" w:sz="6" w:space="0" w:color="auto"/>
              <w:left w:val="single" w:sz="6" w:space="0" w:color="auto"/>
              <w:bottom w:val="single" w:sz="4" w:space="0" w:color="auto"/>
              <w:right w:val="single" w:sz="6" w:space="0" w:color="auto"/>
            </w:tcBorders>
            <w:hideMark/>
          </w:tcPr>
          <w:p w:rsidR="00934C02" w:rsidRPr="00934C02" w:rsidRDefault="00934C02" w:rsidP="00934C02">
            <w:pPr>
              <w:spacing w:after="0" w:line="240" w:lineRule="auto"/>
              <w:jc w:val="center"/>
              <w:rPr>
                <w:rFonts w:ascii="Arial" w:hAnsi="Arial" w:cs="Arial"/>
                <w:b/>
                <w:i/>
                <w:sz w:val="20"/>
                <w:szCs w:val="20"/>
              </w:rPr>
            </w:pPr>
            <w:r w:rsidRPr="00934C02">
              <w:rPr>
                <w:rFonts w:ascii="Arial" w:hAnsi="Arial" w:cs="Arial"/>
                <w:b/>
                <w:i/>
                <w:sz w:val="20"/>
                <w:szCs w:val="20"/>
              </w:rPr>
              <w:t>Materiale plastice (HDPE, PVC, LDPE, PP, PS)</w:t>
            </w:r>
          </w:p>
        </w:tc>
        <w:tc>
          <w:tcPr>
            <w:tcW w:w="851" w:type="dxa"/>
            <w:vMerge w:val="restart"/>
            <w:tcBorders>
              <w:top w:val="single" w:sz="6" w:space="0" w:color="auto"/>
              <w:left w:val="single" w:sz="6" w:space="0" w:color="auto"/>
              <w:bottom w:val="single" w:sz="4" w:space="0" w:color="auto"/>
              <w:right w:val="single" w:sz="6" w:space="0" w:color="auto"/>
            </w:tcBorders>
            <w:hideMark/>
          </w:tcPr>
          <w:p w:rsidR="00934C02" w:rsidRPr="00934C02" w:rsidRDefault="00934C02" w:rsidP="00934C02">
            <w:pPr>
              <w:spacing w:after="0" w:line="240" w:lineRule="auto"/>
              <w:jc w:val="center"/>
              <w:rPr>
                <w:rFonts w:ascii="Arial" w:hAnsi="Arial" w:cs="Arial"/>
                <w:b/>
                <w:i/>
                <w:sz w:val="20"/>
                <w:szCs w:val="20"/>
              </w:rPr>
            </w:pPr>
            <w:r w:rsidRPr="00934C02">
              <w:rPr>
                <w:rFonts w:ascii="Arial" w:hAnsi="Arial" w:cs="Arial"/>
                <w:b/>
                <w:i/>
                <w:sz w:val="20"/>
                <w:szCs w:val="20"/>
              </w:rPr>
              <w:t>Hârtie/</w:t>
            </w:r>
          </w:p>
          <w:p w:rsidR="00934C02" w:rsidRPr="00934C02" w:rsidRDefault="00934C02" w:rsidP="00934C02">
            <w:pPr>
              <w:spacing w:after="0" w:line="240" w:lineRule="auto"/>
              <w:jc w:val="center"/>
              <w:rPr>
                <w:rFonts w:ascii="Arial" w:hAnsi="Arial" w:cs="Arial"/>
                <w:b/>
                <w:i/>
                <w:sz w:val="20"/>
                <w:szCs w:val="20"/>
              </w:rPr>
            </w:pPr>
            <w:r w:rsidRPr="00934C02">
              <w:rPr>
                <w:rFonts w:ascii="Arial" w:hAnsi="Arial" w:cs="Arial"/>
                <w:b/>
                <w:i/>
                <w:sz w:val="20"/>
                <w:szCs w:val="20"/>
              </w:rPr>
              <w:t>Carton</w:t>
            </w:r>
          </w:p>
        </w:tc>
        <w:tc>
          <w:tcPr>
            <w:tcW w:w="992" w:type="dxa"/>
            <w:vMerge w:val="restart"/>
            <w:tcBorders>
              <w:top w:val="single" w:sz="6" w:space="0" w:color="auto"/>
              <w:left w:val="single" w:sz="6" w:space="0" w:color="auto"/>
              <w:bottom w:val="single" w:sz="4" w:space="0" w:color="auto"/>
              <w:right w:val="single" w:sz="6" w:space="0" w:color="auto"/>
            </w:tcBorders>
            <w:hideMark/>
          </w:tcPr>
          <w:p w:rsidR="00934C02" w:rsidRPr="00934C02" w:rsidRDefault="00934C02" w:rsidP="00934C02">
            <w:pPr>
              <w:spacing w:after="0" w:line="240" w:lineRule="auto"/>
              <w:jc w:val="center"/>
              <w:rPr>
                <w:rFonts w:ascii="Arial" w:hAnsi="Arial" w:cs="Arial"/>
                <w:b/>
                <w:i/>
                <w:sz w:val="20"/>
                <w:szCs w:val="20"/>
              </w:rPr>
            </w:pPr>
            <w:r w:rsidRPr="00934C02">
              <w:rPr>
                <w:rFonts w:ascii="Arial" w:hAnsi="Arial" w:cs="Arial"/>
                <w:b/>
                <w:i/>
                <w:sz w:val="20"/>
                <w:szCs w:val="20"/>
              </w:rPr>
              <w:t>Metal (oţel, aluminiu)</w:t>
            </w:r>
          </w:p>
        </w:tc>
        <w:tc>
          <w:tcPr>
            <w:tcW w:w="992" w:type="dxa"/>
            <w:vMerge w:val="restart"/>
            <w:tcBorders>
              <w:top w:val="single" w:sz="6" w:space="0" w:color="auto"/>
              <w:left w:val="single" w:sz="6" w:space="0" w:color="auto"/>
              <w:bottom w:val="single" w:sz="4" w:space="0" w:color="auto"/>
              <w:right w:val="single" w:sz="6" w:space="0" w:color="auto"/>
            </w:tcBorders>
            <w:hideMark/>
          </w:tcPr>
          <w:p w:rsidR="00934C02" w:rsidRPr="00934C02" w:rsidRDefault="00934C02" w:rsidP="00934C02">
            <w:pPr>
              <w:spacing w:after="0" w:line="240" w:lineRule="auto"/>
              <w:jc w:val="center"/>
              <w:rPr>
                <w:rFonts w:ascii="Arial" w:hAnsi="Arial" w:cs="Arial"/>
                <w:b/>
                <w:i/>
                <w:sz w:val="20"/>
                <w:szCs w:val="20"/>
              </w:rPr>
            </w:pPr>
            <w:r w:rsidRPr="00934C02">
              <w:rPr>
                <w:rFonts w:ascii="Arial" w:hAnsi="Arial" w:cs="Arial"/>
                <w:b/>
                <w:i/>
                <w:sz w:val="20"/>
                <w:szCs w:val="20"/>
              </w:rPr>
              <w:t>Lemn</w:t>
            </w:r>
          </w:p>
        </w:tc>
        <w:tc>
          <w:tcPr>
            <w:tcW w:w="992" w:type="dxa"/>
            <w:vMerge w:val="restart"/>
            <w:tcBorders>
              <w:top w:val="single" w:sz="6" w:space="0" w:color="auto"/>
              <w:left w:val="single" w:sz="6" w:space="0" w:color="auto"/>
              <w:bottom w:val="single" w:sz="4" w:space="0" w:color="auto"/>
              <w:right w:val="single" w:sz="6" w:space="0" w:color="auto"/>
            </w:tcBorders>
            <w:hideMark/>
          </w:tcPr>
          <w:p w:rsidR="00934C02" w:rsidRPr="00934C02" w:rsidRDefault="00934C02" w:rsidP="00934C02">
            <w:pPr>
              <w:spacing w:after="0" w:line="240" w:lineRule="auto"/>
              <w:jc w:val="center"/>
              <w:rPr>
                <w:rFonts w:ascii="Arial" w:hAnsi="Arial" w:cs="Arial"/>
                <w:b/>
                <w:i/>
                <w:sz w:val="20"/>
                <w:szCs w:val="20"/>
              </w:rPr>
            </w:pPr>
            <w:r w:rsidRPr="00934C02">
              <w:rPr>
                <w:rFonts w:ascii="Arial" w:hAnsi="Arial" w:cs="Arial"/>
                <w:b/>
                <w:i/>
                <w:sz w:val="20"/>
                <w:szCs w:val="20"/>
              </w:rPr>
              <w:t>Textile</w:t>
            </w:r>
          </w:p>
          <w:p w:rsidR="00934C02" w:rsidRPr="00934C02" w:rsidRDefault="00934C02" w:rsidP="00934C02">
            <w:pPr>
              <w:spacing w:after="0" w:line="240" w:lineRule="auto"/>
              <w:jc w:val="center"/>
              <w:rPr>
                <w:rFonts w:ascii="Arial" w:hAnsi="Arial" w:cs="Arial"/>
                <w:b/>
                <w:i/>
                <w:sz w:val="20"/>
                <w:szCs w:val="20"/>
              </w:rPr>
            </w:pPr>
            <w:r w:rsidRPr="00934C02">
              <w:rPr>
                <w:rFonts w:ascii="Arial" w:hAnsi="Arial" w:cs="Arial"/>
                <w:b/>
                <w:i/>
                <w:sz w:val="20"/>
                <w:szCs w:val="20"/>
              </w:rPr>
              <w:t>(bumbac, iuta)</w:t>
            </w:r>
          </w:p>
        </w:tc>
        <w:tc>
          <w:tcPr>
            <w:tcW w:w="1843" w:type="dxa"/>
            <w:gridSpan w:val="2"/>
            <w:tcBorders>
              <w:top w:val="single" w:sz="6" w:space="0" w:color="auto"/>
              <w:left w:val="single" w:sz="6" w:space="0" w:color="auto"/>
              <w:bottom w:val="single" w:sz="6" w:space="0" w:color="auto"/>
              <w:right w:val="single" w:sz="6" w:space="0" w:color="auto"/>
            </w:tcBorders>
          </w:tcPr>
          <w:p w:rsidR="00934C02" w:rsidRPr="00934C02" w:rsidRDefault="00934C02" w:rsidP="00934C02">
            <w:pPr>
              <w:spacing w:after="0" w:line="240" w:lineRule="auto"/>
              <w:jc w:val="center"/>
              <w:rPr>
                <w:rFonts w:ascii="Arial" w:hAnsi="Arial" w:cs="Arial"/>
                <w:b/>
                <w:i/>
                <w:sz w:val="20"/>
                <w:szCs w:val="20"/>
              </w:rPr>
            </w:pPr>
            <w:r w:rsidRPr="00934C02">
              <w:rPr>
                <w:rFonts w:ascii="Arial" w:hAnsi="Arial" w:cs="Arial"/>
                <w:b/>
                <w:i/>
                <w:sz w:val="20"/>
                <w:szCs w:val="20"/>
              </w:rPr>
              <w:t>Sticlă</w:t>
            </w:r>
          </w:p>
          <w:p w:rsidR="00934C02" w:rsidRPr="00934C02" w:rsidRDefault="00934C02" w:rsidP="00934C02">
            <w:pPr>
              <w:spacing w:after="0" w:line="240" w:lineRule="auto"/>
              <w:jc w:val="center"/>
              <w:rPr>
                <w:rFonts w:ascii="Arial" w:hAnsi="Arial" w:cs="Arial"/>
                <w:b/>
                <w:i/>
                <w:sz w:val="20"/>
                <w:szCs w:val="20"/>
              </w:rPr>
            </w:pPr>
          </w:p>
          <w:p w:rsidR="00934C02" w:rsidRPr="00934C02" w:rsidRDefault="00934C02" w:rsidP="00934C02">
            <w:pPr>
              <w:spacing w:after="0" w:line="240" w:lineRule="auto"/>
              <w:jc w:val="center"/>
              <w:rPr>
                <w:rFonts w:ascii="Arial" w:hAnsi="Arial" w:cs="Arial"/>
                <w:b/>
                <w:i/>
                <w:sz w:val="20"/>
                <w:szCs w:val="20"/>
              </w:rPr>
            </w:pPr>
          </w:p>
        </w:tc>
      </w:tr>
      <w:tr w:rsidR="00934C02" w:rsidRPr="00934C02" w:rsidTr="00855393">
        <w:trPr>
          <w:trHeight w:val="220"/>
        </w:trPr>
        <w:tc>
          <w:tcPr>
            <w:tcW w:w="1844" w:type="dxa"/>
            <w:vMerge/>
            <w:tcBorders>
              <w:top w:val="single" w:sz="6" w:space="0" w:color="auto"/>
              <w:left w:val="single" w:sz="6" w:space="0" w:color="auto"/>
              <w:bottom w:val="single" w:sz="6" w:space="0" w:color="auto"/>
              <w:right w:val="single" w:sz="6" w:space="0" w:color="auto"/>
            </w:tcBorders>
            <w:vAlign w:val="center"/>
            <w:hideMark/>
          </w:tcPr>
          <w:p w:rsidR="00934C02" w:rsidRPr="00934C02" w:rsidRDefault="00934C02" w:rsidP="00934C02">
            <w:pPr>
              <w:spacing w:after="0" w:line="240" w:lineRule="auto"/>
              <w:rPr>
                <w:rFonts w:ascii="Arial" w:hAnsi="Arial" w:cs="Arial"/>
                <w:b/>
                <w:i/>
                <w:sz w:val="20"/>
                <w:szCs w:val="20"/>
              </w:rPr>
            </w:pPr>
          </w:p>
        </w:tc>
        <w:tc>
          <w:tcPr>
            <w:tcW w:w="708" w:type="dxa"/>
            <w:vMerge/>
            <w:tcBorders>
              <w:top w:val="single" w:sz="6" w:space="0" w:color="auto"/>
              <w:left w:val="single" w:sz="6" w:space="0" w:color="auto"/>
              <w:bottom w:val="single" w:sz="4" w:space="0" w:color="auto"/>
              <w:right w:val="single" w:sz="6" w:space="0" w:color="auto"/>
            </w:tcBorders>
            <w:vAlign w:val="center"/>
            <w:hideMark/>
          </w:tcPr>
          <w:p w:rsidR="00934C02" w:rsidRPr="00934C02" w:rsidRDefault="00934C02" w:rsidP="00934C02">
            <w:pPr>
              <w:spacing w:after="0" w:line="240" w:lineRule="auto"/>
              <w:rPr>
                <w:rFonts w:ascii="Arial" w:hAnsi="Arial" w:cs="Arial"/>
                <w:b/>
                <w:i/>
                <w:sz w:val="20"/>
                <w:szCs w:val="20"/>
              </w:rPr>
            </w:pPr>
          </w:p>
        </w:tc>
        <w:tc>
          <w:tcPr>
            <w:tcW w:w="1276" w:type="dxa"/>
            <w:vMerge/>
            <w:tcBorders>
              <w:top w:val="single" w:sz="6" w:space="0" w:color="auto"/>
              <w:left w:val="single" w:sz="6" w:space="0" w:color="auto"/>
              <w:bottom w:val="single" w:sz="4" w:space="0" w:color="auto"/>
              <w:right w:val="single" w:sz="6" w:space="0" w:color="auto"/>
            </w:tcBorders>
            <w:vAlign w:val="center"/>
            <w:hideMark/>
          </w:tcPr>
          <w:p w:rsidR="00934C02" w:rsidRPr="00934C02" w:rsidRDefault="00934C02" w:rsidP="00934C02">
            <w:pPr>
              <w:spacing w:after="0" w:line="240" w:lineRule="auto"/>
              <w:rPr>
                <w:rFonts w:ascii="Arial" w:hAnsi="Arial" w:cs="Arial"/>
                <w:b/>
                <w:i/>
                <w:sz w:val="20"/>
                <w:szCs w:val="20"/>
              </w:rPr>
            </w:pPr>
          </w:p>
        </w:tc>
        <w:tc>
          <w:tcPr>
            <w:tcW w:w="851" w:type="dxa"/>
            <w:vMerge/>
            <w:tcBorders>
              <w:top w:val="single" w:sz="6" w:space="0" w:color="auto"/>
              <w:left w:val="single" w:sz="6" w:space="0" w:color="auto"/>
              <w:bottom w:val="single" w:sz="4" w:space="0" w:color="auto"/>
              <w:right w:val="single" w:sz="6" w:space="0" w:color="auto"/>
            </w:tcBorders>
            <w:vAlign w:val="center"/>
            <w:hideMark/>
          </w:tcPr>
          <w:p w:rsidR="00934C02" w:rsidRPr="00934C02" w:rsidRDefault="00934C02" w:rsidP="00934C02">
            <w:pPr>
              <w:spacing w:after="0" w:line="240" w:lineRule="auto"/>
              <w:rPr>
                <w:rFonts w:ascii="Arial" w:hAnsi="Arial" w:cs="Arial"/>
                <w:b/>
                <w:i/>
                <w:sz w:val="20"/>
                <w:szCs w:val="20"/>
              </w:rPr>
            </w:pPr>
          </w:p>
        </w:tc>
        <w:tc>
          <w:tcPr>
            <w:tcW w:w="992" w:type="dxa"/>
            <w:vMerge/>
            <w:tcBorders>
              <w:top w:val="single" w:sz="6" w:space="0" w:color="auto"/>
              <w:left w:val="single" w:sz="6" w:space="0" w:color="auto"/>
              <w:bottom w:val="single" w:sz="4" w:space="0" w:color="auto"/>
              <w:right w:val="single" w:sz="6" w:space="0" w:color="auto"/>
            </w:tcBorders>
            <w:vAlign w:val="center"/>
            <w:hideMark/>
          </w:tcPr>
          <w:p w:rsidR="00934C02" w:rsidRPr="00934C02" w:rsidRDefault="00934C02" w:rsidP="00934C02">
            <w:pPr>
              <w:spacing w:after="0" w:line="240" w:lineRule="auto"/>
              <w:rPr>
                <w:rFonts w:ascii="Arial" w:hAnsi="Arial" w:cs="Arial"/>
                <w:b/>
                <w:i/>
                <w:sz w:val="20"/>
                <w:szCs w:val="20"/>
              </w:rPr>
            </w:pPr>
          </w:p>
        </w:tc>
        <w:tc>
          <w:tcPr>
            <w:tcW w:w="992" w:type="dxa"/>
            <w:vMerge/>
            <w:tcBorders>
              <w:top w:val="single" w:sz="6" w:space="0" w:color="auto"/>
              <w:left w:val="single" w:sz="6" w:space="0" w:color="auto"/>
              <w:bottom w:val="single" w:sz="4" w:space="0" w:color="auto"/>
              <w:right w:val="single" w:sz="6" w:space="0" w:color="auto"/>
            </w:tcBorders>
            <w:vAlign w:val="center"/>
            <w:hideMark/>
          </w:tcPr>
          <w:p w:rsidR="00934C02" w:rsidRPr="00934C02" w:rsidRDefault="00934C02" w:rsidP="00934C02">
            <w:pPr>
              <w:spacing w:after="0" w:line="240" w:lineRule="auto"/>
              <w:rPr>
                <w:rFonts w:ascii="Arial" w:hAnsi="Arial" w:cs="Arial"/>
                <w:b/>
                <w:i/>
                <w:sz w:val="20"/>
                <w:szCs w:val="20"/>
              </w:rPr>
            </w:pPr>
          </w:p>
        </w:tc>
        <w:tc>
          <w:tcPr>
            <w:tcW w:w="992" w:type="dxa"/>
            <w:vMerge/>
            <w:tcBorders>
              <w:top w:val="single" w:sz="6" w:space="0" w:color="auto"/>
              <w:left w:val="single" w:sz="6" w:space="0" w:color="auto"/>
              <w:bottom w:val="single" w:sz="4" w:space="0" w:color="auto"/>
              <w:right w:val="single" w:sz="6" w:space="0" w:color="auto"/>
            </w:tcBorders>
            <w:vAlign w:val="center"/>
            <w:hideMark/>
          </w:tcPr>
          <w:p w:rsidR="00934C02" w:rsidRPr="00934C02" w:rsidRDefault="00934C02" w:rsidP="00934C02">
            <w:pPr>
              <w:spacing w:after="0" w:line="240" w:lineRule="auto"/>
              <w:rPr>
                <w:rFonts w:ascii="Arial" w:hAnsi="Arial" w:cs="Arial"/>
                <w:b/>
                <w:i/>
                <w:sz w:val="20"/>
                <w:szCs w:val="20"/>
              </w:rPr>
            </w:pPr>
          </w:p>
        </w:tc>
        <w:tc>
          <w:tcPr>
            <w:tcW w:w="709" w:type="dxa"/>
            <w:tcBorders>
              <w:top w:val="single" w:sz="6" w:space="0" w:color="auto"/>
              <w:left w:val="single" w:sz="6" w:space="0" w:color="auto"/>
              <w:bottom w:val="single" w:sz="4" w:space="0" w:color="auto"/>
              <w:right w:val="single" w:sz="6" w:space="0" w:color="auto"/>
            </w:tcBorders>
            <w:hideMark/>
          </w:tcPr>
          <w:p w:rsidR="00934C02" w:rsidRPr="00934C02" w:rsidRDefault="00934C02" w:rsidP="00934C02">
            <w:pPr>
              <w:spacing w:after="0" w:line="240" w:lineRule="auto"/>
              <w:jc w:val="center"/>
              <w:rPr>
                <w:rFonts w:ascii="Arial" w:hAnsi="Arial" w:cs="Arial"/>
                <w:b/>
                <w:i/>
                <w:sz w:val="20"/>
                <w:szCs w:val="20"/>
              </w:rPr>
            </w:pPr>
            <w:r w:rsidRPr="00934C02">
              <w:rPr>
                <w:rFonts w:ascii="Arial" w:hAnsi="Arial" w:cs="Arial"/>
                <w:b/>
                <w:i/>
                <w:sz w:val="20"/>
                <w:szCs w:val="20"/>
              </w:rPr>
              <w:t>albă</w:t>
            </w:r>
          </w:p>
        </w:tc>
        <w:tc>
          <w:tcPr>
            <w:tcW w:w="1134" w:type="dxa"/>
            <w:tcBorders>
              <w:top w:val="single" w:sz="6" w:space="0" w:color="auto"/>
              <w:left w:val="single" w:sz="6" w:space="0" w:color="auto"/>
              <w:bottom w:val="single" w:sz="4" w:space="0" w:color="auto"/>
              <w:right w:val="single" w:sz="6" w:space="0" w:color="auto"/>
            </w:tcBorders>
            <w:hideMark/>
          </w:tcPr>
          <w:p w:rsidR="00934C02" w:rsidRPr="00934C02" w:rsidRDefault="00934C02" w:rsidP="00934C02">
            <w:pPr>
              <w:spacing w:after="0" w:line="240" w:lineRule="auto"/>
              <w:jc w:val="center"/>
              <w:rPr>
                <w:rFonts w:ascii="Arial" w:hAnsi="Arial" w:cs="Arial"/>
                <w:b/>
                <w:i/>
                <w:sz w:val="20"/>
                <w:szCs w:val="20"/>
              </w:rPr>
            </w:pPr>
            <w:r w:rsidRPr="00934C02">
              <w:rPr>
                <w:rFonts w:ascii="Arial" w:hAnsi="Arial" w:cs="Arial"/>
                <w:b/>
                <w:i/>
                <w:sz w:val="20"/>
                <w:szCs w:val="20"/>
              </w:rPr>
              <w:t>colorată</w:t>
            </w:r>
          </w:p>
        </w:tc>
      </w:tr>
      <w:tr w:rsidR="00934C02" w:rsidRPr="00934C02" w:rsidTr="00855393">
        <w:trPr>
          <w:trHeight w:val="240"/>
        </w:trPr>
        <w:tc>
          <w:tcPr>
            <w:tcW w:w="1844" w:type="dxa"/>
            <w:tcBorders>
              <w:top w:val="single" w:sz="6" w:space="0" w:color="auto"/>
              <w:left w:val="single" w:sz="6" w:space="0" w:color="auto"/>
              <w:bottom w:val="single" w:sz="6" w:space="0" w:color="auto"/>
              <w:right w:val="single" w:sz="4" w:space="0" w:color="auto"/>
            </w:tcBorders>
            <w:hideMark/>
          </w:tcPr>
          <w:p w:rsidR="00934C02" w:rsidRPr="00934C02" w:rsidRDefault="00934C02" w:rsidP="00934C02">
            <w:pPr>
              <w:spacing w:after="0" w:line="240" w:lineRule="auto"/>
              <w:rPr>
                <w:rFonts w:ascii="Arial" w:hAnsi="Arial" w:cs="Arial"/>
                <w:sz w:val="20"/>
                <w:szCs w:val="20"/>
              </w:rPr>
            </w:pPr>
            <w:r w:rsidRPr="00934C02">
              <w:rPr>
                <w:rFonts w:ascii="Arial" w:hAnsi="Arial" w:cs="Arial"/>
                <w:sz w:val="20"/>
                <w:szCs w:val="20"/>
              </w:rPr>
              <w:t>Număr colectori</w:t>
            </w:r>
          </w:p>
        </w:tc>
        <w:tc>
          <w:tcPr>
            <w:tcW w:w="708" w:type="dxa"/>
            <w:tcBorders>
              <w:top w:val="single" w:sz="4" w:space="0" w:color="auto"/>
              <w:left w:val="single" w:sz="4" w:space="0" w:color="auto"/>
              <w:bottom w:val="single" w:sz="6" w:space="0" w:color="auto"/>
              <w:right w:val="single" w:sz="6" w:space="0" w:color="auto"/>
            </w:tcBorders>
            <w:vAlign w:val="center"/>
            <w:hideMark/>
          </w:tcPr>
          <w:p w:rsidR="00934C02" w:rsidRPr="00934C02" w:rsidRDefault="00934C02" w:rsidP="00934C02">
            <w:pPr>
              <w:spacing w:after="0" w:line="240" w:lineRule="auto"/>
              <w:jc w:val="center"/>
              <w:rPr>
                <w:rFonts w:ascii="Arial" w:hAnsi="Arial" w:cs="Arial"/>
                <w:sz w:val="20"/>
                <w:szCs w:val="20"/>
              </w:rPr>
            </w:pPr>
            <w:r w:rsidRPr="00934C02">
              <w:rPr>
                <w:rFonts w:ascii="Arial" w:hAnsi="Arial" w:cs="Arial"/>
                <w:sz w:val="20"/>
                <w:szCs w:val="20"/>
              </w:rPr>
              <w:t>19</w:t>
            </w:r>
          </w:p>
        </w:tc>
        <w:tc>
          <w:tcPr>
            <w:tcW w:w="1276" w:type="dxa"/>
            <w:tcBorders>
              <w:top w:val="single" w:sz="4" w:space="0" w:color="auto"/>
              <w:left w:val="single" w:sz="6" w:space="0" w:color="auto"/>
              <w:bottom w:val="single" w:sz="6" w:space="0" w:color="auto"/>
              <w:right w:val="single" w:sz="6" w:space="0" w:color="auto"/>
            </w:tcBorders>
            <w:vAlign w:val="center"/>
            <w:hideMark/>
          </w:tcPr>
          <w:p w:rsidR="00934C02" w:rsidRPr="00934C02" w:rsidRDefault="00934C02" w:rsidP="00934C02">
            <w:pPr>
              <w:spacing w:after="0" w:line="240" w:lineRule="auto"/>
              <w:jc w:val="center"/>
              <w:rPr>
                <w:rFonts w:ascii="Arial" w:hAnsi="Arial" w:cs="Arial"/>
                <w:sz w:val="20"/>
                <w:szCs w:val="20"/>
              </w:rPr>
            </w:pPr>
            <w:r w:rsidRPr="00934C02">
              <w:rPr>
                <w:rFonts w:ascii="Arial" w:hAnsi="Arial" w:cs="Arial"/>
                <w:sz w:val="20"/>
                <w:szCs w:val="20"/>
              </w:rPr>
              <w:t>22</w:t>
            </w:r>
          </w:p>
        </w:tc>
        <w:tc>
          <w:tcPr>
            <w:tcW w:w="851" w:type="dxa"/>
            <w:tcBorders>
              <w:top w:val="single" w:sz="4" w:space="0" w:color="auto"/>
              <w:left w:val="single" w:sz="6" w:space="0" w:color="auto"/>
              <w:bottom w:val="single" w:sz="6" w:space="0" w:color="auto"/>
              <w:right w:val="single" w:sz="6" w:space="0" w:color="auto"/>
            </w:tcBorders>
            <w:vAlign w:val="center"/>
            <w:hideMark/>
          </w:tcPr>
          <w:p w:rsidR="00934C02" w:rsidRPr="00934C02" w:rsidRDefault="00934C02" w:rsidP="00934C02">
            <w:pPr>
              <w:spacing w:after="0" w:line="240" w:lineRule="auto"/>
              <w:jc w:val="center"/>
              <w:rPr>
                <w:rFonts w:ascii="Arial" w:hAnsi="Arial" w:cs="Arial"/>
                <w:sz w:val="20"/>
                <w:szCs w:val="20"/>
              </w:rPr>
            </w:pPr>
            <w:r w:rsidRPr="00934C02">
              <w:rPr>
                <w:rFonts w:ascii="Arial" w:hAnsi="Arial" w:cs="Arial"/>
                <w:sz w:val="20"/>
                <w:szCs w:val="20"/>
              </w:rPr>
              <w:t>20</w:t>
            </w:r>
          </w:p>
        </w:tc>
        <w:tc>
          <w:tcPr>
            <w:tcW w:w="992" w:type="dxa"/>
            <w:tcBorders>
              <w:top w:val="single" w:sz="4" w:space="0" w:color="auto"/>
              <w:left w:val="single" w:sz="6" w:space="0" w:color="auto"/>
              <w:bottom w:val="single" w:sz="6" w:space="0" w:color="auto"/>
              <w:right w:val="single" w:sz="6" w:space="0" w:color="auto"/>
            </w:tcBorders>
            <w:vAlign w:val="center"/>
            <w:hideMark/>
          </w:tcPr>
          <w:p w:rsidR="00934C02" w:rsidRPr="00934C02" w:rsidRDefault="00934C02" w:rsidP="00934C02">
            <w:pPr>
              <w:spacing w:after="0" w:line="240" w:lineRule="auto"/>
              <w:jc w:val="center"/>
              <w:rPr>
                <w:rFonts w:ascii="Arial" w:hAnsi="Arial" w:cs="Arial"/>
                <w:sz w:val="20"/>
                <w:szCs w:val="20"/>
              </w:rPr>
            </w:pPr>
            <w:r w:rsidRPr="00934C02">
              <w:rPr>
                <w:rFonts w:ascii="Arial" w:hAnsi="Arial" w:cs="Arial"/>
                <w:sz w:val="20"/>
                <w:szCs w:val="20"/>
              </w:rPr>
              <w:t>43</w:t>
            </w:r>
          </w:p>
        </w:tc>
        <w:tc>
          <w:tcPr>
            <w:tcW w:w="992" w:type="dxa"/>
            <w:tcBorders>
              <w:top w:val="single" w:sz="4" w:space="0" w:color="auto"/>
              <w:left w:val="single" w:sz="6" w:space="0" w:color="auto"/>
              <w:bottom w:val="single" w:sz="6" w:space="0" w:color="auto"/>
              <w:right w:val="single" w:sz="6" w:space="0" w:color="auto"/>
            </w:tcBorders>
            <w:vAlign w:val="center"/>
            <w:hideMark/>
          </w:tcPr>
          <w:p w:rsidR="00934C02" w:rsidRPr="00934C02" w:rsidRDefault="00934C02" w:rsidP="00934C02">
            <w:pPr>
              <w:spacing w:after="0" w:line="240" w:lineRule="auto"/>
              <w:jc w:val="center"/>
              <w:rPr>
                <w:rFonts w:ascii="Arial" w:hAnsi="Arial" w:cs="Arial"/>
                <w:sz w:val="20"/>
                <w:szCs w:val="20"/>
              </w:rPr>
            </w:pPr>
            <w:r w:rsidRPr="00934C02">
              <w:rPr>
                <w:rFonts w:ascii="Arial" w:hAnsi="Arial" w:cs="Arial"/>
                <w:sz w:val="20"/>
                <w:szCs w:val="20"/>
              </w:rPr>
              <w:t>3</w:t>
            </w:r>
          </w:p>
        </w:tc>
        <w:tc>
          <w:tcPr>
            <w:tcW w:w="992" w:type="dxa"/>
            <w:tcBorders>
              <w:top w:val="single" w:sz="4" w:space="0" w:color="auto"/>
              <w:left w:val="single" w:sz="6" w:space="0" w:color="auto"/>
              <w:bottom w:val="single" w:sz="6" w:space="0" w:color="auto"/>
              <w:right w:val="single" w:sz="6" w:space="0" w:color="auto"/>
            </w:tcBorders>
            <w:vAlign w:val="center"/>
            <w:hideMark/>
          </w:tcPr>
          <w:p w:rsidR="00934C02" w:rsidRPr="00934C02" w:rsidRDefault="00934C02" w:rsidP="00934C02">
            <w:pPr>
              <w:spacing w:after="0" w:line="240" w:lineRule="auto"/>
              <w:jc w:val="center"/>
              <w:rPr>
                <w:rFonts w:ascii="Arial" w:hAnsi="Arial" w:cs="Arial"/>
                <w:sz w:val="20"/>
                <w:szCs w:val="20"/>
              </w:rPr>
            </w:pPr>
            <w:r w:rsidRPr="00934C02">
              <w:rPr>
                <w:rFonts w:ascii="Arial" w:hAnsi="Arial" w:cs="Arial"/>
                <w:sz w:val="20"/>
                <w:szCs w:val="20"/>
              </w:rPr>
              <w:t>2</w:t>
            </w:r>
          </w:p>
        </w:tc>
        <w:tc>
          <w:tcPr>
            <w:tcW w:w="709" w:type="dxa"/>
            <w:tcBorders>
              <w:top w:val="single" w:sz="4" w:space="0" w:color="auto"/>
              <w:left w:val="single" w:sz="6" w:space="0" w:color="auto"/>
              <w:bottom w:val="single" w:sz="6" w:space="0" w:color="auto"/>
              <w:right w:val="single" w:sz="6" w:space="0" w:color="auto"/>
            </w:tcBorders>
            <w:vAlign w:val="center"/>
            <w:hideMark/>
          </w:tcPr>
          <w:p w:rsidR="00934C02" w:rsidRPr="00934C02" w:rsidRDefault="00934C02" w:rsidP="00934C02">
            <w:pPr>
              <w:spacing w:after="0" w:line="240" w:lineRule="auto"/>
              <w:jc w:val="center"/>
              <w:rPr>
                <w:rFonts w:ascii="Arial" w:hAnsi="Arial" w:cs="Arial"/>
                <w:sz w:val="20"/>
                <w:szCs w:val="20"/>
              </w:rPr>
            </w:pPr>
            <w:r w:rsidRPr="00934C02">
              <w:rPr>
                <w:rFonts w:ascii="Arial" w:hAnsi="Arial" w:cs="Arial"/>
                <w:sz w:val="20"/>
                <w:szCs w:val="20"/>
              </w:rPr>
              <w:t>4</w:t>
            </w:r>
          </w:p>
        </w:tc>
        <w:tc>
          <w:tcPr>
            <w:tcW w:w="1134" w:type="dxa"/>
            <w:tcBorders>
              <w:top w:val="single" w:sz="4" w:space="0" w:color="auto"/>
              <w:left w:val="single" w:sz="6" w:space="0" w:color="auto"/>
              <w:bottom w:val="single" w:sz="6" w:space="0" w:color="auto"/>
              <w:right w:val="single" w:sz="4" w:space="0" w:color="auto"/>
            </w:tcBorders>
            <w:vAlign w:val="center"/>
            <w:hideMark/>
          </w:tcPr>
          <w:p w:rsidR="00934C02" w:rsidRPr="00934C02" w:rsidRDefault="00934C02" w:rsidP="00934C02">
            <w:pPr>
              <w:spacing w:after="0" w:line="240" w:lineRule="auto"/>
              <w:jc w:val="center"/>
              <w:rPr>
                <w:rFonts w:ascii="Arial" w:hAnsi="Arial" w:cs="Arial"/>
                <w:sz w:val="20"/>
                <w:szCs w:val="20"/>
              </w:rPr>
            </w:pPr>
            <w:r w:rsidRPr="00934C02">
              <w:rPr>
                <w:rFonts w:ascii="Arial" w:hAnsi="Arial" w:cs="Arial"/>
                <w:sz w:val="20"/>
                <w:szCs w:val="20"/>
              </w:rPr>
              <w:t>4</w:t>
            </w:r>
          </w:p>
        </w:tc>
      </w:tr>
      <w:tr w:rsidR="00934C02" w:rsidRPr="00934C02" w:rsidTr="00855393">
        <w:trPr>
          <w:trHeight w:val="618"/>
        </w:trPr>
        <w:tc>
          <w:tcPr>
            <w:tcW w:w="1844" w:type="dxa"/>
            <w:tcBorders>
              <w:top w:val="single" w:sz="6" w:space="0" w:color="auto"/>
              <w:left w:val="single" w:sz="6" w:space="0" w:color="auto"/>
              <w:bottom w:val="single" w:sz="6" w:space="0" w:color="auto"/>
              <w:right w:val="single" w:sz="4" w:space="0" w:color="auto"/>
            </w:tcBorders>
            <w:hideMark/>
          </w:tcPr>
          <w:p w:rsidR="00934C02" w:rsidRPr="00934C02" w:rsidRDefault="00934C02" w:rsidP="00934C02">
            <w:pPr>
              <w:spacing w:after="0" w:line="240" w:lineRule="auto"/>
              <w:rPr>
                <w:rFonts w:ascii="Arial" w:hAnsi="Arial" w:cs="Arial"/>
                <w:sz w:val="20"/>
                <w:szCs w:val="20"/>
              </w:rPr>
            </w:pPr>
            <w:r w:rsidRPr="00934C02">
              <w:rPr>
                <w:rFonts w:ascii="Arial" w:hAnsi="Arial" w:cs="Arial"/>
                <w:sz w:val="20"/>
                <w:szCs w:val="20"/>
              </w:rPr>
              <w:t>Număr</w:t>
            </w:r>
          </w:p>
          <w:p w:rsidR="00934C02" w:rsidRPr="00934C02" w:rsidRDefault="00934C02" w:rsidP="00934C02">
            <w:pPr>
              <w:spacing w:after="0" w:line="240" w:lineRule="auto"/>
              <w:rPr>
                <w:rFonts w:ascii="Arial" w:hAnsi="Arial" w:cs="Arial"/>
                <w:sz w:val="20"/>
                <w:szCs w:val="20"/>
              </w:rPr>
            </w:pPr>
            <w:r w:rsidRPr="00934C02">
              <w:rPr>
                <w:rFonts w:ascii="Arial" w:hAnsi="Arial" w:cs="Arial"/>
                <w:sz w:val="20"/>
                <w:szCs w:val="20"/>
              </w:rPr>
              <w:t>Valorificatori energetici</w:t>
            </w:r>
          </w:p>
        </w:tc>
        <w:tc>
          <w:tcPr>
            <w:tcW w:w="708" w:type="dxa"/>
            <w:tcBorders>
              <w:top w:val="single" w:sz="6" w:space="0" w:color="auto"/>
              <w:left w:val="single" w:sz="4" w:space="0" w:color="auto"/>
              <w:bottom w:val="single" w:sz="6" w:space="0" w:color="auto"/>
              <w:right w:val="single" w:sz="6" w:space="0" w:color="auto"/>
            </w:tcBorders>
            <w:vAlign w:val="center"/>
            <w:hideMark/>
          </w:tcPr>
          <w:p w:rsidR="00934C02" w:rsidRPr="00934C02" w:rsidRDefault="00934C02" w:rsidP="00934C02">
            <w:pPr>
              <w:spacing w:after="0" w:line="240" w:lineRule="auto"/>
              <w:jc w:val="center"/>
              <w:rPr>
                <w:rFonts w:ascii="Arial" w:hAnsi="Arial" w:cs="Arial"/>
                <w:sz w:val="20"/>
                <w:szCs w:val="20"/>
              </w:rPr>
            </w:pPr>
            <w:r w:rsidRPr="00934C02">
              <w:rPr>
                <w:rFonts w:ascii="Arial" w:hAnsi="Arial" w:cs="Arial"/>
                <w:sz w:val="20"/>
                <w:szCs w:val="20"/>
              </w:rPr>
              <w:t>0</w:t>
            </w:r>
          </w:p>
        </w:tc>
        <w:tc>
          <w:tcPr>
            <w:tcW w:w="1276" w:type="dxa"/>
            <w:tcBorders>
              <w:top w:val="single" w:sz="6" w:space="0" w:color="auto"/>
              <w:left w:val="single" w:sz="6" w:space="0" w:color="auto"/>
              <w:bottom w:val="single" w:sz="6" w:space="0" w:color="auto"/>
              <w:right w:val="single" w:sz="6" w:space="0" w:color="auto"/>
            </w:tcBorders>
            <w:vAlign w:val="center"/>
            <w:hideMark/>
          </w:tcPr>
          <w:p w:rsidR="00934C02" w:rsidRPr="00934C02" w:rsidRDefault="00934C02" w:rsidP="00934C02">
            <w:pPr>
              <w:spacing w:after="0" w:line="240" w:lineRule="auto"/>
              <w:jc w:val="center"/>
              <w:rPr>
                <w:rFonts w:ascii="Arial" w:hAnsi="Arial" w:cs="Arial"/>
                <w:sz w:val="20"/>
                <w:szCs w:val="20"/>
              </w:rPr>
            </w:pPr>
            <w:r w:rsidRPr="00934C02">
              <w:rPr>
                <w:rFonts w:ascii="Arial" w:hAnsi="Arial" w:cs="Arial"/>
                <w:sz w:val="20"/>
                <w:szCs w:val="20"/>
              </w:rPr>
              <w:t>0</w:t>
            </w:r>
          </w:p>
        </w:tc>
        <w:tc>
          <w:tcPr>
            <w:tcW w:w="851" w:type="dxa"/>
            <w:tcBorders>
              <w:top w:val="single" w:sz="6" w:space="0" w:color="auto"/>
              <w:left w:val="single" w:sz="6" w:space="0" w:color="auto"/>
              <w:bottom w:val="single" w:sz="6" w:space="0" w:color="auto"/>
              <w:right w:val="single" w:sz="6" w:space="0" w:color="auto"/>
            </w:tcBorders>
            <w:vAlign w:val="center"/>
            <w:hideMark/>
          </w:tcPr>
          <w:p w:rsidR="00934C02" w:rsidRPr="00934C02" w:rsidRDefault="00934C02" w:rsidP="00934C02">
            <w:pPr>
              <w:spacing w:after="0" w:line="240" w:lineRule="auto"/>
              <w:jc w:val="center"/>
              <w:rPr>
                <w:rFonts w:ascii="Arial" w:hAnsi="Arial" w:cs="Arial"/>
                <w:sz w:val="20"/>
                <w:szCs w:val="20"/>
              </w:rPr>
            </w:pPr>
            <w:r w:rsidRPr="00934C02">
              <w:rPr>
                <w:rFonts w:ascii="Arial" w:hAnsi="Arial" w:cs="Arial"/>
                <w:sz w:val="20"/>
                <w:szCs w:val="20"/>
              </w:rPr>
              <w:t>0</w:t>
            </w:r>
          </w:p>
        </w:tc>
        <w:tc>
          <w:tcPr>
            <w:tcW w:w="992" w:type="dxa"/>
            <w:tcBorders>
              <w:top w:val="single" w:sz="6" w:space="0" w:color="auto"/>
              <w:left w:val="single" w:sz="6" w:space="0" w:color="auto"/>
              <w:bottom w:val="single" w:sz="6" w:space="0" w:color="auto"/>
              <w:right w:val="single" w:sz="6" w:space="0" w:color="auto"/>
            </w:tcBorders>
            <w:vAlign w:val="center"/>
            <w:hideMark/>
          </w:tcPr>
          <w:p w:rsidR="00934C02" w:rsidRPr="00934C02" w:rsidRDefault="00934C02" w:rsidP="00934C02">
            <w:pPr>
              <w:spacing w:after="0" w:line="240" w:lineRule="auto"/>
              <w:jc w:val="center"/>
              <w:rPr>
                <w:rFonts w:ascii="Arial" w:hAnsi="Arial" w:cs="Arial"/>
                <w:sz w:val="20"/>
                <w:szCs w:val="20"/>
              </w:rPr>
            </w:pPr>
            <w:r w:rsidRPr="00934C02">
              <w:rPr>
                <w:rFonts w:ascii="Arial" w:hAnsi="Arial" w:cs="Arial"/>
                <w:sz w:val="20"/>
                <w:szCs w:val="20"/>
              </w:rPr>
              <w:t>0</w:t>
            </w:r>
          </w:p>
        </w:tc>
        <w:tc>
          <w:tcPr>
            <w:tcW w:w="992" w:type="dxa"/>
            <w:tcBorders>
              <w:top w:val="single" w:sz="6" w:space="0" w:color="auto"/>
              <w:left w:val="single" w:sz="6" w:space="0" w:color="auto"/>
              <w:bottom w:val="single" w:sz="6" w:space="0" w:color="auto"/>
              <w:right w:val="single" w:sz="6" w:space="0" w:color="auto"/>
            </w:tcBorders>
            <w:vAlign w:val="center"/>
            <w:hideMark/>
          </w:tcPr>
          <w:p w:rsidR="00934C02" w:rsidRPr="00934C02" w:rsidRDefault="00934C02" w:rsidP="00934C02">
            <w:pPr>
              <w:spacing w:after="0" w:line="240" w:lineRule="auto"/>
              <w:jc w:val="center"/>
              <w:rPr>
                <w:rFonts w:ascii="Arial" w:hAnsi="Arial" w:cs="Arial"/>
                <w:sz w:val="20"/>
                <w:szCs w:val="20"/>
              </w:rPr>
            </w:pPr>
            <w:r w:rsidRPr="00934C02">
              <w:rPr>
                <w:rFonts w:ascii="Arial" w:hAnsi="Arial" w:cs="Arial"/>
                <w:sz w:val="20"/>
                <w:szCs w:val="20"/>
              </w:rPr>
              <w:t>0</w:t>
            </w:r>
          </w:p>
        </w:tc>
        <w:tc>
          <w:tcPr>
            <w:tcW w:w="992" w:type="dxa"/>
            <w:tcBorders>
              <w:top w:val="single" w:sz="6" w:space="0" w:color="auto"/>
              <w:left w:val="single" w:sz="6" w:space="0" w:color="auto"/>
              <w:bottom w:val="single" w:sz="6" w:space="0" w:color="auto"/>
              <w:right w:val="single" w:sz="6" w:space="0" w:color="auto"/>
            </w:tcBorders>
            <w:vAlign w:val="center"/>
            <w:hideMark/>
          </w:tcPr>
          <w:p w:rsidR="00934C02" w:rsidRPr="00934C02" w:rsidRDefault="00934C02" w:rsidP="00934C02">
            <w:pPr>
              <w:spacing w:after="0" w:line="240" w:lineRule="auto"/>
              <w:jc w:val="center"/>
              <w:rPr>
                <w:rFonts w:ascii="Arial" w:hAnsi="Arial" w:cs="Arial"/>
                <w:sz w:val="20"/>
                <w:szCs w:val="20"/>
              </w:rPr>
            </w:pPr>
            <w:r w:rsidRPr="00934C02">
              <w:rPr>
                <w:rFonts w:ascii="Arial" w:hAnsi="Arial" w:cs="Arial"/>
                <w:sz w:val="20"/>
                <w:szCs w:val="20"/>
              </w:rPr>
              <w:t>0</w:t>
            </w:r>
          </w:p>
        </w:tc>
        <w:tc>
          <w:tcPr>
            <w:tcW w:w="709" w:type="dxa"/>
            <w:tcBorders>
              <w:top w:val="single" w:sz="6" w:space="0" w:color="auto"/>
              <w:left w:val="single" w:sz="6" w:space="0" w:color="auto"/>
              <w:bottom w:val="single" w:sz="6" w:space="0" w:color="auto"/>
              <w:right w:val="single" w:sz="6" w:space="0" w:color="auto"/>
            </w:tcBorders>
            <w:vAlign w:val="center"/>
            <w:hideMark/>
          </w:tcPr>
          <w:p w:rsidR="00934C02" w:rsidRPr="00934C02" w:rsidRDefault="00934C02" w:rsidP="00934C02">
            <w:pPr>
              <w:spacing w:after="0" w:line="240" w:lineRule="auto"/>
              <w:jc w:val="center"/>
              <w:rPr>
                <w:rFonts w:ascii="Arial" w:hAnsi="Arial" w:cs="Arial"/>
                <w:sz w:val="20"/>
                <w:szCs w:val="20"/>
              </w:rPr>
            </w:pPr>
            <w:r w:rsidRPr="00934C02">
              <w:rPr>
                <w:rFonts w:ascii="Arial" w:hAnsi="Arial" w:cs="Arial"/>
                <w:sz w:val="20"/>
                <w:szCs w:val="20"/>
              </w:rPr>
              <w:t>0</w:t>
            </w:r>
          </w:p>
        </w:tc>
        <w:tc>
          <w:tcPr>
            <w:tcW w:w="1134" w:type="dxa"/>
            <w:tcBorders>
              <w:top w:val="single" w:sz="6" w:space="0" w:color="auto"/>
              <w:left w:val="single" w:sz="6" w:space="0" w:color="auto"/>
              <w:bottom w:val="single" w:sz="6" w:space="0" w:color="auto"/>
              <w:right w:val="single" w:sz="4" w:space="0" w:color="auto"/>
            </w:tcBorders>
            <w:vAlign w:val="center"/>
            <w:hideMark/>
          </w:tcPr>
          <w:p w:rsidR="00934C02" w:rsidRPr="00934C02" w:rsidRDefault="00934C02" w:rsidP="00934C02">
            <w:pPr>
              <w:spacing w:after="0" w:line="240" w:lineRule="auto"/>
              <w:jc w:val="center"/>
              <w:rPr>
                <w:rFonts w:ascii="Arial" w:hAnsi="Arial" w:cs="Arial"/>
                <w:sz w:val="20"/>
                <w:szCs w:val="20"/>
              </w:rPr>
            </w:pPr>
            <w:r w:rsidRPr="00934C02">
              <w:rPr>
                <w:rFonts w:ascii="Arial" w:hAnsi="Arial" w:cs="Arial"/>
                <w:sz w:val="20"/>
                <w:szCs w:val="20"/>
              </w:rPr>
              <w:t>0</w:t>
            </w:r>
          </w:p>
        </w:tc>
      </w:tr>
      <w:tr w:rsidR="00934C02" w:rsidRPr="00934C02" w:rsidTr="00855393">
        <w:trPr>
          <w:trHeight w:val="305"/>
        </w:trPr>
        <w:tc>
          <w:tcPr>
            <w:tcW w:w="1844" w:type="dxa"/>
            <w:tcBorders>
              <w:top w:val="single" w:sz="6" w:space="0" w:color="auto"/>
              <w:left w:val="single" w:sz="6" w:space="0" w:color="auto"/>
              <w:bottom w:val="single" w:sz="6" w:space="0" w:color="auto"/>
              <w:right w:val="single" w:sz="4" w:space="0" w:color="auto"/>
            </w:tcBorders>
            <w:hideMark/>
          </w:tcPr>
          <w:p w:rsidR="00934C02" w:rsidRPr="00934C02" w:rsidRDefault="00934C02" w:rsidP="00934C02">
            <w:pPr>
              <w:spacing w:after="0" w:line="240" w:lineRule="auto"/>
              <w:rPr>
                <w:rFonts w:ascii="Arial" w:hAnsi="Arial" w:cs="Arial"/>
                <w:sz w:val="20"/>
                <w:szCs w:val="20"/>
              </w:rPr>
            </w:pPr>
            <w:r w:rsidRPr="00934C02">
              <w:rPr>
                <w:rFonts w:ascii="Arial" w:hAnsi="Arial" w:cs="Arial"/>
                <w:sz w:val="20"/>
                <w:szCs w:val="20"/>
              </w:rPr>
              <w:t>Număr reciclatori</w:t>
            </w:r>
          </w:p>
        </w:tc>
        <w:tc>
          <w:tcPr>
            <w:tcW w:w="708" w:type="dxa"/>
            <w:tcBorders>
              <w:top w:val="single" w:sz="6" w:space="0" w:color="auto"/>
              <w:left w:val="single" w:sz="4" w:space="0" w:color="auto"/>
              <w:bottom w:val="single" w:sz="4" w:space="0" w:color="auto"/>
              <w:right w:val="single" w:sz="6" w:space="0" w:color="auto"/>
            </w:tcBorders>
            <w:vAlign w:val="center"/>
            <w:hideMark/>
          </w:tcPr>
          <w:p w:rsidR="00934C02" w:rsidRPr="00934C02" w:rsidRDefault="00934C02" w:rsidP="00934C02">
            <w:pPr>
              <w:spacing w:after="0" w:line="240" w:lineRule="auto"/>
              <w:jc w:val="center"/>
              <w:rPr>
                <w:rFonts w:ascii="Arial" w:hAnsi="Arial" w:cs="Arial"/>
                <w:sz w:val="20"/>
                <w:szCs w:val="20"/>
              </w:rPr>
            </w:pPr>
            <w:r w:rsidRPr="00934C02">
              <w:rPr>
                <w:rFonts w:ascii="Arial" w:hAnsi="Arial" w:cs="Arial"/>
                <w:sz w:val="20"/>
                <w:szCs w:val="20"/>
              </w:rPr>
              <w:t>0</w:t>
            </w:r>
          </w:p>
        </w:tc>
        <w:tc>
          <w:tcPr>
            <w:tcW w:w="1276" w:type="dxa"/>
            <w:tcBorders>
              <w:top w:val="single" w:sz="6" w:space="0" w:color="auto"/>
              <w:left w:val="single" w:sz="6" w:space="0" w:color="auto"/>
              <w:bottom w:val="single" w:sz="4" w:space="0" w:color="auto"/>
              <w:right w:val="single" w:sz="6" w:space="0" w:color="auto"/>
            </w:tcBorders>
            <w:vAlign w:val="center"/>
            <w:hideMark/>
          </w:tcPr>
          <w:p w:rsidR="00934C02" w:rsidRPr="00934C02" w:rsidRDefault="00934C02" w:rsidP="00934C02">
            <w:pPr>
              <w:spacing w:after="0" w:line="240" w:lineRule="auto"/>
              <w:jc w:val="center"/>
              <w:rPr>
                <w:rFonts w:ascii="Arial" w:hAnsi="Arial" w:cs="Arial"/>
                <w:sz w:val="20"/>
                <w:szCs w:val="20"/>
              </w:rPr>
            </w:pPr>
            <w:r w:rsidRPr="00934C02">
              <w:rPr>
                <w:rFonts w:ascii="Arial" w:hAnsi="Arial" w:cs="Arial"/>
                <w:sz w:val="20"/>
                <w:szCs w:val="20"/>
              </w:rPr>
              <w:t>0</w:t>
            </w:r>
          </w:p>
        </w:tc>
        <w:tc>
          <w:tcPr>
            <w:tcW w:w="851" w:type="dxa"/>
            <w:tcBorders>
              <w:top w:val="single" w:sz="6" w:space="0" w:color="auto"/>
              <w:left w:val="single" w:sz="6" w:space="0" w:color="auto"/>
              <w:bottom w:val="single" w:sz="4" w:space="0" w:color="auto"/>
              <w:right w:val="single" w:sz="6" w:space="0" w:color="auto"/>
            </w:tcBorders>
            <w:vAlign w:val="center"/>
            <w:hideMark/>
          </w:tcPr>
          <w:p w:rsidR="00934C02" w:rsidRPr="00934C02" w:rsidRDefault="00934C02" w:rsidP="00934C02">
            <w:pPr>
              <w:spacing w:after="0" w:line="240" w:lineRule="auto"/>
              <w:jc w:val="center"/>
              <w:rPr>
                <w:rFonts w:ascii="Arial" w:hAnsi="Arial" w:cs="Arial"/>
                <w:sz w:val="20"/>
                <w:szCs w:val="20"/>
              </w:rPr>
            </w:pPr>
            <w:r w:rsidRPr="00934C02">
              <w:rPr>
                <w:rFonts w:ascii="Arial" w:hAnsi="Arial" w:cs="Arial"/>
                <w:sz w:val="20"/>
                <w:szCs w:val="20"/>
              </w:rPr>
              <w:t>0</w:t>
            </w:r>
          </w:p>
        </w:tc>
        <w:tc>
          <w:tcPr>
            <w:tcW w:w="992" w:type="dxa"/>
            <w:tcBorders>
              <w:top w:val="single" w:sz="6" w:space="0" w:color="auto"/>
              <w:left w:val="single" w:sz="6" w:space="0" w:color="auto"/>
              <w:bottom w:val="single" w:sz="4" w:space="0" w:color="auto"/>
              <w:right w:val="single" w:sz="6" w:space="0" w:color="auto"/>
            </w:tcBorders>
            <w:vAlign w:val="center"/>
            <w:hideMark/>
          </w:tcPr>
          <w:p w:rsidR="00934C02" w:rsidRPr="00934C02" w:rsidRDefault="00934C02" w:rsidP="00934C02">
            <w:pPr>
              <w:spacing w:after="0" w:line="240" w:lineRule="auto"/>
              <w:jc w:val="center"/>
              <w:rPr>
                <w:rFonts w:ascii="Arial" w:hAnsi="Arial" w:cs="Arial"/>
                <w:sz w:val="20"/>
                <w:szCs w:val="20"/>
              </w:rPr>
            </w:pPr>
            <w:r w:rsidRPr="00934C02">
              <w:rPr>
                <w:rFonts w:ascii="Arial" w:hAnsi="Arial" w:cs="Arial"/>
                <w:sz w:val="20"/>
                <w:szCs w:val="20"/>
              </w:rPr>
              <w:t>0</w:t>
            </w:r>
          </w:p>
        </w:tc>
        <w:tc>
          <w:tcPr>
            <w:tcW w:w="992" w:type="dxa"/>
            <w:tcBorders>
              <w:top w:val="single" w:sz="6" w:space="0" w:color="auto"/>
              <w:left w:val="single" w:sz="6" w:space="0" w:color="auto"/>
              <w:bottom w:val="single" w:sz="4" w:space="0" w:color="auto"/>
              <w:right w:val="single" w:sz="6" w:space="0" w:color="auto"/>
            </w:tcBorders>
            <w:vAlign w:val="center"/>
            <w:hideMark/>
          </w:tcPr>
          <w:p w:rsidR="00934C02" w:rsidRPr="00934C02" w:rsidRDefault="00934C02" w:rsidP="00934C02">
            <w:pPr>
              <w:spacing w:after="0" w:line="240" w:lineRule="auto"/>
              <w:jc w:val="center"/>
              <w:rPr>
                <w:rFonts w:ascii="Arial" w:hAnsi="Arial" w:cs="Arial"/>
                <w:sz w:val="20"/>
                <w:szCs w:val="20"/>
              </w:rPr>
            </w:pPr>
            <w:r w:rsidRPr="00934C02">
              <w:rPr>
                <w:rFonts w:ascii="Arial" w:hAnsi="Arial" w:cs="Arial"/>
                <w:sz w:val="20"/>
                <w:szCs w:val="20"/>
              </w:rPr>
              <w:t>0</w:t>
            </w:r>
          </w:p>
        </w:tc>
        <w:tc>
          <w:tcPr>
            <w:tcW w:w="992" w:type="dxa"/>
            <w:tcBorders>
              <w:top w:val="single" w:sz="6" w:space="0" w:color="auto"/>
              <w:left w:val="single" w:sz="6" w:space="0" w:color="auto"/>
              <w:bottom w:val="single" w:sz="4" w:space="0" w:color="auto"/>
              <w:right w:val="single" w:sz="6" w:space="0" w:color="auto"/>
            </w:tcBorders>
            <w:vAlign w:val="center"/>
            <w:hideMark/>
          </w:tcPr>
          <w:p w:rsidR="00934C02" w:rsidRPr="00934C02" w:rsidRDefault="00934C02" w:rsidP="00934C02">
            <w:pPr>
              <w:spacing w:after="0" w:line="240" w:lineRule="auto"/>
              <w:jc w:val="center"/>
              <w:rPr>
                <w:rFonts w:ascii="Arial" w:hAnsi="Arial" w:cs="Arial"/>
                <w:sz w:val="20"/>
                <w:szCs w:val="20"/>
              </w:rPr>
            </w:pPr>
            <w:r w:rsidRPr="00934C02">
              <w:rPr>
                <w:rFonts w:ascii="Arial" w:hAnsi="Arial" w:cs="Arial"/>
                <w:sz w:val="20"/>
                <w:szCs w:val="20"/>
              </w:rPr>
              <w:t>0</w:t>
            </w:r>
          </w:p>
        </w:tc>
        <w:tc>
          <w:tcPr>
            <w:tcW w:w="709" w:type="dxa"/>
            <w:tcBorders>
              <w:top w:val="single" w:sz="6" w:space="0" w:color="auto"/>
              <w:left w:val="single" w:sz="6" w:space="0" w:color="auto"/>
              <w:bottom w:val="single" w:sz="4" w:space="0" w:color="auto"/>
              <w:right w:val="single" w:sz="6" w:space="0" w:color="auto"/>
            </w:tcBorders>
            <w:vAlign w:val="center"/>
            <w:hideMark/>
          </w:tcPr>
          <w:p w:rsidR="00934C02" w:rsidRPr="00934C02" w:rsidRDefault="00934C02" w:rsidP="00934C02">
            <w:pPr>
              <w:spacing w:after="0" w:line="240" w:lineRule="auto"/>
              <w:jc w:val="center"/>
              <w:rPr>
                <w:rFonts w:ascii="Arial" w:hAnsi="Arial" w:cs="Arial"/>
                <w:sz w:val="20"/>
                <w:szCs w:val="20"/>
              </w:rPr>
            </w:pPr>
            <w:r w:rsidRPr="00934C02">
              <w:rPr>
                <w:rFonts w:ascii="Arial" w:hAnsi="Arial" w:cs="Arial"/>
                <w:sz w:val="20"/>
                <w:szCs w:val="20"/>
              </w:rPr>
              <w:t>0</w:t>
            </w:r>
          </w:p>
        </w:tc>
        <w:tc>
          <w:tcPr>
            <w:tcW w:w="1134" w:type="dxa"/>
            <w:tcBorders>
              <w:top w:val="single" w:sz="6" w:space="0" w:color="auto"/>
              <w:left w:val="single" w:sz="6" w:space="0" w:color="auto"/>
              <w:bottom w:val="single" w:sz="4" w:space="0" w:color="auto"/>
              <w:right w:val="single" w:sz="4" w:space="0" w:color="auto"/>
            </w:tcBorders>
            <w:vAlign w:val="center"/>
            <w:hideMark/>
          </w:tcPr>
          <w:p w:rsidR="00934C02" w:rsidRPr="00934C02" w:rsidRDefault="00934C02" w:rsidP="00934C02">
            <w:pPr>
              <w:spacing w:after="0" w:line="240" w:lineRule="auto"/>
              <w:jc w:val="center"/>
              <w:rPr>
                <w:rFonts w:ascii="Arial" w:hAnsi="Arial" w:cs="Arial"/>
                <w:sz w:val="20"/>
                <w:szCs w:val="20"/>
              </w:rPr>
            </w:pPr>
            <w:r w:rsidRPr="00934C02">
              <w:rPr>
                <w:rFonts w:ascii="Arial" w:hAnsi="Arial" w:cs="Arial"/>
                <w:sz w:val="20"/>
                <w:szCs w:val="20"/>
              </w:rPr>
              <w:t>0</w:t>
            </w:r>
          </w:p>
        </w:tc>
      </w:tr>
    </w:tbl>
    <w:p w:rsidR="00855393" w:rsidRDefault="00855393" w:rsidP="00934C02">
      <w:pPr>
        <w:autoSpaceDE w:val="0"/>
        <w:autoSpaceDN w:val="0"/>
        <w:adjustRightInd w:val="0"/>
        <w:spacing w:after="0" w:line="240" w:lineRule="auto"/>
        <w:rPr>
          <w:rFonts w:ascii="Arial" w:hAnsi="Arial" w:cs="Arial"/>
        </w:rPr>
      </w:pPr>
    </w:p>
    <w:p w:rsidR="00934C02" w:rsidRPr="00934C02" w:rsidRDefault="00934C02" w:rsidP="00934C02">
      <w:pPr>
        <w:autoSpaceDE w:val="0"/>
        <w:autoSpaceDN w:val="0"/>
        <w:adjustRightInd w:val="0"/>
        <w:spacing w:after="0" w:line="240" w:lineRule="auto"/>
        <w:rPr>
          <w:rFonts w:ascii="Arial" w:hAnsi="Arial" w:cs="Arial"/>
          <w:sz w:val="24"/>
          <w:szCs w:val="24"/>
        </w:rPr>
      </w:pPr>
      <w:r w:rsidRPr="00934C02">
        <w:rPr>
          <w:rFonts w:ascii="Arial" w:hAnsi="Arial" w:cs="Arial"/>
        </w:rPr>
        <w:t xml:space="preserve">Tabelul </w:t>
      </w:r>
      <w:r w:rsidRPr="00934C02">
        <w:rPr>
          <w:rFonts w:ascii="Arial" w:hAnsi="Arial" w:cs="Arial"/>
          <w:lang w:val="it-IT"/>
        </w:rPr>
        <w:t>VII.7</w:t>
      </w:r>
      <w:r w:rsidRPr="00934C02">
        <w:rPr>
          <w:rFonts w:ascii="Arial" w:hAnsi="Arial" w:cs="Arial"/>
        </w:rPr>
        <w:t xml:space="preserve">. </w:t>
      </w:r>
      <w:r w:rsidRPr="00934C02">
        <w:rPr>
          <w:rFonts w:ascii="Arial" w:hAnsi="Arial" w:cs="Arial"/>
          <w:sz w:val="24"/>
          <w:szCs w:val="24"/>
        </w:rPr>
        <w:t>Evoluţia cantităţilor de deşeuri reciclabile valorificate în perioada 2010-2014</w:t>
      </w:r>
    </w:p>
    <w:tbl>
      <w:tblPr>
        <w:tblW w:w="9654" w:type="dxa"/>
        <w:jc w:val="center"/>
        <w:tblInd w:w="4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470"/>
        <w:gridCol w:w="2207"/>
        <w:gridCol w:w="1570"/>
        <w:gridCol w:w="1257"/>
        <w:gridCol w:w="2150"/>
      </w:tblGrid>
      <w:tr w:rsidR="00934C02" w:rsidRPr="00934C02" w:rsidTr="00934C02">
        <w:trPr>
          <w:jc w:val="center"/>
        </w:trPr>
        <w:tc>
          <w:tcPr>
            <w:tcW w:w="2470" w:type="dxa"/>
            <w:vMerge w:val="restart"/>
            <w:tcBorders>
              <w:top w:val="single" w:sz="6" w:space="0" w:color="auto"/>
              <w:left w:val="single" w:sz="4" w:space="0" w:color="auto"/>
              <w:bottom w:val="single" w:sz="6" w:space="0" w:color="auto"/>
              <w:right w:val="single" w:sz="6" w:space="0" w:color="auto"/>
            </w:tcBorders>
          </w:tcPr>
          <w:p w:rsidR="00934C02" w:rsidRPr="00934C02" w:rsidRDefault="00934C02" w:rsidP="00934C02">
            <w:pPr>
              <w:spacing w:after="0" w:line="240" w:lineRule="auto"/>
              <w:rPr>
                <w:rFonts w:ascii="Arial" w:hAnsi="Arial"/>
              </w:rPr>
            </w:pPr>
          </w:p>
          <w:p w:rsidR="00934C02" w:rsidRPr="00934C02" w:rsidRDefault="00934C02" w:rsidP="00934C02">
            <w:pPr>
              <w:spacing w:after="0" w:line="240" w:lineRule="auto"/>
              <w:ind w:left="392"/>
              <w:jc w:val="center"/>
              <w:rPr>
                <w:rFonts w:ascii="Arial" w:hAnsi="Arial"/>
                <w:b/>
                <w:i/>
              </w:rPr>
            </w:pPr>
            <w:r w:rsidRPr="00934C02">
              <w:rPr>
                <w:rFonts w:ascii="Arial" w:hAnsi="Arial"/>
                <w:b/>
                <w:i/>
              </w:rPr>
              <w:t>Anul</w:t>
            </w:r>
          </w:p>
          <w:p w:rsidR="00934C02" w:rsidRPr="00934C02" w:rsidRDefault="00934C02" w:rsidP="00934C02">
            <w:pPr>
              <w:spacing w:after="0" w:line="240" w:lineRule="auto"/>
              <w:rPr>
                <w:rFonts w:ascii="Arial" w:hAnsi="Arial"/>
              </w:rPr>
            </w:pPr>
          </w:p>
        </w:tc>
        <w:tc>
          <w:tcPr>
            <w:tcW w:w="3777" w:type="dxa"/>
            <w:gridSpan w:val="2"/>
            <w:tcBorders>
              <w:top w:val="single" w:sz="6" w:space="0" w:color="auto"/>
              <w:left w:val="single" w:sz="6" w:space="0" w:color="auto"/>
              <w:bottom w:val="single" w:sz="6" w:space="0" w:color="auto"/>
              <w:right w:val="single" w:sz="6" w:space="0" w:color="auto"/>
            </w:tcBorders>
            <w:hideMark/>
          </w:tcPr>
          <w:p w:rsidR="00934C02" w:rsidRPr="00934C02" w:rsidRDefault="00934C02" w:rsidP="00934C02">
            <w:pPr>
              <w:spacing w:after="0" w:line="240" w:lineRule="auto"/>
              <w:rPr>
                <w:rFonts w:ascii="Arial" w:hAnsi="Arial"/>
                <w:b/>
                <w:i/>
                <w:lang w:val="fr-FR"/>
              </w:rPr>
            </w:pPr>
            <w:r w:rsidRPr="00934C02">
              <w:rPr>
                <w:rFonts w:ascii="Arial" w:hAnsi="Arial"/>
                <w:b/>
                <w:i/>
                <w:lang w:val="fr-FR"/>
              </w:rPr>
              <w:t>Deşeuri de hârtie şi carton</w:t>
            </w:r>
          </w:p>
        </w:tc>
        <w:tc>
          <w:tcPr>
            <w:tcW w:w="3407" w:type="dxa"/>
            <w:gridSpan w:val="2"/>
            <w:tcBorders>
              <w:top w:val="single" w:sz="6" w:space="0" w:color="auto"/>
              <w:left w:val="single" w:sz="6" w:space="0" w:color="auto"/>
              <w:bottom w:val="single" w:sz="6" w:space="0" w:color="auto"/>
              <w:right w:val="single" w:sz="6" w:space="0" w:color="auto"/>
            </w:tcBorders>
            <w:hideMark/>
          </w:tcPr>
          <w:p w:rsidR="00934C02" w:rsidRPr="00934C02" w:rsidRDefault="00934C02" w:rsidP="00934C02">
            <w:pPr>
              <w:spacing w:after="0" w:line="240" w:lineRule="auto"/>
              <w:rPr>
                <w:rFonts w:ascii="Arial" w:hAnsi="Arial"/>
                <w:b/>
                <w:i/>
              </w:rPr>
            </w:pPr>
            <w:r w:rsidRPr="00934C02">
              <w:rPr>
                <w:rFonts w:ascii="Arial" w:hAnsi="Arial"/>
                <w:b/>
                <w:i/>
              </w:rPr>
              <w:t>Deşeuri de materiale plastice</w:t>
            </w:r>
          </w:p>
        </w:tc>
      </w:tr>
      <w:tr w:rsidR="00934C02" w:rsidRPr="00934C02" w:rsidTr="00934C02">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rsidR="00934C02" w:rsidRPr="00934C02" w:rsidRDefault="00934C02" w:rsidP="00934C02">
            <w:pPr>
              <w:spacing w:after="0" w:line="240" w:lineRule="auto"/>
              <w:rPr>
                <w:rFonts w:ascii="Arial" w:hAnsi="Arial"/>
              </w:rPr>
            </w:pPr>
          </w:p>
        </w:tc>
        <w:tc>
          <w:tcPr>
            <w:tcW w:w="2207" w:type="dxa"/>
            <w:tcBorders>
              <w:top w:val="single" w:sz="6" w:space="0" w:color="auto"/>
              <w:left w:val="single" w:sz="6" w:space="0" w:color="auto"/>
              <w:bottom w:val="single" w:sz="6" w:space="0" w:color="auto"/>
              <w:right w:val="single" w:sz="6" w:space="0" w:color="auto"/>
            </w:tcBorders>
            <w:hideMark/>
          </w:tcPr>
          <w:p w:rsidR="00934C02" w:rsidRPr="00934C02" w:rsidRDefault="00934C02" w:rsidP="00934C02">
            <w:pPr>
              <w:spacing w:after="0" w:line="240" w:lineRule="auto"/>
              <w:rPr>
                <w:rFonts w:ascii="Arial" w:hAnsi="Arial"/>
                <w:b/>
                <w:i/>
              </w:rPr>
            </w:pPr>
            <w:r w:rsidRPr="00934C02">
              <w:rPr>
                <w:rFonts w:ascii="Arial" w:hAnsi="Arial"/>
                <w:b/>
                <w:i/>
              </w:rPr>
              <w:t>Cantitate colectată</w:t>
            </w:r>
          </w:p>
          <w:p w:rsidR="00934C02" w:rsidRPr="00934C02" w:rsidRDefault="00934C02" w:rsidP="00934C02">
            <w:pPr>
              <w:spacing w:after="0" w:line="240" w:lineRule="auto"/>
              <w:rPr>
                <w:rFonts w:ascii="Arial" w:hAnsi="Arial"/>
                <w:b/>
                <w:i/>
              </w:rPr>
            </w:pPr>
            <w:r w:rsidRPr="00934C02">
              <w:rPr>
                <w:rFonts w:ascii="Arial" w:hAnsi="Arial"/>
                <w:b/>
                <w:i/>
              </w:rPr>
              <w:t>(tone)</w:t>
            </w:r>
          </w:p>
        </w:tc>
        <w:tc>
          <w:tcPr>
            <w:tcW w:w="1570" w:type="dxa"/>
            <w:tcBorders>
              <w:top w:val="single" w:sz="6" w:space="0" w:color="auto"/>
              <w:left w:val="single" w:sz="6" w:space="0" w:color="auto"/>
              <w:bottom w:val="single" w:sz="6" w:space="0" w:color="auto"/>
              <w:right w:val="single" w:sz="6" w:space="0" w:color="auto"/>
            </w:tcBorders>
            <w:hideMark/>
          </w:tcPr>
          <w:p w:rsidR="00934C02" w:rsidRPr="00934C02" w:rsidRDefault="00934C02" w:rsidP="00934C02">
            <w:pPr>
              <w:spacing w:after="0" w:line="240" w:lineRule="auto"/>
              <w:rPr>
                <w:rFonts w:ascii="Arial" w:hAnsi="Arial"/>
                <w:b/>
                <w:i/>
              </w:rPr>
            </w:pPr>
            <w:r w:rsidRPr="00934C02">
              <w:rPr>
                <w:rFonts w:ascii="Arial" w:hAnsi="Arial"/>
                <w:b/>
                <w:i/>
              </w:rPr>
              <w:t>Cantitate valorificată</w:t>
            </w:r>
          </w:p>
          <w:p w:rsidR="00934C02" w:rsidRPr="00934C02" w:rsidRDefault="00934C02" w:rsidP="00934C02">
            <w:pPr>
              <w:spacing w:after="0" w:line="240" w:lineRule="auto"/>
              <w:rPr>
                <w:rFonts w:ascii="Arial" w:hAnsi="Arial"/>
                <w:b/>
                <w:i/>
              </w:rPr>
            </w:pPr>
            <w:r w:rsidRPr="00934C02">
              <w:rPr>
                <w:rFonts w:ascii="Arial" w:hAnsi="Arial"/>
                <w:b/>
                <w:i/>
              </w:rPr>
              <w:t>(tone)</w:t>
            </w:r>
          </w:p>
        </w:tc>
        <w:tc>
          <w:tcPr>
            <w:tcW w:w="1257" w:type="dxa"/>
            <w:tcBorders>
              <w:top w:val="single" w:sz="6" w:space="0" w:color="auto"/>
              <w:left w:val="single" w:sz="6" w:space="0" w:color="auto"/>
              <w:bottom w:val="single" w:sz="6" w:space="0" w:color="auto"/>
              <w:right w:val="single" w:sz="6" w:space="0" w:color="auto"/>
            </w:tcBorders>
            <w:hideMark/>
          </w:tcPr>
          <w:p w:rsidR="00934C02" w:rsidRPr="00934C02" w:rsidRDefault="00934C02" w:rsidP="00934C02">
            <w:pPr>
              <w:spacing w:after="0" w:line="240" w:lineRule="auto"/>
              <w:rPr>
                <w:rFonts w:ascii="Arial" w:hAnsi="Arial"/>
                <w:b/>
                <w:i/>
              </w:rPr>
            </w:pPr>
            <w:r w:rsidRPr="00934C02">
              <w:rPr>
                <w:rFonts w:ascii="Arial" w:hAnsi="Arial"/>
                <w:b/>
                <w:i/>
              </w:rPr>
              <w:t>Cantitate colectată</w:t>
            </w:r>
          </w:p>
          <w:p w:rsidR="00934C02" w:rsidRPr="00934C02" w:rsidRDefault="00934C02" w:rsidP="00934C02">
            <w:pPr>
              <w:spacing w:after="0" w:line="240" w:lineRule="auto"/>
              <w:rPr>
                <w:rFonts w:ascii="Arial" w:hAnsi="Arial"/>
                <w:b/>
                <w:i/>
              </w:rPr>
            </w:pPr>
            <w:r w:rsidRPr="00934C02">
              <w:rPr>
                <w:rFonts w:ascii="Arial" w:hAnsi="Arial"/>
                <w:b/>
                <w:i/>
              </w:rPr>
              <w:t>(tone)</w:t>
            </w:r>
          </w:p>
        </w:tc>
        <w:tc>
          <w:tcPr>
            <w:tcW w:w="2150" w:type="dxa"/>
            <w:tcBorders>
              <w:top w:val="single" w:sz="6" w:space="0" w:color="auto"/>
              <w:left w:val="single" w:sz="6" w:space="0" w:color="auto"/>
              <w:bottom w:val="single" w:sz="6" w:space="0" w:color="auto"/>
              <w:right w:val="single" w:sz="6" w:space="0" w:color="auto"/>
            </w:tcBorders>
            <w:hideMark/>
          </w:tcPr>
          <w:p w:rsidR="00934C02" w:rsidRPr="00934C02" w:rsidRDefault="00934C02" w:rsidP="00934C02">
            <w:pPr>
              <w:tabs>
                <w:tab w:val="center" w:pos="3517"/>
              </w:tabs>
              <w:spacing w:after="0" w:line="240" w:lineRule="auto"/>
              <w:rPr>
                <w:rFonts w:ascii="Arial" w:hAnsi="Arial"/>
                <w:b/>
                <w:i/>
              </w:rPr>
            </w:pPr>
            <w:r w:rsidRPr="00934C02">
              <w:rPr>
                <w:rFonts w:ascii="Arial" w:hAnsi="Arial"/>
                <w:b/>
                <w:i/>
              </w:rPr>
              <w:t>Cantitate valorificată</w:t>
            </w:r>
          </w:p>
          <w:p w:rsidR="00934C02" w:rsidRPr="00934C02" w:rsidRDefault="00934C02" w:rsidP="00934C02">
            <w:pPr>
              <w:tabs>
                <w:tab w:val="center" w:pos="3517"/>
              </w:tabs>
              <w:spacing w:after="0" w:line="240" w:lineRule="auto"/>
              <w:rPr>
                <w:rFonts w:ascii="Arial" w:hAnsi="Arial"/>
                <w:b/>
                <w:i/>
              </w:rPr>
            </w:pPr>
            <w:r w:rsidRPr="00934C02">
              <w:rPr>
                <w:rFonts w:ascii="Arial" w:hAnsi="Arial"/>
                <w:b/>
                <w:i/>
              </w:rPr>
              <w:t>(tone)</w:t>
            </w:r>
          </w:p>
        </w:tc>
      </w:tr>
      <w:tr w:rsidR="00934C02" w:rsidRPr="00934C02" w:rsidTr="00934C02">
        <w:trPr>
          <w:trHeight w:val="216"/>
          <w:jc w:val="center"/>
        </w:trPr>
        <w:tc>
          <w:tcPr>
            <w:tcW w:w="2470" w:type="dxa"/>
            <w:tcBorders>
              <w:top w:val="single" w:sz="6" w:space="0" w:color="auto"/>
              <w:left w:val="single" w:sz="4" w:space="0" w:color="auto"/>
              <w:bottom w:val="single" w:sz="6" w:space="0" w:color="auto"/>
              <w:right w:val="single" w:sz="6" w:space="0" w:color="auto"/>
            </w:tcBorders>
            <w:hideMark/>
          </w:tcPr>
          <w:p w:rsidR="00934C02" w:rsidRPr="00934C02" w:rsidRDefault="00934C02" w:rsidP="00934C02">
            <w:pPr>
              <w:spacing w:after="0" w:line="240" w:lineRule="auto"/>
              <w:jc w:val="center"/>
              <w:rPr>
                <w:rFonts w:ascii="Arial" w:hAnsi="Arial"/>
                <w:b/>
                <w:i/>
              </w:rPr>
            </w:pPr>
            <w:r w:rsidRPr="00934C02">
              <w:rPr>
                <w:rFonts w:ascii="Arial" w:hAnsi="Arial"/>
                <w:b/>
                <w:i/>
              </w:rPr>
              <w:t>2010</w:t>
            </w:r>
          </w:p>
        </w:tc>
        <w:tc>
          <w:tcPr>
            <w:tcW w:w="2207"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rPr>
                <w:rFonts w:ascii="Arial" w:hAnsi="Arial" w:cs="Arial"/>
                <w:bCs/>
              </w:rPr>
            </w:pPr>
            <w:r w:rsidRPr="00934C02">
              <w:rPr>
                <w:rFonts w:ascii="Arial" w:hAnsi="Arial" w:cs="Arial"/>
                <w:bCs/>
              </w:rPr>
              <w:t>960</w:t>
            </w:r>
          </w:p>
        </w:tc>
        <w:tc>
          <w:tcPr>
            <w:tcW w:w="1570"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rPr>
                <w:rFonts w:ascii="Arial" w:hAnsi="Arial" w:cs="Arial"/>
                <w:bCs/>
              </w:rPr>
            </w:pPr>
            <w:r w:rsidRPr="00934C02">
              <w:rPr>
                <w:rFonts w:ascii="Arial" w:hAnsi="Arial" w:cs="Arial"/>
                <w:bCs/>
              </w:rPr>
              <w:t>928</w:t>
            </w:r>
          </w:p>
        </w:tc>
        <w:tc>
          <w:tcPr>
            <w:tcW w:w="1257"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rPr>
                <w:rFonts w:ascii="Arial" w:hAnsi="Arial" w:cs="Arial"/>
                <w:bCs/>
              </w:rPr>
            </w:pPr>
            <w:r w:rsidRPr="00934C02">
              <w:rPr>
                <w:rFonts w:ascii="Arial" w:hAnsi="Arial" w:cs="Arial"/>
                <w:bCs/>
              </w:rPr>
              <w:t>185</w:t>
            </w:r>
          </w:p>
        </w:tc>
        <w:tc>
          <w:tcPr>
            <w:tcW w:w="2150"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rPr>
                <w:rFonts w:ascii="Arial" w:hAnsi="Arial" w:cs="Arial"/>
                <w:bCs/>
              </w:rPr>
            </w:pPr>
            <w:r w:rsidRPr="00934C02">
              <w:rPr>
                <w:rFonts w:ascii="Arial" w:hAnsi="Arial" w:cs="Arial"/>
                <w:bCs/>
              </w:rPr>
              <w:t>178</w:t>
            </w:r>
          </w:p>
        </w:tc>
      </w:tr>
      <w:tr w:rsidR="00934C02" w:rsidRPr="00934C02" w:rsidTr="00934C02">
        <w:trPr>
          <w:trHeight w:val="269"/>
          <w:jc w:val="center"/>
        </w:trPr>
        <w:tc>
          <w:tcPr>
            <w:tcW w:w="2470" w:type="dxa"/>
            <w:tcBorders>
              <w:top w:val="single" w:sz="6" w:space="0" w:color="auto"/>
              <w:left w:val="single" w:sz="4" w:space="0" w:color="auto"/>
              <w:bottom w:val="single" w:sz="6" w:space="0" w:color="auto"/>
              <w:right w:val="single" w:sz="6" w:space="0" w:color="auto"/>
            </w:tcBorders>
            <w:hideMark/>
          </w:tcPr>
          <w:p w:rsidR="00934C02" w:rsidRPr="00934C02" w:rsidRDefault="00934C02" w:rsidP="00934C02">
            <w:pPr>
              <w:spacing w:after="0" w:line="240" w:lineRule="auto"/>
              <w:jc w:val="center"/>
              <w:rPr>
                <w:rFonts w:ascii="Arial" w:hAnsi="Arial"/>
                <w:b/>
                <w:i/>
              </w:rPr>
            </w:pPr>
            <w:r w:rsidRPr="00934C02">
              <w:rPr>
                <w:rFonts w:ascii="Arial" w:hAnsi="Arial"/>
                <w:b/>
                <w:i/>
              </w:rPr>
              <w:t>2011</w:t>
            </w:r>
          </w:p>
        </w:tc>
        <w:tc>
          <w:tcPr>
            <w:tcW w:w="2207"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rPr>
                <w:rFonts w:ascii="Arial" w:hAnsi="Arial" w:cs="Arial"/>
                <w:bCs/>
              </w:rPr>
            </w:pPr>
            <w:r w:rsidRPr="00934C02">
              <w:rPr>
                <w:rFonts w:ascii="Arial" w:hAnsi="Arial" w:cs="Arial"/>
                <w:bCs/>
              </w:rPr>
              <w:t>1220</w:t>
            </w:r>
          </w:p>
        </w:tc>
        <w:tc>
          <w:tcPr>
            <w:tcW w:w="1570"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rPr>
                <w:rFonts w:ascii="Arial" w:hAnsi="Arial" w:cs="Arial"/>
                <w:bCs/>
              </w:rPr>
            </w:pPr>
            <w:r w:rsidRPr="00934C02">
              <w:rPr>
                <w:rFonts w:ascii="Arial" w:hAnsi="Arial" w:cs="Arial"/>
                <w:bCs/>
              </w:rPr>
              <w:t>1149</w:t>
            </w:r>
          </w:p>
        </w:tc>
        <w:tc>
          <w:tcPr>
            <w:tcW w:w="1257"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rPr>
                <w:rFonts w:ascii="Arial" w:hAnsi="Arial" w:cs="Arial"/>
                <w:bCs/>
              </w:rPr>
            </w:pPr>
            <w:r w:rsidRPr="00934C02">
              <w:rPr>
                <w:rFonts w:ascii="Arial" w:hAnsi="Arial" w:cs="Arial"/>
                <w:bCs/>
              </w:rPr>
              <w:t>385</w:t>
            </w:r>
          </w:p>
        </w:tc>
        <w:tc>
          <w:tcPr>
            <w:tcW w:w="2150"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rPr>
                <w:rFonts w:ascii="Arial" w:hAnsi="Arial" w:cs="Arial"/>
                <w:bCs/>
              </w:rPr>
            </w:pPr>
            <w:r w:rsidRPr="00934C02">
              <w:rPr>
                <w:rFonts w:ascii="Arial" w:hAnsi="Arial" w:cs="Arial"/>
                <w:bCs/>
              </w:rPr>
              <w:t>268</w:t>
            </w:r>
          </w:p>
        </w:tc>
      </w:tr>
      <w:tr w:rsidR="00934C02" w:rsidRPr="00934C02" w:rsidTr="00934C02">
        <w:trPr>
          <w:trHeight w:val="269"/>
          <w:jc w:val="center"/>
        </w:trPr>
        <w:tc>
          <w:tcPr>
            <w:tcW w:w="2470" w:type="dxa"/>
            <w:tcBorders>
              <w:top w:val="single" w:sz="6" w:space="0" w:color="auto"/>
              <w:left w:val="single" w:sz="4" w:space="0" w:color="auto"/>
              <w:bottom w:val="single" w:sz="6" w:space="0" w:color="auto"/>
              <w:right w:val="single" w:sz="6" w:space="0" w:color="auto"/>
            </w:tcBorders>
            <w:hideMark/>
          </w:tcPr>
          <w:p w:rsidR="00934C02" w:rsidRPr="00934C02" w:rsidRDefault="00934C02" w:rsidP="00934C02">
            <w:pPr>
              <w:spacing w:after="0" w:line="240" w:lineRule="auto"/>
              <w:jc w:val="center"/>
              <w:rPr>
                <w:rFonts w:ascii="Arial" w:hAnsi="Arial"/>
                <w:b/>
                <w:i/>
              </w:rPr>
            </w:pPr>
            <w:r w:rsidRPr="00934C02">
              <w:rPr>
                <w:rFonts w:ascii="Arial" w:hAnsi="Arial"/>
                <w:b/>
                <w:i/>
              </w:rPr>
              <w:t>2012</w:t>
            </w:r>
          </w:p>
        </w:tc>
        <w:tc>
          <w:tcPr>
            <w:tcW w:w="2207"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rPr>
                <w:rFonts w:ascii="Arial" w:hAnsi="Arial" w:cs="Arial"/>
                <w:bCs/>
              </w:rPr>
            </w:pPr>
            <w:r w:rsidRPr="00934C02">
              <w:rPr>
                <w:rFonts w:ascii="Arial" w:hAnsi="Arial" w:cs="Arial"/>
                <w:bCs/>
              </w:rPr>
              <w:t>1374</w:t>
            </w:r>
          </w:p>
        </w:tc>
        <w:tc>
          <w:tcPr>
            <w:tcW w:w="1570"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rPr>
                <w:rFonts w:ascii="Arial" w:hAnsi="Arial" w:cs="Arial"/>
                <w:bCs/>
              </w:rPr>
            </w:pPr>
            <w:r w:rsidRPr="00934C02">
              <w:rPr>
                <w:rFonts w:ascii="Arial" w:hAnsi="Arial" w:cs="Arial"/>
                <w:bCs/>
              </w:rPr>
              <w:t>1453</w:t>
            </w:r>
          </w:p>
        </w:tc>
        <w:tc>
          <w:tcPr>
            <w:tcW w:w="1257"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rPr>
                <w:rFonts w:ascii="Arial" w:hAnsi="Arial" w:cs="Arial"/>
                <w:bCs/>
              </w:rPr>
            </w:pPr>
            <w:r w:rsidRPr="00934C02">
              <w:rPr>
                <w:rFonts w:ascii="Arial" w:hAnsi="Arial" w:cs="Arial"/>
                <w:bCs/>
              </w:rPr>
              <w:t>498</w:t>
            </w:r>
          </w:p>
        </w:tc>
        <w:tc>
          <w:tcPr>
            <w:tcW w:w="2150"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rPr>
                <w:rFonts w:ascii="Arial" w:hAnsi="Arial" w:cs="Arial"/>
                <w:bCs/>
              </w:rPr>
            </w:pPr>
            <w:r w:rsidRPr="00934C02">
              <w:rPr>
                <w:rFonts w:ascii="Arial" w:hAnsi="Arial" w:cs="Arial"/>
                <w:bCs/>
              </w:rPr>
              <w:t>436</w:t>
            </w:r>
          </w:p>
        </w:tc>
      </w:tr>
      <w:tr w:rsidR="00934C02" w:rsidRPr="00934C02" w:rsidTr="00934C02">
        <w:trPr>
          <w:trHeight w:val="269"/>
          <w:jc w:val="center"/>
        </w:trPr>
        <w:tc>
          <w:tcPr>
            <w:tcW w:w="2470" w:type="dxa"/>
            <w:tcBorders>
              <w:top w:val="single" w:sz="6" w:space="0" w:color="auto"/>
              <w:left w:val="single" w:sz="4" w:space="0" w:color="auto"/>
              <w:bottom w:val="single" w:sz="6" w:space="0" w:color="auto"/>
              <w:right w:val="single" w:sz="6" w:space="0" w:color="auto"/>
            </w:tcBorders>
            <w:hideMark/>
          </w:tcPr>
          <w:p w:rsidR="00934C02" w:rsidRPr="00934C02" w:rsidRDefault="00934C02" w:rsidP="00934C02">
            <w:pPr>
              <w:spacing w:after="0" w:line="240" w:lineRule="auto"/>
              <w:jc w:val="center"/>
              <w:rPr>
                <w:rFonts w:ascii="Arial" w:hAnsi="Arial"/>
                <w:b/>
                <w:i/>
              </w:rPr>
            </w:pPr>
            <w:r w:rsidRPr="00934C02">
              <w:rPr>
                <w:rFonts w:ascii="Arial" w:hAnsi="Arial"/>
                <w:b/>
                <w:i/>
              </w:rPr>
              <w:t>2013</w:t>
            </w:r>
          </w:p>
        </w:tc>
        <w:tc>
          <w:tcPr>
            <w:tcW w:w="2207"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rPr>
                <w:rFonts w:ascii="Arial" w:hAnsi="Arial" w:cs="Arial"/>
                <w:bCs/>
              </w:rPr>
            </w:pPr>
            <w:r w:rsidRPr="00934C02">
              <w:rPr>
                <w:rFonts w:ascii="Arial" w:hAnsi="Arial" w:cs="Arial"/>
                <w:bCs/>
              </w:rPr>
              <w:t>2623</w:t>
            </w:r>
          </w:p>
        </w:tc>
        <w:tc>
          <w:tcPr>
            <w:tcW w:w="1570"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rPr>
                <w:rFonts w:ascii="Arial" w:hAnsi="Arial" w:cs="Arial"/>
                <w:bCs/>
              </w:rPr>
            </w:pPr>
            <w:r w:rsidRPr="00934C02">
              <w:rPr>
                <w:rFonts w:ascii="Arial" w:hAnsi="Arial" w:cs="Arial"/>
                <w:bCs/>
              </w:rPr>
              <w:t>1166</w:t>
            </w:r>
          </w:p>
        </w:tc>
        <w:tc>
          <w:tcPr>
            <w:tcW w:w="1257"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rPr>
                <w:rFonts w:ascii="Arial" w:hAnsi="Arial" w:cs="Arial"/>
                <w:bCs/>
              </w:rPr>
            </w:pPr>
            <w:r w:rsidRPr="00934C02">
              <w:rPr>
                <w:rFonts w:ascii="Arial" w:hAnsi="Arial" w:cs="Arial"/>
                <w:bCs/>
              </w:rPr>
              <w:t>1955</w:t>
            </w:r>
          </w:p>
        </w:tc>
        <w:tc>
          <w:tcPr>
            <w:tcW w:w="2150"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rPr>
                <w:rFonts w:ascii="Arial" w:hAnsi="Arial" w:cs="Arial"/>
                <w:bCs/>
              </w:rPr>
            </w:pPr>
            <w:r w:rsidRPr="00934C02">
              <w:rPr>
                <w:rFonts w:ascii="Arial" w:hAnsi="Arial" w:cs="Arial"/>
                <w:bCs/>
              </w:rPr>
              <w:t>526</w:t>
            </w:r>
          </w:p>
        </w:tc>
      </w:tr>
      <w:tr w:rsidR="00934C02" w:rsidRPr="00934C02" w:rsidTr="00934C02">
        <w:trPr>
          <w:trHeight w:val="269"/>
          <w:jc w:val="center"/>
        </w:trPr>
        <w:tc>
          <w:tcPr>
            <w:tcW w:w="2470" w:type="dxa"/>
            <w:tcBorders>
              <w:top w:val="single" w:sz="6" w:space="0" w:color="auto"/>
              <w:left w:val="single" w:sz="4" w:space="0" w:color="auto"/>
              <w:bottom w:val="single" w:sz="6" w:space="0" w:color="auto"/>
              <w:right w:val="single" w:sz="6" w:space="0" w:color="auto"/>
            </w:tcBorders>
            <w:hideMark/>
          </w:tcPr>
          <w:p w:rsidR="00934C02" w:rsidRPr="00934C02" w:rsidRDefault="00934C02" w:rsidP="00934C02">
            <w:pPr>
              <w:spacing w:after="0" w:line="240" w:lineRule="auto"/>
              <w:jc w:val="center"/>
              <w:rPr>
                <w:rFonts w:ascii="Arial" w:hAnsi="Arial" w:cs="Arial"/>
                <w:b/>
                <w:i/>
              </w:rPr>
            </w:pPr>
            <w:r w:rsidRPr="00934C02">
              <w:rPr>
                <w:rFonts w:ascii="Arial" w:hAnsi="Arial" w:cs="Arial"/>
                <w:b/>
                <w:i/>
              </w:rPr>
              <w:t>2014</w:t>
            </w:r>
          </w:p>
        </w:tc>
        <w:tc>
          <w:tcPr>
            <w:tcW w:w="2207"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rPr>
                <w:rFonts w:ascii="Arial" w:hAnsi="Arial" w:cs="Arial"/>
                <w:bCs/>
              </w:rPr>
            </w:pPr>
            <w:r w:rsidRPr="00934C02">
              <w:rPr>
                <w:rFonts w:ascii="Arial" w:hAnsi="Arial" w:cs="Arial"/>
                <w:bCs/>
              </w:rPr>
              <w:t>840</w:t>
            </w:r>
          </w:p>
        </w:tc>
        <w:tc>
          <w:tcPr>
            <w:tcW w:w="1570"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rPr>
                <w:rFonts w:ascii="Arial" w:hAnsi="Arial" w:cs="Arial"/>
                <w:bCs/>
              </w:rPr>
            </w:pPr>
            <w:r w:rsidRPr="00934C02">
              <w:rPr>
                <w:rFonts w:ascii="Arial" w:hAnsi="Arial" w:cs="Arial"/>
                <w:bCs/>
              </w:rPr>
              <w:t>345</w:t>
            </w:r>
          </w:p>
        </w:tc>
        <w:tc>
          <w:tcPr>
            <w:tcW w:w="1257"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rPr>
                <w:rFonts w:ascii="Arial" w:hAnsi="Arial" w:cs="Arial"/>
                <w:bCs/>
              </w:rPr>
            </w:pPr>
            <w:r w:rsidRPr="00934C02">
              <w:rPr>
                <w:rFonts w:ascii="Arial" w:hAnsi="Arial" w:cs="Arial"/>
                <w:bCs/>
              </w:rPr>
              <w:t>1276</w:t>
            </w:r>
          </w:p>
        </w:tc>
        <w:tc>
          <w:tcPr>
            <w:tcW w:w="2150"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rPr>
                <w:rFonts w:ascii="Arial" w:hAnsi="Arial" w:cs="Arial"/>
                <w:bCs/>
              </w:rPr>
            </w:pPr>
            <w:r w:rsidRPr="00934C02">
              <w:rPr>
                <w:rFonts w:ascii="Arial" w:hAnsi="Arial" w:cs="Arial"/>
                <w:bCs/>
              </w:rPr>
              <w:t>230</w:t>
            </w:r>
          </w:p>
        </w:tc>
      </w:tr>
    </w:tbl>
    <w:p w:rsidR="00934C02" w:rsidRPr="00934C02" w:rsidRDefault="00934C02" w:rsidP="00934C02">
      <w:pPr>
        <w:spacing w:after="0" w:line="240" w:lineRule="auto"/>
        <w:jc w:val="center"/>
        <w:rPr>
          <w:rFonts w:ascii="Times New Roman" w:eastAsia="Times New Roman" w:hAnsi="Times New Roman" w:cs="Arial"/>
          <w:i/>
          <w:sz w:val="20"/>
          <w:szCs w:val="20"/>
          <w:lang w:val="pl-PL" w:eastAsia="pl-PL"/>
        </w:rPr>
      </w:pPr>
      <w:r w:rsidRPr="00934C02">
        <w:rPr>
          <w:rFonts w:ascii="Times New Roman" w:eastAsia="Times New Roman" w:hAnsi="Times New Roman" w:cs="Arial"/>
          <w:i/>
          <w:sz w:val="24"/>
          <w:szCs w:val="24"/>
          <w:lang w:val="pl-PL" w:eastAsia="pl-PL"/>
        </w:rPr>
        <w:t xml:space="preserve">  </w:t>
      </w:r>
      <w:r w:rsidRPr="00934C02">
        <w:rPr>
          <w:rFonts w:ascii="Times New Roman" w:eastAsia="Times New Roman" w:hAnsi="Times New Roman" w:cs="Arial"/>
          <w:i/>
          <w:sz w:val="20"/>
          <w:szCs w:val="20"/>
          <w:lang w:val="pl-PL" w:eastAsia="pl-PL"/>
        </w:rPr>
        <w:t>Sursa: APM Vaslui – aplicaţiile: MEDIUS şi SD (din SIM),cu date validate de ANPM</w:t>
      </w:r>
    </w:p>
    <w:p w:rsidR="00934C02" w:rsidRPr="00934C02" w:rsidRDefault="00934C02" w:rsidP="00934C02">
      <w:pPr>
        <w:spacing w:after="0" w:line="240" w:lineRule="auto"/>
        <w:rPr>
          <w:rFonts w:ascii="Arial" w:eastAsia="Times New Roman" w:hAnsi="Arial" w:cs="Arial"/>
          <w:b/>
          <w:i/>
          <w:sz w:val="24"/>
          <w:szCs w:val="24"/>
          <w:lang w:val="pl-PL" w:eastAsia="pl-PL"/>
        </w:rPr>
      </w:pPr>
      <w:r w:rsidRPr="00934C02">
        <w:rPr>
          <w:rFonts w:ascii="Arial" w:eastAsia="Times New Roman" w:hAnsi="Arial" w:cs="Arial"/>
          <w:b/>
          <w:i/>
          <w:sz w:val="24"/>
          <w:szCs w:val="24"/>
          <w:lang w:val="pl-PL" w:eastAsia="pl-PL"/>
        </w:rPr>
        <w:lastRenderedPageBreak/>
        <w:t xml:space="preserve">Deşeuri biodegradabile </w:t>
      </w:r>
    </w:p>
    <w:p w:rsidR="00934C02" w:rsidRPr="00934C02" w:rsidRDefault="00934C02" w:rsidP="00934C02">
      <w:pPr>
        <w:spacing w:after="0" w:line="240" w:lineRule="auto"/>
        <w:rPr>
          <w:rFonts w:ascii="Arial" w:eastAsia="Times New Roman" w:hAnsi="Arial" w:cs="Arial"/>
          <w:sz w:val="24"/>
          <w:szCs w:val="24"/>
          <w:lang w:val="ro-RO" w:eastAsia="pl-PL"/>
        </w:rPr>
      </w:pPr>
    </w:p>
    <w:p w:rsidR="00934C02" w:rsidRPr="00934C02" w:rsidRDefault="00934C02" w:rsidP="00934C02">
      <w:pPr>
        <w:spacing w:after="0" w:line="240" w:lineRule="auto"/>
        <w:ind w:left="-119"/>
        <w:jc w:val="both"/>
        <w:rPr>
          <w:rFonts w:ascii="Arial" w:eastAsia="Times New Roman" w:hAnsi="Arial" w:cs="Arial"/>
          <w:sz w:val="24"/>
          <w:szCs w:val="24"/>
          <w:lang w:val="pl-PL" w:eastAsia="pl-PL"/>
        </w:rPr>
      </w:pPr>
      <w:r w:rsidRPr="00934C02">
        <w:rPr>
          <w:rFonts w:ascii="Arial" w:eastAsia="Times New Roman" w:hAnsi="Arial" w:cs="Arial"/>
          <w:sz w:val="24"/>
          <w:szCs w:val="24"/>
          <w:lang w:val="pl-PL" w:eastAsia="pl-PL"/>
        </w:rPr>
        <w:t xml:space="preserve">                Deşeurile biodegradabile municipale reprezintă fracţia biodegradabilă  din deşeurile menajere şi asimilabile colectate în amestec, precum şi fracţia biodegradabilă din deşeurile municipale colectate separat, inclusiv deşeuri din parcuri şi grădini, pieţe, deşeuri stradale şi deşeuri voluminoase.</w:t>
      </w:r>
    </w:p>
    <w:p w:rsidR="00934C02" w:rsidRPr="00934C02" w:rsidRDefault="00934C02" w:rsidP="00934C02">
      <w:pPr>
        <w:spacing w:after="0" w:line="240" w:lineRule="auto"/>
        <w:ind w:left="-119"/>
        <w:jc w:val="both"/>
        <w:rPr>
          <w:rFonts w:ascii="Arial" w:eastAsia="Times New Roman" w:hAnsi="Arial" w:cs="Arial"/>
          <w:sz w:val="24"/>
          <w:szCs w:val="24"/>
          <w:lang w:val="ro-RO" w:eastAsia="pl-PL"/>
        </w:rPr>
      </w:pPr>
    </w:p>
    <w:p w:rsidR="00934C02" w:rsidRPr="00934C02" w:rsidRDefault="00934C02" w:rsidP="00934C02">
      <w:pPr>
        <w:spacing w:after="0" w:line="240" w:lineRule="auto"/>
        <w:ind w:left="-119"/>
        <w:jc w:val="both"/>
        <w:rPr>
          <w:rFonts w:ascii="Arial" w:eastAsia="Times New Roman" w:hAnsi="Arial" w:cs="Arial"/>
          <w:sz w:val="24"/>
          <w:szCs w:val="24"/>
          <w:lang w:val="pl-PL" w:eastAsia="pl-PL"/>
        </w:rPr>
      </w:pPr>
      <w:r w:rsidRPr="00934C02">
        <w:rPr>
          <w:rFonts w:ascii="Arial" w:eastAsia="Times New Roman" w:hAnsi="Arial" w:cs="Arial"/>
          <w:sz w:val="24"/>
          <w:szCs w:val="24"/>
          <w:lang w:val="pl-PL" w:eastAsia="pl-PL"/>
        </w:rPr>
        <w:t xml:space="preserve">             Termenul de “deşeuri biodegradabile” desemnează atât deşeurile de la populaţie şi din activităţi comerciale care suferă descompunere anaerobă sau aerobă cât şi deşeurile alimentare şi vegetale, hârtia şi cartonul (de calitate joasă). Deşi hârtia şi cartonul fac parte din categoria deşeurilor biodegradabile, este indicată reciclarea şi recuperarea  acestora, mai ales în cazul unei calităţi ridicate, pentru atingerea obiectivelor propuse pentru reciclarea şi recuperarea materialelor reciclabile</w:t>
      </w:r>
    </w:p>
    <w:p w:rsidR="00934C02" w:rsidRPr="00934C02" w:rsidRDefault="00934C02" w:rsidP="00934C02">
      <w:pPr>
        <w:spacing w:after="0" w:line="240" w:lineRule="auto"/>
        <w:ind w:left="-119"/>
        <w:rPr>
          <w:rFonts w:ascii="Times New Roman" w:eastAsia="Times New Roman" w:hAnsi="Times New Roman" w:cs="Arial"/>
          <w:sz w:val="24"/>
          <w:szCs w:val="24"/>
          <w:lang w:val="pl-PL" w:eastAsia="pl-PL"/>
        </w:rPr>
      </w:pPr>
    </w:p>
    <w:p w:rsidR="00934C02" w:rsidRPr="00934C02" w:rsidRDefault="00934C02" w:rsidP="00934C02">
      <w:pPr>
        <w:spacing w:after="0" w:line="240" w:lineRule="auto"/>
        <w:ind w:left="-119"/>
        <w:rPr>
          <w:rFonts w:ascii="Arial" w:eastAsia="Times New Roman" w:hAnsi="Arial" w:cs="Arial"/>
          <w:sz w:val="24"/>
          <w:szCs w:val="24"/>
          <w:lang w:val="ro-RO" w:eastAsia="pl-PL"/>
        </w:rPr>
      </w:pPr>
      <w:r w:rsidRPr="00934C02">
        <w:rPr>
          <w:rFonts w:ascii="Arial" w:eastAsia="SimSun" w:hAnsi="Arial" w:cs="Arial"/>
          <w:sz w:val="24"/>
          <w:szCs w:val="24"/>
          <w:lang w:val="pl-PL" w:eastAsia="pl-PL"/>
        </w:rPr>
        <w:t>Tabelul VII.8. Estimarea ponderii deşeurilor biodegradabile în deşeurile municipale</w:t>
      </w:r>
    </w:p>
    <w:tbl>
      <w:tblPr>
        <w:tblW w:w="0" w:type="auto"/>
        <w:jc w:val="center"/>
        <w:tblInd w:w="64" w:type="dxa"/>
        <w:tblLayout w:type="fixed"/>
        <w:tblCellMar>
          <w:left w:w="0" w:type="dxa"/>
          <w:right w:w="0" w:type="dxa"/>
        </w:tblCellMar>
        <w:tblLook w:val="04A0" w:firstRow="1" w:lastRow="0" w:firstColumn="1" w:lastColumn="0" w:noHBand="0" w:noVBand="1"/>
      </w:tblPr>
      <w:tblGrid>
        <w:gridCol w:w="4599"/>
        <w:gridCol w:w="3796"/>
      </w:tblGrid>
      <w:tr w:rsidR="00934C02" w:rsidRPr="00934C02" w:rsidTr="008D2617">
        <w:trPr>
          <w:trHeight w:hRule="exact" w:val="617"/>
          <w:jc w:val="center"/>
        </w:trPr>
        <w:tc>
          <w:tcPr>
            <w:tcW w:w="4599" w:type="dxa"/>
            <w:tcBorders>
              <w:top w:val="single" w:sz="18" w:space="0" w:color="323299"/>
              <w:left w:val="single" w:sz="18" w:space="0" w:color="323299"/>
              <w:bottom w:val="single" w:sz="18" w:space="0" w:color="323299"/>
              <w:right w:val="single" w:sz="18" w:space="0" w:color="323299"/>
            </w:tcBorders>
            <w:shd w:val="clear" w:color="auto" w:fill="auto"/>
            <w:hideMark/>
          </w:tcPr>
          <w:p w:rsidR="00934C02" w:rsidRPr="00934C02" w:rsidRDefault="00934C02" w:rsidP="00934C02">
            <w:pPr>
              <w:widowControl w:val="0"/>
              <w:autoSpaceDE w:val="0"/>
              <w:autoSpaceDN w:val="0"/>
              <w:adjustRightInd w:val="0"/>
              <w:spacing w:after="0" w:line="240" w:lineRule="auto"/>
              <w:jc w:val="center"/>
              <w:rPr>
                <w:rFonts w:ascii="Arial" w:eastAsia="SimSun" w:hAnsi="Arial" w:cs="Arial"/>
                <w:b/>
                <w:sz w:val="24"/>
                <w:szCs w:val="24"/>
              </w:rPr>
            </w:pPr>
            <w:r w:rsidRPr="00934C02">
              <w:rPr>
                <w:rFonts w:ascii="Arial" w:eastAsia="SimSun" w:hAnsi="Arial" w:cs="Arial"/>
                <w:b/>
                <w:bCs/>
                <w:spacing w:val="-6"/>
                <w:w w:val="99"/>
                <w:sz w:val="24"/>
                <w:szCs w:val="24"/>
              </w:rPr>
              <w:t>T</w:t>
            </w:r>
            <w:r w:rsidRPr="00934C02">
              <w:rPr>
                <w:rFonts w:ascii="Arial" w:eastAsia="SimSun" w:hAnsi="Arial" w:cs="Arial"/>
                <w:b/>
                <w:bCs/>
                <w:spacing w:val="-7"/>
                <w:w w:val="99"/>
                <w:sz w:val="24"/>
                <w:szCs w:val="24"/>
              </w:rPr>
              <w:t>i</w:t>
            </w:r>
            <w:r w:rsidRPr="00934C02">
              <w:rPr>
                <w:rFonts w:ascii="Arial" w:eastAsia="SimSun" w:hAnsi="Arial" w:cs="Arial"/>
                <w:b/>
                <w:bCs/>
                <w:spacing w:val="-6"/>
                <w:w w:val="99"/>
                <w:sz w:val="24"/>
                <w:szCs w:val="24"/>
              </w:rPr>
              <w:t>pu</w:t>
            </w:r>
            <w:r w:rsidRPr="00934C02">
              <w:rPr>
                <w:rFonts w:ascii="Arial" w:eastAsia="SimSun" w:hAnsi="Arial" w:cs="Arial"/>
                <w:b/>
                <w:bCs/>
                <w:spacing w:val="7"/>
                <w:w w:val="99"/>
                <w:sz w:val="24"/>
                <w:szCs w:val="24"/>
              </w:rPr>
              <w:t>r</w:t>
            </w:r>
            <w:r w:rsidRPr="00934C02">
              <w:rPr>
                <w:rFonts w:ascii="Arial" w:eastAsia="SimSun" w:hAnsi="Arial" w:cs="Arial"/>
                <w:b/>
                <w:bCs/>
                <w:w w:val="99"/>
                <w:sz w:val="24"/>
                <w:szCs w:val="24"/>
              </w:rPr>
              <w:t>i</w:t>
            </w:r>
            <w:r w:rsidRPr="00934C02">
              <w:rPr>
                <w:rFonts w:ascii="Arial" w:eastAsia="SimSun" w:hAnsi="Arial" w:cs="Arial"/>
                <w:b/>
                <w:bCs/>
                <w:spacing w:val="7"/>
                <w:sz w:val="24"/>
                <w:szCs w:val="24"/>
              </w:rPr>
              <w:t xml:space="preserve"> </w:t>
            </w:r>
            <w:r w:rsidRPr="00934C02">
              <w:rPr>
                <w:rFonts w:ascii="Arial" w:eastAsia="SimSun" w:hAnsi="Arial" w:cs="Arial"/>
                <w:b/>
                <w:bCs/>
                <w:spacing w:val="-6"/>
                <w:w w:val="99"/>
                <w:sz w:val="24"/>
                <w:szCs w:val="24"/>
              </w:rPr>
              <w:t>d</w:t>
            </w:r>
            <w:r w:rsidRPr="00934C02">
              <w:rPr>
                <w:rFonts w:ascii="Arial" w:eastAsia="SimSun" w:hAnsi="Arial" w:cs="Arial"/>
                <w:b/>
                <w:bCs/>
                <w:w w:val="99"/>
                <w:sz w:val="24"/>
                <w:szCs w:val="24"/>
              </w:rPr>
              <w:t>e</w:t>
            </w:r>
            <w:r w:rsidRPr="00934C02">
              <w:rPr>
                <w:rFonts w:ascii="Arial" w:eastAsia="SimSun" w:hAnsi="Arial" w:cs="Arial"/>
                <w:b/>
                <w:bCs/>
                <w:sz w:val="24"/>
                <w:szCs w:val="24"/>
              </w:rPr>
              <w:t xml:space="preserve"> </w:t>
            </w:r>
            <w:r w:rsidRPr="00934C02">
              <w:rPr>
                <w:rFonts w:ascii="Arial" w:eastAsia="SimSun" w:hAnsi="Arial" w:cs="Arial"/>
                <w:b/>
                <w:bCs/>
                <w:spacing w:val="-6"/>
                <w:w w:val="99"/>
                <w:sz w:val="24"/>
                <w:szCs w:val="24"/>
              </w:rPr>
              <w:t>d</w:t>
            </w:r>
            <w:r w:rsidRPr="00934C02">
              <w:rPr>
                <w:rFonts w:ascii="Arial" w:eastAsia="SimSun" w:hAnsi="Arial" w:cs="Arial"/>
                <w:b/>
                <w:bCs/>
                <w:spacing w:val="7"/>
                <w:w w:val="99"/>
                <w:sz w:val="24"/>
                <w:szCs w:val="24"/>
              </w:rPr>
              <w:t>eşe</w:t>
            </w:r>
            <w:r w:rsidRPr="00934C02">
              <w:rPr>
                <w:rFonts w:ascii="Arial" w:eastAsia="SimSun" w:hAnsi="Arial" w:cs="Arial"/>
                <w:b/>
                <w:bCs/>
                <w:spacing w:val="-6"/>
                <w:w w:val="99"/>
                <w:sz w:val="24"/>
                <w:szCs w:val="24"/>
              </w:rPr>
              <w:t>u</w:t>
            </w:r>
            <w:r w:rsidRPr="00934C02">
              <w:rPr>
                <w:rFonts w:ascii="Arial" w:eastAsia="SimSun" w:hAnsi="Arial" w:cs="Arial"/>
                <w:b/>
                <w:bCs/>
                <w:spacing w:val="7"/>
                <w:w w:val="99"/>
                <w:sz w:val="24"/>
                <w:szCs w:val="24"/>
              </w:rPr>
              <w:t>r</w:t>
            </w:r>
            <w:r w:rsidRPr="00934C02">
              <w:rPr>
                <w:rFonts w:ascii="Arial" w:eastAsia="SimSun" w:hAnsi="Arial" w:cs="Arial"/>
                <w:b/>
                <w:bCs/>
                <w:w w:val="99"/>
                <w:sz w:val="24"/>
                <w:szCs w:val="24"/>
              </w:rPr>
              <w:t>i</w:t>
            </w:r>
          </w:p>
        </w:tc>
        <w:tc>
          <w:tcPr>
            <w:tcW w:w="3796" w:type="dxa"/>
            <w:tcBorders>
              <w:top w:val="single" w:sz="18" w:space="0" w:color="323299"/>
              <w:left w:val="single" w:sz="18" w:space="0" w:color="323299"/>
              <w:bottom w:val="single" w:sz="18" w:space="0" w:color="323299"/>
              <w:right w:val="single" w:sz="18" w:space="0" w:color="323299"/>
            </w:tcBorders>
            <w:shd w:val="clear" w:color="auto" w:fill="auto"/>
            <w:hideMark/>
          </w:tcPr>
          <w:p w:rsidR="00934C02" w:rsidRPr="00934C02" w:rsidRDefault="00934C02" w:rsidP="00934C02">
            <w:pPr>
              <w:widowControl w:val="0"/>
              <w:autoSpaceDE w:val="0"/>
              <w:autoSpaceDN w:val="0"/>
              <w:adjustRightInd w:val="0"/>
              <w:spacing w:after="0" w:line="240" w:lineRule="auto"/>
              <w:jc w:val="center"/>
              <w:rPr>
                <w:rFonts w:ascii="Arial" w:eastAsia="SimSun" w:hAnsi="Arial" w:cs="Arial"/>
                <w:b/>
                <w:sz w:val="24"/>
                <w:szCs w:val="24"/>
              </w:rPr>
            </w:pPr>
            <w:r w:rsidRPr="00934C02">
              <w:rPr>
                <w:rFonts w:ascii="Arial" w:eastAsia="SimSun" w:hAnsi="Arial" w:cs="Arial"/>
                <w:b/>
                <w:bCs/>
                <w:w w:val="99"/>
                <w:sz w:val="24"/>
                <w:szCs w:val="24"/>
              </w:rPr>
              <w:t>P</w:t>
            </w:r>
            <w:r w:rsidRPr="00934C02">
              <w:rPr>
                <w:rFonts w:ascii="Arial" w:eastAsia="SimSun" w:hAnsi="Arial" w:cs="Arial"/>
                <w:b/>
                <w:bCs/>
                <w:spacing w:val="-6"/>
                <w:w w:val="99"/>
                <w:sz w:val="24"/>
                <w:szCs w:val="24"/>
              </w:rPr>
              <w:t>ond</w:t>
            </w:r>
            <w:r w:rsidRPr="00934C02">
              <w:rPr>
                <w:rFonts w:ascii="Arial" w:eastAsia="SimSun" w:hAnsi="Arial" w:cs="Arial"/>
                <w:b/>
                <w:bCs/>
                <w:spacing w:val="7"/>
                <w:w w:val="99"/>
                <w:sz w:val="24"/>
                <w:szCs w:val="24"/>
              </w:rPr>
              <w:t>ere</w:t>
            </w:r>
            <w:r w:rsidRPr="00934C02">
              <w:rPr>
                <w:rFonts w:ascii="Arial" w:eastAsia="SimSun" w:hAnsi="Arial" w:cs="Arial"/>
                <w:b/>
                <w:bCs/>
                <w:w w:val="99"/>
                <w:sz w:val="24"/>
                <w:szCs w:val="24"/>
              </w:rPr>
              <w:t>a</w:t>
            </w:r>
            <w:r w:rsidRPr="00934C02">
              <w:rPr>
                <w:rFonts w:ascii="Arial" w:eastAsia="SimSun" w:hAnsi="Arial" w:cs="Arial"/>
                <w:b/>
                <w:sz w:val="24"/>
                <w:szCs w:val="24"/>
              </w:rPr>
              <w:t xml:space="preserve"> </w:t>
            </w:r>
            <w:r w:rsidRPr="00934C02">
              <w:rPr>
                <w:rFonts w:ascii="Arial" w:eastAsia="SimSun" w:hAnsi="Arial" w:cs="Arial"/>
                <w:b/>
                <w:bCs/>
                <w:spacing w:val="-6"/>
                <w:w w:val="99"/>
                <w:sz w:val="24"/>
                <w:szCs w:val="24"/>
              </w:rPr>
              <w:t>d</w:t>
            </w:r>
            <w:r w:rsidRPr="00934C02">
              <w:rPr>
                <w:rFonts w:ascii="Arial" w:eastAsia="SimSun" w:hAnsi="Arial" w:cs="Arial"/>
                <w:b/>
                <w:bCs/>
                <w:spacing w:val="7"/>
                <w:w w:val="99"/>
                <w:sz w:val="24"/>
                <w:szCs w:val="24"/>
              </w:rPr>
              <w:t>eşe</w:t>
            </w:r>
            <w:r w:rsidRPr="00934C02">
              <w:rPr>
                <w:rFonts w:ascii="Arial" w:eastAsia="SimSun" w:hAnsi="Arial" w:cs="Arial"/>
                <w:b/>
                <w:bCs/>
                <w:spacing w:val="-6"/>
                <w:w w:val="99"/>
                <w:sz w:val="24"/>
                <w:szCs w:val="24"/>
              </w:rPr>
              <w:t>u</w:t>
            </w:r>
            <w:r w:rsidRPr="00934C02">
              <w:rPr>
                <w:rFonts w:ascii="Arial" w:eastAsia="SimSun" w:hAnsi="Arial" w:cs="Arial"/>
                <w:b/>
                <w:bCs/>
                <w:spacing w:val="7"/>
                <w:w w:val="99"/>
                <w:sz w:val="24"/>
                <w:szCs w:val="24"/>
              </w:rPr>
              <w:t>r</w:t>
            </w:r>
            <w:r w:rsidRPr="00934C02">
              <w:rPr>
                <w:rFonts w:ascii="Arial" w:eastAsia="SimSun" w:hAnsi="Arial" w:cs="Arial"/>
                <w:b/>
                <w:bCs/>
                <w:spacing w:val="-7"/>
                <w:w w:val="99"/>
                <w:sz w:val="24"/>
                <w:szCs w:val="24"/>
              </w:rPr>
              <w:t>il</w:t>
            </w:r>
            <w:r w:rsidRPr="00934C02">
              <w:rPr>
                <w:rFonts w:ascii="Arial" w:eastAsia="SimSun" w:hAnsi="Arial" w:cs="Arial"/>
                <w:b/>
                <w:bCs/>
                <w:spacing w:val="-6"/>
                <w:w w:val="99"/>
                <w:sz w:val="24"/>
                <w:szCs w:val="24"/>
              </w:rPr>
              <w:t>o</w:t>
            </w:r>
            <w:r w:rsidRPr="00934C02">
              <w:rPr>
                <w:rFonts w:ascii="Arial" w:eastAsia="SimSun" w:hAnsi="Arial" w:cs="Arial"/>
                <w:b/>
                <w:bCs/>
                <w:w w:val="99"/>
                <w:sz w:val="24"/>
                <w:szCs w:val="24"/>
              </w:rPr>
              <w:t>r</w:t>
            </w:r>
            <w:r w:rsidRPr="00934C02">
              <w:rPr>
                <w:rFonts w:ascii="Arial" w:eastAsia="SimSun" w:hAnsi="Arial" w:cs="Arial"/>
                <w:b/>
                <w:sz w:val="24"/>
                <w:szCs w:val="24"/>
              </w:rPr>
              <w:t xml:space="preserve"> </w:t>
            </w:r>
            <w:r w:rsidRPr="00934C02">
              <w:rPr>
                <w:rFonts w:ascii="Arial" w:eastAsia="SimSun" w:hAnsi="Arial" w:cs="Arial"/>
                <w:b/>
                <w:bCs/>
                <w:spacing w:val="-6"/>
                <w:w w:val="99"/>
                <w:sz w:val="24"/>
                <w:szCs w:val="24"/>
              </w:rPr>
              <w:t>b</w:t>
            </w:r>
            <w:r w:rsidRPr="00934C02">
              <w:rPr>
                <w:rFonts w:ascii="Arial" w:eastAsia="SimSun" w:hAnsi="Arial" w:cs="Arial"/>
                <w:b/>
                <w:bCs/>
                <w:spacing w:val="-7"/>
                <w:w w:val="99"/>
                <w:sz w:val="24"/>
                <w:szCs w:val="24"/>
              </w:rPr>
              <w:t>i</w:t>
            </w:r>
            <w:r w:rsidRPr="00934C02">
              <w:rPr>
                <w:rFonts w:ascii="Arial" w:eastAsia="SimSun" w:hAnsi="Arial" w:cs="Arial"/>
                <w:b/>
                <w:bCs/>
                <w:spacing w:val="-6"/>
                <w:w w:val="99"/>
                <w:sz w:val="24"/>
                <w:szCs w:val="24"/>
              </w:rPr>
              <w:t>od</w:t>
            </w:r>
            <w:r w:rsidRPr="00934C02">
              <w:rPr>
                <w:rFonts w:ascii="Arial" w:eastAsia="SimSun" w:hAnsi="Arial" w:cs="Arial"/>
                <w:b/>
                <w:bCs/>
                <w:spacing w:val="7"/>
                <w:w w:val="99"/>
                <w:sz w:val="24"/>
                <w:szCs w:val="24"/>
              </w:rPr>
              <w:t>e</w:t>
            </w:r>
            <w:r w:rsidRPr="00934C02">
              <w:rPr>
                <w:rFonts w:ascii="Arial" w:eastAsia="SimSun" w:hAnsi="Arial" w:cs="Arial"/>
                <w:b/>
                <w:bCs/>
                <w:spacing w:val="-6"/>
                <w:w w:val="99"/>
                <w:sz w:val="24"/>
                <w:szCs w:val="24"/>
              </w:rPr>
              <w:t>g</w:t>
            </w:r>
            <w:r w:rsidRPr="00934C02">
              <w:rPr>
                <w:rFonts w:ascii="Arial" w:eastAsia="SimSun" w:hAnsi="Arial" w:cs="Arial"/>
                <w:b/>
                <w:bCs/>
                <w:spacing w:val="7"/>
                <w:w w:val="99"/>
                <w:sz w:val="24"/>
                <w:szCs w:val="24"/>
              </w:rPr>
              <w:t>ra</w:t>
            </w:r>
            <w:r w:rsidRPr="00934C02">
              <w:rPr>
                <w:rFonts w:ascii="Arial" w:eastAsia="SimSun" w:hAnsi="Arial" w:cs="Arial"/>
                <w:b/>
                <w:bCs/>
                <w:spacing w:val="-6"/>
                <w:w w:val="99"/>
                <w:sz w:val="24"/>
                <w:szCs w:val="24"/>
              </w:rPr>
              <w:t>d</w:t>
            </w:r>
            <w:r w:rsidRPr="00934C02">
              <w:rPr>
                <w:rFonts w:ascii="Arial" w:eastAsia="SimSun" w:hAnsi="Arial" w:cs="Arial"/>
                <w:b/>
                <w:bCs/>
                <w:spacing w:val="7"/>
                <w:w w:val="99"/>
                <w:sz w:val="24"/>
                <w:szCs w:val="24"/>
              </w:rPr>
              <w:t>a</w:t>
            </w:r>
            <w:r w:rsidRPr="00934C02">
              <w:rPr>
                <w:rFonts w:ascii="Arial" w:eastAsia="SimSun" w:hAnsi="Arial" w:cs="Arial"/>
                <w:b/>
                <w:bCs/>
                <w:spacing w:val="-6"/>
                <w:w w:val="99"/>
                <w:sz w:val="24"/>
                <w:szCs w:val="24"/>
              </w:rPr>
              <w:t>b</w:t>
            </w:r>
            <w:r w:rsidRPr="00934C02">
              <w:rPr>
                <w:rFonts w:ascii="Arial" w:eastAsia="SimSun" w:hAnsi="Arial" w:cs="Arial"/>
                <w:b/>
                <w:bCs/>
                <w:spacing w:val="13"/>
                <w:w w:val="99"/>
                <w:sz w:val="24"/>
                <w:szCs w:val="24"/>
              </w:rPr>
              <w:t>i</w:t>
            </w:r>
            <w:r w:rsidRPr="00934C02">
              <w:rPr>
                <w:rFonts w:ascii="Arial" w:eastAsia="SimSun" w:hAnsi="Arial" w:cs="Arial"/>
                <w:b/>
                <w:bCs/>
                <w:spacing w:val="-7"/>
                <w:w w:val="99"/>
                <w:sz w:val="24"/>
                <w:szCs w:val="24"/>
              </w:rPr>
              <w:t>l</w:t>
            </w:r>
            <w:r w:rsidRPr="00934C02">
              <w:rPr>
                <w:rFonts w:ascii="Arial" w:eastAsia="SimSun" w:hAnsi="Arial" w:cs="Arial"/>
                <w:b/>
                <w:bCs/>
                <w:w w:val="99"/>
                <w:sz w:val="24"/>
                <w:szCs w:val="24"/>
              </w:rPr>
              <w:t>e(</w:t>
            </w:r>
            <w:r w:rsidRPr="00934C02">
              <w:rPr>
                <w:rFonts w:ascii="Arial" w:eastAsia="SimSun" w:hAnsi="Arial" w:cs="Arial"/>
                <w:b/>
                <w:bCs/>
                <w:spacing w:val="-46"/>
                <w:sz w:val="24"/>
                <w:szCs w:val="24"/>
              </w:rPr>
              <w:t xml:space="preserve"> </w:t>
            </w:r>
            <w:r w:rsidRPr="00934C02">
              <w:rPr>
                <w:rFonts w:ascii="Arial" w:eastAsia="SimSun" w:hAnsi="Arial" w:cs="Arial"/>
                <w:b/>
                <w:bCs/>
                <w:spacing w:val="-33"/>
                <w:w w:val="99"/>
                <w:sz w:val="24"/>
                <w:szCs w:val="24"/>
              </w:rPr>
              <w:t>%</w:t>
            </w:r>
            <w:r w:rsidRPr="00934C02">
              <w:rPr>
                <w:rFonts w:ascii="Arial" w:eastAsia="SimSun" w:hAnsi="Arial" w:cs="Arial"/>
                <w:b/>
                <w:bCs/>
                <w:w w:val="99"/>
                <w:sz w:val="24"/>
                <w:szCs w:val="24"/>
              </w:rPr>
              <w:t>)</w:t>
            </w:r>
          </w:p>
        </w:tc>
      </w:tr>
      <w:tr w:rsidR="00934C02" w:rsidRPr="00934C02" w:rsidTr="008D2617">
        <w:trPr>
          <w:trHeight w:hRule="exact" w:val="360"/>
          <w:jc w:val="center"/>
        </w:trPr>
        <w:tc>
          <w:tcPr>
            <w:tcW w:w="4599" w:type="dxa"/>
            <w:tcBorders>
              <w:top w:val="single" w:sz="18" w:space="0" w:color="323299"/>
              <w:left w:val="single" w:sz="18" w:space="0" w:color="323299"/>
              <w:bottom w:val="single" w:sz="18" w:space="0" w:color="323299"/>
              <w:right w:val="single" w:sz="18" w:space="0" w:color="323299"/>
            </w:tcBorders>
            <w:shd w:val="clear" w:color="auto" w:fill="auto"/>
            <w:hideMark/>
          </w:tcPr>
          <w:p w:rsidR="00934C02" w:rsidRPr="00934C02" w:rsidRDefault="00934C02" w:rsidP="00934C02">
            <w:pPr>
              <w:widowControl w:val="0"/>
              <w:autoSpaceDE w:val="0"/>
              <w:autoSpaceDN w:val="0"/>
              <w:adjustRightInd w:val="0"/>
              <w:spacing w:after="0" w:line="240" w:lineRule="auto"/>
              <w:rPr>
                <w:rFonts w:ascii="Arial" w:eastAsia="SimSun" w:hAnsi="Arial" w:cs="Arial"/>
                <w:sz w:val="24"/>
                <w:szCs w:val="24"/>
              </w:rPr>
            </w:pPr>
            <w:r w:rsidRPr="00934C02">
              <w:rPr>
                <w:rFonts w:ascii="Arial" w:eastAsia="SimSun" w:hAnsi="Arial" w:cs="Arial"/>
                <w:sz w:val="24"/>
                <w:szCs w:val="24"/>
              </w:rPr>
              <w:t>Deşeuri menajere</w:t>
            </w:r>
          </w:p>
        </w:tc>
        <w:tc>
          <w:tcPr>
            <w:tcW w:w="3796" w:type="dxa"/>
            <w:tcBorders>
              <w:top w:val="single" w:sz="18" w:space="0" w:color="323299"/>
              <w:left w:val="single" w:sz="18" w:space="0" w:color="323299"/>
              <w:bottom w:val="single" w:sz="18" w:space="0" w:color="323299"/>
              <w:right w:val="single" w:sz="18" w:space="0" w:color="323299"/>
            </w:tcBorders>
            <w:shd w:val="clear" w:color="auto" w:fill="auto"/>
          </w:tcPr>
          <w:p w:rsidR="00934C02" w:rsidRPr="00934C02" w:rsidRDefault="00934C02" w:rsidP="00934C02">
            <w:pPr>
              <w:widowControl w:val="0"/>
              <w:autoSpaceDE w:val="0"/>
              <w:autoSpaceDN w:val="0"/>
              <w:adjustRightInd w:val="0"/>
              <w:spacing w:after="0" w:line="240" w:lineRule="auto"/>
              <w:jc w:val="center"/>
              <w:rPr>
                <w:rFonts w:ascii="Arial" w:eastAsia="SimSun" w:hAnsi="Arial" w:cs="Arial"/>
                <w:sz w:val="24"/>
                <w:szCs w:val="24"/>
              </w:rPr>
            </w:pPr>
          </w:p>
        </w:tc>
      </w:tr>
      <w:tr w:rsidR="00934C02" w:rsidRPr="00934C02" w:rsidTr="008D2617">
        <w:trPr>
          <w:trHeight w:hRule="exact" w:val="360"/>
          <w:jc w:val="center"/>
        </w:trPr>
        <w:tc>
          <w:tcPr>
            <w:tcW w:w="4599" w:type="dxa"/>
            <w:tcBorders>
              <w:top w:val="single" w:sz="18" w:space="0" w:color="323299"/>
              <w:left w:val="single" w:sz="18" w:space="0" w:color="323299"/>
              <w:bottom w:val="single" w:sz="18" w:space="0" w:color="323299"/>
              <w:right w:val="single" w:sz="18" w:space="0" w:color="323299"/>
            </w:tcBorders>
            <w:shd w:val="clear" w:color="auto" w:fill="auto"/>
            <w:hideMark/>
          </w:tcPr>
          <w:p w:rsidR="00934C02" w:rsidRPr="00934C02" w:rsidRDefault="00934C02" w:rsidP="00934C02">
            <w:pPr>
              <w:widowControl w:val="0"/>
              <w:autoSpaceDE w:val="0"/>
              <w:autoSpaceDN w:val="0"/>
              <w:adjustRightInd w:val="0"/>
              <w:spacing w:after="0" w:line="240" w:lineRule="auto"/>
              <w:rPr>
                <w:rFonts w:ascii="Arial" w:eastAsia="SimSun" w:hAnsi="Arial" w:cs="Arial"/>
                <w:sz w:val="24"/>
                <w:szCs w:val="24"/>
              </w:rPr>
            </w:pPr>
            <w:r w:rsidRPr="00934C02">
              <w:rPr>
                <w:rFonts w:ascii="Arial" w:eastAsia="SimSun" w:hAnsi="Arial" w:cs="Arial"/>
                <w:sz w:val="24"/>
                <w:szCs w:val="24"/>
              </w:rPr>
              <w:t>Urban</w:t>
            </w:r>
          </w:p>
        </w:tc>
        <w:tc>
          <w:tcPr>
            <w:tcW w:w="3796" w:type="dxa"/>
            <w:tcBorders>
              <w:top w:val="single" w:sz="18" w:space="0" w:color="323299"/>
              <w:left w:val="single" w:sz="18" w:space="0" w:color="323299"/>
              <w:bottom w:val="single" w:sz="18" w:space="0" w:color="323299"/>
              <w:right w:val="single" w:sz="18" w:space="0" w:color="323299"/>
            </w:tcBorders>
            <w:shd w:val="clear" w:color="auto" w:fill="auto"/>
            <w:hideMark/>
          </w:tcPr>
          <w:p w:rsidR="00934C02" w:rsidRPr="00934C02" w:rsidRDefault="00934C02" w:rsidP="00934C02">
            <w:pPr>
              <w:widowControl w:val="0"/>
              <w:autoSpaceDE w:val="0"/>
              <w:autoSpaceDN w:val="0"/>
              <w:adjustRightInd w:val="0"/>
              <w:spacing w:after="0" w:line="240" w:lineRule="auto"/>
              <w:jc w:val="center"/>
              <w:rPr>
                <w:rFonts w:ascii="Arial" w:eastAsia="SimSun" w:hAnsi="Arial" w:cs="Arial"/>
                <w:sz w:val="24"/>
                <w:szCs w:val="24"/>
              </w:rPr>
            </w:pPr>
            <w:r w:rsidRPr="00934C02">
              <w:rPr>
                <w:rFonts w:ascii="Arial" w:eastAsia="SimSun" w:hAnsi="Arial" w:cs="Arial"/>
                <w:sz w:val="24"/>
                <w:szCs w:val="24"/>
              </w:rPr>
              <w:t>72</w:t>
            </w:r>
          </w:p>
        </w:tc>
      </w:tr>
      <w:tr w:rsidR="00934C02" w:rsidRPr="00934C02" w:rsidTr="008D2617">
        <w:trPr>
          <w:trHeight w:hRule="exact" w:val="340"/>
          <w:jc w:val="center"/>
        </w:trPr>
        <w:tc>
          <w:tcPr>
            <w:tcW w:w="4599" w:type="dxa"/>
            <w:tcBorders>
              <w:top w:val="single" w:sz="18" w:space="0" w:color="323299"/>
              <w:left w:val="single" w:sz="18" w:space="0" w:color="323299"/>
              <w:bottom w:val="single" w:sz="18" w:space="0" w:color="323299"/>
              <w:right w:val="single" w:sz="18" w:space="0" w:color="323299"/>
            </w:tcBorders>
            <w:shd w:val="clear" w:color="auto" w:fill="auto"/>
            <w:hideMark/>
          </w:tcPr>
          <w:p w:rsidR="00934C02" w:rsidRPr="00934C02" w:rsidRDefault="00934C02" w:rsidP="00934C02">
            <w:pPr>
              <w:widowControl w:val="0"/>
              <w:autoSpaceDE w:val="0"/>
              <w:autoSpaceDN w:val="0"/>
              <w:adjustRightInd w:val="0"/>
              <w:spacing w:after="0" w:line="240" w:lineRule="auto"/>
              <w:rPr>
                <w:rFonts w:ascii="Arial" w:eastAsia="SimSun" w:hAnsi="Arial" w:cs="Arial"/>
                <w:sz w:val="24"/>
                <w:szCs w:val="24"/>
              </w:rPr>
            </w:pPr>
            <w:r w:rsidRPr="00934C02">
              <w:rPr>
                <w:rFonts w:ascii="Arial" w:eastAsia="SimSun" w:hAnsi="Arial" w:cs="Arial"/>
                <w:sz w:val="24"/>
                <w:szCs w:val="24"/>
              </w:rPr>
              <w:t>deşeuri alimentare şi de grădină</w:t>
            </w:r>
          </w:p>
        </w:tc>
        <w:tc>
          <w:tcPr>
            <w:tcW w:w="3796" w:type="dxa"/>
            <w:tcBorders>
              <w:top w:val="single" w:sz="18" w:space="0" w:color="323299"/>
              <w:left w:val="single" w:sz="18" w:space="0" w:color="323299"/>
              <w:bottom w:val="single" w:sz="18" w:space="0" w:color="323299"/>
              <w:right w:val="single" w:sz="18" w:space="0" w:color="323299"/>
            </w:tcBorders>
            <w:shd w:val="clear" w:color="auto" w:fill="auto"/>
            <w:hideMark/>
          </w:tcPr>
          <w:p w:rsidR="00934C02" w:rsidRPr="00934C02" w:rsidRDefault="00934C02" w:rsidP="00934C02">
            <w:pPr>
              <w:widowControl w:val="0"/>
              <w:autoSpaceDE w:val="0"/>
              <w:autoSpaceDN w:val="0"/>
              <w:adjustRightInd w:val="0"/>
              <w:spacing w:after="0" w:line="240" w:lineRule="auto"/>
              <w:jc w:val="center"/>
              <w:rPr>
                <w:rFonts w:ascii="Arial" w:eastAsia="SimSun" w:hAnsi="Arial" w:cs="Arial"/>
                <w:sz w:val="24"/>
                <w:szCs w:val="24"/>
              </w:rPr>
            </w:pPr>
            <w:r w:rsidRPr="00934C02">
              <w:rPr>
                <w:rFonts w:ascii="Arial" w:eastAsia="SimSun" w:hAnsi="Arial" w:cs="Arial"/>
                <w:sz w:val="24"/>
                <w:szCs w:val="24"/>
              </w:rPr>
              <w:t>58</w:t>
            </w:r>
          </w:p>
        </w:tc>
      </w:tr>
      <w:tr w:rsidR="00934C02" w:rsidRPr="00934C02" w:rsidTr="008D2617">
        <w:trPr>
          <w:trHeight w:hRule="exact" w:val="360"/>
          <w:jc w:val="center"/>
        </w:trPr>
        <w:tc>
          <w:tcPr>
            <w:tcW w:w="4599" w:type="dxa"/>
            <w:tcBorders>
              <w:top w:val="single" w:sz="18" w:space="0" w:color="323299"/>
              <w:left w:val="single" w:sz="18" w:space="0" w:color="323299"/>
              <w:bottom w:val="single" w:sz="18" w:space="0" w:color="323299"/>
              <w:right w:val="single" w:sz="18" w:space="0" w:color="323299"/>
            </w:tcBorders>
            <w:shd w:val="clear" w:color="auto" w:fill="auto"/>
            <w:hideMark/>
          </w:tcPr>
          <w:p w:rsidR="00934C02" w:rsidRPr="00934C02" w:rsidRDefault="00934C02" w:rsidP="00934C02">
            <w:pPr>
              <w:widowControl w:val="0"/>
              <w:autoSpaceDE w:val="0"/>
              <w:autoSpaceDN w:val="0"/>
              <w:adjustRightInd w:val="0"/>
              <w:spacing w:after="0" w:line="240" w:lineRule="auto"/>
              <w:rPr>
                <w:rFonts w:ascii="Arial" w:eastAsia="SimSun" w:hAnsi="Arial" w:cs="Arial"/>
                <w:sz w:val="24"/>
                <w:szCs w:val="24"/>
              </w:rPr>
            </w:pPr>
            <w:r w:rsidRPr="00934C02">
              <w:rPr>
                <w:rFonts w:ascii="Arial" w:eastAsia="SimSun" w:hAnsi="Arial" w:cs="Arial"/>
                <w:sz w:val="24"/>
                <w:szCs w:val="24"/>
              </w:rPr>
              <w:t>hârtie+carton, lemn, textile</w:t>
            </w:r>
          </w:p>
        </w:tc>
        <w:tc>
          <w:tcPr>
            <w:tcW w:w="3796" w:type="dxa"/>
            <w:tcBorders>
              <w:top w:val="single" w:sz="18" w:space="0" w:color="323299"/>
              <w:left w:val="single" w:sz="18" w:space="0" w:color="323299"/>
              <w:bottom w:val="single" w:sz="18" w:space="0" w:color="323299"/>
              <w:right w:val="single" w:sz="18" w:space="0" w:color="323299"/>
            </w:tcBorders>
            <w:shd w:val="clear" w:color="auto" w:fill="auto"/>
            <w:hideMark/>
          </w:tcPr>
          <w:p w:rsidR="00934C02" w:rsidRPr="00934C02" w:rsidRDefault="00934C02" w:rsidP="00934C02">
            <w:pPr>
              <w:widowControl w:val="0"/>
              <w:autoSpaceDE w:val="0"/>
              <w:autoSpaceDN w:val="0"/>
              <w:adjustRightInd w:val="0"/>
              <w:spacing w:after="0" w:line="240" w:lineRule="auto"/>
              <w:jc w:val="center"/>
              <w:rPr>
                <w:rFonts w:ascii="Arial" w:eastAsia="SimSun" w:hAnsi="Arial" w:cs="Arial"/>
                <w:sz w:val="24"/>
                <w:szCs w:val="24"/>
              </w:rPr>
            </w:pPr>
            <w:r w:rsidRPr="00934C02">
              <w:rPr>
                <w:rFonts w:ascii="Arial" w:eastAsia="SimSun" w:hAnsi="Arial" w:cs="Arial"/>
                <w:sz w:val="24"/>
                <w:szCs w:val="24"/>
              </w:rPr>
              <w:t>14</w:t>
            </w:r>
          </w:p>
        </w:tc>
      </w:tr>
      <w:tr w:rsidR="00934C02" w:rsidRPr="00934C02" w:rsidTr="008D2617">
        <w:trPr>
          <w:trHeight w:hRule="exact" w:val="360"/>
          <w:jc w:val="center"/>
        </w:trPr>
        <w:tc>
          <w:tcPr>
            <w:tcW w:w="4599" w:type="dxa"/>
            <w:tcBorders>
              <w:top w:val="single" w:sz="18" w:space="0" w:color="323299"/>
              <w:left w:val="single" w:sz="18" w:space="0" w:color="323299"/>
              <w:bottom w:val="single" w:sz="18" w:space="0" w:color="323299"/>
              <w:right w:val="single" w:sz="18" w:space="0" w:color="323299"/>
            </w:tcBorders>
            <w:shd w:val="clear" w:color="auto" w:fill="auto"/>
            <w:hideMark/>
          </w:tcPr>
          <w:p w:rsidR="00934C02" w:rsidRPr="00934C02" w:rsidRDefault="00934C02" w:rsidP="00934C02">
            <w:pPr>
              <w:widowControl w:val="0"/>
              <w:autoSpaceDE w:val="0"/>
              <w:autoSpaceDN w:val="0"/>
              <w:adjustRightInd w:val="0"/>
              <w:spacing w:after="0" w:line="240" w:lineRule="auto"/>
              <w:rPr>
                <w:rFonts w:ascii="Arial" w:eastAsia="SimSun" w:hAnsi="Arial" w:cs="Arial"/>
                <w:sz w:val="24"/>
                <w:szCs w:val="24"/>
              </w:rPr>
            </w:pPr>
            <w:r w:rsidRPr="00934C02">
              <w:rPr>
                <w:rFonts w:ascii="Arial" w:eastAsia="SimSun" w:hAnsi="Arial" w:cs="Arial"/>
                <w:sz w:val="24"/>
                <w:szCs w:val="24"/>
              </w:rPr>
              <w:t>Rural</w:t>
            </w:r>
          </w:p>
        </w:tc>
        <w:tc>
          <w:tcPr>
            <w:tcW w:w="3796" w:type="dxa"/>
            <w:tcBorders>
              <w:top w:val="single" w:sz="18" w:space="0" w:color="323299"/>
              <w:left w:val="single" w:sz="18" w:space="0" w:color="323299"/>
              <w:bottom w:val="single" w:sz="18" w:space="0" w:color="323299"/>
              <w:right w:val="single" w:sz="18" w:space="0" w:color="323299"/>
            </w:tcBorders>
            <w:shd w:val="clear" w:color="auto" w:fill="auto"/>
            <w:hideMark/>
          </w:tcPr>
          <w:p w:rsidR="00934C02" w:rsidRPr="00934C02" w:rsidRDefault="00934C02" w:rsidP="00934C02">
            <w:pPr>
              <w:widowControl w:val="0"/>
              <w:autoSpaceDE w:val="0"/>
              <w:autoSpaceDN w:val="0"/>
              <w:adjustRightInd w:val="0"/>
              <w:spacing w:after="0" w:line="240" w:lineRule="auto"/>
              <w:jc w:val="center"/>
              <w:rPr>
                <w:rFonts w:ascii="Arial" w:eastAsia="SimSun" w:hAnsi="Arial" w:cs="Arial"/>
                <w:sz w:val="24"/>
                <w:szCs w:val="24"/>
              </w:rPr>
            </w:pPr>
            <w:r w:rsidRPr="00934C02">
              <w:rPr>
                <w:rFonts w:ascii="Arial" w:eastAsia="SimSun" w:hAnsi="Arial" w:cs="Arial"/>
                <w:sz w:val="24"/>
                <w:szCs w:val="24"/>
              </w:rPr>
              <w:t>78</w:t>
            </w:r>
          </w:p>
        </w:tc>
      </w:tr>
      <w:tr w:rsidR="00934C02" w:rsidRPr="00934C02" w:rsidTr="008D2617">
        <w:trPr>
          <w:trHeight w:hRule="exact" w:val="320"/>
          <w:jc w:val="center"/>
        </w:trPr>
        <w:tc>
          <w:tcPr>
            <w:tcW w:w="4599" w:type="dxa"/>
            <w:tcBorders>
              <w:top w:val="single" w:sz="18" w:space="0" w:color="323299"/>
              <w:left w:val="single" w:sz="18" w:space="0" w:color="323299"/>
              <w:bottom w:val="single" w:sz="18" w:space="0" w:color="323299"/>
              <w:right w:val="single" w:sz="18" w:space="0" w:color="323299"/>
            </w:tcBorders>
            <w:shd w:val="clear" w:color="auto" w:fill="auto"/>
            <w:hideMark/>
          </w:tcPr>
          <w:p w:rsidR="00934C02" w:rsidRPr="00934C02" w:rsidRDefault="00934C02" w:rsidP="00934C02">
            <w:pPr>
              <w:widowControl w:val="0"/>
              <w:autoSpaceDE w:val="0"/>
              <w:autoSpaceDN w:val="0"/>
              <w:adjustRightInd w:val="0"/>
              <w:spacing w:after="0" w:line="240" w:lineRule="auto"/>
              <w:rPr>
                <w:rFonts w:ascii="Arial" w:eastAsia="SimSun" w:hAnsi="Arial" w:cs="Arial"/>
                <w:sz w:val="24"/>
                <w:szCs w:val="24"/>
              </w:rPr>
            </w:pPr>
            <w:r w:rsidRPr="00934C02">
              <w:rPr>
                <w:rFonts w:ascii="Arial" w:eastAsia="SimSun" w:hAnsi="Arial" w:cs="Arial"/>
                <w:sz w:val="24"/>
                <w:szCs w:val="24"/>
              </w:rPr>
              <w:t>deşeuri alimentare şi de grădină</w:t>
            </w:r>
          </w:p>
        </w:tc>
        <w:tc>
          <w:tcPr>
            <w:tcW w:w="3796" w:type="dxa"/>
            <w:tcBorders>
              <w:top w:val="single" w:sz="18" w:space="0" w:color="323299"/>
              <w:left w:val="single" w:sz="18" w:space="0" w:color="323299"/>
              <w:bottom w:val="single" w:sz="18" w:space="0" w:color="323299"/>
              <w:right w:val="single" w:sz="18" w:space="0" w:color="323299"/>
            </w:tcBorders>
            <w:shd w:val="clear" w:color="auto" w:fill="auto"/>
            <w:hideMark/>
          </w:tcPr>
          <w:p w:rsidR="00934C02" w:rsidRPr="00934C02" w:rsidRDefault="00934C02" w:rsidP="00934C02">
            <w:pPr>
              <w:widowControl w:val="0"/>
              <w:autoSpaceDE w:val="0"/>
              <w:autoSpaceDN w:val="0"/>
              <w:adjustRightInd w:val="0"/>
              <w:spacing w:after="0" w:line="240" w:lineRule="auto"/>
              <w:jc w:val="center"/>
              <w:rPr>
                <w:rFonts w:ascii="Arial" w:eastAsia="SimSun" w:hAnsi="Arial" w:cs="Arial"/>
                <w:sz w:val="24"/>
                <w:szCs w:val="24"/>
              </w:rPr>
            </w:pPr>
            <w:r w:rsidRPr="00934C02">
              <w:rPr>
                <w:rFonts w:ascii="Arial" w:eastAsia="SimSun" w:hAnsi="Arial" w:cs="Arial"/>
                <w:sz w:val="24"/>
                <w:szCs w:val="24"/>
              </w:rPr>
              <w:t>66</w:t>
            </w:r>
          </w:p>
        </w:tc>
      </w:tr>
      <w:tr w:rsidR="00934C02" w:rsidRPr="00934C02" w:rsidTr="008D2617">
        <w:trPr>
          <w:trHeight w:hRule="exact" w:val="360"/>
          <w:jc w:val="center"/>
        </w:trPr>
        <w:tc>
          <w:tcPr>
            <w:tcW w:w="4599" w:type="dxa"/>
            <w:tcBorders>
              <w:top w:val="single" w:sz="18" w:space="0" w:color="323299"/>
              <w:left w:val="single" w:sz="18" w:space="0" w:color="323299"/>
              <w:bottom w:val="single" w:sz="18" w:space="0" w:color="323299"/>
              <w:right w:val="single" w:sz="18" w:space="0" w:color="323299"/>
            </w:tcBorders>
            <w:shd w:val="clear" w:color="auto" w:fill="auto"/>
            <w:hideMark/>
          </w:tcPr>
          <w:p w:rsidR="00934C02" w:rsidRPr="00934C02" w:rsidRDefault="00934C02" w:rsidP="00934C02">
            <w:pPr>
              <w:widowControl w:val="0"/>
              <w:autoSpaceDE w:val="0"/>
              <w:autoSpaceDN w:val="0"/>
              <w:adjustRightInd w:val="0"/>
              <w:spacing w:after="0" w:line="240" w:lineRule="auto"/>
              <w:rPr>
                <w:rFonts w:ascii="Arial" w:eastAsia="SimSun" w:hAnsi="Arial" w:cs="Arial"/>
                <w:sz w:val="24"/>
                <w:szCs w:val="24"/>
              </w:rPr>
            </w:pPr>
            <w:r w:rsidRPr="00934C02">
              <w:rPr>
                <w:rFonts w:ascii="Arial" w:eastAsia="SimSun" w:hAnsi="Arial" w:cs="Arial"/>
                <w:sz w:val="24"/>
                <w:szCs w:val="24"/>
              </w:rPr>
              <w:t>hârtie+carton, lemn, textile</w:t>
            </w:r>
          </w:p>
        </w:tc>
        <w:tc>
          <w:tcPr>
            <w:tcW w:w="3796" w:type="dxa"/>
            <w:tcBorders>
              <w:top w:val="single" w:sz="18" w:space="0" w:color="323299"/>
              <w:left w:val="single" w:sz="18" w:space="0" w:color="323299"/>
              <w:bottom w:val="single" w:sz="18" w:space="0" w:color="323299"/>
              <w:right w:val="single" w:sz="18" w:space="0" w:color="323299"/>
            </w:tcBorders>
            <w:shd w:val="clear" w:color="auto" w:fill="auto"/>
            <w:hideMark/>
          </w:tcPr>
          <w:p w:rsidR="00934C02" w:rsidRPr="00934C02" w:rsidRDefault="00934C02" w:rsidP="00934C02">
            <w:pPr>
              <w:widowControl w:val="0"/>
              <w:autoSpaceDE w:val="0"/>
              <w:autoSpaceDN w:val="0"/>
              <w:adjustRightInd w:val="0"/>
              <w:spacing w:after="0" w:line="240" w:lineRule="auto"/>
              <w:jc w:val="center"/>
              <w:rPr>
                <w:rFonts w:ascii="Arial" w:eastAsia="SimSun" w:hAnsi="Arial" w:cs="Arial"/>
                <w:sz w:val="24"/>
                <w:szCs w:val="24"/>
              </w:rPr>
            </w:pPr>
            <w:r w:rsidRPr="00934C02">
              <w:rPr>
                <w:rFonts w:ascii="Arial" w:eastAsia="SimSun" w:hAnsi="Arial" w:cs="Arial"/>
                <w:sz w:val="24"/>
                <w:szCs w:val="24"/>
              </w:rPr>
              <w:t>12</w:t>
            </w:r>
          </w:p>
        </w:tc>
      </w:tr>
      <w:tr w:rsidR="00934C02" w:rsidRPr="00934C02" w:rsidTr="008D2617">
        <w:trPr>
          <w:trHeight w:hRule="exact" w:val="680"/>
          <w:jc w:val="center"/>
        </w:trPr>
        <w:tc>
          <w:tcPr>
            <w:tcW w:w="4599" w:type="dxa"/>
            <w:tcBorders>
              <w:top w:val="single" w:sz="18" w:space="0" w:color="323299"/>
              <w:left w:val="single" w:sz="18" w:space="0" w:color="323299"/>
              <w:bottom w:val="single" w:sz="18" w:space="0" w:color="323299"/>
              <w:right w:val="single" w:sz="18" w:space="0" w:color="323299"/>
            </w:tcBorders>
            <w:shd w:val="clear" w:color="auto" w:fill="auto"/>
            <w:hideMark/>
          </w:tcPr>
          <w:p w:rsidR="00934C02" w:rsidRPr="00934C02" w:rsidRDefault="00934C02" w:rsidP="00934C02">
            <w:pPr>
              <w:widowControl w:val="0"/>
              <w:autoSpaceDE w:val="0"/>
              <w:autoSpaceDN w:val="0"/>
              <w:adjustRightInd w:val="0"/>
              <w:spacing w:after="0" w:line="240" w:lineRule="auto"/>
              <w:rPr>
                <w:rFonts w:ascii="Arial" w:eastAsia="SimSun" w:hAnsi="Arial" w:cs="Arial"/>
                <w:sz w:val="24"/>
                <w:szCs w:val="24"/>
              </w:rPr>
            </w:pPr>
            <w:r w:rsidRPr="00934C02">
              <w:rPr>
                <w:rFonts w:ascii="Arial" w:eastAsia="SimSun" w:hAnsi="Arial" w:cs="Arial"/>
                <w:sz w:val="24"/>
                <w:szCs w:val="24"/>
              </w:rPr>
              <w:t>Deşeuri asimilabile din comerţ, industrie,</w:t>
            </w:r>
          </w:p>
          <w:p w:rsidR="00934C02" w:rsidRPr="00934C02" w:rsidRDefault="00934C02" w:rsidP="00934C02">
            <w:pPr>
              <w:widowControl w:val="0"/>
              <w:autoSpaceDE w:val="0"/>
              <w:autoSpaceDN w:val="0"/>
              <w:adjustRightInd w:val="0"/>
              <w:spacing w:after="0" w:line="240" w:lineRule="auto"/>
              <w:rPr>
                <w:rFonts w:ascii="Arial" w:eastAsia="SimSun" w:hAnsi="Arial" w:cs="Arial"/>
                <w:sz w:val="24"/>
                <w:szCs w:val="24"/>
              </w:rPr>
            </w:pPr>
            <w:r w:rsidRPr="00934C02">
              <w:rPr>
                <w:rFonts w:ascii="Arial" w:eastAsia="SimSun" w:hAnsi="Arial" w:cs="Arial"/>
                <w:sz w:val="24"/>
                <w:szCs w:val="24"/>
              </w:rPr>
              <w:t>instituţii</w:t>
            </w:r>
          </w:p>
        </w:tc>
        <w:tc>
          <w:tcPr>
            <w:tcW w:w="3796" w:type="dxa"/>
            <w:tcBorders>
              <w:top w:val="single" w:sz="18" w:space="0" w:color="323299"/>
              <w:left w:val="single" w:sz="18" w:space="0" w:color="323299"/>
              <w:bottom w:val="single" w:sz="18" w:space="0" w:color="323299"/>
              <w:right w:val="single" w:sz="18" w:space="0" w:color="323299"/>
            </w:tcBorders>
            <w:shd w:val="clear" w:color="auto" w:fill="auto"/>
          </w:tcPr>
          <w:p w:rsidR="00934C02" w:rsidRPr="00934C02" w:rsidRDefault="00934C02" w:rsidP="00934C02">
            <w:pPr>
              <w:widowControl w:val="0"/>
              <w:autoSpaceDE w:val="0"/>
              <w:autoSpaceDN w:val="0"/>
              <w:adjustRightInd w:val="0"/>
              <w:spacing w:after="0" w:line="240" w:lineRule="auto"/>
              <w:jc w:val="center"/>
              <w:rPr>
                <w:rFonts w:ascii="Arial" w:eastAsia="SimSun" w:hAnsi="Arial" w:cs="Arial"/>
                <w:sz w:val="24"/>
                <w:szCs w:val="24"/>
              </w:rPr>
            </w:pPr>
          </w:p>
          <w:p w:rsidR="00934C02" w:rsidRPr="00934C02" w:rsidRDefault="00934C02" w:rsidP="00934C02">
            <w:pPr>
              <w:widowControl w:val="0"/>
              <w:autoSpaceDE w:val="0"/>
              <w:autoSpaceDN w:val="0"/>
              <w:adjustRightInd w:val="0"/>
              <w:spacing w:after="0" w:line="240" w:lineRule="auto"/>
              <w:jc w:val="center"/>
              <w:rPr>
                <w:rFonts w:ascii="Arial" w:eastAsia="SimSun" w:hAnsi="Arial" w:cs="Arial"/>
                <w:sz w:val="24"/>
                <w:szCs w:val="24"/>
              </w:rPr>
            </w:pPr>
            <w:r w:rsidRPr="00934C02">
              <w:rPr>
                <w:rFonts w:ascii="Arial" w:eastAsia="SimSun" w:hAnsi="Arial" w:cs="Arial"/>
                <w:sz w:val="24"/>
                <w:szCs w:val="24"/>
              </w:rPr>
              <w:t>45</w:t>
            </w:r>
          </w:p>
        </w:tc>
      </w:tr>
      <w:tr w:rsidR="00934C02" w:rsidRPr="00934C02" w:rsidTr="008D2617">
        <w:trPr>
          <w:trHeight w:hRule="exact" w:val="360"/>
          <w:jc w:val="center"/>
        </w:trPr>
        <w:tc>
          <w:tcPr>
            <w:tcW w:w="4599" w:type="dxa"/>
            <w:tcBorders>
              <w:top w:val="single" w:sz="18" w:space="0" w:color="323299"/>
              <w:left w:val="single" w:sz="18" w:space="0" w:color="323299"/>
              <w:bottom w:val="single" w:sz="18" w:space="0" w:color="323299"/>
              <w:right w:val="single" w:sz="18" w:space="0" w:color="323299"/>
            </w:tcBorders>
            <w:shd w:val="clear" w:color="auto" w:fill="auto"/>
            <w:hideMark/>
          </w:tcPr>
          <w:p w:rsidR="00934C02" w:rsidRPr="00934C02" w:rsidRDefault="00934C02" w:rsidP="00934C02">
            <w:pPr>
              <w:widowControl w:val="0"/>
              <w:autoSpaceDE w:val="0"/>
              <w:autoSpaceDN w:val="0"/>
              <w:adjustRightInd w:val="0"/>
              <w:spacing w:after="0" w:line="240" w:lineRule="auto"/>
              <w:rPr>
                <w:rFonts w:ascii="Arial" w:eastAsia="SimSun" w:hAnsi="Arial" w:cs="Arial"/>
                <w:sz w:val="24"/>
                <w:szCs w:val="24"/>
              </w:rPr>
            </w:pPr>
            <w:r w:rsidRPr="00934C02">
              <w:rPr>
                <w:rFonts w:ascii="Arial" w:eastAsia="SimSun" w:hAnsi="Arial" w:cs="Arial"/>
                <w:sz w:val="24"/>
                <w:szCs w:val="24"/>
              </w:rPr>
              <w:t>Deşeuri din grădini şi parcuri</w:t>
            </w:r>
          </w:p>
        </w:tc>
        <w:tc>
          <w:tcPr>
            <w:tcW w:w="3796" w:type="dxa"/>
            <w:tcBorders>
              <w:top w:val="single" w:sz="18" w:space="0" w:color="323299"/>
              <w:left w:val="single" w:sz="18" w:space="0" w:color="323299"/>
              <w:bottom w:val="single" w:sz="18" w:space="0" w:color="323299"/>
              <w:right w:val="single" w:sz="18" w:space="0" w:color="323299"/>
            </w:tcBorders>
            <w:shd w:val="clear" w:color="auto" w:fill="auto"/>
            <w:hideMark/>
          </w:tcPr>
          <w:p w:rsidR="00934C02" w:rsidRPr="00934C02" w:rsidRDefault="00934C02" w:rsidP="00934C02">
            <w:pPr>
              <w:widowControl w:val="0"/>
              <w:autoSpaceDE w:val="0"/>
              <w:autoSpaceDN w:val="0"/>
              <w:adjustRightInd w:val="0"/>
              <w:spacing w:after="0" w:line="240" w:lineRule="auto"/>
              <w:jc w:val="center"/>
              <w:rPr>
                <w:rFonts w:ascii="Arial" w:eastAsia="SimSun" w:hAnsi="Arial" w:cs="Arial"/>
                <w:sz w:val="24"/>
                <w:szCs w:val="24"/>
              </w:rPr>
            </w:pPr>
            <w:r w:rsidRPr="00934C02">
              <w:rPr>
                <w:rFonts w:ascii="Arial" w:eastAsia="SimSun" w:hAnsi="Arial" w:cs="Arial"/>
                <w:sz w:val="24"/>
                <w:szCs w:val="24"/>
              </w:rPr>
              <w:t>95</w:t>
            </w:r>
          </w:p>
        </w:tc>
      </w:tr>
      <w:tr w:rsidR="00934C02" w:rsidRPr="00934C02" w:rsidTr="008D2617">
        <w:trPr>
          <w:trHeight w:hRule="exact" w:val="360"/>
          <w:jc w:val="center"/>
        </w:trPr>
        <w:tc>
          <w:tcPr>
            <w:tcW w:w="4599" w:type="dxa"/>
            <w:tcBorders>
              <w:top w:val="single" w:sz="18" w:space="0" w:color="323299"/>
              <w:left w:val="single" w:sz="18" w:space="0" w:color="323299"/>
              <w:bottom w:val="single" w:sz="18" w:space="0" w:color="323299"/>
              <w:right w:val="single" w:sz="18" w:space="0" w:color="323299"/>
            </w:tcBorders>
            <w:shd w:val="clear" w:color="auto" w:fill="auto"/>
            <w:hideMark/>
          </w:tcPr>
          <w:p w:rsidR="00934C02" w:rsidRPr="00934C02" w:rsidRDefault="00934C02" w:rsidP="00934C02">
            <w:pPr>
              <w:widowControl w:val="0"/>
              <w:autoSpaceDE w:val="0"/>
              <w:autoSpaceDN w:val="0"/>
              <w:adjustRightInd w:val="0"/>
              <w:spacing w:after="0" w:line="240" w:lineRule="auto"/>
              <w:rPr>
                <w:rFonts w:ascii="Arial" w:eastAsia="SimSun" w:hAnsi="Arial" w:cs="Arial"/>
                <w:sz w:val="24"/>
                <w:szCs w:val="24"/>
              </w:rPr>
            </w:pPr>
            <w:r w:rsidRPr="00934C02">
              <w:rPr>
                <w:rFonts w:ascii="Arial" w:eastAsia="SimSun" w:hAnsi="Arial" w:cs="Arial"/>
                <w:sz w:val="24"/>
                <w:szCs w:val="24"/>
              </w:rPr>
              <w:t>Deşeuri din pieţe</w:t>
            </w:r>
          </w:p>
        </w:tc>
        <w:tc>
          <w:tcPr>
            <w:tcW w:w="3796" w:type="dxa"/>
            <w:tcBorders>
              <w:top w:val="single" w:sz="18" w:space="0" w:color="323299"/>
              <w:left w:val="single" w:sz="18" w:space="0" w:color="323299"/>
              <w:bottom w:val="single" w:sz="18" w:space="0" w:color="323299"/>
              <w:right w:val="single" w:sz="18" w:space="0" w:color="323299"/>
            </w:tcBorders>
            <w:shd w:val="clear" w:color="auto" w:fill="auto"/>
            <w:hideMark/>
          </w:tcPr>
          <w:p w:rsidR="00934C02" w:rsidRPr="00934C02" w:rsidRDefault="00934C02" w:rsidP="00934C02">
            <w:pPr>
              <w:widowControl w:val="0"/>
              <w:autoSpaceDE w:val="0"/>
              <w:autoSpaceDN w:val="0"/>
              <w:adjustRightInd w:val="0"/>
              <w:spacing w:after="0" w:line="240" w:lineRule="auto"/>
              <w:jc w:val="center"/>
              <w:rPr>
                <w:rFonts w:ascii="Arial" w:eastAsia="SimSun" w:hAnsi="Arial" w:cs="Arial"/>
                <w:sz w:val="24"/>
                <w:szCs w:val="24"/>
              </w:rPr>
            </w:pPr>
            <w:r w:rsidRPr="00934C02">
              <w:rPr>
                <w:rFonts w:ascii="Arial" w:eastAsia="SimSun" w:hAnsi="Arial" w:cs="Arial"/>
                <w:sz w:val="24"/>
                <w:szCs w:val="24"/>
              </w:rPr>
              <w:t>80</w:t>
            </w:r>
          </w:p>
        </w:tc>
      </w:tr>
      <w:tr w:rsidR="00934C02" w:rsidRPr="00934C02" w:rsidTr="008D2617">
        <w:trPr>
          <w:trHeight w:hRule="exact" w:val="288"/>
          <w:jc w:val="center"/>
        </w:trPr>
        <w:tc>
          <w:tcPr>
            <w:tcW w:w="4599" w:type="dxa"/>
            <w:tcBorders>
              <w:top w:val="single" w:sz="18" w:space="0" w:color="323299"/>
              <w:left w:val="single" w:sz="18" w:space="0" w:color="323299"/>
              <w:bottom w:val="single" w:sz="18" w:space="0" w:color="323299"/>
              <w:right w:val="single" w:sz="18" w:space="0" w:color="323299"/>
            </w:tcBorders>
            <w:shd w:val="clear" w:color="auto" w:fill="auto"/>
            <w:hideMark/>
          </w:tcPr>
          <w:p w:rsidR="00934C02" w:rsidRPr="00934C02" w:rsidRDefault="00934C02" w:rsidP="00934C02">
            <w:pPr>
              <w:widowControl w:val="0"/>
              <w:autoSpaceDE w:val="0"/>
              <w:autoSpaceDN w:val="0"/>
              <w:adjustRightInd w:val="0"/>
              <w:spacing w:after="0" w:line="240" w:lineRule="auto"/>
              <w:rPr>
                <w:rFonts w:ascii="Arial" w:eastAsia="SimSun" w:hAnsi="Arial" w:cs="Arial"/>
                <w:sz w:val="24"/>
                <w:szCs w:val="24"/>
              </w:rPr>
            </w:pPr>
            <w:r w:rsidRPr="00934C02">
              <w:rPr>
                <w:rFonts w:ascii="Arial" w:eastAsia="SimSun" w:hAnsi="Arial" w:cs="Arial"/>
                <w:sz w:val="24"/>
                <w:szCs w:val="24"/>
              </w:rPr>
              <w:t>Deşeuri stradale</w:t>
            </w:r>
          </w:p>
        </w:tc>
        <w:tc>
          <w:tcPr>
            <w:tcW w:w="3796" w:type="dxa"/>
            <w:tcBorders>
              <w:top w:val="single" w:sz="18" w:space="0" w:color="323299"/>
              <w:left w:val="single" w:sz="18" w:space="0" w:color="323299"/>
              <w:bottom w:val="single" w:sz="18" w:space="0" w:color="323299"/>
              <w:right w:val="single" w:sz="18" w:space="0" w:color="323299"/>
            </w:tcBorders>
            <w:shd w:val="clear" w:color="auto" w:fill="auto"/>
            <w:hideMark/>
          </w:tcPr>
          <w:p w:rsidR="00934C02" w:rsidRPr="00934C02" w:rsidRDefault="00934C02" w:rsidP="00934C02">
            <w:pPr>
              <w:widowControl w:val="0"/>
              <w:autoSpaceDE w:val="0"/>
              <w:autoSpaceDN w:val="0"/>
              <w:adjustRightInd w:val="0"/>
              <w:spacing w:after="0" w:line="240" w:lineRule="auto"/>
              <w:jc w:val="center"/>
              <w:rPr>
                <w:rFonts w:ascii="Arial" w:eastAsia="SimSun" w:hAnsi="Arial" w:cs="Arial"/>
                <w:sz w:val="24"/>
                <w:szCs w:val="24"/>
              </w:rPr>
            </w:pPr>
            <w:r w:rsidRPr="00934C02">
              <w:rPr>
                <w:rFonts w:ascii="Arial" w:eastAsia="SimSun" w:hAnsi="Arial" w:cs="Arial"/>
                <w:sz w:val="24"/>
                <w:szCs w:val="24"/>
              </w:rPr>
              <w:t>20</w:t>
            </w:r>
          </w:p>
        </w:tc>
      </w:tr>
    </w:tbl>
    <w:p w:rsidR="00934C02" w:rsidRPr="00934C02" w:rsidRDefault="00934C02" w:rsidP="00934C02">
      <w:pPr>
        <w:spacing w:after="0" w:line="240" w:lineRule="auto"/>
        <w:jc w:val="both"/>
        <w:rPr>
          <w:rFonts w:ascii="Arial" w:hAnsi="Arial" w:cs="Arial"/>
          <w:sz w:val="24"/>
          <w:szCs w:val="24"/>
          <w:lang w:val="pl-PL"/>
        </w:rPr>
      </w:pPr>
    </w:p>
    <w:p w:rsidR="00934C02" w:rsidRPr="00934C02" w:rsidRDefault="00934C02" w:rsidP="00934C02">
      <w:pPr>
        <w:spacing w:after="0" w:line="240" w:lineRule="auto"/>
        <w:ind w:firstLine="720"/>
        <w:jc w:val="both"/>
        <w:rPr>
          <w:rFonts w:ascii="Arial" w:hAnsi="Arial" w:cs="Arial"/>
          <w:sz w:val="24"/>
          <w:szCs w:val="24"/>
          <w:lang w:val="pl-PL"/>
        </w:rPr>
      </w:pPr>
      <w:r w:rsidRPr="00934C02">
        <w:rPr>
          <w:rFonts w:ascii="Arial" w:hAnsi="Arial" w:cs="Arial"/>
          <w:sz w:val="24"/>
          <w:szCs w:val="24"/>
          <w:lang w:val="pl-PL"/>
        </w:rPr>
        <w:t xml:space="preserve">Pentru deşeurile biodegradabile, H.G. nr. 349 /2005 privind depozitarea deşeurilor, cu completările şi modificările ulterioare, stipulează necesitatea reducerii cantităţii de deşeuri biodegradabile municipale astfel: </w:t>
      </w:r>
    </w:p>
    <w:p w:rsidR="00934C02" w:rsidRPr="00934C02" w:rsidRDefault="00934C02" w:rsidP="005910C7">
      <w:pPr>
        <w:numPr>
          <w:ilvl w:val="0"/>
          <w:numId w:val="23"/>
        </w:numPr>
        <w:spacing w:after="0" w:line="240" w:lineRule="auto"/>
        <w:contextualSpacing/>
        <w:jc w:val="both"/>
        <w:rPr>
          <w:rFonts w:ascii="Arial" w:hAnsi="Arial" w:cs="Arial"/>
          <w:sz w:val="24"/>
          <w:szCs w:val="24"/>
          <w:lang w:val="pl-PL"/>
        </w:rPr>
      </w:pPr>
      <w:r w:rsidRPr="00934C02">
        <w:rPr>
          <w:rFonts w:ascii="Arial" w:hAnsi="Arial" w:cs="Arial"/>
          <w:sz w:val="24"/>
          <w:szCs w:val="24"/>
          <w:lang w:val="pl-PL"/>
        </w:rPr>
        <w:t>16 iulie 2010 - Cantitatea depozitată trebuie să se reducă la 75% din cantitatea totală (exprimată gravimetric), produsă în anul 1995;</w:t>
      </w:r>
    </w:p>
    <w:p w:rsidR="00934C02" w:rsidRPr="00934C02" w:rsidRDefault="00934C02" w:rsidP="005910C7">
      <w:pPr>
        <w:numPr>
          <w:ilvl w:val="0"/>
          <w:numId w:val="23"/>
        </w:numPr>
        <w:spacing w:after="0" w:line="240" w:lineRule="auto"/>
        <w:contextualSpacing/>
        <w:jc w:val="both"/>
        <w:rPr>
          <w:rFonts w:ascii="Arial" w:hAnsi="Arial" w:cs="Arial"/>
          <w:sz w:val="24"/>
          <w:szCs w:val="24"/>
          <w:lang w:val="pl-PL"/>
        </w:rPr>
      </w:pPr>
      <w:r w:rsidRPr="00934C02">
        <w:rPr>
          <w:rFonts w:ascii="Arial" w:hAnsi="Arial" w:cs="Arial"/>
          <w:sz w:val="24"/>
          <w:szCs w:val="24"/>
          <w:lang w:val="pl-PL"/>
        </w:rPr>
        <w:t>16 iulie 2013 - Cantitatea depozitată trebuie să se reducă la 50% din cantitatea totală (exprimată gravimetric), produsă în anul 1995;</w:t>
      </w:r>
    </w:p>
    <w:p w:rsidR="00934C02" w:rsidRPr="00934C02" w:rsidRDefault="00934C02" w:rsidP="005910C7">
      <w:pPr>
        <w:numPr>
          <w:ilvl w:val="0"/>
          <w:numId w:val="23"/>
        </w:numPr>
        <w:spacing w:after="0" w:line="240" w:lineRule="auto"/>
        <w:contextualSpacing/>
        <w:jc w:val="both"/>
        <w:rPr>
          <w:rFonts w:ascii="Arial" w:hAnsi="Arial" w:cs="Arial"/>
          <w:sz w:val="24"/>
          <w:szCs w:val="24"/>
          <w:lang w:val="pl-PL"/>
        </w:rPr>
      </w:pPr>
      <w:r w:rsidRPr="00934C02">
        <w:rPr>
          <w:rFonts w:ascii="Arial" w:hAnsi="Arial" w:cs="Arial"/>
          <w:sz w:val="24"/>
          <w:szCs w:val="24"/>
          <w:lang w:val="pl-PL"/>
        </w:rPr>
        <w:t>16 iulie 2016 - Cantitatea depozitată trebuie să se reducă la 35% din cantitatea totală (exprimată gravimetric), produsă în anul 1995.</w:t>
      </w:r>
    </w:p>
    <w:p w:rsidR="00934C02" w:rsidRPr="00934C02" w:rsidRDefault="00934C02" w:rsidP="00934C02">
      <w:pPr>
        <w:spacing w:after="0" w:line="240" w:lineRule="auto"/>
        <w:jc w:val="both"/>
        <w:rPr>
          <w:rFonts w:ascii="Arial" w:hAnsi="Arial" w:cs="Arial"/>
          <w:sz w:val="24"/>
          <w:szCs w:val="24"/>
          <w:lang w:val="pl-PL"/>
        </w:rPr>
      </w:pPr>
      <w:r w:rsidRPr="00934C02">
        <w:rPr>
          <w:rFonts w:ascii="Arial" w:hAnsi="Arial" w:cs="Arial"/>
          <w:sz w:val="24"/>
          <w:szCs w:val="24"/>
          <w:lang w:val="pl-PL"/>
        </w:rPr>
        <w:t xml:space="preserve">           Cantitatea totală de deşeuri biodegradabile generată în judeţul Vaslui în anul 1995 a fost de </w:t>
      </w:r>
      <w:r w:rsidRPr="00934C02">
        <w:rPr>
          <w:rFonts w:ascii="Arial" w:hAnsi="Arial" w:cs="Arial"/>
          <w:b/>
          <w:sz w:val="24"/>
          <w:szCs w:val="24"/>
          <w:lang w:val="pl-PL"/>
        </w:rPr>
        <w:t>98.134 tone</w:t>
      </w:r>
      <w:r w:rsidRPr="00934C02">
        <w:rPr>
          <w:rFonts w:ascii="Arial" w:hAnsi="Arial" w:cs="Arial"/>
          <w:sz w:val="24"/>
          <w:szCs w:val="24"/>
          <w:lang w:val="pl-PL"/>
        </w:rPr>
        <w:t xml:space="preserve"> din totalul de </w:t>
      </w:r>
      <w:r w:rsidRPr="00934C02">
        <w:rPr>
          <w:rFonts w:ascii="Arial" w:hAnsi="Arial" w:cs="Arial"/>
          <w:b/>
          <w:sz w:val="24"/>
          <w:szCs w:val="24"/>
          <w:lang w:val="pl-PL"/>
        </w:rPr>
        <w:t>4,8 milioane</w:t>
      </w:r>
      <w:r w:rsidRPr="00934C02">
        <w:rPr>
          <w:rFonts w:ascii="Arial" w:hAnsi="Arial" w:cs="Arial"/>
          <w:sz w:val="24"/>
          <w:szCs w:val="24"/>
          <w:lang w:val="pl-PL"/>
        </w:rPr>
        <w:t xml:space="preserve"> generate în România.</w:t>
      </w:r>
    </w:p>
    <w:p w:rsidR="00934C02" w:rsidRPr="00934C02" w:rsidRDefault="00934C02" w:rsidP="00934C02">
      <w:pPr>
        <w:spacing w:after="0" w:line="240" w:lineRule="auto"/>
        <w:jc w:val="both"/>
        <w:rPr>
          <w:rFonts w:ascii="Arial" w:hAnsi="Arial" w:cs="Arial"/>
          <w:sz w:val="24"/>
          <w:szCs w:val="24"/>
          <w:lang w:val="pl-PL"/>
        </w:rPr>
      </w:pPr>
      <w:r w:rsidRPr="00934C02">
        <w:rPr>
          <w:rFonts w:ascii="Arial" w:hAnsi="Arial" w:cs="Arial"/>
          <w:sz w:val="24"/>
          <w:szCs w:val="24"/>
          <w:lang w:val="pl-PL"/>
        </w:rPr>
        <w:lastRenderedPageBreak/>
        <w:t xml:space="preserve">            În tabelul de mai jos sunt prezentate cantităţile de deşeuri biodegradabile, reduse la depozitare în anii 2010-2013.</w:t>
      </w:r>
    </w:p>
    <w:p w:rsidR="00934C02" w:rsidRPr="00934C02" w:rsidRDefault="00934C02" w:rsidP="00934C02">
      <w:pPr>
        <w:spacing w:after="0" w:line="240" w:lineRule="auto"/>
        <w:jc w:val="both"/>
        <w:rPr>
          <w:rFonts w:ascii="Arial" w:hAnsi="Arial" w:cs="Arial"/>
          <w:sz w:val="24"/>
          <w:szCs w:val="24"/>
          <w:lang w:val="pl-PL"/>
        </w:rPr>
      </w:pPr>
    </w:p>
    <w:p w:rsidR="00934C02" w:rsidRPr="00934C02" w:rsidRDefault="00934C02" w:rsidP="00934C02">
      <w:pPr>
        <w:spacing w:after="0" w:line="240" w:lineRule="auto"/>
        <w:jc w:val="both"/>
        <w:rPr>
          <w:rFonts w:ascii="Arial" w:hAnsi="Arial" w:cs="Arial"/>
          <w:sz w:val="24"/>
          <w:szCs w:val="24"/>
          <w:lang w:val="ro-RO"/>
        </w:rPr>
      </w:pPr>
      <w:r w:rsidRPr="00934C02">
        <w:rPr>
          <w:rFonts w:ascii="Arial" w:hAnsi="Arial" w:cs="Arial"/>
          <w:sz w:val="24"/>
          <w:szCs w:val="24"/>
          <w:lang w:val="ro-RO" w:eastAsia="pl-PL"/>
        </w:rPr>
        <w:t xml:space="preserve">     T</w:t>
      </w:r>
      <w:r w:rsidRPr="00934C02">
        <w:rPr>
          <w:rFonts w:ascii="Arial" w:hAnsi="Arial" w:cs="Arial"/>
          <w:sz w:val="24"/>
          <w:szCs w:val="24"/>
        </w:rPr>
        <w:t xml:space="preserve">abelul </w:t>
      </w:r>
      <w:r w:rsidRPr="00934C02">
        <w:rPr>
          <w:rFonts w:ascii="Arial" w:eastAsia="SimSun" w:hAnsi="Arial" w:cs="Arial"/>
          <w:sz w:val="24"/>
          <w:szCs w:val="24"/>
        </w:rPr>
        <w:t>VII.9. Cantităţile de deşeuri biodegradabile şi ţintele privind reducerea acestora la depozitare în anii 2010 – 2013, în raport cu cele generate în 1995.</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6"/>
        <w:gridCol w:w="1350"/>
        <w:gridCol w:w="1350"/>
        <w:gridCol w:w="1620"/>
      </w:tblGrid>
      <w:tr w:rsidR="00934C02" w:rsidRPr="00934C02" w:rsidTr="00934C02">
        <w:tc>
          <w:tcPr>
            <w:tcW w:w="4846"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sz w:val="24"/>
                <w:szCs w:val="24"/>
              </w:rPr>
            </w:pPr>
          </w:p>
        </w:tc>
        <w:tc>
          <w:tcPr>
            <w:tcW w:w="135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b/>
                <w:sz w:val="24"/>
                <w:szCs w:val="24"/>
              </w:rPr>
            </w:pPr>
            <w:r w:rsidRPr="00934C02">
              <w:rPr>
                <w:rFonts w:ascii="Arial" w:hAnsi="Arial" w:cs="Arial"/>
                <w:b/>
                <w:sz w:val="24"/>
                <w:szCs w:val="24"/>
              </w:rPr>
              <w:t>1995</w:t>
            </w:r>
          </w:p>
        </w:tc>
        <w:tc>
          <w:tcPr>
            <w:tcW w:w="135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b/>
                <w:sz w:val="24"/>
                <w:szCs w:val="24"/>
              </w:rPr>
            </w:pPr>
            <w:r w:rsidRPr="00934C02">
              <w:rPr>
                <w:rFonts w:ascii="Arial" w:hAnsi="Arial" w:cs="Arial"/>
                <w:b/>
                <w:sz w:val="24"/>
                <w:szCs w:val="24"/>
              </w:rPr>
              <w:t>2010</w:t>
            </w:r>
          </w:p>
        </w:tc>
        <w:tc>
          <w:tcPr>
            <w:tcW w:w="162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b/>
                <w:sz w:val="24"/>
                <w:szCs w:val="24"/>
              </w:rPr>
            </w:pPr>
            <w:r w:rsidRPr="00934C02">
              <w:rPr>
                <w:rFonts w:ascii="Arial" w:hAnsi="Arial" w:cs="Arial"/>
                <w:b/>
                <w:sz w:val="24"/>
                <w:szCs w:val="24"/>
              </w:rPr>
              <w:t>2013</w:t>
            </w:r>
          </w:p>
        </w:tc>
      </w:tr>
      <w:tr w:rsidR="00934C02" w:rsidRPr="00934C02" w:rsidTr="00934C02">
        <w:tc>
          <w:tcPr>
            <w:tcW w:w="4846"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hAnsi="Arial" w:cs="Arial"/>
                <w:sz w:val="24"/>
                <w:szCs w:val="24"/>
              </w:rPr>
            </w:pPr>
            <w:r w:rsidRPr="00934C02">
              <w:rPr>
                <w:rFonts w:ascii="Arial" w:hAnsi="Arial" w:cs="Arial"/>
                <w:sz w:val="24"/>
                <w:szCs w:val="24"/>
              </w:rPr>
              <w:t>Cantităţile de deşeuri biodegradabile municipale generate (to)</w:t>
            </w:r>
          </w:p>
        </w:tc>
        <w:tc>
          <w:tcPr>
            <w:tcW w:w="1350"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rPr>
                <w:rFonts w:ascii="Arial" w:hAnsi="Arial" w:cs="Arial"/>
                <w:sz w:val="24"/>
                <w:szCs w:val="24"/>
              </w:rPr>
            </w:pPr>
            <w:r w:rsidRPr="00934C02">
              <w:rPr>
                <w:rFonts w:ascii="Arial" w:hAnsi="Arial" w:cs="Arial"/>
                <w:sz w:val="24"/>
                <w:szCs w:val="24"/>
              </w:rPr>
              <w:t xml:space="preserve">    98.134</w:t>
            </w:r>
          </w:p>
        </w:tc>
        <w:tc>
          <w:tcPr>
            <w:tcW w:w="135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rPr>
                <w:rFonts w:ascii="Arial" w:hAnsi="Arial" w:cs="Arial"/>
                <w:sz w:val="24"/>
                <w:szCs w:val="24"/>
              </w:rPr>
            </w:pPr>
            <w:r w:rsidRPr="00934C02">
              <w:rPr>
                <w:rFonts w:ascii="Arial" w:hAnsi="Arial" w:cs="Arial"/>
                <w:sz w:val="24"/>
                <w:szCs w:val="24"/>
              </w:rPr>
              <w:t xml:space="preserve">   88.554</w:t>
            </w:r>
          </w:p>
        </w:tc>
        <w:tc>
          <w:tcPr>
            <w:tcW w:w="162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rPr>
                <w:rFonts w:ascii="Arial" w:hAnsi="Arial" w:cs="Arial"/>
                <w:sz w:val="24"/>
                <w:szCs w:val="24"/>
              </w:rPr>
            </w:pPr>
            <w:r w:rsidRPr="00934C02">
              <w:rPr>
                <w:rFonts w:ascii="Arial" w:hAnsi="Arial" w:cs="Arial"/>
                <w:sz w:val="24"/>
                <w:szCs w:val="24"/>
              </w:rPr>
              <w:t xml:space="preserve">     49067</w:t>
            </w:r>
          </w:p>
        </w:tc>
      </w:tr>
      <w:tr w:rsidR="00934C02" w:rsidRPr="00934C02" w:rsidTr="00934C02">
        <w:tc>
          <w:tcPr>
            <w:tcW w:w="4846"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hAnsi="Arial" w:cs="Arial"/>
                <w:sz w:val="24"/>
                <w:szCs w:val="24"/>
              </w:rPr>
            </w:pPr>
            <w:r w:rsidRPr="00934C02">
              <w:rPr>
                <w:rFonts w:ascii="Arial" w:hAnsi="Arial" w:cs="Arial"/>
                <w:sz w:val="24"/>
                <w:szCs w:val="24"/>
              </w:rPr>
              <w:t>Tinte de reducere  pt. cantităţile de deşeuri biodegradabile</w:t>
            </w:r>
          </w:p>
        </w:tc>
        <w:tc>
          <w:tcPr>
            <w:tcW w:w="1350"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sz w:val="24"/>
                <w:szCs w:val="24"/>
              </w:rPr>
            </w:pPr>
          </w:p>
        </w:tc>
        <w:tc>
          <w:tcPr>
            <w:tcW w:w="135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Pana la 75%</w:t>
            </w:r>
          </w:p>
        </w:tc>
        <w:tc>
          <w:tcPr>
            <w:tcW w:w="162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Pana la 50%</w:t>
            </w:r>
          </w:p>
        </w:tc>
      </w:tr>
      <w:tr w:rsidR="00934C02" w:rsidRPr="00934C02" w:rsidTr="00934C02">
        <w:tc>
          <w:tcPr>
            <w:tcW w:w="4846"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hAnsi="Arial" w:cs="Arial"/>
                <w:sz w:val="24"/>
                <w:szCs w:val="24"/>
              </w:rPr>
            </w:pPr>
            <w:r w:rsidRPr="00934C02">
              <w:rPr>
                <w:rFonts w:ascii="Arial" w:hAnsi="Arial" w:cs="Arial"/>
                <w:sz w:val="24"/>
                <w:szCs w:val="24"/>
              </w:rPr>
              <w:t>Cantitatea maximă de deşeuri biodegradabile care poate fi depozitată (to)</w:t>
            </w:r>
          </w:p>
        </w:tc>
        <w:tc>
          <w:tcPr>
            <w:tcW w:w="1350"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sz w:val="24"/>
                <w:szCs w:val="24"/>
              </w:rPr>
            </w:pPr>
          </w:p>
        </w:tc>
        <w:tc>
          <w:tcPr>
            <w:tcW w:w="135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10862</w:t>
            </w:r>
          </w:p>
        </w:tc>
        <w:tc>
          <w:tcPr>
            <w:tcW w:w="162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19697.6</w:t>
            </w:r>
          </w:p>
        </w:tc>
      </w:tr>
      <w:tr w:rsidR="00934C02" w:rsidRPr="00934C02" w:rsidTr="00934C02">
        <w:tc>
          <w:tcPr>
            <w:tcW w:w="4846"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hAnsi="Arial" w:cs="Arial"/>
                <w:sz w:val="24"/>
                <w:szCs w:val="24"/>
              </w:rPr>
            </w:pPr>
            <w:r w:rsidRPr="00934C02">
              <w:rPr>
                <w:rFonts w:ascii="Arial" w:hAnsi="Arial" w:cs="Arial"/>
                <w:sz w:val="24"/>
                <w:szCs w:val="24"/>
              </w:rPr>
              <w:t>Cantitatea de deşeuri biodegradabile ce  trebuie redusă de la depozitare (to)</w:t>
            </w:r>
          </w:p>
        </w:tc>
        <w:tc>
          <w:tcPr>
            <w:tcW w:w="1350"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sz w:val="24"/>
                <w:szCs w:val="24"/>
              </w:rPr>
            </w:pPr>
          </w:p>
        </w:tc>
        <w:tc>
          <w:tcPr>
            <w:tcW w:w="135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14,954</w:t>
            </w:r>
          </w:p>
        </w:tc>
        <w:tc>
          <w:tcPr>
            <w:tcW w:w="162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48,681</w:t>
            </w:r>
          </w:p>
        </w:tc>
      </w:tr>
    </w:tbl>
    <w:p w:rsidR="00934C02" w:rsidRPr="00934C02" w:rsidRDefault="00934C02" w:rsidP="00934C02">
      <w:pPr>
        <w:widowControl w:val="0"/>
        <w:autoSpaceDE w:val="0"/>
        <w:autoSpaceDN w:val="0"/>
        <w:adjustRightInd w:val="0"/>
        <w:spacing w:after="0" w:line="240" w:lineRule="auto"/>
        <w:jc w:val="both"/>
        <w:rPr>
          <w:rFonts w:ascii="Arial" w:eastAsia="SimSun" w:hAnsi="Arial" w:cs="Arial"/>
          <w:color w:val="FF0000"/>
          <w:sz w:val="24"/>
          <w:szCs w:val="24"/>
        </w:rPr>
      </w:pPr>
      <w:r w:rsidRPr="00934C02">
        <w:rPr>
          <w:rFonts w:ascii="Arial" w:eastAsia="SimSun" w:hAnsi="Arial" w:cs="Arial"/>
          <w:color w:val="FF0000"/>
          <w:sz w:val="24"/>
          <w:szCs w:val="24"/>
        </w:rPr>
        <w:t xml:space="preserve"> </w:t>
      </w:r>
    </w:p>
    <w:p w:rsidR="00934C02" w:rsidRPr="00934C02" w:rsidRDefault="00934C02" w:rsidP="00934C02">
      <w:pPr>
        <w:widowControl w:val="0"/>
        <w:autoSpaceDE w:val="0"/>
        <w:autoSpaceDN w:val="0"/>
        <w:adjustRightInd w:val="0"/>
        <w:spacing w:after="0" w:line="240" w:lineRule="auto"/>
        <w:jc w:val="both"/>
        <w:rPr>
          <w:rFonts w:ascii="Arial" w:eastAsia="SimSun" w:hAnsi="Arial" w:cs="Arial"/>
          <w:color w:val="FF0000"/>
          <w:sz w:val="24"/>
          <w:szCs w:val="24"/>
        </w:rPr>
      </w:pPr>
    </w:p>
    <w:p w:rsidR="00934C02" w:rsidRPr="00934C02" w:rsidRDefault="00934C02" w:rsidP="00934C02">
      <w:pPr>
        <w:widowControl w:val="0"/>
        <w:autoSpaceDE w:val="0"/>
        <w:autoSpaceDN w:val="0"/>
        <w:adjustRightInd w:val="0"/>
        <w:spacing w:after="0" w:line="240" w:lineRule="auto"/>
        <w:jc w:val="both"/>
        <w:rPr>
          <w:rFonts w:ascii="Arial" w:eastAsia="SimSun" w:hAnsi="Arial" w:cs="Arial"/>
          <w:color w:val="FF0000"/>
          <w:sz w:val="24"/>
          <w:szCs w:val="24"/>
        </w:rPr>
      </w:pPr>
      <w:r w:rsidRPr="00934C02">
        <w:rPr>
          <w:rFonts w:ascii="Arial" w:eastAsia="SimSun" w:hAnsi="Arial" w:cs="Arial"/>
          <w:color w:val="FF0000"/>
          <w:sz w:val="24"/>
          <w:szCs w:val="24"/>
        </w:rPr>
        <w:t xml:space="preserve">                    </w:t>
      </w:r>
      <w:r w:rsidRPr="00934C02">
        <w:rPr>
          <w:noProof/>
        </w:rPr>
        <w:drawing>
          <wp:inline distT="0" distB="0" distL="0" distR="0" wp14:anchorId="2946CD30" wp14:editId="1C3A84E1">
            <wp:extent cx="4474210" cy="2329815"/>
            <wp:effectExtent l="0" t="0" r="21590" b="13335"/>
            <wp:docPr id="240" name="Chart 2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934C02" w:rsidRPr="00934C02" w:rsidRDefault="00934C02" w:rsidP="00934C02">
      <w:pPr>
        <w:jc w:val="both"/>
        <w:rPr>
          <w:rFonts w:ascii="Arial" w:hAnsi="Arial" w:cs="Arial"/>
          <w:sz w:val="24"/>
          <w:szCs w:val="24"/>
          <w:lang w:val="ro-RO"/>
        </w:rPr>
      </w:pPr>
      <w:r w:rsidRPr="00934C02">
        <w:rPr>
          <w:rFonts w:ascii="Arial" w:hAnsi="Arial" w:cs="Arial"/>
          <w:sz w:val="24"/>
          <w:szCs w:val="24"/>
        </w:rPr>
        <w:t xml:space="preserve">         Figura VII.9. Evoluţia cantităţilor de deşeuri biodegradabile conform ţintelor stabilite</w:t>
      </w:r>
    </w:p>
    <w:p w:rsidR="00934C02" w:rsidRPr="00934C02" w:rsidRDefault="00934C02" w:rsidP="00934C02">
      <w:pPr>
        <w:spacing w:after="0" w:line="240" w:lineRule="auto"/>
        <w:jc w:val="both"/>
        <w:rPr>
          <w:rFonts w:ascii="Arial" w:eastAsia="SimSun" w:hAnsi="Arial" w:cs="Arial"/>
          <w:b/>
          <w:i/>
          <w:sz w:val="24"/>
          <w:szCs w:val="24"/>
        </w:rPr>
      </w:pPr>
    </w:p>
    <w:p w:rsidR="00934C02" w:rsidRPr="00934C02" w:rsidRDefault="00934C02" w:rsidP="00934C02">
      <w:pPr>
        <w:jc w:val="both"/>
        <w:rPr>
          <w:rFonts w:ascii="Arial" w:hAnsi="Arial" w:cs="Arial"/>
          <w:sz w:val="24"/>
          <w:szCs w:val="24"/>
        </w:rPr>
      </w:pPr>
      <w:r w:rsidRPr="00934C02">
        <w:rPr>
          <w:rFonts w:ascii="Arial" w:eastAsia="SimSun" w:hAnsi="Arial" w:cs="Arial"/>
          <w:b/>
          <w:i/>
          <w:sz w:val="24"/>
          <w:szCs w:val="24"/>
        </w:rPr>
        <w:t>Colectarea şi transportul deşeurilor. Activitatea de salubrizare</w:t>
      </w:r>
    </w:p>
    <w:p w:rsidR="00934C02" w:rsidRPr="00934C02" w:rsidRDefault="00934C02" w:rsidP="00934C02">
      <w:pPr>
        <w:widowControl w:val="0"/>
        <w:autoSpaceDE w:val="0"/>
        <w:autoSpaceDN w:val="0"/>
        <w:adjustRightInd w:val="0"/>
        <w:spacing w:after="0" w:line="240" w:lineRule="auto"/>
        <w:ind w:firstLine="720"/>
        <w:jc w:val="both"/>
        <w:rPr>
          <w:rFonts w:ascii="Arial" w:eastAsia="SimSun" w:hAnsi="Arial" w:cs="Arial"/>
          <w:sz w:val="24"/>
          <w:szCs w:val="24"/>
        </w:rPr>
      </w:pPr>
      <w:r w:rsidRPr="00934C02">
        <w:rPr>
          <w:rFonts w:ascii="Arial" w:eastAsia="SimSun" w:hAnsi="Arial" w:cs="Arial"/>
          <w:sz w:val="24"/>
          <w:szCs w:val="24"/>
        </w:rPr>
        <w:t>În mediul urban, activităţile de colectare şi transport a deşeurilor menajere sunt organizate diferit, în funcţie de mărimea localităţii, nr. populaţiei deservite, dotarea, forma de proprietate.</w:t>
      </w:r>
    </w:p>
    <w:p w:rsidR="00934C02" w:rsidRPr="00934C02" w:rsidRDefault="00934C02" w:rsidP="00934C02">
      <w:pPr>
        <w:widowControl w:val="0"/>
        <w:autoSpaceDE w:val="0"/>
        <w:autoSpaceDN w:val="0"/>
        <w:adjustRightInd w:val="0"/>
        <w:spacing w:after="0" w:line="240" w:lineRule="auto"/>
        <w:jc w:val="both"/>
        <w:rPr>
          <w:rFonts w:ascii="Arial" w:eastAsia="SimSun" w:hAnsi="Arial" w:cs="Arial"/>
          <w:sz w:val="24"/>
          <w:szCs w:val="24"/>
        </w:rPr>
      </w:pPr>
      <w:r w:rsidRPr="00934C02">
        <w:rPr>
          <w:rFonts w:ascii="Arial" w:eastAsia="SimSun" w:hAnsi="Arial" w:cs="Arial"/>
          <w:sz w:val="24"/>
          <w:szCs w:val="24"/>
        </w:rPr>
        <w:t>Activităţile de colectare şi transport a deşeurilor municipale din judeţ sunt organizate diferit, în funcţie de mărimea localităţii, numărul populaţiei deservite, dotare, forma de proprietate.</w:t>
      </w:r>
    </w:p>
    <w:p w:rsidR="00934C02" w:rsidRPr="00934C02" w:rsidRDefault="00934C02" w:rsidP="00934C02">
      <w:pPr>
        <w:widowControl w:val="0"/>
        <w:autoSpaceDE w:val="0"/>
        <w:autoSpaceDN w:val="0"/>
        <w:adjustRightInd w:val="0"/>
        <w:spacing w:after="0" w:line="240" w:lineRule="auto"/>
        <w:ind w:firstLine="720"/>
        <w:jc w:val="both"/>
        <w:rPr>
          <w:rFonts w:ascii="Arial" w:eastAsia="SimSun" w:hAnsi="Arial" w:cs="Arial"/>
          <w:sz w:val="24"/>
          <w:szCs w:val="24"/>
        </w:rPr>
      </w:pPr>
      <w:r w:rsidRPr="00934C02">
        <w:rPr>
          <w:rFonts w:ascii="Arial" w:eastAsia="SimSun" w:hAnsi="Arial" w:cs="Arial"/>
          <w:sz w:val="24"/>
          <w:szCs w:val="24"/>
        </w:rPr>
        <w:t>Principalele informaţii referitoare la colectarea şi transportul deşeurilor municipale sunt:</w:t>
      </w:r>
    </w:p>
    <w:p w:rsidR="00934C02" w:rsidRPr="00934C02" w:rsidRDefault="00934C02" w:rsidP="00934C02">
      <w:pPr>
        <w:widowControl w:val="0"/>
        <w:autoSpaceDE w:val="0"/>
        <w:autoSpaceDN w:val="0"/>
        <w:adjustRightInd w:val="0"/>
        <w:spacing w:after="0" w:line="240" w:lineRule="auto"/>
        <w:jc w:val="both"/>
        <w:rPr>
          <w:rFonts w:ascii="Arial" w:eastAsia="SimSun" w:hAnsi="Arial" w:cs="Arial"/>
          <w:sz w:val="24"/>
          <w:szCs w:val="24"/>
        </w:rPr>
      </w:pPr>
      <w:r w:rsidRPr="00934C02">
        <w:rPr>
          <w:rFonts w:ascii="Arial" w:eastAsia="SimSun" w:hAnsi="Arial" w:cs="Arial"/>
          <w:sz w:val="24"/>
          <w:szCs w:val="24"/>
        </w:rPr>
        <w:t>- date privind agenţii de salubrizare</w:t>
      </w:r>
    </w:p>
    <w:p w:rsidR="00934C02" w:rsidRPr="00934C02" w:rsidRDefault="00934C02" w:rsidP="00934C02">
      <w:pPr>
        <w:widowControl w:val="0"/>
        <w:autoSpaceDE w:val="0"/>
        <w:autoSpaceDN w:val="0"/>
        <w:adjustRightInd w:val="0"/>
        <w:spacing w:after="0" w:line="240" w:lineRule="auto"/>
        <w:jc w:val="both"/>
        <w:rPr>
          <w:rFonts w:ascii="Arial" w:eastAsia="SimSun" w:hAnsi="Arial" w:cs="Arial"/>
          <w:sz w:val="24"/>
          <w:szCs w:val="24"/>
        </w:rPr>
      </w:pPr>
      <w:r w:rsidRPr="00934C02">
        <w:rPr>
          <w:rFonts w:ascii="Arial" w:eastAsia="SimSun" w:hAnsi="Arial" w:cs="Arial"/>
          <w:sz w:val="24"/>
          <w:szCs w:val="24"/>
        </w:rPr>
        <w:t>- gradul de acoperire cu servicii de salubrizare</w:t>
      </w:r>
    </w:p>
    <w:p w:rsidR="00934C02" w:rsidRPr="00934C02" w:rsidRDefault="00934C02" w:rsidP="00934C02">
      <w:pPr>
        <w:widowControl w:val="0"/>
        <w:autoSpaceDE w:val="0"/>
        <w:autoSpaceDN w:val="0"/>
        <w:adjustRightInd w:val="0"/>
        <w:spacing w:after="0" w:line="240" w:lineRule="auto"/>
        <w:ind w:firstLine="720"/>
        <w:jc w:val="both"/>
        <w:rPr>
          <w:rFonts w:ascii="Arial" w:eastAsia="SimSun" w:hAnsi="Arial" w:cs="Arial"/>
          <w:sz w:val="24"/>
          <w:szCs w:val="24"/>
        </w:rPr>
      </w:pPr>
      <w:r w:rsidRPr="00934C02">
        <w:rPr>
          <w:rFonts w:ascii="Arial" w:eastAsia="SimSun" w:hAnsi="Arial" w:cs="Arial"/>
          <w:sz w:val="24"/>
          <w:szCs w:val="24"/>
        </w:rPr>
        <w:t>Redăm mai jos agenţii de salubrizare din judeţ:</w:t>
      </w:r>
    </w:p>
    <w:p w:rsidR="00934C02" w:rsidRPr="00934C02" w:rsidRDefault="00934C02" w:rsidP="00934C02">
      <w:pPr>
        <w:widowControl w:val="0"/>
        <w:tabs>
          <w:tab w:val="left" w:pos="840"/>
        </w:tabs>
        <w:autoSpaceDE w:val="0"/>
        <w:autoSpaceDN w:val="0"/>
        <w:adjustRightInd w:val="0"/>
        <w:spacing w:after="0" w:line="240" w:lineRule="auto"/>
        <w:jc w:val="both"/>
        <w:rPr>
          <w:rFonts w:ascii="Arial" w:eastAsia="SimSun" w:hAnsi="Arial" w:cs="Arial"/>
          <w:sz w:val="24"/>
          <w:szCs w:val="24"/>
        </w:rPr>
      </w:pPr>
      <w:r w:rsidRPr="00934C02">
        <w:rPr>
          <w:rFonts w:ascii="Arial" w:eastAsia="SimSun" w:hAnsi="Arial" w:cs="Arial"/>
          <w:sz w:val="24"/>
          <w:szCs w:val="24"/>
        </w:rPr>
        <w:lastRenderedPageBreak/>
        <w:t>-Vaslui - SC GOSCOM VASLUI SA.</w:t>
      </w:r>
    </w:p>
    <w:p w:rsidR="00934C02" w:rsidRPr="00934C02" w:rsidRDefault="00934C02" w:rsidP="00934C02">
      <w:pPr>
        <w:widowControl w:val="0"/>
        <w:tabs>
          <w:tab w:val="left" w:pos="840"/>
        </w:tabs>
        <w:autoSpaceDE w:val="0"/>
        <w:autoSpaceDN w:val="0"/>
        <w:adjustRightInd w:val="0"/>
        <w:spacing w:after="0" w:line="240" w:lineRule="auto"/>
        <w:jc w:val="both"/>
        <w:rPr>
          <w:rFonts w:ascii="Arial" w:eastAsia="SimSun" w:hAnsi="Arial" w:cs="Arial"/>
          <w:sz w:val="24"/>
          <w:szCs w:val="24"/>
        </w:rPr>
      </w:pPr>
      <w:r w:rsidRPr="00934C02">
        <w:rPr>
          <w:rFonts w:ascii="Arial" w:eastAsia="SimSun" w:hAnsi="Arial" w:cs="Arial"/>
          <w:sz w:val="24"/>
          <w:szCs w:val="24"/>
        </w:rPr>
        <w:t>-Bârlad şi Murgeni- SC Compania de Utilităţi Publice SA</w:t>
      </w:r>
    </w:p>
    <w:p w:rsidR="00934C02" w:rsidRPr="00934C02" w:rsidRDefault="00934C02" w:rsidP="00934C02">
      <w:pPr>
        <w:widowControl w:val="0"/>
        <w:tabs>
          <w:tab w:val="left" w:pos="820"/>
        </w:tabs>
        <w:autoSpaceDE w:val="0"/>
        <w:autoSpaceDN w:val="0"/>
        <w:adjustRightInd w:val="0"/>
        <w:spacing w:after="0" w:line="240" w:lineRule="auto"/>
        <w:jc w:val="both"/>
        <w:rPr>
          <w:rFonts w:ascii="Arial" w:eastAsia="SimSun" w:hAnsi="Arial" w:cs="Arial"/>
          <w:sz w:val="24"/>
          <w:szCs w:val="24"/>
        </w:rPr>
      </w:pPr>
      <w:r w:rsidRPr="00934C02">
        <w:rPr>
          <w:rFonts w:ascii="Arial" w:eastAsia="SimSun" w:hAnsi="Arial" w:cs="Arial"/>
          <w:sz w:val="24"/>
          <w:szCs w:val="24"/>
        </w:rPr>
        <w:t xml:space="preserve">-Huşi– SC Ecosalubrizare Prest SRL </w:t>
      </w:r>
    </w:p>
    <w:p w:rsidR="00934C02" w:rsidRPr="00934C02" w:rsidRDefault="00934C02" w:rsidP="00934C02">
      <w:pPr>
        <w:widowControl w:val="0"/>
        <w:tabs>
          <w:tab w:val="left" w:pos="820"/>
        </w:tabs>
        <w:autoSpaceDE w:val="0"/>
        <w:autoSpaceDN w:val="0"/>
        <w:adjustRightInd w:val="0"/>
        <w:spacing w:after="0" w:line="240" w:lineRule="auto"/>
        <w:jc w:val="both"/>
        <w:rPr>
          <w:rFonts w:ascii="Arial" w:eastAsia="SimSun" w:hAnsi="Arial" w:cs="Arial"/>
          <w:sz w:val="24"/>
          <w:szCs w:val="24"/>
        </w:rPr>
      </w:pPr>
      <w:r w:rsidRPr="00934C02">
        <w:rPr>
          <w:rFonts w:ascii="Arial" w:eastAsia="SimSun" w:hAnsi="Arial" w:cs="Arial"/>
          <w:sz w:val="24"/>
          <w:szCs w:val="24"/>
        </w:rPr>
        <w:t xml:space="preserve">- Negreşti- SC Utilităţi SRL </w:t>
      </w:r>
    </w:p>
    <w:p w:rsidR="00934C02" w:rsidRPr="00934C02" w:rsidRDefault="00934C02" w:rsidP="00934C02">
      <w:pPr>
        <w:widowControl w:val="0"/>
        <w:tabs>
          <w:tab w:val="left" w:pos="820"/>
        </w:tabs>
        <w:autoSpaceDE w:val="0"/>
        <w:autoSpaceDN w:val="0"/>
        <w:adjustRightInd w:val="0"/>
        <w:spacing w:after="0" w:line="240" w:lineRule="auto"/>
        <w:jc w:val="both"/>
        <w:rPr>
          <w:rFonts w:ascii="Arial" w:eastAsia="SimSun" w:hAnsi="Arial" w:cs="Arial"/>
          <w:sz w:val="24"/>
          <w:szCs w:val="24"/>
        </w:rPr>
      </w:pPr>
    </w:p>
    <w:p w:rsidR="00934C02" w:rsidRPr="00934C02" w:rsidRDefault="00934C02" w:rsidP="00934C02">
      <w:pPr>
        <w:widowControl w:val="0"/>
        <w:autoSpaceDE w:val="0"/>
        <w:autoSpaceDN w:val="0"/>
        <w:adjustRightInd w:val="0"/>
        <w:spacing w:after="0" w:line="240" w:lineRule="auto"/>
        <w:jc w:val="both"/>
        <w:rPr>
          <w:rFonts w:ascii="Arial" w:eastAsia="SimSun" w:hAnsi="Arial" w:cs="Arial"/>
          <w:b/>
          <w:i/>
          <w:sz w:val="24"/>
          <w:szCs w:val="24"/>
        </w:rPr>
      </w:pPr>
      <w:r w:rsidRPr="00934C02">
        <w:rPr>
          <w:rFonts w:ascii="Arial" w:eastAsia="SimSun" w:hAnsi="Arial" w:cs="Arial"/>
          <w:b/>
          <w:i/>
          <w:sz w:val="24"/>
          <w:szCs w:val="24"/>
        </w:rPr>
        <w:t>Gradul de acoperire cu servicii de salubrizare</w:t>
      </w:r>
    </w:p>
    <w:p w:rsidR="00934C02" w:rsidRPr="00934C02" w:rsidRDefault="00934C02" w:rsidP="00934C02">
      <w:pPr>
        <w:widowControl w:val="0"/>
        <w:autoSpaceDE w:val="0"/>
        <w:autoSpaceDN w:val="0"/>
        <w:adjustRightInd w:val="0"/>
        <w:spacing w:after="0" w:line="240" w:lineRule="auto"/>
        <w:jc w:val="both"/>
        <w:rPr>
          <w:rFonts w:ascii="Arial" w:eastAsia="SimSun" w:hAnsi="Arial" w:cs="Arial"/>
          <w:b/>
          <w:sz w:val="24"/>
          <w:szCs w:val="24"/>
        </w:rPr>
      </w:pPr>
    </w:p>
    <w:p w:rsidR="00934C02" w:rsidRPr="00934C02" w:rsidRDefault="00934C02" w:rsidP="00934C02">
      <w:pPr>
        <w:widowControl w:val="0"/>
        <w:autoSpaceDE w:val="0"/>
        <w:autoSpaceDN w:val="0"/>
        <w:adjustRightInd w:val="0"/>
        <w:spacing w:after="0" w:line="240" w:lineRule="auto"/>
        <w:ind w:firstLine="720"/>
        <w:jc w:val="both"/>
        <w:rPr>
          <w:rFonts w:ascii="Arial" w:eastAsia="SimSun" w:hAnsi="Arial" w:cs="Arial"/>
          <w:b/>
          <w:sz w:val="24"/>
          <w:szCs w:val="24"/>
        </w:rPr>
      </w:pPr>
      <w:r w:rsidRPr="00934C02">
        <w:rPr>
          <w:rFonts w:ascii="Arial" w:eastAsia="SimSun" w:hAnsi="Arial" w:cs="Arial"/>
          <w:sz w:val="24"/>
          <w:szCs w:val="24"/>
        </w:rPr>
        <w:t xml:space="preserve">Centrele urbane ale judeţului beneficiază de servicii de colectare în timp ce multe dintre cele din zona rurală nu beneficiază încă de asemenea servicii. </w:t>
      </w:r>
    </w:p>
    <w:p w:rsidR="00934C02" w:rsidRPr="00934C02" w:rsidRDefault="00934C02" w:rsidP="00934C02">
      <w:pPr>
        <w:widowControl w:val="0"/>
        <w:autoSpaceDE w:val="0"/>
        <w:autoSpaceDN w:val="0"/>
        <w:adjustRightInd w:val="0"/>
        <w:spacing w:after="0" w:line="240" w:lineRule="auto"/>
        <w:jc w:val="both"/>
        <w:rPr>
          <w:rFonts w:ascii="Arial" w:eastAsia="SimSun" w:hAnsi="Arial" w:cs="Arial"/>
          <w:sz w:val="24"/>
          <w:szCs w:val="24"/>
        </w:rPr>
      </w:pPr>
    </w:p>
    <w:p w:rsidR="00934C02" w:rsidRPr="00934C02" w:rsidRDefault="00934C02" w:rsidP="00934C02">
      <w:pPr>
        <w:widowControl w:val="0"/>
        <w:autoSpaceDE w:val="0"/>
        <w:autoSpaceDN w:val="0"/>
        <w:adjustRightInd w:val="0"/>
        <w:spacing w:after="0" w:line="240" w:lineRule="auto"/>
        <w:jc w:val="both"/>
        <w:rPr>
          <w:rFonts w:ascii="Arial" w:eastAsia="SimSun" w:hAnsi="Arial" w:cs="Arial"/>
          <w:sz w:val="24"/>
          <w:szCs w:val="24"/>
        </w:rPr>
      </w:pPr>
      <w:r w:rsidRPr="00934C02">
        <w:rPr>
          <w:rFonts w:ascii="Arial" w:eastAsia="SimSun" w:hAnsi="Arial" w:cs="Arial"/>
          <w:sz w:val="24"/>
          <w:szCs w:val="24"/>
        </w:rPr>
        <w:t xml:space="preserve">     Tabelul VII.10. Gradul de acoperire cu servicii de salubritate</w:t>
      </w:r>
    </w:p>
    <w:tbl>
      <w:tblPr>
        <w:tblpPr w:leftFromText="180" w:rightFromText="180" w:bottomFromText="200" w:vertAnchor="text" w:horzAnchor="margin" w:tblpX="468" w:tblpY="170"/>
        <w:tblW w:w="9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3"/>
        <w:gridCol w:w="890"/>
        <w:gridCol w:w="954"/>
        <w:gridCol w:w="884"/>
        <w:gridCol w:w="884"/>
        <w:gridCol w:w="943"/>
      </w:tblGrid>
      <w:tr w:rsidR="00934C02" w:rsidRPr="00934C02" w:rsidTr="00934C02">
        <w:trPr>
          <w:trHeight w:val="257"/>
        </w:trPr>
        <w:tc>
          <w:tcPr>
            <w:tcW w:w="4647"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b/>
                <w:sz w:val="20"/>
                <w:szCs w:val="20"/>
              </w:rPr>
            </w:pPr>
          </w:p>
        </w:tc>
        <w:tc>
          <w:tcPr>
            <w:tcW w:w="89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b/>
                <w:sz w:val="24"/>
                <w:szCs w:val="24"/>
              </w:rPr>
            </w:pPr>
            <w:r w:rsidRPr="00934C02">
              <w:rPr>
                <w:rFonts w:ascii="Arial" w:hAnsi="Arial" w:cs="Arial"/>
                <w:b/>
                <w:sz w:val="24"/>
                <w:szCs w:val="24"/>
              </w:rPr>
              <w:t>2010</w:t>
            </w:r>
          </w:p>
        </w:tc>
        <w:tc>
          <w:tcPr>
            <w:tcW w:w="954"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b/>
                <w:sz w:val="24"/>
                <w:szCs w:val="24"/>
              </w:rPr>
            </w:pPr>
            <w:r w:rsidRPr="00934C02">
              <w:rPr>
                <w:rFonts w:ascii="Arial" w:hAnsi="Arial" w:cs="Arial"/>
                <w:b/>
                <w:sz w:val="24"/>
                <w:szCs w:val="24"/>
              </w:rPr>
              <w:t>2011</w:t>
            </w:r>
          </w:p>
        </w:tc>
        <w:tc>
          <w:tcPr>
            <w:tcW w:w="83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b/>
                <w:sz w:val="24"/>
                <w:szCs w:val="24"/>
              </w:rPr>
            </w:pPr>
            <w:r w:rsidRPr="00934C02">
              <w:rPr>
                <w:rFonts w:ascii="Arial" w:hAnsi="Arial" w:cs="Arial"/>
                <w:b/>
                <w:sz w:val="24"/>
                <w:szCs w:val="24"/>
              </w:rPr>
              <w:t>2012</w:t>
            </w:r>
          </w:p>
        </w:tc>
        <w:tc>
          <w:tcPr>
            <w:tcW w:w="83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b/>
                <w:sz w:val="24"/>
                <w:szCs w:val="24"/>
              </w:rPr>
            </w:pPr>
            <w:r w:rsidRPr="00934C02">
              <w:rPr>
                <w:rFonts w:ascii="Arial" w:hAnsi="Arial" w:cs="Arial"/>
                <w:b/>
                <w:sz w:val="24"/>
                <w:szCs w:val="24"/>
              </w:rPr>
              <w:t>2013</w:t>
            </w:r>
          </w:p>
        </w:tc>
        <w:tc>
          <w:tcPr>
            <w:tcW w:w="947"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b/>
                <w:sz w:val="24"/>
                <w:szCs w:val="24"/>
              </w:rPr>
            </w:pPr>
            <w:r w:rsidRPr="00934C02">
              <w:rPr>
                <w:rFonts w:ascii="Arial" w:hAnsi="Arial" w:cs="Arial"/>
                <w:b/>
                <w:sz w:val="24"/>
                <w:szCs w:val="24"/>
              </w:rPr>
              <w:t>2014</w:t>
            </w:r>
          </w:p>
        </w:tc>
      </w:tr>
      <w:tr w:rsidR="00934C02" w:rsidRPr="00934C02" w:rsidTr="00934C02">
        <w:trPr>
          <w:trHeight w:val="257"/>
        </w:trPr>
        <w:tc>
          <w:tcPr>
            <w:tcW w:w="4647"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Gradul de conectare la serviciul de salubritate (%)</w:t>
            </w:r>
          </w:p>
        </w:tc>
        <w:tc>
          <w:tcPr>
            <w:tcW w:w="89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napToGrid w:val="0"/>
                <w:sz w:val="24"/>
                <w:szCs w:val="24"/>
              </w:rPr>
            </w:pPr>
            <w:r w:rsidRPr="00934C02">
              <w:rPr>
                <w:rFonts w:ascii="Arial" w:hAnsi="Arial" w:cs="Arial"/>
                <w:snapToGrid w:val="0"/>
                <w:sz w:val="24"/>
                <w:szCs w:val="24"/>
              </w:rPr>
              <w:t>23,85</w:t>
            </w:r>
          </w:p>
        </w:tc>
        <w:tc>
          <w:tcPr>
            <w:tcW w:w="954"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napToGrid w:val="0"/>
                <w:sz w:val="24"/>
                <w:szCs w:val="24"/>
              </w:rPr>
            </w:pPr>
            <w:r w:rsidRPr="00934C02">
              <w:rPr>
                <w:rFonts w:ascii="Arial" w:hAnsi="Arial" w:cs="Arial"/>
                <w:snapToGrid w:val="0"/>
                <w:sz w:val="24"/>
                <w:szCs w:val="24"/>
              </w:rPr>
              <w:t>26,55</w:t>
            </w:r>
          </w:p>
        </w:tc>
        <w:tc>
          <w:tcPr>
            <w:tcW w:w="83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napToGrid w:val="0"/>
                <w:sz w:val="24"/>
                <w:szCs w:val="24"/>
              </w:rPr>
            </w:pPr>
            <w:r w:rsidRPr="00934C02">
              <w:rPr>
                <w:rFonts w:ascii="Arial" w:hAnsi="Arial" w:cs="Arial"/>
                <w:snapToGrid w:val="0"/>
                <w:sz w:val="24"/>
                <w:szCs w:val="24"/>
              </w:rPr>
              <w:t>27,60</w:t>
            </w:r>
          </w:p>
        </w:tc>
        <w:tc>
          <w:tcPr>
            <w:tcW w:w="830"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snapToGrid w:val="0"/>
                <w:sz w:val="24"/>
                <w:szCs w:val="24"/>
              </w:rPr>
            </w:pPr>
            <w:r w:rsidRPr="00934C02">
              <w:rPr>
                <w:rFonts w:ascii="Arial" w:hAnsi="Arial" w:cs="Arial"/>
                <w:snapToGrid w:val="0"/>
                <w:sz w:val="24"/>
                <w:szCs w:val="24"/>
              </w:rPr>
              <w:t>38,91</w:t>
            </w:r>
          </w:p>
        </w:tc>
        <w:tc>
          <w:tcPr>
            <w:tcW w:w="947"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snapToGrid w:val="0"/>
                <w:sz w:val="24"/>
                <w:szCs w:val="24"/>
              </w:rPr>
            </w:pPr>
            <w:r w:rsidRPr="00934C02">
              <w:rPr>
                <w:rFonts w:ascii="Arial" w:hAnsi="Arial" w:cs="Arial"/>
                <w:snapToGrid w:val="0"/>
                <w:sz w:val="24"/>
                <w:szCs w:val="24"/>
              </w:rPr>
              <w:t>39,88</w:t>
            </w:r>
          </w:p>
        </w:tc>
      </w:tr>
      <w:tr w:rsidR="00934C02" w:rsidRPr="00934C02" w:rsidTr="00934C02">
        <w:trPr>
          <w:trHeight w:val="257"/>
        </w:trPr>
        <w:tc>
          <w:tcPr>
            <w:tcW w:w="4647"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-Mediul urban</w:t>
            </w:r>
          </w:p>
        </w:tc>
        <w:tc>
          <w:tcPr>
            <w:tcW w:w="89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napToGrid w:val="0"/>
                <w:sz w:val="24"/>
                <w:szCs w:val="24"/>
              </w:rPr>
            </w:pPr>
            <w:r w:rsidRPr="00934C02">
              <w:rPr>
                <w:rFonts w:ascii="Arial" w:hAnsi="Arial" w:cs="Arial"/>
                <w:snapToGrid w:val="0"/>
                <w:sz w:val="24"/>
                <w:szCs w:val="24"/>
              </w:rPr>
              <w:t>57,58</w:t>
            </w:r>
          </w:p>
        </w:tc>
        <w:tc>
          <w:tcPr>
            <w:tcW w:w="954"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napToGrid w:val="0"/>
                <w:sz w:val="24"/>
                <w:szCs w:val="24"/>
              </w:rPr>
            </w:pPr>
            <w:r w:rsidRPr="00934C02">
              <w:rPr>
                <w:rFonts w:ascii="Arial" w:hAnsi="Arial" w:cs="Arial"/>
                <w:snapToGrid w:val="0"/>
                <w:sz w:val="24"/>
                <w:szCs w:val="24"/>
              </w:rPr>
              <w:t>70,89</w:t>
            </w:r>
          </w:p>
        </w:tc>
        <w:tc>
          <w:tcPr>
            <w:tcW w:w="83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napToGrid w:val="0"/>
                <w:sz w:val="24"/>
                <w:szCs w:val="24"/>
              </w:rPr>
            </w:pPr>
            <w:r w:rsidRPr="00934C02">
              <w:rPr>
                <w:rFonts w:ascii="Arial" w:hAnsi="Arial" w:cs="Arial"/>
                <w:snapToGrid w:val="0"/>
                <w:sz w:val="24"/>
                <w:szCs w:val="24"/>
              </w:rPr>
              <w:t>62,37</w:t>
            </w:r>
          </w:p>
        </w:tc>
        <w:tc>
          <w:tcPr>
            <w:tcW w:w="830"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snapToGrid w:val="0"/>
                <w:sz w:val="24"/>
                <w:szCs w:val="24"/>
              </w:rPr>
            </w:pPr>
            <w:r w:rsidRPr="00934C02">
              <w:rPr>
                <w:rFonts w:ascii="Arial" w:hAnsi="Arial" w:cs="Arial"/>
                <w:snapToGrid w:val="0"/>
                <w:sz w:val="24"/>
                <w:szCs w:val="24"/>
              </w:rPr>
              <w:t>72,65</w:t>
            </w:r>
          </w:p>
        </w:tc>
        <w:tc>
          <w:tcPr>
            <w:tcW w:w="947"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snapToGrid w:val="0"/>
                <w:sz w:val="24"/>
                <w:szCs w:val="24"/>
              </w:rPr>
            </w:pPr>
            <w:r w:rsidRPr="00934C02">
              <w:rPr>
                <w:rFonts w:ascii="Arial" w:hAnsi="Arial" w:cs="Arial"/>
                <w:snapToGrid w:val="0"/>
                <w:sz w:val="24"/>
                <w:szCs w:val="24"/>
              </w:rPr>
              <w:t>85,79</w:t>
            </w:r>
          </w:p>
        </w:tc>
      </w:tr>
      <w:tr w:rsidR="00934C02" w:rsidRPr="00934C02" w:rsidTr="00934C02">
        <w:trPr>
          <w:trHeight w:val="257"/>
        </w:trPr>
        <w:tc>
          <w:tcPr>
            <w:tcW w:w="4647"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-Mediul rural</w:t>
            </w:r>
          </w:p>
        </w:tc>
        <w:tc>
          <w:tcPr>
            <w:tcW w:w="89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napToGrid w:val="0"/>
                <w:sz w:val="24"/>
                <w:szCs w:val="24"/>
              </w:rPr>
            </w:pPr>
            <w:r w:rsidRPr="00934C02">
              <w:rPr>
                <w:rFonts w:ascii="Arial" w:hAnsi="Arial" w:cs="Arial"/>
                <w:snapToGrid w:val="0"/>
                <w:sz w:val="24"/>
                <w:szCs w:val="24"/>
              </w:rPr>
              <w:t>0,078</w:t>
            </w:r>
          </w:p>
        </w:tc>
        <w:tc>
          <w:tcPr>
            <w:tcW w:w="954"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napToGrid w:val="0"/>
                <w:sz w:val="24"/>
                <w:szCs w:val="24"/>
              </w:rPr>
            </w:pPr>
            <w:r w:rsidRPr="00934C02">
              <w:rPr>
                <w:rFonts w:ascii="Arial" w:hAnsi="Arial" w:cs="Arial"/>
                <w:snapToGrid w:val="0"/>
                <w:sz w:val="24"/>
                <w:szCs w:val="24"/>
              </w:rPr>
              <w:t>0,0868</w:t>
            </w:r>
          </w:p>
        </w:tc>
        <w:tc>
          <w:tcPr>
            <w:tcW w:w="83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napToGrid w:val="0"/>
                <w:sz w:val="24"/>
                <w:szCs w:val="24"/>
              </w:rPr>
            </w:pPr>
            <w:r w:rsidRPr="00934C02">
              <w:rPr>
                <w:rFonts w:ascii="Arial" w:hAnsi="Arial" w:cs="Arial"/>
                <w:snapToGrid w:val="0"/>
                <w:sz w:val="24"/>
                <w:szCs w:val="24"/>
              </w:rPr>
              <w:t>3,07</w:t>
            </w:r>
          </w:p>
        </w:tc>
        <w:tc>
          <w:tcPr>
            <w:tcW w:w="830"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snapToGrid w:val="0"/>
                <w:sz w:val="24"/>
                <w:szCs w:val="24"/>
              </w:rPr>
            </w:pPr>
            <w:r w:rsidRPr="00934C02">
              <w:rPr>
                <w:rFonts w:ascii="Arial" w:hAnsi="Arial" w:cs="Arial"/>
                <w:snapToGrid w:val="0"/>
                <w:sz w:val="24"/>
                <w:szCs w:val="24"/>
              </w:rPr>
              <w:t>7,61</w:t>
            </w:r>
          </w:p>
        </w:tc>
        <w:tc>
          <w:tcPr>
            <w:tcW w:w="947"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snapToGrid w:val="0"/>
                <w:sz w:val="24"/>
                <w:szCs w:val="24"/>
              </w:rPr>
            </w:pPr>
            <w:r w:rsidRPr="00934C02">
              <w:rPr>
                <w:rFonts w:ascii="Arial" w:hAnsi="Arial" w:cs="Arial"/>
                <w:snapToGrid w:val="0"/>
                <w:sz w:val="24"/>
                <w:szCs w:val="24"/>
              </w:rPr>
              <w:t>10,16</w:t>
            </w:r>
          </w:p>
        </w:tc>
      </w:tr>
      <w:tr w:rsidR="00934C02" w:rsidRPr="00934C02" w:rsidTr="00934C02">
        <w:trPr>
          <w:trHeight w:val="257"/>
        </w:trPr>
        <w:tc>
          <w:tcPr>
            <w:tcW w:w="4647"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Cantitatea de deşeuri municipale colectate selectiv(To)</w:t>
            </w:r>
          </w:p>
        </w:tc>
        <w:tc>
          <w:tcPr>
            <w:tcW w:w="89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lang w:val="it-IT"/>
              </w:rPr>
            </w:pPr>
            <w:r w:rsidRPr="00934C02">
              <w:rPr>
                <w:rFonts w:ascii="Arial" w:hAnsi="Arial" w:cs="Arial"/>
                <w:sz w:val="24"/>
                <w:szCs w:val="24"/>
                <w:lang w:val="it-IT"/>
              </w:rPr>
              <w:t>312</w:t>
            </w:r>
          </w:p>
        </w:tc>
        <w:tc>
          <w:tcPr>
            <w:tcW w:w="954"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lang w:val="it-IT"/>
              </w:rPr>
            </w:pPr>
            <w:r w:rsidRPr="00934C02">
              <w:rPr>
                <w:rFonts w:ascii="Arial" w:hAnsi="Arial" w:cs="Arial"/>
                <w:sz w:val="24"/>
                <w:szCs w:val="24"/>
                <w:lang w:val="it-IT"/>
              </w:rPr>
              <w:t>867.6</w:t>
            </w:r>
          </w:p>
        </w:tc>
        <w:tc>
          <w:tcPr>
            <w:tcW w:w="83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lang w:val="it-IT"/>
              </w:rPr>
            </w:pPr>
            <w:r w:rsidRPr="00934C02">
              <w:rPr>
                <w:rFonts w:ascii="Arial" w:hAnsi="Arial" w:cs="Arial"/>
                <w:sz w:val="24"/>
                <w:szCs w:val="24"/>
                <w:lang w:val="it-IT"/>
              </w:rPr>
              <w:t>822</w:t>
            </w:r>
          </w:p>
        </w:tc>
        <w:tc>
          <w:tcPr>
            <w:tcW w:w="830"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sz w:val="24"/>
                <w:szCs w:val="24"/>
                <w:lang w:val="it-IT"/>
              </w:rPr>
            </w:pPr>
            <w:r w:rsidRPr="00934C02">
              <w:rPr>
                <w:rFonts w:ascii="Arial" w:hAnsi="Arial" w:cs="Arial"/>
                <w:sz w:val="24"/>
                <w:szCs w:val="24"/>
                <w:lang w:val="it-IT"/>
              </w:rPr>
              <w:t>665</w:t>
            </w:r>
          </w:p>
        </w:tc>
        <w:tc>
          <w:tcPr>
            <w:tcW w:w="947"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sz w:val="24"/>
                <w:szCs w:val="24"/>
                <w:lang w:val="it-IT"/>
              </w:rPr>
            </w:pPr>
            <w:r w:rsidRPr="00934C02">
              <w:rPr>
                <w:rFonts w:ascii="Arial" w:hAnsi="Arial" w:cs="Arial"/>
                <w:sz w:val="24"/>
                <w:szCs w:val="24"/>
                <w:lang w:val="it-IT"/>
              </w:rPr>
              <w:t>623</w:t>
            </w:r>
          </w:p>
        </w:tc>
      </w:tr>
      <w:tr w:rsidR="00934C02" w:rsidRPr="00934C02" w:rsidTr="00934C02">
        <w:trPr>
          <w:trHeight w:val="257"/>
        </w:trPr>
        <w:tc>
          <w:tcPr>
            <w:tcW w:w="4647"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Cantitatea de deşeuri mun. reciclate (To)</w:t>
            </w:r>
          </w:p>
        </w:tc>
        <w:tc>
          <w:tcPr>
            <w:tcW w:w="89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color w:val="000000" w:themeColor="text1"/>
                <w:sz w:val="24"/>
                <w:szCs w:val="24"/>
              </w:rPr>
            </w:pPr>
            <w:r w:rsidRPr="00934C02">
              <w:rPr>
                <w:rFonts w:ascii="Arial" w:hAnsi="Arial" w:cs="Arial"/>
                <w:color w:val="000000" w:themeColor="text1"/>
                <w:sz w:val="24"/>
                <w:szCs w:val="24"/>
              </w:rPr>
              <w:t>296.4</w:t>
            </w:r>
          </w:p>
        </w:tc>
        <w:tc>
          <w:tcPr>
            <w:tcW w:w="954"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color w:val="000000" w:themeColor="text1"/>
                <w:sz w:val="24"/>
                <w:szCs w:val="24"/>
              </w:rPr>
            </w:pPr>
            <w:r w:rsidRPr="00934C02">
              <w:rPr>
                <w:rFonts w:ascii="Arial" w:hAnsi="Arial" w:cs="Arial"/>
                <w:color w:val="000000" w:themeColor="text1"/>
                <w:sz w:val="24"/>
                <w:szCs w:val="24"/>
              </w:rPr>
              <w:t>824.22</w:t>
            </w:r>
          </w:p>
        </w:tc>
        <w:tc>
          <w:tcPr>
            <w:tcW w:w="83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780.9</w:t>
            </w:r>
          </w:p>
        </w:tc>
        <w:tc>
          <w:tcPr>
            <w:tcW w:w="830"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color w:val="000000" w:themeColor="text1"/>
                <w:sz w:val="24"/>
                <w:szCs w:val="24"/>
              </w:rPr>
            </w:pPr>
            <w:r w:rsidRPr="00934C02">
              <w:rPr>
                <w:rFonts w:ascii="Arial" w:hAnsi="Arial" w:cs="Arial"/>
                <w:color w:val="000000" w:themeColor="text1"/>
                <w:sz w:val="24"/>
                <w:szCs w:val="24"/>
              </w:rPr>
              <w:t>592</w:t>
            </w:r>
          </w:p>
        </w:tc>
        <w:tc>
          <w:tcPr>
            <w:tcW w:w="947"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575</w:t>
            </w:r>
          </w:p>
        </w:tc>
      </w:tr>
      <w:tr w:rsidR="00934C02" w:rsidRPr="00934C02" w:rsidTr="00934C02">
        <w:trPr>
          <w:trHeight w:val="241"/>
        </w:trPr>
        <w:tc>
          <w:tcPr>
            <w:tcW w:w="4647"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Cant. de des.biodegradabil.din des. mun. depozitate(to)</w:t>
            </w:r>
          </w:p>
        </w:tc>
        <w:tc>
          <w:tcPr>
            <w:tcW w:w="89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34692</w:t>
            </w:r>
          </w:p>
        </w:tc>
        <w:tc>
          <w:tcPr>
            <w:tcW w:w="954"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26303</w:t>
            </w:r>
          </w:p>
        </w:tc>
        <w:tc>
          <w:tcPr>
            <w:tcW w:w="83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21289</w:t>
            </w:r>
          </w:p>
        </w:tc>
        <w:tc>
          <w:tcPr>
            <w:tcW w:w="830"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20197</w:t>
            </w:r>
          </w:p>
        </w:tc>
        <w:tc>
          <w:tcPr>
            <w:tcW w:w="947"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23734</w:t>
            </w:r>
          </w:p>
        </w:tc>
      </w:tr>
      <w:tr w:rsidR="00934C02" w:rsidRPr="00934C02" w:rsidTr="00934C02">
        <w:trPr>
          <w:trHeight w:val="358"/>
        </w:trPr>
        <w:tc>
          <w:tcPr>
            <w:tcW w:w="4647"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Nr.depoz.mun.conforme în operare</w:t>
            </w:r>
          </w:p>
        </w:tc>
        <w:tc>
          <w:tcPr>
            <w:tcW w:w="89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0</w:t>
            </w:r>
          </w:p>
        </w:tc>
        <w:tc>
          <w:tcPr>
            <w:tcW w:w="954"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0</w:t>
            </w:r>
          </w:p>
        </w:tc>
        <w:tc>
          <w:tcPr>
            <w:tcW w:w="83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0</w:t>
            </w:r>
          </w:p>
        </w:tc>
        <w:tc>
          <w:tcPr>
            <w:tcW w:w="830"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0</w:t>
            </w:r>
          </w:p>
        </w:tc>
        <w:tc>
          <w:tcPr>
            <w:tcW w:w="947"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0</w:t>
            </w:r>
          </w:p>
        </w:tc>
      </w:tr>
      <w:tr w:rsidR="00934C02" w:rsidRPr="00934C02" w:rsidTr="00934C02">
        <w:trPr>
          <w:trHeight w:val="530"/>
        </w:trPr>
        <w:tc>
          <w:tcPr>
            <w:tcW w:w="4647"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Nr. staţiilor de transfer şi/sau</w:t>
            </w:r>
          </w:p>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sortare existente</w:t>
            </w:r>
          </w:p>
        </w:tc>
        <w:tc>
          <w:tcPr>
            <w:tcW w:w="89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0/0</w:t>
            </w:r>
          </w:p>
        </w:tc>
        <w:tc>
          <w:tcPr>
            <w:tcW w:w="954"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0/0</w:t>
            </w:r>
          </w:p>
        </w:tc>
        <w:tc>
          <w:tcPr>
            <w:tcW w:w="83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0/0</w:t>
            </w:r>
          </w:p>
        </w:tc>
        <w:tc>
          <w:tcPr>
            <w:tcW w:w="830"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0/0</w:t>
            </w:r>
          </w:p>
        </w:tc>
        <w:tc>
          <w:tcPr>
            <w:tcW w:w="947"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0/0</w:t>
            </w:r>
          </w:p>
        </w:tc>
      </w:tr>
    </w:tbl>
    <w:p w:rsidR="00934C02" w:rsidRPr="00934C02" w:rsidRDefault="00934C02" w:rsidP="00934C02">
      <w:pPr>
        <w:spacing w:after="0" w:line="240" w:lineRule="auto"/>
        <w:jc w:val="both"/>
        <w:rPr>
          <w:rFonts w:ascii="Arial" w:eastAsia="Times New Roman" w:hAnsi="Arial" w:cs="Arial"/>
          <w:i/>
          <w:sz w:val="20"/>
          <w:szCs w:val="20"/>
        </w:rPr>
      </w:pPr>
      <w:r w:rsidRPr="00934C02">
        <w:rPr>
          <w:rFonts w:ascii="Arial" w:eastAsia="SimSun" w:hAnsi="Arial" w:cs="Arial"/>
          <w:b/>
          <w:sz w:val="24"/>
          <w:szCs w:val="24"/>
        </w:rPr>
        <w:t xml:space="preserve">           </w:t>
      </w:r>
      <w:r w:rsidRPr="00934C02">
        <w:rPr>
          <w:rFonts w:ascii="Arial" w:eastAsia="Times New Roman" w:hAnsi="Arial" w:cs="Arial"/>
          <w:i/>
          <w:sz w:val="20"/>
          <w:szCs w:val="20"/>
        </w:rPr>
        <w:t>Sursa: APM Vaslui – aplicaţiile: MEDIUS şi SD (din SIM),cu date validate de ANPM</w:t>
      </w:r>
    </w:p>
    <w:p w:rsidR="00934C02" w:rsidRPr="00934C02" w:rsidRDefault="00934C02" w:rsidP="00934C02">
      <w:pPr>
        <w:spacing w:after="0" w:line="240" w:lineRule="auto"/>
        <w:jc w:val="both"/>
        <w:rPr>
          <w:rFonts w:ascii="Arial" w:eastAsia="Times New Roman" w:hAnsi="Arial" w:cs="Arial"/>
          <w:i/>
          <w:sz w:val="20"/>
          <w:szCs w:val="20"/>
        </w:rPr>
      </w:pPr>
    </w:p>
    <w:p w:rsidR="00934C02" w:rsidRPr="00934C02" w:rsidRDefault="00934C02" w:rsidP="00934C02">
      <w:pPr>
        <w:widowControl w:val="0"/>
        <w:autoSpaceDE w:val="0"/>
        <w:autoSpaceDN w:val="0"/>
        <w:adjustRightInd w:val="0"/>
        <w:spacing w:after="0" w:line="240" w:lineRule="auto"/>
        <w:ind w:left="220" w:right="-20" w:firstLine="500"/>
        <w:jc w:val="both"/>
        <w:rPr>
          <w:rFonts w:ascii="Arial" w:eastAsia="SimSun" w:hAnsi="Arial" w:cs="Arial"/>
          <w:b/>
          <w:sz w:val="24"/>
          <w:szCs w:val="24"/>
        </w:rPr>
      </w:pPr>
      <w:r w:rsidRPr="00934C02">
        <w:rPr>
          <w:noProof/>
        </w:rPr>
        <w:drawing>
          <wp:inline distT="0" distB="0" distL="0" distR="0" wp14:anchorId="0C08686F" wp14:editId="399B22BF">
            <wp:extent cx="5507990" cy="2612390"/>
            <wp:effectExtent l="0" t="0" r="16510" b="16510"/>
            <wp:docPr id="241" name="Chart 2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934C02" w:rsidRPr="00934C02" w:rsidRDefault="00934C02" w:rsidP="00934C02">
      <w:pPr>
        <w:jc w:val="both"/>
        <w:rPr>
          <w:rFonts w:ascii="Arial" w:hAnsi="Arial" w:cs="Arial"/>
          <w:sz w:val="24"/>
          <w:szCs w:val="24"/>
        </w:rPr>
      </w:pPr>
      <w:r w:rsidRPr="00934C02">
        <w:rPr>
          <w:rFonts w:ascii="Arial" w:hAnsi="Arial" w:cs="Arial"/>
          <w:sz w:val="24"/>
          <w:szCs w:val="24"/>
        </w:rPr>
        <w:t xml:space="preserve">                        Figura VII.10. Gradul de conectare la serviciile de salubritate (%)</w:t>
      </w:r>
    </w:p>
    <w:p w:rsidR="00934C02" w:rsidRPr="00934C02" w:rsidRDefault="00934C02" w:rsidP="00934C02">
      <w:pPr>
        <w:widowControl w:val="0"/>
        <w:autoSpaceDE w:val="0"/>
        <w:autoSpaceDN w:val="0"/>
        <w:adjustRightInd w:val="0"/>
        <w:spacing w:after="0" w:line="240" w:lineRule="auto"/>
        <w:jc w:val="both"/>
        <w:rPr>
          <w:rFonts w:ascii="Arial" w:eastAsia="SimSun" w:hAnsi="Arial" w:cs="Arial"/>
          <w:color w:val="FF0000"/>
          <w:sz w:val="24"/>
          <w:szCs w:val="24"/>
        </w:rPr>
      </w:pPr>
      <w:r w:rsidRPr="00934C02">
        <w:rPr>
          <w:rFonts w:ascii="Arial" w:eastAsia="SimSun" w:hAnsi="Arial" w:cs="Arial"/>
          <w:color w:val="FF0000"/>
          <w:sz w:val="24"/>
          <w:szCs w:val="24"/>
        </w:rPr>
        <w:t xml:space="preserve">   </w:t>
      </w:r>
    </w:p>
    <w:p w:rsidR="00934C02" w:rsidRPr="00934C02" w:rsidRDefault="00934C02" w:rsidP="00934C02">
      <w:pPr>
        <w:widowControl w:val="0"/>
        <w:autoSpaceDE w:val="0"/>
        <w:autoSpaceDN w:val="0"/>
        <w:adjustRightInd w:val="0"/>
        <w:spacing w:after="0" w:line="240" w:lineRule="auto"/>
        <w:jc w:val="both"/>
        <w:rPr>
          <w:rFonts w:ascii="Arial" w:eastAsia="SimSun" w:hAnsi="Arial" w:cs="Arial"/>
          <w:b/>
          <w:i/>
          <w:sz w:val="24"/>
          <w:szCs w:val="24"/>
        </w:rPr>
      </w:pPr>
      <w:r w:rsidRPr="00934C02">
        <w:rPr>
          <w:rFonts w:ascii="Arial" w:eastAsia="SimSun" w:hAnsi="Arial" w:cs="Arial"/>
          <w:color w:val="FF0000"/>
          <w:sz w:val="24"/>
          <w:szCs w:val="24"/>
        </w:rPr>
        <w:lastRenderedPageBreak/>
        <w:t xml:space="preserve">  </w:t>
      </w:r>
      <w:r w:rsidRPr="00934C02">
        <w:rPr>
          <w:rFonts w:ascii="Arial" w:eastAsia="SimSun" w:hAnsi="Arial" w:cs="Arial"/>
          <w:b/>
          <w:i/>
          <w:sz w:val="24"/>
          <w:szCs w:val="24"/>
        </w:rPr>
        <w:t>VII.1.2. Generarea şi gestionarea deşeurilor industriale</w:t>
      </w:r>
    </w:p>
    <w:p w:rsidR="00934C02" w:rsidRPr="00934C02" w:rsidRDefault="00934C02" w:rsidP="00934C02">
      <w:pPr>
        <w:widowControl w:val="0"/>
        <w:autoSpaceDE w:val="0"/>
        <w:autoSpaceDN w:val="0"/>
        <w:adjustRightInd w:val="0"/>
        <w:spacing w:after="0" w:line="240" w:lineRule="auto"/>
        <w:ind w:left="220" w:right="-20" w:firstLine="500"/>
        <w:jc w:val="both"/>
        <w:rPr>
          <w:rFonts w:ascii="Arial" w:eastAsia="SimSun" w:hAnsi="Arial" w:cs="Arial"/>
          <w:b/>
          <w:sz w:val="24"/>
          <w:szCs w:val="24"/>
        </w:rPr>
      </w:pPr>
    </w:p>
    <w:p w:rsidR="00934C02" w:rsidRPr="00934C02" w:rsidRDefault="00934C02" w:rsidP="00934C02">
      <w:pPr>
        <w:widowControl w:val="0"/>
        <w:autoSpaceDE w:val="0"/>
        <w:autoSpaceDN w:val="0"/>
        <w:adjustRightInd w:val="0"/>
        <w:spacing w:after="0" w:line="240" w:lineRule="auto"/>
        <w:jc w:val="both"/>
        <w:rPr>
          <w:rFonts w:ascii="Arial" w:eastAsia="SimSun" w:hAnsi="Arial" w:cs="Arial"/>
          <w:sz w:val="24"/>
          <w:szCs w:val="24"/>
        </w:rPr>
      </w:pPr>
    </w:p>
    <w:p w:rsidR="00934C02" w:rsidRPr="00934C02" w:rsidRDefault="00934C02" w:rsidP="00934C02">
      <w:pPr>
        <w:widowControl w:val="0"/>
        <w:tabs>
          <w:tab w:val="left" w:pos="2100"/>
        </w:tabs>
        <w:autoSpaceDE w:val="0"/>
        <w:autoSpaceDN w:val="0"/>
        <w:adjustRightInd w:val="0"/>
        <w:spacing w:after="0" w:line="240" w:lineRule="auto"/>
        <w:ind w:left="220" w:right="-20"/>
        <w:jc w:val="both"/>
        <w:rPr>
          <w:rFonts w:ascii="Arial" w:eastAsia="SimSun" w:hAnsi="Arial" w:cs="Arial"/>
          <w:sz w:val="24"/>
          <w:szCs w:val="24"/>
        </w:rPr>
      </w:pPr>
      <w:r w:rsidRPr="00934C02">
        <w:rPr>
          <w:rFonts w:ascii="Arial" w:eastAsia="SimSun" w:hAnsi="Arial" w:cs="Arial"/>
          <w:sz w:val="24"/>
          <w:szCs w:val="24"/>
        </w:rPr>
        <w:t xml:space="preserve">         Datorită modului în care sunt gestionate, deşeurile industriale constituie o sursă majoră de poluare pentru mediu.</w:t>
      </w:r>
    </w:p>
    <w:p w:rsidR="00934C02" w:rsidRPr="00934C02" w:rsidRDefault="00934C02" w:rsidP="00934C02">
      <w:pPr>
        <w:widowControl w:val="0"/>
        <w:tabs>
          <w:tab w:val="left" w:pos="2100"/>
        </w:tabs>
        <w:autoSpaceDE w:val="0"/>
        <w:autoSpaceDN w:val="0"/>
        <w:adjustRightInd w:val="0"/>
        <w:spacing w:after="0" w:line="240" w:lineRule="auto"/>
        <w:ind w:left="220" w:right="-20"/>
        <w:jc w:val="both"/>
        <w:rPr>
          <w:rFonts w:ascii="Arial" w:eastAsia="SimSun" w:hAnsi="Arial" w:cs="Arial"/>
          <w:sz w:val="24"/>
          <w:szCs w:val="24"/>
        </w:rPr>
      </w:pPr>
      <w:r w:rsidRPr="00934C02">
        <w:rPr>
          <w:rFonts w:ascii="Arial" w:eastAsia="SimSun" w:hAnsi="Arial" w:cs="Arial"/>
          <w:sz w:val="24"/>
          <w:szCs w:val="24"/>
        </w:rPr>
        <w:t xml:space="preserve">         Producătorii de deşeuri industriale au responsabilitatea gestionării de o manieră care să asigure un management raţional al deşeurilor precum şi cea pentru prevenire şi reciclare.</w:t>
      </w:r>
    </w:p>
    <w:p w:rsidR="00934C02" w:rsidRPr="00934C02" w:rsidRDefault="00934C02" w:rsidP="00934C02">
      <w:pPr>
        <w:spacing w:after="0" w:line="240" w:lineRule="auto"/>
        <w:ind w:firstLine="360"/>
        <w:jc w:val="both"/>
        <w:rPr>
          <w:rFonts w:ascii="Arial" w:eastAsia="SimSun" w:hAnsi="Arial" w:cs="Arial"/>
          <w:sz w:val="24"/>
          <w:szCs w:val="24"/>
        </w:rPr>
      </w:pPr>
      <w:r w:rsidRPr="00934C02">
        <w:rPr>
          <w:rFonts w:ascii="Arial" w:eastAsia="SimSun" w:hAnsi="Arial" w:cs="Arial"/>
          <w:sz w:val="24"/>
          <w:szCs w:val="24"/>
        </w:rPr>
        <w:t xml:space="preserve">      Gestionarea deşeurilor industriale se face la nivelul fiecărui agent economic ce generează asemenea deşeuri. </w:t>
      </w:r>
    </w:p>
    <w:p w:rsidR="00934C02" w:rsidRPr="00934C02" w:rsidRDefault="00934C02" w:rsidP="00934C02">
      <w:pPr>
        <w:spacing w:after="0" w:line="240" w:lineRule="auto"/>
        <w:ind w:firstLine="720"/>
        <w:jc w:val="both"/>
        <w:rPr>
          <w:rFonts w:ascii="Arial" w:hAnsi="Arial" w:cs="Arial"/>
          <w:sz w:val="24"/>
          <w:szCs w:val="24"/>
          <w:lang w:val="it-IT"/>
        </w:rPr>
      </w:pPr>
      <w:r w:rsidRPr="00934C02">
        <w:rPr>
          <w:rFonts w:ascii="Arial" w:hAnsi="Arial" w:cs="Arial"/>
          <w:sz w:val="24"/>
          <w:szCs w:val="24"/>
          <w:lang w:val="it-IT"/>
        </w:rPr>
        <w:t>Cantităţile de deşeuri de producţie generate anual sunt înregistrate şi raportate de către agenţii economici.</w:t>
      </w:r>
    </w:p>
    <w:p w:rsidR="00934C02" w:rsidRPr="00934C02" w:rsidRDefault="00934C02" w:rsidP="00934C02">
      <w:pPr>
        <w:spacing w:after="0" w:line="240" w:lineRule="auto"/>
        <w:jc w:val="both"/>
        <w:rPr>
          <w:rFonts w:ascii="Arial" w:eastAsia="SimSun" w:hAnsi="Arial" w:cs="Arial"/>
          <w:b/>
          <w:sz w:val="24"/>
          <w:szCs w:val="24"/>
        </w:rPr>
      </w:pPr>
      <w:r w:rsidRPr="00934C02">
        <w:rPr>
          <w:rFonts w:ascii="Arial" w:eastAsia="SimSun" w:hAnsi="Arial" w:cs="Arial"/>
          <w:b/>
          <w:sz w:val="24"/>
          <w:szCs w:val="24"/>
        </w:rPr>
        <w:t xml:space="preserve"> </w:t>
      </w:r>
    </w:p>
    <w:p w:rsidR="00934C02" w:rsidRPr="00934C02" w:rsidRDefault="00934C02" w:rsidP="00934C02">
      <w:pPr>
        <w:spacing w:after="0" w:line="240" w:lineRule="auto"/>
        <w:jc w:val="both"/>
        <w:rPr>
          <w:rFonts w:ascii="Arial" w:eastAsia="SimSun" w:hAnsi="Arial" w:cs="Arial"/>
          <w:sz w:val="24"/>
          <w:szCs w:val="24"/>
        </w:rPr>
      </w:pPr>
      <w:r w:rsidRPr="00934C02">
        <w:rPr>
          <w:rFonts w:ascii="Arial" w:eastAsia="SimSun" w:hAnsi="Arial" w:cs="Arial"/>
          <w:sz w:val="24"/>
          <w:szCs w:val="24"/>
        </w:rPr>
        <w:t xml:space="preserve">      Tabelul VII.11.</w:t>
      </w:r>
      <w:r w:rsidRPr="00934C02">
        <w:rPr>
          <w:rFonts w:ascii="Arial" w:eastAsia="SimSun" w:hAnsi="Arial" w:cs="Arial"/>
          <w:b/>
          <w:sz w:val="24"/>
          <w:szCs w:val="24"/>
        </w:rPr>
        <w:t xml:space="preserve"> </w:t>
      </w:r>
      <w:r w:rsidRPr="00934C02">
        <w:rPr>
          <w:rFonts w:ascii="Arial" w:eastAsia="SimSun" w:hAnsi="Arial" w:cs="Arial"/>
          <w:sz w:val="24"/>
          <w:szCs w:val="24"/>
        </w:rPr>
        <w:t xml:space="preserve">Deşeuri  industriale nepericuloase generate pe principalele activităţi economice </w:t>
      </w:r>
    </w:p>
    <w:tbl>
      <w:tblPr>
        <w:tblW w:w="9621"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3"/>
        <w:gridCol w:w="1288"/>
        <w:gridCol w:w="1279"/>
        <w:gridCol w:w="1279"/>
        <w:gridCol w:w="1279"/>
        <w:gridCol w:w="1073"/>
      </w:tblGrid>
      <w:tr w:rsidR="00934C02" w:rsidRPr="00934C02" w:rsidTr="00934C02">
        <w:tc>
          <w:tcPr>
            <w:tcW w:w="3423"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b/>
                <w:sz w:val="24"/>
                <w:szCs w:val="24"/>
              </w:rPr>
            </w:pPr>
            <w:r w:rsidRPr="00934C02">
              <w:rPr>
                <w:rFonts w:ascii="Arial" w:eastAsia="SimSun" w:hAnsi="Arial" w:cs="Arial"/>
                <w:b/>
                <w:sz w:val="24"/>
                <w:szCs w:val="24"/>
              </w:rPr>
              <w:t xml:space="preserve">Activitatea economică </w:t>
            </w:r>
          </w:p>
        </w:tc>
        <w:tc>
          <w:tcPr>
            <w:tcW w:w="1288"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b/>
                <w:sz w:val="24"/>
                <w:szCs w:val="24"/>
              </w:rPr>
            </w:pPr>
            <w:r w:rsidRPr="00934C02">
              <w:rPr>
                <w:rFonts w:ascii="Arial" w:eastAsia="SimSun" w:hAnsi="Arial" w:cs="Arial"/>
                <w:b/>
                <w:sz w:val="24"/>
                <w:szCs w:val="24"/>
              </w:rPr>
              <w:t>2010</w:t>
            </w:r>
          </w:p>
        </w:tc>
        <w:tc>
          <w:tcPr>
            <w:tcW w:w="127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b/>
                <w:sz w:val="24"/>
                <w:szCs w:val="24"/>
              </w:rPr>
            </w:pPr>
            <w:r w:rsidRPr="00934C02">
              <w:rPr>
                <w:rFonts w:ascii="Arial" w:eastAsia="SimSun" w:hAnsi="Arial" w:cs="Arial"/>
                <w:b/>
                <w:sz w:val="24"/>
                <w:szCs w:val="24"/>
              </w:rPr>
              <w:t>2011</w:t>
            </w:r>
          </w:p>
        </w:tc>
        <w:tc>
          <w:tcPr>
            <w:tcW w:w="127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b/>
                <w:sz w:val="24"/>
                <w:szCs w:val="24"/>
              </w:rPr>
            </w:pPr>
            <w:r w:rsidRPr="00934C02">
              <w:rPr>
                <w:rFonts w:ascii="Arial" w:eastAsia="SimSun" w:hAnsi="Arial" w:cs="Arial"/>
                <w:b/>
                <w:sz w:val="24"/>
                <w:szCs w:val="24"/>
              </w:rPr>
              <w:t>2012</w:t>
            </w:r>
          </w:p>
        </w:tc>
        <w:tc>
          <w:tcPr>
            <w:tcW w:w="127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b/>
                <w:sz w:val="24"/>
                <w:szCs w:val="24"/>
              </w:rPr>
            </w:pPr>
            <w:r w:rsidRPr="00934C02">
              <w:rPr>
                <w:rFonts w:ascii="Arial" w:eastAsia="SimSun" w:hAnsi="Arial" w:cs="Arial"/>
                <w:b/>
                <w:sz w:val="24"/>
                <w:szCs w:val="24"/>
              </w:rPr>
              <w:t>2013</w:t>
            </w:r>
          </w:p>
        </w:tc>
        <w:tc>
          <w:tcPr>
            <w:tcW w:w="1073"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b/>
                <w:sz w:val="24"/>
                <w:szCs w:val="24"/>
              </w:rPr>
            </w:pPr>
            <w:r w:rsidRPr="00934C02">
              <w:rPr>
                <w:rFonts w:ascii="Arial" w:eastAsia="SimSun" w:hAnsi="Arial" w:cs="Arial"/>
                <w:b/>
                <w:sz w:val="24"/>
                <w:szCs w:val="24"/>
              </w:rPr>
              <w:t>2014</w:t>
            </w:r>
          </w:p>
        </w:tc>
      </w:tr>
      <w:tr w:rsidR="00934C02" w:rsidRPr="00934C02" w:rsidTr="00934C02">
        <w:trPr>
          <w:trHeight w:val="555"/>
        </w:trPr>
        <w:tc>
          <w:tcPr>
            <w:tcW w:w="3423"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 xml:space="preserve">Industria prelucrătoare         </w:t>
            </w:r>
            <w:r w:rsidRPr="00934C02">
              <w:rPr>
                <w:rFonts w:ascii="Arial" w:hAnsi="Arial" w:cs="Arial"/>
                <w:b/>
                <w:sz w:val="18"/>
                <w:szCs w:val="18"/>
              </w:rPr>
              <w:t>(</w:t>
            </w:r>
            <w:r w:rsidRPr="00934C02">
              <w:rPr>
                <w:rFonts w:ascii="Arial" w:hAnsi="Arial" w:cs="Arial"/>
                <w:sz w:val="18"/>
                <w:szCs w:val="18"/>
              </w:rPr>
              <w:t>mii tone)</w:t>
            </w:r>
          </w:p>
        </w:tc>
        <w:tc>
          <w:tcPr>
            <w:tcW w:w="1288"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21.734</w:t>
            </w:r>
          </w:p>
        </w:tc>
        <w:tc>
          <w:tcPr>
            <w:tcW w:w="1279"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16.973</w:t>
            </w:r>
          </w:p>
          <w:p w:rsidR="00934C02" w:rsidRPr="00934C02" w:rsidRDefault="00934C02" w:rsidP="00934C02">
            <w:pPr>
              <w:spacing w:after="0" w:line="240" w:lineRule="auto"/>
              <w:rPr>
                <w:rFonts w:ascii="Arial" w:eastAsia="SimSun" w:hAnsi="Arial" w:cs="Arial"/>
                <w:sz w:val="24"/>
                <w:szCs w:val="24"/>
              </w:rPr>
            </w:pPr>
          </w:p>
        </w:tc>
        <w:tc>
          <w:tcPr>
            <w:tcW w:w="127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hAnsi="Arial" w:cs="Arial"/>
                <w:color w:val="000000"/>
                <w:sz w:val="24"/>
                <w:szCs w:val="24"/>
              </w:rPr>
              <w:t>17.962</w:t>
            </w:r>
          </w:p>
        </w:tc>
        <w:tc>
          <w:tcPr>
            <w:tcW w:w="1279"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18.051</w:t>
            </w:r>
          </w:p>
        </w:tc>
        <w:tc>
          <w:tcPr>
            <w:tcW w:w="1073"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18.063</w:t>
            </w:r>
          </w:p>
        </w:tc>
      </w:tr>
      <w:tr w:rsidR="00934C02" w:rsidRPr="00934C02" w:rsidTr="00934C02">
        <w:tc>
          <w:tcPr>
            <w:tcW w:w="3423"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 xml:space="preserve">Producţia,transportul şi distribuţia de energie electrică şi termică, gaze şi apă </w:t>
            </w:r>
            <w:r w:rsidRPr="00934C02">
              <w:rPr>
                <w:rFonts w:ascii="Arial" w:hAnsi="Arial" w:cs="Arial"/>
                <w:sz w:val="18"/>
                <w:szCs w:val="18"/>
              </w:rPr>
              <w:t>(mii tone)</w:t>
            </w:r>
          </w:p>
        </w:tc>
        <w:tc>
          <w:tcPr>
            <w:tcW w:w="1288"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0</w:t>
            </w:r>
          </w:p>
        </w:tc>
        <w:tc>
          <w:tcPr>
            <w:tcW w:w="127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0.035</w:t>
            </w:r>
          </w:p>
        </w:tc>
        <w:tc>
          <w:tcPr>
            <w:tcW w:w="127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hAnsi="Arial" w:cs="Arial"/>
                <w:color w:val="000000"/>
                <w:sz w:val="24"/>
                <w:szCs w:val="24"/>
              </w:rPr>
            </w:pPr>
            <w:r w:rsidRPr="00934C02">
              <w:rPr>
                <w:rFonts w:ascii="Arial" w:hAnsi="Arial" w:cs="Arial"/>
                <w:color w:val="000000"/>
                <w:sz w:val="24"/>
                <w:szCs w:val="24"/>
              </w:rPr>
              <w:t>0.052</w:t>
            </w:r>
          </w:p>
          <w:p w:rsidR="00934C02" w:rsidRPr="00934C02" w:rsidRDefault="00934C02" w:rsidP="00934C02">
            <w:pPr>
              <w:spacing w:after="0" w:line="240" w:lineRule="auto"/>
              <w:rPr>
                <w:rFonts w:ascii="Arial" w:eastAsia="SimSun" w:hAnsi="Arial" w:cs="Arial"/>
                <w:sz w:val="24"/>
                <w:szCs w:val="24"/>
              </w:rPr>
            </w:pPr>
          </w:p>
        </w:tc>
        <w:tc>
          <w:tcPr>
            <w:tcW w:w="1279"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0.064</w:t>
            </w:r>
          </w:p>
        </w:tc>
        <w:tc>
          <w:tcPr>
            <w:tcW w:w="1073"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0.071</w:t>
            </w:r>
          </w:p>
        </w:tc>
      </w:tr>
      <w:tr w:rsidR="00934C02" w:rsidRPr="00934C02" w:rsidTr="00934C02">
        <w:trPr>
          <w:trHeight w:val="465"/>
        </w:trPr>
        <w:tc>
          <w:tcPr>
            <w:tcW w:w="3423"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 xml:space="preserve">Captarea ,tratarea şi distribuţia apei </w:t>
            </w:r>
            <w:r w:rsidRPr="00934C02">
              <w:rPr>
                <w:rFonts w:ascii="Arial" w:hAnsi="Arial" w:cs="Arial"/>
                <w:sz w:val="18"/>
                <w:szCs w:val="18"/>
              </w:rPr>
              <w:t>(mii tone)</w:t>
            </w:r>
          </w:p>
        </w:tc>
        <w:tc>
          <w:tcPr>
            <w:tcW w:w="1288"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0</w:t>
            </w:r>
          </w:p>
        </w:tc>
        <w:tc>
          <w:tcPr>
            <w:tcW w:w="127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0</w:t>
            </w:r>
          </w:p>
        </w:tc>
        <w:tc>
          <w:tcPr>
            <w:tcW w:w="127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hAnsi="Arial" w:cs="Arial"/>
                <w:color w:val="000000"/>
                <w:sz w:val="24"/>
                <w:szCs w:val="24"/>
              </w:rPr>
              <w:t>0.391</w:t>
            </w:r>
          </w:p>
        </w:tc>
        <w:tc>
          <w:tcPr>
            <w:tcW w:w="1279"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0.402</w:t>
            </w:r>
          </w:p>
        </w:tc>
        <w:tc>
          <w:tcPr>
            <w:tcW w:w="1073"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0.416</w:t>
            </w:r>
          </w:p>
        </w:tc>
      </w:tr>
      <w:tr w:rsidR="00934C02" w:rsidRPr="00934C02" w:rsidTr="00934C02">
        <w:trPr>
          <w:trHeight w:val="375"/>
        </w:trPr>
        <w:tc>
          <w:tcPr>
            <w:tcW w:w="3423"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 xml:space="preserve">Alte activităţi </w:t>
            </w:r>
            <w:r w:rsidRPr="00934C02">
              <w:rPr>
                <w:rFonts w:ascii="Arial" w:hAnsi="Arial" w:cs="Arial"/>
                <w:sz w:val="18"/>
                <w:szCs w:val="18"/>
              </w:rPr>
              <w:t>(mii tone)</w:t>
            </w:r>
          </w:p>
        </w:tc>
        <w:tc>
          <w:tcPr>
            <w:tcW w:w="1288"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 xml:space="preserve">0.013 </w:t>
            </w:r>
          </w:p>
        </w:tc>
        <w:tc>
          <w:tcPr>
            <w:tcW w:w="127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0.040</w:t>
            </w:r>
          </w:p>
        </w:tc>
        <w:tc>
          <w:tcPr>
            <w:tcW w:w="127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hAnsi="Arial" w:cs="Arial"/>
                <w:color w:val="000000"/>
                <w:sz w:val="24"/>
                <w:szCs w:val="24"/>
              </w:rPr>
              <w:t>7.441</w:t>
            </w:r>
          </w:p>
        </w:tc>
        <w:tc>
          <w:tcPr>
            <w:tcW w:w="1279"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7.506</w:t>
            </w:r>
          </w:p>
        </w:tc>
        <w:tc>
          <w:tcPr>
            <w:tcW w:w="1073"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7.522</w:t>
            </w:r>
          </w:p>
        </w:tc>
      </w:tr>
      <w:tr w:rsidR="00934C02" w:rsidRPr="00934C02" w:rsidTr="00934C02">
        <w:trPr>
          <w:trHeight w:val="300"/>
        </w:trPr>
        <w:tc>
          <w:tcPr>
            <w:tcW w:w="3423"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 xml:space="preserve">TOTAL  </w:t>
            </w:r>
            <w:r w:rsidRPr="00934C02">
              <w:rPr>
                <w:rFonts w:ascii="Arial" w:hAnsi="Arial" w:cs="Arial"/>
                <w:sz w:val="18"/>
                <w:szCs w:val="18"/>
              </w:rPr>
              <w:t>(mii tone)</w:t>
            </w:r>
          </w:p>
        </w:tc>
        <w:tc>
          <w:tcPr>
            <w:tcW w:w="1288"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21.747</w:t>
            </w:r>
          </w:p>
        </w:tc>
        <w:tc>
          <w:tcPr>
            <w:tcW w:w="127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16.048</w:t>
            </w:r>
          </w:p>
        </w:tc>
        <w:tc>
          <w:tcPr>
            <w:tcW w:w="127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hAnsi="Arial" w:cs="Arial"/>
                <w:color w:val="000000"/>
                <w:sz w:val="24"/>
                <w:szCs w:val="24"/>
              </w:rPr>
            </w:pPr>
            <w:r w:rsidRPr="00934C02">
              <w:rPr>
                <w:rFonts w:ascii="Arial" w:hAnsi="Arial" w:cs="Arial"/>
                <w:color w:val="000000"/>
                <w:sz w:val="24"/>
                <w:szCs w:val="24"/>
              </w:rPr>
              <w:t>25.846</w:t>
            </w:r>
          </w:p>
        </w:tc>
        <w:tc>
          <w:tcPr>
            <w:tcW w:w="1279"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26.023</w:t>
            </w:r>
          </w:p>
        </w:tc>
        <w:tc>
          <w:tcPr>
            <w:tcW w:w="1073"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rPr>
                <w:rFonts w:ascii="Arial" w:hAnsi="Arial" w:cs="Arial"/>
                <w:color w:val="000000"/>
                <w:sz w:val="24"/>
                <w:szCs w:val="24"/>
              </w:rPr>
            </w:pPr>
            <w:r w:rsidRPr="00934C02">
              <w:rPr>
                <w:rFonts w:ascii="Arial" w:hAnsi="Arial" w:cs="Arial"/>
                <w:color w:val="000000"/>
                <w:sz w:val="24"/>
                <w:szCs w:val="24"/>
              </w:rPr>
              <w:t>26.072</w:t>
            </w:r>
          </w:p>
        </w:tc>
      </w:tr>
    </w:tbl>
    <w:p w:rsidR="00934C02" w:rsidRPr="00934C02" w:rsidRDefault="00934C02" w:rsidP="00934C02">
      <w:pPr>
        <w:spacing w:after="0" w:line="240" w:lineRule="auto"/>
        <w:jc w:val="both"/>
        <w:rPr>
          <w:rFonts w:ascii="Arial" w:eastAsia="Times New Roman" w:hAnsi="Arial" w:cs="Arial"/>
          <w:i/>
          <w:sz w:val="20"/>
          <w:szCs w:val="20"/>
        </w:rPr>
      </w:pPr>
      <w:r w:rsidRPr="00934C02">
        <w:rPr>
          <w:rFonts w:ascii="Arial" w:eastAsia="Times New Roman" w:hAnsi="Arial" w:cs="Times New Roman"/>
          <w:b/>
          <w:sz w:val="24"/>
          <w:szCs w:val="24"/>
          <w:lang w:val="ro-RO" w:eastAsia="pl-PL"/>
        </w:rPr>
        <w:t xml:space="preserve">           </w:t>
      </w:r>
      <w:r w:rsidRPr="00934C02">
        <w:rPr>
          <w:rFonts w:ascii="Arial" w:eastAsia="Times New Roman" w:hAnsi="Arial" w:cs="Arial"/>
          <w:i/>
          <w:sz w:val="20"/>
          <w:szCs w:val="20"/>
        </w:rPr>
        <w:t>Sursa: APM Vaslui – aplicatiile: MEDIUS si SD (din SIM),cu date validate de ANPM</w:t>
      </w:r>
    </w:p>
    <w:p w:rsidR="00934C02" w:rsidRPr="00934C02" w:rsidRDefault="00934C02" w:rsidP="00934C02">
      <w:pPr>
        <w:spacing w:after="0" w:line="240" w:lineRule="auto"/>
        <w:jc w:val="both"/>
        <w:rPr>
          <w:rFonts w:ascii="Arial" w:eastAsia="SimSun" w:hAnsi="Arial" w:cs="Arial"/>
          <w:sz w:val="24"/>
          <w:szCs w:val="24"/>
        </w:rPr>
      </w:pPr>
      <w:r w:rsidRPr="00934C02">
        <w:rPr>
          <w:rFonts w:ascii="Arial" w:eastAsia="SimSun" w:hAnsi="Arial" w:cs="Arial"/>
          <w:sz w:val="24"/>
          <w:szCs w:val="24"/>
        </w:rPr>
        <w:t xml:space="preserve">    </w:t>
      </w:r>
    </w:p>
    <w:p w:rsidR="00934C02" w:rsidRPr="00934C02" w:rsidRDefault="00934C02" w:rsidP="00934C02">
      <w:pPr>
        <w:spacing w:after="0" w:line="240" w:lineRule="auto"/>
        <w:jc w:val="both"/>
        <w:rPr>
          <w:rFonts w:ascii="Arial" w:eastAsia="SimSun" w:hAnsi="Arial" w:cs="Arial"/>
          <w:sz w:val="24"/>
          <w:szCs w:val="24"/>
        </w:rPr>
      </w:pPr>
      <w:r w:rsidRPr="00934C02">
        <w:rPr>
          <w:rFonts w:ascii="Arial" w:eastAsia="SimSun" w:hAnsi="Arial" w:cs="Arial"/>
          <w:sz w:val="24"/>
          <w:szCs w:val="24"/>
        </w:rPr>
        <w:t xml:space="preserve"> Tabelul VII.12.</w:t>
      </w:r>
      <w:r w:rsidRPr="00934C02">
        <w:rPr>
          <w:rFonts w:ascii="Arial" w:eastAsia="SimSun" w:hAnsi="Arial" w:cs="Arial"/>
          <w:b/>
          <w:sz w:val="24"/>
          <w:szCs w:val="24"/>
        </w:rPr>
        <w:t xml:space="preserve"> </w:t>
      </w:r>
      <w:r w:rsidRPr="00934C02">
        <w:rPr>
          <w:rFonts w:ascii="Arial" w:eastAsia="SimSun" w:hAnsi="Arial" w:cs="Arial"/>
          <w:sz w:val="24"/>
          <w:szCs w:val="24"/>
        </w:rPr>
        <w:t xml:space="preserve">Deşeuri industriale periculoase generate pe principalele activităţi economice </w:t>
      </w:r>
    </w:p>
    <w:tbl>
      <w:tblPr>
        <w:tblW w:w="9621"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3"/>
        <w:gridCol w:w="1288"/>
        <w:gridCol w:w="1279"/>
        <w:gridCol w:w="1279"/>
        <w:gridCol w:w="1279"/>
        <w:gridCol w:w="1073"/>
      </w:tblGrid>
      <w:tr w:rsidR="00934C02" w:rsidRPr="00934C02" w:rsidTr="00934C02">
        <w:tc>
          <w:tcPr>
            <w:tcW w:w="3423"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b/>
                <w:sz w:val="24"/>
                <w:szCs w:val="24"/>
              </w:rPr>
            </w:pPr>
            <w:r w:rsidRPr="00934C02">
              <w:rPr>
                <w:rFonts w:ascii="Arial" w:eastAsia="SimSun" w:hAnsi="Arial" w:cs="Arial"/>
                <w:b/>
                <w:sz w:val="24"/>
                <w:szCs w:val="24"/>
              </w:rPr>
              <w:t>Activitatea economică</w:t>
            </w:r>
          </w:p>
        </w:tc>
        <w:tc>
          <w:tcPr>
            <w:tcW w:w="1288"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b/>
                <w:sz w:val="24"/>
                <w:szCs w:val="24"/>
              </w:rPr>
            </w:pPr>
            <w:r w:rsidRPr="00934C02">
              <w:rPr>
                <w:rFonts w:ascii="Arial" w:eastAsia="SimSun" w:hAnsi="Arial" w:cs="Arial"/>
                <w:b/>
                <w:sz w:val="24"/>
                <w:szCs w:val="24"/>
              </w:rPr>
              <w:t>2010</w:t>
            </w:r>
          </w:p>
        </w:tc>
        <w:tc>
          <w:tcPr>
            <w:tcW w:w="127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b/>
                <w:sz w:val="24"/>
                <w:szCs w:val="24"/>
              </w:rPr>
            </w:pPr>
            <w:r w:rsidRPr="00934C02">
              <w:rPr>
                <w:rFonts w:ascii="Arial" w:eastAsia="SimSun" w:hAnsi="Arial" w:cs="Arial"/>
                <w:b/>
                <w:sz w:val="24"/>
                <w:szCs w:val="24"/>
              </w:rPr>
              <w:t>2011</w:t>
            </w:r>
          </w:p>
        </w:tc>
        <w:tc>
          <w:tcPr>
            <w:tcW w:w="127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b/>
                <w:sz w:val="24"/>
                <w:szCs w:val="24"/>
              </w:rPr>
            </w:pPr>
            <w:r w:rsidRPr="00934C02">
              <w:rPr>
                <w:rFonts w:ascii="Arial" w:eastAsia="SimSun" w:hAnsi="Arial" w:cs="Arial"/>
                <w:b/>
                <w:sz w:val="24"/>
                <w:szCs w:val="24"/>
              </w:rPr>
              <w:t>2012</w:t>
            </w:r>
          </w:p>
        </w:tc>
        <w:tc>
          <w:tcPr>
            <w:tcW w:w="127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b/>
                <w:sz w:val="24"/>
                <w:szCs w:val="24"/>
              </w:rPr>
            </w:pPr>
            <w:r w:rsidRPr="00934C02">
              <w:rPr>
                <w:rFonts w:ascii="Arial" w:eastAsia="SimSun" w:hAnsi="Arial" w:cs="Arial"/>
                <w:b/>
                <w:sz w:val="24"/>
                <w:szCs w:val="24"/>
              </w:rPr>
              <w:t>2013</w:t>
            </w:r>
          </w:p>
        </w:tc>
        <w:tc>
          <w:tcPr>
            <w:tcW w:w="1073"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b/>
                <w:sz w:val="24"/>
                <w:szCs w:val="24"/>
              </w:rPr>
            </w:pPr>
            <w:r w:rsidRPr="00934C02">
              <w:rPr>
                <w:rFonts w:ascii="Arial" w:eastAsia="SimSun" w:hAnsi="Arial" w:cs="Arial"/>
                <w:b/>
                <w:sz w:val="24"/>
                <w:szCs w:val="24"/>
              </w:rPr>
              <w:t>2014</w:t>
            </w:r>
          </w:p>
        </w:tc>
      </w:tr>
      <w:tr w:rsidR="00934C02" w:rsidRPr="00934C02" w:rsidTr="00934C02">
        <w:trPr>
          <w:trHeight w:val="255"/>
        </w:trPr>
        <w:tc>
          <w:tcPr>
            <w:tcW w:w="3423"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Industria prelucrătoare</w:t>
            </w:r>
          </w:p>
        </w:tc>
        <w:tc>
          <w:tcPr>
            <w:tcW w:w="1288"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15.61</w:t>
            </w:r>
          </w:p>
        </w:tc>
        <w:tc>
          <w:tcPr>
            <w:tcW w:w="127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16.97</w:t>
            </w:r>
          </w:p>
        </w:tc>
        <w:tc>
          <w:tcPr>
            <w:tcW w:w="127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hAnsi="Arial" w:cs="Arial"/>
                <w:color w:val="000000"/>
                <w:sz w:val="24"/>
                <w:szCs w:val="24"/>
              </w:rPr>
              <w:t>0.026</w:t>
            </w:r>
          </w:p>
        </w:tc>
        <w:tc>
          <w:tcPr>
            <w:tcW w:w="1279"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0.034</w:t>
            </w:r>
          </w:p>
        </w:tc>
        <w:tc>
          <w:tcPr>
            <w:tcW w:w="1073"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0.028</w:t>
            </w:r>
          </w:p>
        </w:tc>
      </w:tr>
      <w:tr w:rsidR="00934C02" w:rsidRPr="00934C02" w:rsidTr="00934C02">
        <w:tc>
          <w:tcPr>
            <w:tcW w:w="3423"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Producţia,transportul şi distribuţia de energie electrică şi termică, gaze şi apă</w:t>
            </w:r>
          </w:p>
        </w:tc>
        <w:tc>
          <w:tcPr>
            <w:tcW w:w="1288"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0</w:t>
            </w:r>
          </w:p>
        </w:tc>
        <w:tc>
          <w:tcPr>
            <w:tcW w:w="127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0.035</w:t>
            </w:r>
          </w:p>
        </w:tc>
        <w:tc>
          <w:tcPr>
            <w:tcW w:w="127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hAnsi="Arial" w:cs="Arial"/>
                <w:color w:val="000000"/>
                <w:sz w:val="24"/>
                <w:szCs w:val="24"/>
              </w:rPr>
            </w:pPr>
            <w:r w:rsidRPr="00934C02">
              <w:rPr>
                <w:rFonts w:ascii="Arial" w:hAnsi="Arial" w:cs="Arial"/>
                <w:color w:val="000000"/>
                <w:sz w:val="24"/>
                <w:szCs w:val="24"/>
              </w:rPr>
              <w:t>0</w:t>
            </w:r>
          </w:p>
          <w:p w:rsidR="00934C02" w:rsidRPr="00934C02" w:rsidRDefault="00934C02" w:rsidP="00934C02">
            <w:pPr>
              <w:spacing w:after="0" w:line="240" w:lineRule="auto"/>
              <w:rPr>
                <w:rFonts w:ascii="Arial" w:eastAsia="SimSun" w:hAnsi="Arial" w:cs="Arial"/>
                <w:sz w:val="24"/>
                <w:szCs w:val="24"/>
              </w:rPr>
            </w:pPr>
          </w:p>
        </w:tc>
        <w:tc>
          <w:tcPr>
            <w:tcW w:w="1279"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0.022</w:t>
            </w:r>
          </w:p>
        </w:tc>
        <w:tc>
          <w:tcPr>
            <w:tcW w:w="1073"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0.016</w:t>
            </w:r>
          </w:p>
        </w:tc>
      </w:tr>
      <w:tr w:rsidR="00934C02" w:rsidRPr="00934C02" w:rsidTr="00934C02">
        <w:trPr>
          <w:trHeight w:val="645"/>
        </w:trPr>
        <w:tc>
          <w:tcPr>
            <w:tcW w:w="3423"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Captarea, tratarea şi distribuţia apei</w:t>
            </w:r>
          </w:p>
        </w:tc>
        <w:tc>
          <w:tcPr>
            <w:tcW w:w="1288"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0</w:t>
            </w:r>
          </w:p>
        </w:tc>
        <w:tc>
          <w:tcPr>
            <w:tcW w:w="127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0</w:t>
            </w:r>
          </w:p>
        </w:tc>
        <w:tc>
          <w:tcPr>
            <w:tcW w:w="127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hAnsi="Arial" w:cs="Arial"/>
                <w:color w:val="000000"/>
                <w:sz w:val="24"/>
                <w:szCs w:val="24"/>
              </w:rPr>
              <w:t>0.066</w:t>
            </w:r>
          </w:p>
        </w:tc>
        <w:tc>
          <w:tcPr>
            <w:tcW w:w="1279"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0.048</w:t>
            </w:r>
          </w:p>
        </w:tc>
        <w:tc>
          <w:tcPr>
            <w:tcW w:w="1073"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0.051</w:t>
            </w:r>
          </w:p>
        </w:tc>
      </w:tr>
      <w:tr w:rsidR="00934C02" w:rsidRPr="00934C02" w:rsidTr="00934C02">
        <w:trPr>
          <w:trHeight w:val="375"/>
        </w:trPr>
        <w:tc>
          <w:tcPr>
            <w:tcW w:w="3423"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Alte activităţi</w:t>
            </w:r>
          </w:p>
        </w:tc>
        <w:tc>
          <w:tcPr>
            <w:tcW w:w="1288"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 xml:space="preserve">0 </w:t>
            </w:r>
          </w:p>
        </w:tc>
        <w:tc>
          <w:tcPr>
            <w:tcW w:w="127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0</w:t>
            </w:r>
          </w:p>
        </w:tc>
        <w:tc>
          <w:tcPr>
            <w:tcW w:w="127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hAnsi="Arial" w:cs="Arial"/>
                <w:color w:val="000000"/>
                <w:sz w:val="24"/>
                <w:szCs w:val="24"/>
              </w:rPr>
              <w:t>0.002</w:t>
            </w:r>
            <w:r w:rsidRPr="00934C02">
              <w:rPr>
                <w:rFonts w:ascii="Arial" w:eastAsia="SimSun" w:hAnsi="Arial" w:cs="Arial"/>
                <w:sz w:val="24"/>
                <w:szCs w:val="24"/>
              </w:rPr>
              <w:t xml:space="preserve"> </w:t>
            </w:r>
          </w:p>
        </w:tc>
        <w:tc>
          <w:tcPr>
            <w:tcW w:w="1279"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0.003</w:t>
            </w:r>
          </w:p>
        </w:tc>
        <w:tc>
          <w:tcPr>
            <w:tcW w:w="1073"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0.001</w:t>
            </w:r>
          </w:p>
        </w:tc>
      </w:tr>
      <w:tr w:rsidR="00934C02" w:rsidRPr="00934C02" w:rsidTr="00934C02">
        <w:trPr>
          <w:trHeight w:val="300"/>
        </w:trPr>
        <w:tc>
          <w:tcPr>
            <w:tcW w:w="3423"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TOTAL</w:t>
            </w:r>
          </w:p>
        </w:tc>
        <w:tc>
          <w:tcPr>
            <w:tcW w:w="1288"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15.61</w:t>
            </w:r>
          </w:p>
        </w:tc>
        <w:tc>
          <w:tcPr>
            <w:tcW w:w="1279"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17.005</w:t>
            </w:r>
          </w:p>
        </w:tc>
        <w:tc>
          <w:tcPr>
            <w:tcW w:w="127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hAnsi="Arial" w:cs="Arial"/>
                <w:color w:val="000000"/>
                <w:sz w:val="24"/>
                <w:szCs w:val="24"/>
              </w:rPr>
            </w:pPr>
            <w:r w:rsidRPr="00934C02">
              <w:rPr>
                <w:rFonts w:ascii="Arial" w:hAnsi="Arial" w:cs="Arial"/>
                <w:color w:val="000000"/>
                <w:sz w:val="24"/>
                <w:szCs w:val="24"/>
              </w:rPr>
              <w:t>0,094</w:t>
            </w:r>
          </w:p>
        </w:tc>
        <w:tc>
          <w:tcPr>
            <w:tcW w:w="1279"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0.107</w:t>
            </w:r>
          </w:p>
        </w:tc>
        <w:tc>
          <w:tcPr>
            <w:tcW w:w="1073"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rPr>
                <w:rFonts w:ascii="Arial" w:hAnsi="Arial" w:cs="Arial"/>
                <w:color w:val="000000"/>
                <w:sz w:val="24"/>
                <w:szCs w:val="24"/>
              </w:rPr>
            </w:pPr>
            <w:r w:rsidRPr="00934C02">
              <w:rPr>
                <w:rFonts w:ascii="Arial" w:hAnsi="Arial" w:cs="Arial"/>
                <w:color w:val="000000"/>
                <w:sz w:val="24"/>
                <w:szCs w:val="24"/>
              </w:rPr>
              <w:t>0.096</w:t>
            </w:r>
          </w:p>
        </w:tc>
      </w:tr>
    </w:tbl>
    <w:p w:rsidR="00934C02" w:rsidRPr="00934C02" w:rsidRDefault="00934C02" w:rsidP="00934C02">
      <w:pPr>
        <w:spacing w:after="0" w:line="240" w:lineRule="auto"/>
        <w:jc w:val="both"/>
        <w:rPr>
          <w:rFonts w:ascii="Arial" w:eastAsia="Times New Roman" w:hAnsi="Arial" w:cs="Arial"/>
          <w:i/>
          <w:sz w:val="20"/>
          <w:szCs w:val="20"/>
        </w:rPr>
      </w:pPr>
      <w:r w:rsidRPr="00934C02">
        <w:rPr>
          <w:rFonts w:ascii="Arial" w:eastAsia="Times New Roman" w:hAnsi="Arial" w:cs="Arial"/>
          <w:i/>
          <w:sz w:val="20"/>
          <w:szCs w:val="20"/>
        </w:rPr>
        <w:t>Sursa: APM Vaslui – aplicaţiile: MEDIUS şi SD (din SIM),cu date validate de ANPM</w:t>
      </w:r>
    </w:p>
    <w:p w:rsidR="00934C02" w:rsidRPr="00934C02" w:rsidRDefault="00934C02" w:rsidP="00934C02">
      <w:pPr>
        <w:spacing w:after="0" w:line="240" w:lineRule="auto"/>
        <w:rPr>
          <w:rFonts w:ascii="Times New Roman" w:eastAsia="Times New Roman" w:hAnsi="Times New Roman" w:cs="Times New Roman"/>
          <w:b/>
          <w:sz w:val="24"/>
          <w:szCs w:val="24"/>
          <w:lang w:val="ro-RO" w:eastAsia="pl-PL"/>
        </w:rPr>
      </w:pPr>
    </w:p>
    <w:p w:rsidR="00934C02" w:rsidRPr="00934C02" w:rsidRDefault="00934C02" w:rsidP="00934C02">
      <w:pPr>
        <w:spacing w:after="0" w:line="240" w:lineRule="auto"/>
        <w:rPr>
          <w:rFonts w:ascii="Times New Roman" w:eastAsia="Times New Roman" w:hAnsi="Times New Roman" w:cs="Times New Roman"/>
          <w:b/>
          <w:sz w:val="24"/>
          <w:szCs w:val="24"/>
          <w:lang w:val="ro-RO" w:eastAsia="pl-PL"/>
        </w:rPr>
      </w:pPr>
      <w:r w:rsidRPr="00934C02">
        <w:rPr>
          <w:rFonts w:ascii="Times New Roman" w:eastAsia="Times New Roman" w:hAnsi="Times New Roman" w:cs="Times New Roman"/>
          <w:b/>
          <w:sz w:val="24"/>
          <w:szCs w:val="24"/>
          <w:lang w:val="ro-RO" w:eastAsia="pl-PL"/>
        </w:rPr>
        <w:lastRenderedPageBreak/>
        <w:t xml:space="preserve">    </w:t>
      </w:r>
      <w:r w:rsidRPr="00934C02">
        <w:rPr>
          <w:rFonts w:ascii="Times New Roman" w:eastAsia="Times New Roman" w:hAnsi="Times New Roman" w:cs="Times New Roman"/>
          <w:noProof/>
          <w:sz w:val="24"/>
          <w:szCs w:val="24"/>
        </w:rPr>
        <w:drawing>
          <wp:inline distT="0" distB="0" distL="0" distR="0" wp14:anchorId="0F90CA9D" wp14:editId="40B9989D">
            <wp:extent cx="6063615" cy="2394585"/>
            <wp:effectExtent l="0" t="0" r="13335" b="24765"/>
            <wp:docPr id="242" name="Chart 2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934C02" w:rsidRPr="00934C02" w:rsidRDefault="00934C02" w:rsidP="00934C02">
      <w:pPr>
        <w:spacing w:after="0" w:line="240" w:lineRule="auto"/>
        <w:rPr>
          <w:rFonts w:ascii="Arial" w:eastAsia="Times New Roman" w:hAnsi="Arial" w:cs="Arial"/>
          <w:sz w:val="24"/>
          <w:szCs w:val="24"/>
          <w:lang w:val="pl-PL" w:eastAsia="pl-PL"/>
        </w:rPr>
      </w:pPr>
      <w:r w:rsidRPr="00934C02">
        <w:rPr>
          <w:rFonts w:ascii="Times New Roman" w:eastAsia="Times New Roman" w:hAnsi="Times New Roman" w:cs="Arial"/>
          <w:lang w:val="pl-PL" w:eastAsia="pl-PL"/>
        </w:rPr>
        <w:t xml:space="preserve">       </w:t>
      </w:r>
      <w:r w:rsidRPr="00934C02">
        <w:rPr>
          <w:rFonts w:ascii="Arial" w:eastAsia="Times New Roman" w:hAnsi="Arial" w:cs="Arial"/>
          <w:sz w:val="24"/>
          <w:szCs w:val="24"/>
          <w:lang w:val="pl-PL" w:eastAsia="pl-PL"/>
        </w:rPr>
        <w:t>Figura VII.11. Deşeuri nepericuloase generate pe activităţi economice, în anul 2014</w:t>
      </w:r>
    </w:p>
    <w:p w:rsidR="00934C02" w:rsidRPr="00934C02" w:rsidRDefault="00934C02" w:rsidP="00934C02">
      <w:pPr>
        <w:spacing w:after="0" w:line="240" w:lineRule="auto"/>
        <w:rPr>
          <w:rFonts w:ascii="Times New Roman" w:eastAsia="Times New Roman" w:hAnsi="Times New Roman" w:cs="Arial"/>
          <w:i/>
          <w:sz w:val="24"/>
          <w:szCs w:val="24"/>
          <w:lang w:val="it-IT" w:eastAsia="pl-PL"/>
        </w:rPr>
      </w:pPr>
    </w:p>
    <w:p w:rsidR="00934C02" w:rsidRPr="00934C02" w:rsidRDefault="00934C02" w:rsidP="00934C02">
      <w:pPr>
        <w:spacing w:after="0" w:line="240" w:lineRule="auto"/>
        <w:rPr>
          <w:rFonts w:ascii="Arial" w:eastAsia="Times New Roman" w:hAnsi="Arial" w:cs="Arial"/>
          <w:b/>
          <w:i/>
          <w:sz w:val="24"/>
          <w:szCs w:val="24"/>
          <w:lang w:val="pl-PL" w:eastAsia="pl-PL"/>
        </w:rPr>
      </w:pPr>
      <w:r w:rsidRPr="00934C02">
        <w:rPr>
          <w:rFonts w:ascii="Arial" w:eastAsia="Times New Roman" w:hAnsi="Arial" w:cs="Arial"/>
          <w:b/>
          <w:i/>
          <w:sz w:val="24"/>
          <w:szCs w:val="24"/>
          <w:lang w:val="pl-PL" w:eastAsia="pl-PL"/>
        </w:rPr>
        <w:t>Depozitarea deşeurilor de producţie</w:t>
      </w:r>
    </w:p>
    <w:p w:rsidR="00934C02" w:rsidRPr="00934C02" w:rsidRDefault="00934C02" w:rsidP="00934C02">
      <w:pPr>
        <w:spacing w:after="0" w:line="240" w:lineRule="auto"/>
        <w:rPr>
          <w:rFonts w:ascii="Arial" w:eastAsia="Times New Roman" w:hAnsi="Arial" w:cs="Arial"/>
          <w:b/>
          <w:i/>
          <w:sz w:val="24"/>
          <w:szCs w:val="24"/>
          <w:lang w:val="pl-PL" w:eastAsia="pl-PL"/>
        </w:rPr>
      </w:pPr>
    </w:p>
    <w:p w:rsidR="00934C02" w:rsidRPr="00934C02" w:rsidRDefault="00934C02" w:rsidP="00934C02">
      <w:pPr>
        <w:spacing w:after="0" w:line="240" w:lineRule="auto"/>
        <w:jc w:val="both"/>
        <w:rPr>
          <w:rFonts w:ascii="Arial" w:eastAsia="SimSun" w:hAnsi="Arial" w:cs="Arial"/>
          <w:sz w:val="24"/>
          <w:szCs w:val="24"/>
        </w:rPr>
      </w:pPr>
      <w:r w:rsidRPr="00934C02">
        <w:rPr>
          <w:rFonts w:ascii="Arial" w:eastAsia="SimSun" w:hAnsi="Arial" w:cs="Arial"/>
          <w:sz w:val="24"/>
          <w:szCs w:val="24"/>
        </w:rPr>
        <w:t>Tabelul VII.13. Depozite de</w:t>
      </w:r>
      <w:r w:rsidRPr="00934C02">
        <w:rPr>
          <w:rFonts w:ascii="Arial" w:eastAsia="SimSun" w:hAnsi="Arial" w:cs="Arial"/>
          <w:b/>
          <w:sz w:val="24"/>
          <w:szCs w:val="24"/>
        </w:rPr>
        <w:t xml:space="preserve"> </w:t>
      </w:r>
      <w:r w:rsidRPr="00934C02">
        <w:rPr>
          <w:rFonts w:ascii="Arial" w:eastAsia="SimSun" w:hAnsi="Arial" w:cs="Arial"/>
          <w:sz w:val="24"/>
          <w:szCs w:val="24"/>
        </w:rPr>
        <w:t>deşeuri industriale nepericuloase şi periculoase, 2008-2012</w:t>
      </w:r>
    </w:p>
    <w:tbl>
      <w:tblPr>
        <w:tblStyle w:val="TableGrid"/>
        <w:tblW w:w="9072" w:type="dxa"/>
        <w:tblInd w:w="675" w:type="dxa"/>
        <w:tblLayout w:type="fixed"/>
        <w:tblLook w:val="04A0" w:firstRow="1" w:lastRow="0" w:firstColumn="1" w:lastColumn="0" w:noHBand="0" w:noVBand="1"/>
      </w:tblPr>
      <w:tblGrid>
        <w:gridCol w:w="5245"/>
        <w:gridCol w:w="851"/>
        <w:gridCol w:w="708"/>
        <w:gridCol w:w="851"/>
        <w:gridCol w:w="709"/>
        <w:gridCol w:w="708"/>
      </w:tblGrid>
      <w:tr w:rsidR="00934C02" w:rsidRPr="00934C02" w:rsidTr="00934C02">
        <w:tc>
          <w:tcPr>
            <w:tcW w:w="5245"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rPr>
                <w:rFonts w:ascii="Arial" w:hAnsi="Arial" w:cs="Arial"/>
                <w:b/>
                <w:lang w:val="ro-RO" w:eastAsia="pl-PL"/>
              </w:rPr>
            </w:pPr>
          </w:p>
        </w:tc>
        <w:tc>
          <w:tcPr>
            <w:tcW w:w="851"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rPr>
                <w:rFonts w:ascii="Arial" w:hAnsi="Arial" w:cs="Arial"/>
                <w:b/>
                <w:lang w:val="ro-RO" w:eastAsia="pl-PL"/>
              </w:rPr>
            </w:pPr>
            <w:r w:rsidRPr="00934C02">
              <w:rPr>
                <w:rFonts w:ascii="Arial" w:hAnsi="Arial" w:cs="Arial"/>
                <w:b/>
                <w:lang w:val="ro-RO" w:eastAsia="pl-PL"/>
              </w:rPr>
              <w:t>2010</w:t>
            </w:r>
          </w:p>
        </w:tc>
        <w:tc>
          <w:tcPr>
            <w:tcW w:w="708"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rPr>
                <w:rFonts w:ascii="Arial" w:hAnsi="Arial" w:cs="Arial"/>
                <w:b/>
                <w:lang w:val="ro-RO" w:eastAsia="pl-PL"/>
              </w:rPr>
            </w:pPr>
            <w:r w:rsidRPr="00934C02">
              <w:rPr>
                <w:rFonts w:ascii="Arial" w:hAnsi="Arial" w:cs="Arial"/>
                <w:b/>
                <w:lang w:val="ro-RO" w:eastAsia="pl-PL"/>
              </w:rPr>
              <w:t>2011</w:t>
            </w:r>
          </w:p>
        </w:tc>
        <w:tc>
          <w:tcPr>
            <w:tcW w:w="851"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rPr>
                <w:rFonts w:ascii="Arial" w:hAnsi="Arial" w:cs="Arial"/>
                <w:b/>
                <w:lang w:val="ro-RO" w:eastAsia="pl-PL"/>
              </w:rPr>
            </w:pPr>
            <w:r w:rsidRPr="00934C02">
              <w:rPr>
                <w:rFonts w:ascii="Arial" w:hAnsi="Arial" w:cs="Arial"/>
                <w:b/>
                <w:lang w:val="ro-RO" w:eastAsia="pl-PL"/>
              </w:rPr>
              <w:t>2012</w:t>
            </w:r>
          </w:p>
        </w:tc>
        <w:tc>
          <w:tcPr>
            <w:tcW w:w="70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rPr>
                <w:rFonts w:ascii="Arial" w:hAnsi="Arial" w:cs="Arial"/>
                <w:b/>
                <w:lang w:val="ro-RO" w:eastAsia="pl-PL"/>
              </w:rPr>
            </w:pPr>
            <w:r w:rsidRPr="00934C02">
              <w:rPr>
                <w:rFonts w:ascii="Arial" w:hAnsi="Arial" w:cs="Arial"/>
                <w:b/>
                <w:lang w:val="ro-RO" w:eastAsia="pl-PL"/>
              </w:rPr>
              <w:t>2013</w:t>
            </w:r>
          </w:p>
        </w:tc>
        <w:tc>
          <w:tcPr>
            <w:tcW w:w="708"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rPr>
                <w:rFonts w:ascii="Arial" w:hAnsi="Arial" w:cs="Arial"/>
                <w:b/>
                <w:lang w:val="ro-RO" w:eastAsia="pl-PL"/>
              </w:rPr>
            </w:pPr>
            <w:r w:rsidRPr="00934C02">
              <w:rPr>
                <w:rFonts w:ascii="Arial" w:hAnsi="Arial" w:cs="Arial"/>
                <w:b/>
                <w:lang w:val="ro-RO" w:eastAsia="pl-PL"/>
              </w:rPr>
              <w:t>2014</w:t>
            </w:r>
          </w:p>
        </w:tc>
      </w:tr>
      <w:tr w:rsidR="00934C02" w:rsidRPr="00934C02" w:rsidTr="00934C02">
        <w:trPr>
          <w:trHeight w:val="261"/>
        </w:trPr>
        <w:tc>
          <w:tcPr>
            <w:tcW w:w="5245"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rPr>
                <w:rFonts w:ascii="Arial" w:hAnsi="Arial" w:cs="Arial"/>
                <w:lang w:val="ro-RO" w:eastAsia="pl-PL"/>
              </w:rPr>
            </w:pPr>
            <w:r w:rsidRPr="00934C02">
              <w:rPr>
                <w:rFonts w:ascii="Arial" w:hAnsi="Arial" w:cs="Arial"/>
                <w:lang w:val="ro-RO" w:eastAsia="pl-PL"/>
              </w:rPr>
              <w:t>Depozite de deşeuri  industriale nepericuloase  din care:</w:t>
            </w:r>
          </w:p>
        </w:tc>
        <w:tc>
          <w:tcPr>
            <w:tcW w:w="851"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jc w:val="center"/>
              <w:rPr>
                <w:rFonts w:ascii="Arial" w:hAnsi="Arial" w:cs="Arial"/>
                <w:lang w:val="ro-RO" w:eastAsia="pl-PL"/>
              </w:rPr>
            </w:pPr>
            <w:r w:rsidRPr="00934C02">
              <w:rPr>
                <w:rFonts w:ascii="Arial" w:hAnsi="Arial" w:cs="Arial"/>
                <w:lang w:val="ro-RO" w:eastAsia="pl-PL"/>
              </w:rPr>
              <w:t>0</w:t>
            </w:r>
          </w:p>
        </w:tc>
        <w:tc>
          <w:tcPr>
            <w:tcW w:w="708"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jc w:val="center"/>
              <w:rPr>
                <w:rFonts w:ascii="Arial" w:hAnsi="Arial" w:cs="Arial"/>
                <w:lang w:val="ro-RO" w:eastAsia="pl-PL"/>
              </w:rPr>
            </w:pPr>
            <w:r w:rsidRPr="00934C02">
              <w:rPr>
                <w:rFonts w:ascii="Arial" w:hAnsi="Arial" w:cs="Arial"/>
                <w:lang w:val="ro-RO" w:eastAsia="pl-PL"/>
              </w:rPr>
              <w:t>0</w:t>
            </w:r>
          </w:p>
        </w:tc>
        <w:tc>
          <w:tcPr>
            <w:tcW w:w="851"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jc w:val="center"/>
              <w:rPr>
                <w:rFonts w:ascii="Arial" w:hAnsi="Arial" w:cs="Arial"/>
                <w:lang w:val="ro-RO" w:eastAsia="pl-PL"/>
              </w:rPr>
            </w:pPr>
            <w:r w:rsidRPr="00934C02">
              <w:rPr>
                <w:rFonts w:ascii="Arial" w:hAnsi="Arial" w:cs="Arial"/>
                <w:lang w:val="ro-RO" w:eastAsia="pl-PL"/>
              </w:rPr>
              <w:t>0</w:t>
            </w:r>
          </w:p>
        </w:tc>
        <w:tc>
          <w:tcPr>
            <w:tcW w:w="70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jc w:val="center"/>
              <w:rPr>
                <w:rFonts w:ascii="Arial" w:hAnsi="Arial" w:cs="Arial"/>
                <w:lang w:val="ro-RO" w:eastAsia="pl-PL"/>
              </w:rPr>
            </w:pPr>
            <w:r w:rsidRPr="00934C02">
              <w:rPr>
                <w:rFonts w:ascii="Arial" w:hAnsi="Arial" w:cs="Arial"/>
                <w:lang w:val="ro-RO" w:eastAsia="pl-PL"/>
              </w:rPr>
              <w:t>0</w:t>
            </w:r>
          </w:p>
        </w:tc>
        <w:tc>
          <w:tcPr>
            <w:tcW w:w="708"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jc w:val="center"/>
              <w:rPr>
                <w:rFonts w:ascii="Arial" w:hAnsi="Arial" w:cs="Arial"/>
                <w:lang w:val="ro-RO" w:eastAsia="pl-PL"/>
              </w:rPr>
            </w:pPr>
            <w:r w:rsidRPr="00934C02">
              <w:rPr>
                <w:rFonts w:ascii="Arial" w:hAnsi="Arial" w:cs="Arial"/>
                <w:lang w:val="ro-RO" w:eastAsia="pl-PL"/>
              </w:rPr>
              <w:t>0</w:t>
            </w:r>
          </w:p>
        </w:tc>
      </w:tr>
      <w:tr w:rsidR="00934C02" w:rsidRPr="00934C02" w:rsidTr="00934C02">
        <w:trPr>
          <w:trHeight w:val="369"/>
        </w:trPr>
        <w:tc>
          <w:tcPr>
            <w:tcW w:w="5245" w:type="dxa"/>
            <w:tcBorders>
              <w:top w:val="single" w:sz="4" w:space="0" w:color="auto"/>
              <w:left w:val="single" w:sz="4" w:space="0" w:color="auto"/>
              <w:bottom w:val="single" w:sz="4" w:space="0" w:color="auto"/>
              <w:right w:val="single" w:sz="4" w:space="0" w:color="auto"/>
            </w:tcBorders>
            <w:hideMark/>
          </w:tcPr>
          <w:p w:rsidR="00934C02" w:rsidRPr="00934C02" w:rsidRDefault="00934C02" w:rsidP="005910C7">
            <w:pPr>
              <w:numPr>
                <w:ilvl w:val="0"/>
                <w:numId w:val="17"/>
              </w:numPr>
              <w:contextualSpacing/>
              <w:rPr>
                <w:rFonts w:ascii="Arial" w:hAnsi="Arial" w:cs="Arial"/>
                <w:lang w:val="ro-RO" w:eastAsia="pl-PL"/>
              </w:rPr>
            </w:pPr>
            <w:r w:rsidRPr="00934C02">
              <w:rPr>
                <w:rFonts w:ascii="Arial" w:hAnsi="Arial" w:cs="Arial"/>
                <w:lang w:val="ro-RO" w:eastAsia="pl-PL"/>
              </w:rPr>
              <w:t>conforme</w:t>
            </w:r>
          </w:p>
        </w:tc>
        <w:tc>
          <w:tcPr>
            <w:tcW w:w="851"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jc w:val="center"/>
              <w:rPr>
                <w:rFonts w:ascii="Arial" w:hAnsi="Arial" w:cs="Arial"/>
                <w:lang w:val="ro-RO" w:eastAsia="pl-PL"/>
              </w:rPr>
            </w:pPr>
            <w:r w:rsidRPr="00934C02">
              <w:rPr>
                <w:rFonts w:ascii="Arial" w:hAnsi="Arial" w:cs="Arial"/>
                <w:lang w:val="ro-RO" w:eastAsia="pl-PL"/>
              </w:rPr>
              <w:t>0</w:t>
            </w:r>
          </w:p>
        </w:tc>
        <w:tc>
          <w:tcPr>
            <w:tcW w:w="708"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jc w:val="center"/>
              <w:rPr>
                <w:rFonts w:ascii="Arial" w:hAnsi="Arial" w:cs="Arial"/>
                <w:lang w:val="ro-RO" w:eastAsia="pl-PL"/>
              </w:rPr>
            </w:pPr>
            <w:r w:rsidRPr="00934C02">
              <w:rPr>
                <w:rFonts w:ascii="Arial" w:hAnsi="Arial" w:cs="Arial"/>
                <w:lang w:val="ro-RO" w:eastAsia="pl-PL"/>
              </w:rPr>
              <w:t>0</w:t>
            </w:r>
          </w:p>
        </w:tc>
        <w:tc>
          <w:tcPr>
            <w:tcW w:w="851"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jc w:val="center"/>
              <w:rPr>
                <w:rFonts w:ascii="Arial" w:hAnsi="Arial" w:cs="Arial"/>
                <w:lang w:val="ro-RO" w:eastAsia="pl-PL"/>
              </w:rPr>
            </w:pPr>
            <w:r w:rsidRPr="00934C02">
              <w:rPr>
                <w:rFonts w:ascii="Arial" w:hAnsi="Arial" w:cs="Arial"/>
                <w:lang w:val="ro-RO" w:eastAsia="pl-PL"/>
              </w:rPr>
              <w:t>0</w:t>
            </w:r>
          </w:p>
        </w:tc>
        <w:tc>
          <w:tcPr>
            <w:tcW w:w="70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jc w:val="center"/>
              <w:rPr>
                <w:rFonts w:ascii="Arial" w:hAnsi="Arial" w:cs="Arial"/>
                <w:lang w:val="ro-RO" w:eastAsia="pl-PL"/>
              </w:rPr>
            </w:pPr>
            <w:r w:rsidRPr="00934C02">
              <w:rPr>
                <w:rFonts w:ascii="Arial" w:hAnsi="Arial" w:cs="Arial"/>
                <w:lang w:val="ro-RO" w:eastAsia="pl-PL"/>
              </w:rPr>
              <w:t>0</w:t>
            </w:r>
          </w:p>
        </w:tc>
        <w:tc>
          <w:tcPr>
            <w:tcW w:w="708"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jc w:val="center"/>
              <w:rPr>
                <w:rFonts w:ascii="Arial" w:hAnsi="Arial" w:cs="Arial"/>
                <w:lang w:val="ro-RO" w:eastAsia="pl-PL"/>
              </w:rPr>
            </w:pPr>
            <w:r w:rsidRPr="00934C02">
              <w:rPr>
                <w:rFonts w:ascii="Arial" w:hAnsi="Arial" w:cs="Arial"/>
                <w:lang w:val="ro-RO" w:eastAsia="pl-PL"/>
              </w:rPr>
              <w:t>0</w:t>
            </w:r>
          </w:p>
        </w:tc>
      </w:tr>
      <w:tr w:rsidR="00934C02" w:rsidRPr="00934C02" w:rsidTr="00934C02">
        <w:trPr>
          <w:trHeight w:val="305"/>
        </w:trPr>
        <w:tc>
          <w:tcPr>
            <w:tcW w:w="5245"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rPr>
                <w:rFonts w:ascii="Arial" w:hAnsi="Arial" w:cs="Arial"/>
                <w:lang w:val="ro-RO" w:eastAsia="pl-PL"/>
              </w:rPr>
            </w:pPr>
            <w:r w:rsidRPr="00934C02">
              <w:rPr>
                <w:rFonts w:ascii="Arial" w:hAnsi="Arial" w:cs="Arial"/>
                <w:lang w:val="ro-RO" w:eastAsia="pl-PL"/>
              </w:rPr>
              <w:t>Depozite de deşeuri  industriale periculoase  din care:</w:t>
            </w:r>
          </w:p>
        </w:tc>
        <w:tc>
          <w:tcPr>
            <w:tcW w:w="851"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jc w:val="center"/>
              <w:rPr>
                <w:rFonts w:ascii="Arial" w:hAnsi="Arial" w:cs="Arial"/>
                <w:lang w:val="ro-RO" w:eastAsia="pl-PL"/>
              </w:rPr>
            </w:pPr>
            <w:r w:rsidRPr="00934C02">
              <w:rPr>
                <w:rFonts w:ascii="Arial" w:hAnsi="Arial" w:cs="Arial"/>
                <w:lang w:val="ro-RO" w:eastAsia="pl-PL"/>
              </w:rPr>
              <w:t>1</w:t>
            </w:r>
          </w:p>
        </w:tc>
        <w:tc>
          <w:tcPr>
            <w:tcW w:w="708"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jc w:val="center"/>
              <w:rPr>
                <w:rFonts w:ascii="Arial" w:hAnsi="Arial" w:cs="Arial"/>
                <w:lang w:val="ro-RO" w:eastAsia="pl-PL"/>
              </w:rPr>
            </w:pPr>
            <w:r w:rsidRPr="00934C02">
              <w:rPr>
                <w:rFonts w:ascii="Arial" w:hAnsi="Arial" w:cs="Arial"/>
                <w:lang w:val="ro-RO" w:eastAsia="pl-PL"/>
              </w:rPr>
              <w:t>1</w:t>
            </w:r>
          </w:p>
        </w:tc>
        <w:tc>
          <w:tcPr>
            <w:tcW w:w="851"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jc w:val="center"/>
              <w:rPr>
                <w:rFonts w:ascii="Arial" w:hAnsi="Arial" w:cs="Arial"/>
                <w:lang w:val="ro-RO" w:eastAsia="pl-PL"/>
              </w:rPr>
            </w:pPr>
            <w:r w:rsidRPr="00934C02">
              <w:rPr>
                <w:rFonts w:ascii="Arial" w:hAnsi="Arial" w:cs="Arial"/>
                <w:lang w:val="ro-RO" w:eastAsia="pl-PL"/>
              </w:rPr>
              <w:t>1</w:t>
            </w:r>
          </w:p>
        </w:tc>
        <w:tc>
          <w:tcPr>
            <w:tcW w:w="70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jc w:val="center"/>
              <w:rPr>
                <w:rFonts w:ascii="Arial" w:hAnsi="Arial" w:cs="Arial"/>
                <w:lang w:val="ro-RO" w:eastAsia="pl-PL"/>
              </w:rPr>
            </w:pPr>
            <w:r w:rsidRPr="00934C02">
              <w:rPr>
                <w:rFonts w:ascii="Arial" w:hAnsi="Arial" w:cs="Arial"/>
                <w:lang w:val="ro-RO" w:eastAsia="pl-PL"/>
              </w:rPr>
              <w:t>1</w:t>
            </w:r>
          </w:p>
        </w:tc>
        <w:tc>
          <w:tcPr>
            <w:tcW w:w="708"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jc w:val="center"/>
              <w:rPr>
                <w:rFonts w:ascii="Arial" w:hAnsi="Arial" w:cs="Arial"/>
                <w:lang w:val="ro-RO" w:eastAsia="pl-PL"/>
              </w:rPr>
            </w:pPr>
            <w:r w:rsidRPr="00934C02">
              <w:rPr>
                <w:rFonts w:ascii="Arial" w:hAnsi="Arial" w:cs="Arial"/>
                <w:lang w:val="ro-RO" w:eastAsia="pl-PL"/>
              </w:rPr>
              <w:t>1</w:t>
            </w:r>
          </w:p>
        </w:tc>
      </w:tr>
      <w:tr w:rsidR="00934C02" w:rsidRPr="00934C02" w:rsidTr="00934C02">
        <w:trPr>
          <w:trHeight w:val="185"/>
        </w:trPr>
        <w:tc>
          <w:tcPr>
            <w:tcW w:w="5245" w:type="dxa"/>
            <w:tcBorders>
              <w:top w:val="single" w:sz="4" w:space="0" w:color="auto"/>
              <w:left w:val="single" w:sz="4" w:space="0" w:color="auto"/>
              <w:bottom w:val="single" w:sz="4" w:space="0" w:color="auto"/>
              <w:right w:val="single" w:sz="4" w:space="0" w:color="auto"/>
            </w:tcBorders>
            <w:hideMark/>
          </w:tcPr>
          <w:p w:rsidR="00934C02" w:rsidRPr="00934C02" w:rsidRDefault="00934C02" w:rsidP="005910C7">
            <w:pPr>
              <w:numPr>
                <w:ilvl w:val="0"/>
                <w:numId w:val="17"/>
              </w:numPr>
              <w:contextualSpacing/>
              <w:rPr>
                <w:rFonts w:ascii="Arial" w:hAnsi="Arial" w:cs="Arial"/>
                <w:lang w:val="ro-RO" w:eastAsia="pl-PL"/>
              </w:rPr>
            </w:pPr>
            <w:r w:rsidRPr="00934C02">
              <w:rPr>
                <w:rFonts w:ascii="Arial" w:hAnsi="Arial" w:cs="Arial"/>
                <w:lang w:val="ro-RO" w:eastAsia="pl-PL"/>
              </w:rPr>
              <w:t>conforme</w:t>
            </w:r>
          </w:p>
        </w:tc>
        <w:tc>
          <w:tcPr>
            <w:tcW w:w="851"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jc w:val="center"/>
              <w:rPr>
                <w:rFonts w:ascii="Arial" w:hAnsi="Arial" w:cs="Arial"/>
                <w:lang w:val="ro-RO" w:eastAsia="pl-PL"/>
              </w:rPr>
            </w:pPr>
            <w:r w:rsidRPr="00934C02">
              <w:rPr>
                <w:rFonts w:ascii="Arial" w:hAnsi="Arial" w:cs="Arial"/>
                <w:lang w:val="ro-RO" w:eastAsia="pl-PL"/>
              </w:rPr>
              <w:t>1</w:t>
            </w:r>
          </w:p>
        </w:tc>
        <w:tc>
          <w:tcPr>
            <w:tcW w:w="708"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jc w:val="center"/>
              <w:rPr>
                <w:rFonts w:ascii="Arial" w:hAnsi="Arial" w:cs="Arial"/>
                <w:lang w:val="ro-RO" w:eastAsia="pl-PL"/>
              </w:rPr>
            </w:pPr>
            <w:r w:rsidRPr="00934C02">
              <w:rPr>
                <w:rFonts w:ascii="Arial" w:hAnsi="Arial" w:cs="Arial"/>
                <w:lang w:val="ro-RO" w:eastAsia="pl-PL"/>
              </w:rPr>
              <w:t>1</w:t>
            </w:r>
          </w:p>
        </w:tc>
        <w:tc>
          <w:tcPr>
            <w:tcW w:w="851"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jc w:val="center"/>
              <w:rPr>
                <w:rFonts w:ascii="Arial" w:hAnsi="Arial" w:cs="Arial"/>
                <w:lang w:val="ro-RO" w:eastAsia="pl-PL"/>
              </w:rPr>
            </w:pPr>
            <w:r w:rsidRPr="00934C02">
              <w:rPr>
                <w:rFonts w:ascii="Arial" w:hAnsi="Arial" w:cs="Arial"/>
                <w:lang w:val="ro-RO" w:eastAsia="pl-PL"/>
              </w:rPr>
              <w:t>1</w:t>
            </w:r>
          </w:p>
        </w:tc>
        <w:tc>
          <w:tcPr>
            <w:tcW w:w="70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jc w:val="center"/>
              <w:rPr>
                <w:rFonts w:ascii="Arial" w:hAnsi="Arial" w:cs="Arial"/>
                <w:lang w:val="ro-RO" w:eastAsia="pl-PL"/>
              </w:rPr>
            </w:pPr>
            <w:r w:rsidRPr="00934C02">
              <w:rPr>
                <w:rFonts w:ascii="Arial" w:hAnsi="Arial" w:cs="Arial"/>
                <w:lang w:val="ro-RO" w:eastAsia="pl-PL"/>
              </w:rPr>
              <w:t>1</w:t>
            </w:r>
          </w:p>
        </w:tc>
        <w:tc>
          <w:tcPr>
            <w:tcW w:w="708"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jc w:val="center"/>
              <w:rPr>
                <w:rFonts w:ascii="Arial" w:hAnsi="Arial" w:cs="Arial"/>
                <w:lang w:val="ro-RO" w:eastAsia="pl-PL"/>
              </w:rPr>
            </w:pPr>
            <w:r w:rsidRPr="00934C02">
              <w:rPr>
                <w:rFonts w:ascii="Arial" w:hAnsi="Arial" w:cs="Arial"/>
                <w:lang w:val="ro-RO" w:eastAsia="pl-PL"/>
              </w:rPr>
              <w:t>1</w:t>
            </w:r>
          </w:p>
        </w:tc>
      </w:tr>
    </w:tbl>
    <w:p w:rsidR="00934C02" w:rsidRPr="00934C02" w:rsidRDefault="00934C02" w:rsidP="00934C02">
      <w:pPr>
        <w:spacing w:after="0" w:line="240" w:lineRule="auto"/>
        <w:rPr>
          <w:rFonts w:ascii="Arial" w:eastAsia="Times New Roman" w:hAnsi="Arial" w:cs="Arial"/>
          <w:b/>
          <w:i/>
          <w:sz w:val="24"/>
          <w:szCs w:val="24"/>
          <w:lang w:val="ro-RO" w:eastAsia="pl-PL"/>
        </w:rPr>
      </w:pPr>
    </w:p>
    <w:p w:rsidR="00934C02" w:rsidRPr="00934C02" w:rsidRDefault="00934C02" w:rsidP="00934C02">
      <w:pPr>
        <w:spacing w:after="0" w:line="240" w:lineRule="auto"/>
        <w:rPr>
          <w:rFonts w:ascii="Arial" w:eastAsia="Times New Roman" w:hAnsi="Arial" w:cs="Arial"/>
          <w:b/>
          <w:i/>
          <w:sz w:val="24"/>
          <w:szCs w:val="24"/>
          <w:lang w:val="ro-RO" w:eastAsia="pl-PL"/>
        </w:rPr>
      </w:pPr>
      <w:r w:rsidRPr="00934C02">
        <w:rPr>
          <w:rFonts w:ascii="Arial" w:eastAsia="Times New Roman" w:hAnsi="Arial" w:cs="Arial"/>
          <w:b/>
          <w:i/>
          <w:sz w:val="24"/>
          <w:szCs w:val="24"/>
          <w:lang w:val="ro-RO" w:eastAsia="pl-PL"/>
        </w:rPr>
        <w:t>Incinerarea deşeurilor de producţie</w:t>
      </w:r>
    </w:p>
    <w:p w:rsidR="00934C02" w:rsidRPr="00934C02" w:rsidRDefault="00934C02" w:rsidP="00934C02">
      <w:pPr>
        <w:spacing w:after="0" w:line="240" w:lineRule="auto"/>
        <w:ind w:firstLine="360"/>
        <w:rPr>
          <w:rFonts w:ascii="Arial" w:eastAsia="Times New Roman" w:hAnsi="Arial" w:cs="Arial"/>
          <w:b/>
          <w:sz w:val="24"/>
          <w:szCs w:val="24"/>
          <w:lang w:val="ro-RO" w:eastAsia="pl-PL"/>
        </w:rPr>
      </w:pPr>
    </w:p>
    <w:p w:rsidR="00934C02" w:rsidRPr="00934C02" w:rsidRDefault="00934C02" w:rsidP="00934C02">
      <w:pPr>
        <w:spacing w:after="0" w:line="240" w:lineRule="auto"/>
        <w:rPr>
          <w:rFonts w:ascii="Arial" w:hAnsi="Arial" w:cs="Arial"/>
          <w:sz w:val="24"/>
          <w:szCs w:val="24"/>
          <w:lang w:val="ro-RO"/>
        </w:rPr>
      </w:pPr>
      <w:r w:rsidRPr="00934C02">
        <w:rPr>
          <w:rFonts w:ascii="Arial" w:hAnsi="Arial" w:cs="Arial"/>
          <w:sz w:val="24"/>
          <w:szCs w:val="24"/>
          <w:lang w:val="it-IT"/>
        </w:rPr>
        <w:t xml:space="preserve">     În judeţul Vaslui, în anul 2014, o serie de agenţi economici şi-au incinerat deşeurile produse în centralele/incineratoarele proprii:</w:t>
      </w:r>
    </w:p>
    <w:p w:rsidR="00934C02" w:rsidRPr="00934C02" w:rsidRDefault="00934C02" w:rsidP="00934C02">
      <w:pPr>
        <w:spacing w:after="0" w:line="240" w:lineRule="auto"/>
        <w:ind w:left="567" w:hanging="567"/>
        <w:jc w:val="both"/>
        <w:rPr>
          <w:rFonts w:ascii="Arial" w:hAnsi="Arial" w:cs="Arial"/>
          <w:sz w:val="24"/>
          <w:szCs w:val="24"/>
          <w:lang w:val="it-IT"/>
        </w:rPr>
      </w:pPr>
      <w:r w:rsidRPr="00934C02">
        <w:rPr>
          <w:rFonts w:ascii="Arial" w:hAnsi="Arial" w:cs="Arial"/>
          <w:sz w:val="24"/>
          <w:szCs w:val="24"/>
          <w:lang w:val="it-IT"/>
        </w:rPr>
        <w:t xml:space="preserve">    - S.C. CANTEMIR S.A.HUŞI, unitate care produce mobilă, a incinerat în anul 2014, în centralele proprii, deşeuri lemnoase-756 tone-  cod 03 01 05;</w:t>
      </w:r>
    </w:p>
    <w:p w:rsidR="00934C02" w:rsidRPr="00934C02" w:rsidRDefault="00934C02" w:rsidP="00934C02">
      <w:pPr>
        <w:spacing w:after="0" w:line="240" w:lineRule="auto"/>
        <w:ind w:left="567" w:hanging="567"/>
        <w:jc w:val="both"/>
        <w:rPr>
          <w:rFonts w:ascii="Arial" w:hAnsi="Arial" w:cs="Arial"/>
          <w:sz w:val="24"/>
          <w:szCs w:val="24"/>
          <w:lang w:val="it-IT"/>
        </w:rPr>
      </w:pPr>
      <w:r w:rsidRPr="00934C02">
        <w:rPr>
          <w:rFonts w:ascii="Arial" w:hAnsi="Arial" w:cs="Arial"/>
          <w:b/>
          <w:sz w:val="24"/>
          <w:szCs w:val="24"/>
          <w:lang w:val="it-IT"/>
        </w:rPr>
        <w:t xml:space="preserve">   - </w:t>
      </w:r>
      <w:r w:rsidRPr="00934C02">
        <w:rPr>
          <w:rFonts w:ascii="Arial" w:hAnsi="Arial" w:cs="Arial"/>
          <w:sz w:val="24"/>
          <w:szCs w:val="24"/>
          <w:lang w:val="it-IT"/>
        </w:rPr>
        <w:t>S.C. MOBILA SA BÂRLAD- a incinerat în centrala proprie, în anul 2014 deşeuri lemnoase -1,6 tone ( talaş, aşchii, rumeguş, resturi de scânduri-cod 03 01 05);</w:t>
      </w:r>
    </w:p>
    <w:p w:rsidR="00934C02" w:rsidRPr="00934C02" w:rsidRDefault="00934C02" w:rsidP="00934C02">
      <w:pPr>
        <w:spacing w:after="0" w:line="240" w:lineRule="auto"/>
        <w:ind w:left="426" w:hanging="426"/>
        <w:jc w:val="both"/>
        <w:rPr>
          <w:rFonts w:ascii="Arial" w:hAnsi="Arial" w:cs="Arial"/>
          <w:sz w:val="24"/>
          <w:szCs w:val="24"/>
          <w:lang w:val="it-IT"/>
        </w:rPr>
      </w:pPr>
      <w:r w:rsidRPr="00934C02">
        <w:rPr>
          <w:rFonts w:ascii="Arial" w:hAnsi="Arial" w:cs="Arial"/>
          <w:sz w:val="24"/>
          <w:szCs w:val="24"/>
          <w:lang w:val="it-IT"/>
        </w:rPr>
        <w:t xml:space="preserve">  - S.C.ULEROM S.A Vaslui - în centrala proprie incinerează coji de seminţe (cod 02 01 03)-3093  tone;</w:t>
      </w:r>
    </w:p>
    <w:p w:rsidR="00934C02" w:rsidRPr="00934C02" w:rsidRDefault="00934C02" w:rsidP="00934C02">
      <w:pPr>
        <w:spacing w:after="0" w:line="240" w:lineRule="auto"/>
        <w:ind w:left="567" w:hanging="567"/>
        <w:jc w:val="both"/>
        <w:rPr>
          <w:rFonts w:ascii="Arial" w:hAnsi="Arial" w:cs="Arial"/>
          <w:sz w:val="24"/>
          <w:szCs w:val="24"/>
          <w:lang w:val="it-IT"/>
        </w:rPr>
      </w:pPr>
      <w:r w:rsidRPr="00934C02">
        <w:rPr>
          <w:rFonts w:ascii="Arial" w:hAnsi="Arial" w:cs="Arial"/>
          <w:sz w:val="24"/>
          <w:szCs w:val="24"/>
          <w:lang w:val="it-IT"/>
        </w:rPr>
        <w:t xml:space="preserve">  - S.C. MÂNDRA S.A. BÂRLAD - în centrala proprie incinerează coji de seminţe (cod 02 03 04) -42,36 tone;</w:t>
      </w:r>
    </w:p>
    <w:p w:rsidR="00934C02" w:rsidRPr="00934C02" w:rsidRDefault="00934C02" w:rsidP="00934C02">
      <w:pPr>
        <w:autoSpaceDE w:val="0"/>
        <w:autoSpaceDN w:val="0"/>
        <w:adjustRightInd w:val="0"/>
        <w:spacing w:after="0" w:line="240" w:lineRule="auto"/>
        <w:ind w:left="567" w:hanging="567"/>
        <w:rPr>
          <w:rFonts w:ascii="Arial" w:hAnsi="Arial" w:cs="Arial"/>
          <w:sz w:val="24"/>
          <w:szCs w:val="24"/>
        </w:rPr>
      </w:pPr>
      <w:r w:rsidRPr="00934C02">
        <w:rPr>
          <w:rFonts w:ascii="Arial" w:hAnsi="Arial" w:cs="Arial"/>
          <w:sz w:val="24"/>
          <w:szCs w:val="24"/>
          <w:lang w:val="it-IT"/>
        </w:rPr>
        <w:t xml:space="preserve">  - SC SAFIR SRL-FABRICA DE FĂINURI PROTEICE ŞI INCINERATOR – a incinerat  </w:t>
      </w:r>
      <w:r w:rsidRPr="00934C02">
        <w:rPr>
          <w:rFonts w:ascii="Arial" w:hAnsi="Arial" w:cs="Arial"/>
          <w:sz w:val="24"/>
          <w:szCs w:val="24"/>
        </w:rPr>
        <w:t>deşeuri de ţesuturi animale (cod 02 01 02)- 24,062 tone</w:t>
      </w:r>
    </w:p>
    <w:p w:rsidR="00934C02" w:rsidRPr="00934C02" w:rsidRDefault="00934C02" w:rsidP="00934C02">
      <w:pPr>
        <w:autoSpaceDE w:val="0"/>
        <w:autoSpaceDN w:val="0"/>
        <w:adjustRightInd w:val="0"/>
        <w:spacing w:after="0" w:line="240" w:lineRule="auto"/>
        <w:rPr>
          <w:rFonts w:ascii="Arial" w:hAnsi="Arial" w:cs="Arial"/>
          <w:sz w:val="24"/>
          <w:szCs w:val="24"/>
        </w:rPr>
      </w:pPr>
      <w:r w:rsidRPr="00934C02">
        <w:rPr>
          <w:rFonts w:ascii="Arial" w:hAnsi="Arial" w:cs="Arial"/>
          <w:sz w:val="24"/>
          <w:szCs w:val="24"/>
        </w:rPr>
        <w:t xml:space="preserve">- SC Fleischparty SRL- </w:t>
      </w:r>
      <w:r w:rsidRPr="00934C02">
        <w:rPr>
          <w:rFonts w:ascii="Arial" w:hAnsi="Arial" w:cs="Arial"/>
          <w:sz w:val="24"/>
          <w:szCs w:val="24"/>
          <w:lang w:val="it-IT"/>
        </w:rPr>
        <w:t xml:space="preserve">a incinerat  </w:t>
      </w:r>
      <w:r w:rsidRPr="00934C02">
        <w:rPr>
          <w:rFonts w:ascii="Arial" w:hAnsi="Arial" w:cs="Arial"/>
          <w:sz w:val="24"/>
          <w:szCs w:val="24"/>
        </w:rPr>
        <w:t>deşeuri de ţesuturi animale ( cod 02 02 02)-42 tone;</w:t>
      </w:r>
    </w:p>
    <w:p w:rsidR="00934C02" w:rsidRPr="00934C02" w:rsidRDefault="00934C02" w:rsidP="00934C02">
      <w:pPr>
        <w:autoSpaceDE w:val="0"/>
        <w:autoSpaceDN w:val="0"/>
        <w:adjustRightInd w:val="0"/>
        <w:spacing w:after="0" w:line="240" w:lineRule="auto"/>
        <w:rPr>
          <w:rFonts w:ascii="Arial" w:hAnsi="Arial" w:cs="Arial"/>
          <w:sz w:val="24"/>
          <w:szCs w:val="24"/>
        </w:rPr>
      </w:pPr>
      <w:r w:rsidRPr="00934C02">
        <w:rPr>
          <w:rFonts w:ascii="Arial" w:hAnsi="Arial" w:cs="Arial"/>
          <w:sz w:val="24"/>
          <w:szCs w:val="24"/>
        </w:rPr>
        <w:t xml:space="preserve">  - SC VASCAR SA-</w:t>
      </w:r>
      <w:r w:rsidRPr="00934C02">
        <w:rPr>
          <w:rFonts w:ascii="Arial" w:hAnsi="Arial" w:cs="Arial"/>
          <w:sz w:val="24"/>
          <w:szCs w:val="24"/>
          <w:lang w:val="it-IT"/>
        </w:rPr>
        <w:t xml:space="preserve"> a incinerat  </w:t>
      </w:r>
      <w:r w:rsidRPr="00934C02">
        <w:rPr>
          <w:rFonts w:ascii="Arial" w:hAnsi="Arial" w:cs="Arial"/>
          <w:sz w:val="24"/>
          <w:szCs w:val="24"/>
        </w:rPr>
        <w:t>deşeuri de ţesuturi animale ( cod 02 02 02)-32,204 tone;</w:t>
      </w:r>
    </w:p>
    <w:p w:rsidR="00934C02" w:rsidRPr="00934C02" w:rsidRDefault="00934C02" w:rsidP="00934C02">
      <w:pPr>
        <w:autoSpaceDE w:val="0"/>
        <w:autoSpaceDN w:val="0"/>
        <w:adjustRightInd w:val="0"/>
        <w:spacing w:after="0" w:line="240" w:lineRule="auto"/>
        <w:rPr>
          <w:rFonts w:ascii="Arial" w:hAnsi="Arial" w:cs="Arial"/>
          <w:sz w:val="24"/>
          <w:szCs w:val="24"/>
        </w:rPr>
      </w:pPr>
      <w:r w:rsidRPr="00934C02">
        <w:rPr>
          <w:rFonts w:ascii="Arial" w:hAnsi="Arial" w:cs="Arial"/>
          <w:sz w:val="24"/>
          <w:szCs w:val="24"/>
        </w:rPr>
        <w:t xml:space="preserve">  - S.C. SAGEM S.R.L.-</w:t>
      </w:r>
      <w:r w:rsidRPr="00934C02">
        <w:rPr>
          <w:rFonts w:ascii="Arial" w:hAnsi="Arial" w:cs="Arial"/>
          <w:sz w:val="24"/>
          <w:szCs w:val="24"/>
          <w:lang w:val="it-IT"/>
        </w:rPr>
        <w:t xml:space="preserve"> a incinerat  </w:t>
      </w:r>
      <w:r w:rsidRPr="00934C02">
        <w:rPr>
          <w:rFonts w:ascii="Arial" w:hAnsi="Arial" w:cs="Arial"/>
          <w:sz w:val="24"/>
          <w:szCs w:val="24"/>
        </w:rPr>
        <w:t>deşeuri de ţesuturi animale ( cod 02 01 02)-23,735 tone.</w:t>
      </w:r>
    </w:p>
    <w:p w:rsidR="00934C02" w:rsidRPr="00934C02" w:rsidRDefault="00934C02" w:rsidP="00934C02">
      <w:pPr>
        <w:spacing w:after="0" w:line="240" w:lineRule="auto"/>
        <w:rPr>
          <w:sz w:val="24"/>
          <w:szCs w:val="24"/>
          <w:lang w:val="ro-RO" w:eastAsia="pl-PL"/>
        </w:rPr>
      </w:pPr>
    </w:p>
    <w:p w:rsidR="00934C02" w:rsidRPr="00934C02" w:rsidRDefault="00934C02" w:rsidP="00934C02">
      <w:pPr>
        <w:autoSpaceDE w:val="0"/>
        <w:autoSpaceDN w:val="0"/>
        <w:adjustRightInd w:val="0"/>
        <w:spacing w:after="0" w:line="240" w:lineRule="auto"/>
        <w:jc w:val="both"/>
        <w:rPr>
          <w:rFonts w:ascii="Arial" w:eastAsia="SimSun" w:hAnsi="Arial" w:cs="Arial"/>
          <w:i/>
          <w:color w:val="92D050"/>
          <w:sz w:val="24"/>
          <w:szCs w:val="24"/>
        </w:rPr>
      </w:pPr>
      <w:r w:rsidRPr="00934C02">
        <w:rPr>
          <w:rFonts w:ascii="Arial" w:eastAsia="SimSun" w:hAnsi="Arial" w:cs="Arial"/>
          <w:b/>
          <w:i/>
          <w:sz w:val="24"/>
          <w:szCs w:val="24"/>
          <w:lang w:val="ro-RO"/>
        </w:rPr>
        <w:lastRenderedPageBreak/>
        <w:t xml:space="preserve"> </w:t>
      </w:r>
      <w:r w:rsidRPr="00934C02">
        <w:rPr>
          <w:rFonts w:ascii="Arial" w:eastAsia="SimSun" w:hAnsi="Arial" w:cs="Arial"/>
          <w:b/>
          <w:i/>
          <w:sz w:val="24"/>
          <w:szCs w:val="24"/>
        </w:rPr>
        <w:t>VII.1.3.   Fluxuri speciale de deşeuri</w:t>
      </w:r>
    </w:p>
    <w:p w:rsidR="00934C02" w:rsidRPr="00934C02" w:rsidRDefault="00934C02" w:rsidP="00934C02">
      <w:pPr>
        <w:rPr>
          <w:rFonts w:ascii="Arial" w:eastAsia="SimSun" w:hAnsi="Arial" w:cs="Arial"/>
          <w:b/>
          <w:i/>
          <w:sz w:val="24"/>
          <w:szCs w:val="24"/>
        </w:rPr>
      </w:pPr>
    </w:p>
    <w:p w:rsidR="00934C02" w:rsidRPr="00934C02" w:rsidRDefault="00934C02" w:rsidP="00934C02">
      <w:pPr>
        <w:rPr>
          <w:rFonts w:ascii="Arial" w:hAnsi="Arial" w:cs="Arial"/>
          <w:b/>
          <w:bCs/>
          <w:iCs/>
          <w:color w:val="000000"/>
          <w:sz w:val="24"/>
          <w:szCs w:val="24"/>
        </w:rPr>
      </w:pPr>
      <w:r w:rsidRPr="00934C02">
        <w:rPr>
          <w:rFonts w:ascii="Arial" w:hAnsi="Arial" w:cs="Arial"/>
          <w:bCs/>
          <w:iCs/>
          <w:color w:val="000000"/>
          <w:sz w:val="24"/>
          <w:szCs w:val="24"/>
        </w:rPr>
        <w:t xml:space="preserve"> </w:t>
      </w:r>
      <w:r w:rsidRPr="00934C02">
        <w:rPr>
          <w:rFonts w:ascii="Arial" w:hAnsi="Arial" w:cs="Arial"/>
          <w:b/>
          <w:bCs/>
          <w:iCs/>
          <w:color w:val="000000"/>
          <w:sz w:val="24"/>
          <w:szCs w:val="24"/>
        </w:rPr>
        <w:t xml:space="preserve"> VII.1.3.1. Deşeuri de echipamente electrice şi electronice (DEEE)</w:t>
      </w:r>
    </w:p>
    <w:p w:rsidR="00934C02" w:rsidRPr="00934C02" w:rsidRDefault="00934C02" w:rsidP="00934C02">
      <w:pPr>
        <w:autoSpaceDE w:val="0"/>
        <w:autoSpaceDN w:val="0"/>
        <w:adjustRightInd w:val="0"/>
        <w:spacing w:after="0" w:line="240" w:lineRule="auto"/>
        <w:jc w:val="both"/>
        <w:rPr>
          <w:rFonts w:ascii="Arial" w:hAnsi="Arial" w:cs="Arial"/>
          <w:sz w:val="24"/>
          <w:szCs w:val="24"/>
        </w:rPr>
      </w:pPr>
      <w:r w:rsidRPr="00934C02">
        <w:rPr>
          <w:rFonts w:ascii="Arial" w:hAnsi="Arial" w:cs="Arial"/>
          <w:color w:val="000000"/>
          <w:sz w:val="24"/>
          <w:szCs w:val="24"/>
        </w:rPr>
        <w:t xml:space="preserve">          </w:t>
      </w:r>
      <w:r w:rsidRPr="00934C02">
        <w:rPr>
          <w:rFonts w:ascii="Arial" w:hAnsi="Arial" w:cs="Arial"/>
          <w:sz w:val="24"/>
          <w:szCs w:val="24"/>
        </w:rPr>
        <w:t xml:space="preserve">Directiva nr. </w:t>
      </w:r>
      <w:r w:rsidRPr="00934C02">
        <w:rPr>
          <w:rFonts w:ascii="Arial" w:hAnsi="Arial" w:cs="Arial"/>
          <w:bCs/>
          <w:sz w:val="24"/>
          <w:szCs w:val="24"/>
        </w:rPr>
        <w:t>2002/95/EC privind de</w:t>
      </w:r>
      <w:r w:rsidRPr="00934C02">
        <w:rPr>
          <w:rFonts w:ascii="Arial" w:hAnsi="Arial" w:cs="Arial"/>
          <w:sz w:val="24"/>
          <w:szCs w:val="24"/>
        </w:rPr>
        <w:t>ş</w:t>
      </w:r>
      <w:r w:rsidRPr="00934C02">
        <w:rPr>
          <w:rFonts w:ascii="Arial" w:hAnsi="Arial" w:cs="Arial"/>
          <w:bCs/>
          <w:sz w:val="24"/>
          <w:szCs w:val="24"/>
        </w:rPr>
        <w:t>eurile din echipamente electrice şi electronice transpusa prin OUG nr.5/ 02.04.2015 se refer</w:t>
      </w:r>
      <w:r w:rsidRPr="00934C02">
        <w:rPr>
          <w:rFonts w:ascii="Arial" w:hAnsi="Arial" w:cs="Arial"/>
          <w:bCs/>
          <w:sz w:val="24"/>
          <w:szCs w:val="24"/>
          <w:lang w:val="ro-RO"/>
        </w:rPr>
        <w:t>ă</w:t>
      </w:r>
      <w:r w:rsidRPr="00934C02">
        <w:rPr>
          <w:rFonts w:ascii="Arial" w:hAnsi="Arial" w:cs="Arial"/>
          <w:sz w:val="24"/>
          <w:szCs w:val="24"/>
        </w:rPr>
        <w:t xml:space="preserve"> la:</w:t>
      </w:r>
    </w:p>
    <w:p w:rsidR="00934C02" w:rsidRPr="00934C02" w:rsidRDefault="00934C02" w:rsidP="00934C02">
      <w:pPr>
        <w:autoSpaceDE w:val="0"/>
        <w:autoSpaceDN w:val="0"/>
        <w:adjustRightInd w:val="0"/>
        <w:spacing w:after="0" w:line="240" w:lineRule="auto"/>
        <w:jc w:val="both"/>
        <w:rPr>
          <w:rFonts w:ascii="Arial" w:hAnsi="Arial" w:cs="Arial"/>
          <w:sz w:val="24"/>
          <w:szCs w:val="24"/>
        </w:rPr>
      </w:pPr>
      <w:r w:rsidRPr="00934C02">
        <w:rPr>
          <w:rFonts w:ascii="Arial" w:hAnsi="Arial" w:cs="Arial"/>
          <w:sz w:val="24"/>
          <w:szCs w:val="24"/>
        </w:rPr>
        <w:t>- preluarea deşeurilor provenite din echipamentele electrice şi electronice şi promovarea reutilizării reciclării şi a altor forme de recuperare pentru reducerea cantităţilor de deşeuri;</w:t>
      </w:r>
    </w:p>
    <w:p w:rsidR="00934C02" w:rsidRPr="00934C02" w:rsidRDefault="00934C02" w:rsidP="00934C02">
      <w:pPr>
        <w:autoSpaceDE w:val="0"/>
        <w:autoSpaceDN w:val="0"/>
        <w:adjustRightInd w:val="0"/>
        <w:spacing w:after="0" w:line="240" w:lineRule="auto"/>
        <w:jc w:val="both"/>
        <w:rPr>
          <w:rFonts w:ascii="Arial" w:hAnsi="Arial" w:cs="Arial"/>
          <w:sz w:val="24"/>
          <w:szCs w:val="24"/>
        </w:rPr>
      </w:pPr>
      <w:r w:rsidRPr="00934C02">
        <w:rPr>
          <w:rFonts w:ascii="Arial" w:hAnsi="Arial" w:cs="Arial"/>
          <w:sz w:val="24"/>
          <w:szCs w:val="24"/>
        </w:rPr>
        <w:t>- îmbunătăţirea performanţelor de mediu ale operatorilor economici implicaţi în ciclul de viată al echipamentului electric şi electronic (producători, distribuitori, consumatori,colectori şi tratatori);</w:t>
      </w:r>
    </w:p>
    <w:p w:rsidR="00934C02" w:rsidRPr="00934C02" w:rsidRDefault="00934C02" w:rsidP="00934C02">
      <w:pPr>
        <w:autoSpaceDE w:val="0"/>
        <w:autoSpaceDN w:val="0"/>
        <w:adjustRightInd w:val="0"/>
        <w:spacing w:after="0" w:line="240" w:lineRule="auto"/>
        <w:ind w:firstLine="720"/>
        <w:jc w:val="both"/>
        <w:rPr>
          <w:rFonts w:ascii="Arial" w:hAnsi="Arial" w:cs="Arial"/>
          <w:sz w:val="24"/>
          <w:szCs w:val="24"/>
        </w:rPr>
      </w:pPr>
      <w:r w:rsidRPr="00934C02">
        <w:rPr>
          <w:rFonts w:ascii="Arial" w:hAnsi="Arial" w:cs="Arial"/>
          <w:sz w:val="24"/>
          <w:szCs w:val="24"/>
        </w:rPr>
        <w:t xml:space="preserve">Ministerul Mediului, Apelor şi Pădurilor promovează cooperarea dintre producători şi reciclatori pentru identificarea de măsuri care să promoveze proiectarea şi producerea de echipamentele electrice şi electronice pentru a facilita reutilizarea, demontarea şi valorificarea acestora sau a componentelor şi materialelor atunci când devin DEEE-uri, astfel încât ele sa fie mai puţin poluante. </w:t>
      </w:r>
    </w:p>
    <w:p w:rsidR="00934C02" w:rsidRPr="00934C02" w:rsidRDefault="00934C02" w:rsidP="00934C02">
      <w:pPr>
        <w:spacing w:after="0" w:line="240" w:lineRule="auto"/>
        <w:ind w:firstLine="720"/>
        <w:jc w:val="both"/>
        <w:rPr>
          <w:rFonts w:ascii="Arial" w:hAnsi="Arial" w:cs="Arial"/>
          <w:color w:val="000000"/>
          <w:sz w:val="24"/>
          <w:szCs w:val="24"/>
        </w:rPr>
      </w:pPr>
      <w:r w:rsidRPr="00934C02">
        <w:rPr>
          <w:rFonts w:ascii="Arial" w:hAnsi="Arial" w:cs="Arial"/>
          <w:color w:val="000000"/>
          <w:sz w:val="24"/>
          <w:szCs w:val="24"/>
        </w:rPr>
        <w:t xml:space="preserve">În judeţul Vaslui nu sunt producători de </w:t>
      </w:r>
      <w:r w:rsidRPr="00934C02">
        <w:rPr>
          <w:rFonts w:ascii="Arial" w:hAnsi="Arial" w:cs="Arial"/>
          <w:sz w:val="24"/>
          <w:szCs w:val="24"/>
        </w:rPr>
        <w:t>echipamentele electrice şi electronice</w:t>
      </w:r>
      <w:r w:rsidRPr="00934C02">
        <w:rPr>
          <w:rFonts w:ascii="Arial" w:hAnsi="Arial" w:cs="Arial"/>
          <w:color w:val="000000"/>
          <w:sz w:val="24"/>
          <w:szCs w:val="24"/>
        </w:rPr>
        <w:t xml:space="preserve">. </w:t>
      </w:r>
    </w:p>
    <w:p w:rsidR="00934C02" w:rsidRPr="00934C02" w:rsidRDefault="00934C02" w:rsidP="00934C02">
      <w:pPr>
        <w:autoSpaceDE w:val="0"/>
        <w:autoSpaceDN w:val="0"/>
        <w:adjustRightInd w:val="0"/>
        <w:ind w:left="567" w:hanging="567"/>
        <w:rPr>
          <w:rFonts w:ascii="Arial" w:hAnsi="Arial" w:cs="Arial"/>
          <w:sz w:val="24"/>
          <w:szCs w:val="24"/>
        </w:rPr>
        <w:sectPr w:rsidR="00934C02" w:rsidRPr="00934C02" w:rsidSect="00934C02">
          <w:pgSz w:w="12240" w:h="15840"/>
          <w:pgMar w:top="1440" w:right="1440" w:bottom="1440" w:left="1440" w:header="720" w:footer="720" w:gutter="0"/>
          <w:cols w:space="720"/>
          <w:docGrid w:linePitch="360"/>
        </w:sectPr>
      </w:pPr>
    </w:p>
    <w:p w:rsidR="00934C02" w:rsidRPr="00934C02" w:rsidRDefault="00934C02" w:rsidP="00934C02">
      <w:pPr>
        <w:spacing w:after="0" w:line="240" w:lineRule="auto"/>
        <w:rPr>
          <w:rFonts w:ascii="Arial" w:hAnsi="Arial" w:cs="Arial"/>
          <w:color w:val="000000"/>
          <w:sz w:val="24"/>
          <w:szCs w:val="24"/>
          <w:lang w:val="ro-RO"/>
        </w:rPr>
      </w:pPr>
    </w:p>
    <w:p w:rsidR="00934C02" w:rsidRPr="00934C02" w:rsidRDefault="00934C02" w:rsidP="00934C02">
      <w:pPr>
        <w:spacing w:after="0" w:line="240" w:lineRule="auto"/>
        <w:rPr>
          <w:rFonts w:ascii="Arial" w:hAnsi="Arial" w:cs="Arial"/>
          <w:color w:val="000000"/>
          <w:sz w:val="24"/>
          <w:szCs w:val="24"/>
        </w:rPr>
      </w:pPr>
      <w:r w:rsidRPr="00934C02">
        <w:rPr>
          <w:color w:val="000000"/>
        </w:rPr>
        <w:t> </w:t>
      </w:r>
      <w:r w:rsidRPr="00934C02">
        <w:rPr>
          <w:rFonts w:ascii="Arial" w:eastAsia="SimSun" w:hAnsi="Arial" w:cs="Arial"/>
          <w:sz w:val="24"/>
          <w:szCs w:val="24"/>
        </w:rPr>
        <w:t>Tabelul VII.14.</w:t>
      </w:r>
      <w:r w:rsidRPr="00934C02">
        <w:rPr>
          <w:rFonts w:ascii="Arial" w:hAnsi="Arial" w:cs="Arial"/>
          <w:sz w:val="24"/>
          <w:szCs w:val="24"/>
        </w:rPr>
        <w:t xml:space="preserve">  </w:t>
      </w:r>
      <w:r w:rsidRPr="00934C02">
        <w:rPr>
          <w:rFonts w:ascii="Arial" w:hAnsi="Arial" w:cs="Arial"/>
          <w:color w:val="000000"/>
          <w:sz w:val="24"/>
          <w:szCs w:val="24"/>
        </w:rPr>
        <w:t>Operatori economici autorizaţi pentru colectarea DEEE din judeţul Vaslui</w:t>
      </w:r>
    </w:p>
    <w:tbl>
      <w:tblPr>
        <w:tblW w:w="12870" w:type="dxa"/>
        <w:tblInd w:w="198" w:type="dxa"/>
        <w:tblLayout w:type="fixed"/>
        <w:tblLook w:val="04A0" w:firstRow="1" w:lastRow="0" w:firstColumn="1" w:lastColumn="0" w:noHBand="0" w:noVBand="1"/>
      </w:tblPr>
      <w:tblGrid>
        <w:gridCol w:w="1440"/>
        <w:gridCol w:w="2070"/>
        <w:gridCol w:w="3240"/>
        <w:gridCol w:w="3240"/>
        <w:gridCol w:w="2880"/>
      </w:tblGrid>
      <w:tr w:rsidR="00934C02" w:rsidRPr="00934C02" w:rsidTr="00934C02">
        <w:trPr>
          <w:trHeight w:val="1331"/>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C02" w:rsidRPr="00934C02" w:rsidRDefault="00934C02" w:rsidP="00934C02">
            <w:pPr>
              <w:spacing w:after="0" w:line="240" w:lineRule="auto"/>
              <w:jc w:val="center"/>
              <w:rPr>
                <w:rFonts w:ascii="Arial" w:eastAsia="Times New Roman" w:hAnsi="Arial" w:cs="Arial"/>
                <w:color w:val="000000"/>
                <w:sz w:val="16"/>
                <w:szCs w:val="16"/>
              </w:rPr>
            </w:pPr>
            <w:r w:rsidRPr="00934C02">
              <w:rPr>
                <w:rFonts w:ascii="Arial" w:hAnsi="Arial" w:cs="Arial"/>
                <w:color w:val="000000"/>
                <w:sz w:val="24"/>
                <w:szCs w:val="24"/>
              </w:rPr>
              <w:tab/>
            </w:r>
            <w:r w:rsidRPr="00934C02">
              <w:rPr>
                <w:rFonts w:ascii="Arial" w:eastAsia="Times New Roman" w:hAnsi="Arial" w:cs="Arial"/>
                <w:color w:val="000000"/>
                <w:sz w:val="16"/>
                <w:szCs w:val="16"/>
              </w:rPr>
              <w:t>Vaslui</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934C02" w:rsidRPr="00934C02" w:rsidRDefault="00934C02" w:rsidP="00934C02">
            <w:pPr>
              <w:spacing w:after="0" w:line="240" w:lineRule="auto"/>
              <w:jc w:val="center"/>
              <w:rPr>
                <w:rFonts w:ascii="Arial" w:eastAsia="Times New Roman" w:hAnsi="Arial" w:cs="Arial"/>
                <w:color w:val="000000"/>
                <w:sz w:val="16"/>
                <w:szCs w:val="16"/>
              </w:rPr>
            </w:pPr>
            <w:r w:rsidRPr="00934C02">
              <w:rPr>
                <w:rFonts w:ascii="Arial" w:eastAsia="Times New Roman" w:hAnsi="Arial" w:cs="Arial"/>
                <w:color w:val="000000"/>
                <w:sz w:val="16"/>
                <w:szCs w:val="16"/>
              </w:rPr>
              <w:t xml:space="preserve"> SC COMPPIL SA VASLUI </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rsidR="00934C02" w:rsidRPr="00934C02" w:rsidRDefault="00934C02" w:rsidP="005910C7">
            <w:pPr>
              <w:numPr>
                <w:ilvl w:val="0"/>
                <w:numId w:val="19"/>
              </w:numPr>
              <w:spacing w:after="0" w:line="240" w:lineRule="auto"/>
              <w:jc w:val="center"/>
              <w:rPr>
                <w:rFonts w:ascii="Arial" w:eastAsia="Times New Roman" w:hAnsi="Arial" w:cs="Arial"/>
                <w:color w:val="000000"/>
                <w:sz w:val="16"/>
                <w:szCs w:val="16"/>
              </w:rPr>
            </w:pPr>
            <w:r w:rsidRPr="00934C02">
              <w:rPr>
                <w:rFonts w:ascii="Arial" w:eastAsia="Times New Roman" w:hAnsi="Arial" w:cs="Arial"/>
                <w:color w:val="000000"/>
                <w:sz w:val="16"/>
                <w:szCs w:val="16"/>
              </w:rPr>
              <w:t>Barlad,</w:t>
            </w:r>
            <w:r w:rsidRPr="00934C02">
              <w:rPr>
                <w:rFonts w:ascii="Arial" w:eastAsia="Times New Roman" w:hAnsi="Arial" w:cs="Arial"/>
                <w:color w:val="000000"/>
                <w:sz w:val="16"/>
                <w:szCs w:val="16"/>
              </w:rPr>
              <w:br/>
              <w:t xml:space="preserve">str.Palerma, nr.2, tel/fax: 0235/414593,  e-mail:comppil2003@yahoo.com,  persoana de contact: Director Iacob Simona-Liliana </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rsidR="00934C02" w:rsidRPr="00934C02" w:rsidRDefault="00934C02" w:rsidP="00934C02">
            <w:pPr>
              <w:spacing w:after="0" w:line="240" w:lineRule="auto"/>
              <w:jc w:val="center"/>
              <w:rPr>
                <w:rFonts w:ascii="Arial" w:eastAsia="Times New Roman" w:hAnsi="Arial" w:cs="Arial"/>
                <w:color w:val="000000"/>
                <w:sz w:val="16"/>
                <w:szCs w:val="16"/>
              </w:rPr>
            </w:pPr>
            <w:r w:rsidRPr="00934C02">
              <w:rPr>
                <w:rFonts w:ascii="Arial" w:eastAsia="Times New Roman" w:hAnsi="Arial" w:cs="Arial"/>
                <w:color w:val="000000"/>
                <w:sz w:val="16"/>
                <w:szCs w:val="16"/>
              </w:rPr>
              <w:t>Barlad,</w:t>
            </w:r>
            <w:r w:rsidRPr="00934C02">
              <w:rPr>
                <w:rFonts w:ascii="Arial" w:eastAsia="Times New Roman" w:hAnsi="Arial" w:cs="Arial"/>
                <w:color w:val="000000"/>
                <w:sz w:val="16"/>
                <w:szCs w:val="16"/>
              </w:rPr>
              <w:br/>
              <w:t xml:space="preserve">str.Palerma, nr.2, tel/fax: 0235/414593, e-mail:comppil2003@yahoo.com, persoana de contact: Director Iacob Simona-Liliana </w:t>
            </w:r>
          </w:p>
        </w:tc>
        <w:tc>
          <w:tcPr>
            <w:tcW w:w="2880" w:type="dxa"/>
            <w:tcBorders>
              <w:top w:val="single" w:sz="4" w:space="0" w:color="auto"/>
              <w:left w:val="nil"/>
              <w:bottom w:val="single" w:sz="4" w:space="0" w:color="auto"/>
              <w:right w:val="single" w:sz="4" w:space="0" w:color="auto"/>
            </w:tcBorders>
            <w:shd w:val="clear" w:color="auto" w:fill="auto"/>
            <w:vAlign w:val="center"/>
            <w:hideMark/>
          </w:tcPr>
          <w:p w:rsidR="00934C02" w:rsidRPr="00934C02" w:rsidRDefault="00934C02" w:rsidP="00934C02">
            <w:pPr>
              <w:spacing w:after="0" w:line="240" w:lineRule="auto"/>
              <w:jc w:val="center"/>
              <w:rPr>
                <w:rFonts w:ascii="Arial" w:eastAsia="Times New Roman" w:hAnsi="Arial" w:cs="Arial"/>
                <w:color w:val="000000"/>
                <w:sz w:val="16"/>
                <w:szCs w:val="16"/>
              </w:rPr>
            </w:pPr>
            <w:r w:rsidRPr="00934C02">
              <w:rPr>
                <w:rFonts w:ascii="Arial" w:eastAsia="Times New Roman" w:hAnsi="Arial" w:cs="Arial"/>
                <w:color w:val="000000"/>
                <w:sz w:val="16"/>
                <w:szCs w:val="16"/>
              </w:rPr>
              <w:t>Autoriza</w:t>
            </w:r>
            <w:r w:rsidRPr="00934C02">
              <w:rPr>
                <w:rFonts w:ascii="Arial" w:eastAsia="Times New Roman" w:hAnsi="Arial" w:cs="Arial"/>
                <w:color w:val="000000"/>
                <w:sz w:val="16"/>
                <w:szCs w:val="16"/>
                <w:lang w:val="ro-RO"/>
              </w:rPr>
              <w:t>ţ</w:t>
            </w:r>
            <w:r w:rsidRPr="00934C02">
              <w:rPr>
                <w:rFonts w:ascii="Arial" w:eastAsia="Times New Roman" w:hAnsi="Arial" w:cs="Arial"/>
                <w:color w:val="000000"/>
                <w:sz w:val="16"/>
                <w:szCs w:val="16"/>
              </w:rPr>
              <w:t xml:space="preserve">ia de mediu, </w:t>
            </w:r>
            <w:r w:rsidRPr="00934C02">
              <w:rPr>
                <w:rFonts w:ascii="Arial" w:eastAsia="Times New Roman" w:hAnsi="Arial" w:cs="Arial"/>
                <w:color w:val="000000"/>
                <w:sz w:val="16"/>
                <w:szCs w:val="16"/>
              </w:rPr>
              <w:br/>
              <w:t>Nr. 1 /06.01.2010, revizuită în 22.03.2011, valabilă până la 06.01.2020</w:t>
            </w:r>
          </w:p>
        </w:tc>
      </w:tr>
      <w:tr w:rsidR="00934C02" w:rsidRPr="00934C02" w:rsidTr="00934C02">
        <w:trPr>
          <w:trHeight w:val="683"/>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C02" w:rsidRPr="00934C02" w:rsidRDefault="00934C02" w:rsidP="00934C02">
            <w:pPr>
              <w:spacing w:after="0" w:line="240" w:lineRule="auto"/>
              <w:jc w:val="center"/>
              <w:rPr>
                <w:rFonts w:ascii="Arial" w:eastAsia="Times New Roman" w:hAnsi="Arial" w:cs="Arial"/>
                <w:color w:val="000000"/>
                <w:sz w:val="16"/>
                <w:szCs w:val="16"/>
              </w:rPr>
            </w:pPr>
            <w:r w:rsidRPr="00934C02">
              <w:rPr>
                <w:rFonts w:ascii="Arial" w:eastAsia="Times New Roman" w:hAnsi="Arial" w:cs="Arial"/>
                <w:color w:val="000000"/>
                <w:sz w:val="16"/>
                <w:szCs w:val="16"/>
              </w:rPr>
              <w:t>Vaslui</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934C02" w:rsidRPr="00934C02" w:rsidRDefault="00934C02" w:rsidP="00934C02">
            <w:pPr>
              <w:spacing w:after="0" w:line="240" w:lineRule="auto"/>
              <w:jc w:val="center"/>
              <w:rPr>
                <w:rFonts w:ascii="Arial" w:eastAsia="Times New Roman" w:hAnsi="Arial" w:cs="Arial"/>
                <w:sz w:val="16"/>
                <w:szCs w:val="16"/>
              </w:rPr>
            </w:pPr>
            <w:r w:rsidRPr="00934C02">
              <w:rPr>
                <w:rFonts w:ascii="Arial" w:eastAsia="Times New Roman" w:hAnsi="Arial" w:cs="Arial"/>
                <w:sz w:val="16"/>
                <w:szCs w:val="16"/>
              </w:rPr>
              <w:t xml:space="preserve">SC ECO-METALNEF SRL </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rsidR="00934C02" w:rsidRPr="00934C02" w:rsidRDefault="00934C02" w:rsidP="00934C02">
            <w:pPr>
              <w:spacing w:after="0" w:line="240" w:lineRule="auto"/>
              <w:jc w:val="center"/>
              <w:rPr>
                <w:rFonts w:ascii="Arial" w:eastAsia="Times New Roman" w:hAnsi="Arial" w:cs="Arial"/>
                <w:sz w:val="16"/>
                <w:szCs w:val="16"/>
              </w:rPr>
            </w:pPr>
            <w:r w:rsidRPr="00934C02">
              <w:rPr>
                <w:rFonts w:ascii="Arial" w:eastAsia="Times New Roman" w:hAnsi="Arial" w:cs="Arial"/>
                <w:sz w:val="16"/>
                <w:szCs w:val="16"/>
              </w:rPr>
              <w:t xml:space="preserve">Iasi, str. Iarmaroc, nr.9, jud. Iasi, </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rsidR="00934C02" w:rsidRPr="00934C02" w:rsidRDefault="00934C02" w:rsidP="00934C02">
            <w:pPr>
              <w:spacing w:after="0" w:line="240" w:lineRule="auto"/>
              <w:jc w:val="center"/>
              <w:rPr>
                <w:rFonts w:ascii="Arial" w:eastAsia="Times New Roman" w:hAnsi="Arial" w:cs="Arial"/>
                <w:sz w:val="16"/>
                <w:szCs w:val="16"/>
              </w:rPr>
            </w:pPr>
            <w:r w:rsidRPr="00934C02">
              <w:rPr>
                <w:rFonts w:ascii="Arial" w:eastAsia="Times New Roman" w:hAnsi="Arial" w:cs="Arial"/>
                <w:sz w:val="16"/>
                <w:szCs w:val="16"/>
              </w:rPr>
              <w:t xml:space="preserve">Vaslui, </w:t>
            </w:r>
            <w:r w:rsidRPr="00934C02">
              <w:rPr>
                <w:rFonts w:ascii="Arial" w:eastAsia="Times New Roman" w:hAnsi="Arial" w:cs="Arial"/>
                <w:sz w:val="16"/>
                <w:szCs w:val="16"/>
              </w:rPr>
              <w:br/>
              <w:t xml:space="preserve">Str. Podul Inalt, nr.9, tel/fax: 0235/360309, persoana de contact: Sabadac L.  </w:t>
            </w:r>
          </w:p>
        </w:tc>
        <w:tc>
          <w:tcPr>
            <w:tcW w:w="2880" w:type="dxa"/>
            <w:tcBorders>
              <w:top w:val="single" w:sz="4" w:space="0" w:color="auto"/>
              <w:left w:val="nil"/>
              <w:bottom w:val="single" w:sz="4" w:space="0" w:color="auto"/>
              <w:right w:val="single" w:sz="4" w:space="0" w:color="auto"/>
            </w:tcBorders>
            <w:shd w:val="clear" w:color="auto" w:fill="auto"/>
            <w:vAlign w:val="center"/>
            <w:hideMark/>
          </w:tcPr>
          <w:p w:rsidR="00934C02" w:rsidRPr="00934C02" w:rsidRDefault="00934C02" w:rsidP="00934C02">
            <w:pPr>
              <w:spacing w:after="0" w:line="240" w:lineRule="auto"/>
              <w:jc w:val="center"/>
              <w:rPr>
                <w:rFonts w:ascii="Arial" w:eastAsia="Times New Roman" w:hAnsi="Arial" w:cs="Arial"/>
                <w:color w:val="000000"/>
                <w:sz w:val="16"/>
                <w:szCs w:val="16"/>
              </w:rPr>
            </w:pPr>
            <w:r w:rsidRPr="00934C02">
              <w:rPr>
                <w:rFonts w:ascii="Arial" w:eastAsia="Times New Roman" w:hAnsi="Arial" w:cs="Arial"/>
                <w:color w:val="000000"/>
                <w:sz w:val="16"/>
                <w:szCs w:val="16"/>
              </w:rPr>
              <w:t xml:space="preserve">Autorizaţia de Mediu, </w:t>
            </w:r>
            <w:r w:rsidRPr="00934C02">
              <w:rPr>
                <w:rFonts w:ascii="Arial" w:eastAsia="Times New Roman" w:hAnsi="Arial" w:cs="Arial"/>
                <w:color w:val="000000"/>
                <w:sz w:val="16"/>
                <w:szCs w:val="16"/>
              </w:rPr>
              <w:br/>
              <w:t xml:space="preserve">nr. 158/15.07.2013 valabilă până la 14.07.2023 </w:t>
            </w:r>
          </w:p>
        </w:tc>
      </w:tr>
      <w:tr w:rsidR="00934C02" w:rsidRPr="00934C02" w:rsidTr="00934C02">
        <w:trPr>
          <w:trHeight w:val="926"/>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934C02" w:rsidRPr="00934C02" w:rsidRDefault="00934C02" w:rsidP="00934C02">
            <w:pPr>
              <w:spacing w:after="0" w:line="240" w:lineRule="auto"/>
              <w:jc w:val="center"/>
              <w:rPr>
                <w:rFonts w:ascii="Arial" w:eastAsia="Times New Roman" w:hAnsi="Arial" w:cs="Arial"/>
                <w:color w:val="000000"/>
                <w:sz w:val="16"/>
                <w:szCs w:val="16"/>
              </w:rPr>
            </w:pPr>
            <w:r w:rsidRPr="00934C02">
              <w:rPr>
                <w:rFonts w:ascii="Arial" w:eastAsia="Times New Roman" w:hAnsi="Arial" w:cs="Arial"/>
                <w:color w:val="000000"/>
                <w:sz w:val="16"/>
                <w:szCs w:val="16"/>
              </w:rPr>
              <w:t>Vaslui</w:t>
            </w:r>
          </w:p>
        </w:tc>
        <w:tc>
          <w:tcPr>
            <w:tcW w:w="2070" w:type="dxa"/>
            <w:tcBorders>
              <w:top w:val="nil"/>
              <w:left w:val="nil"/>
              <w:bottom w:val="single" w:sz="4" w:space="0" w:color="auto"/>
              <w:right w:val="single" w:sz="4" w:space="0" w:color="auto"/>
            </w:tcBorders>
            <w:shd w:val="clear" w:color="auto" w:fill="auto"/>
            <w:vAlign w:val="center"/>
            <w:hideMark/>
          </w:tcPr>
          <w:p w:rsidR="00934C02" w:rsidRPr="00934C02" w:rsidRDefault="00934C02" w:rsidP="00934C02">
            <w:pPr>
              <w:spacing w:after="0" w:line="240" w:lineRule="auto"/>
              <w:jc w:val="center"/>
              <w:rPr>
                <w:rFonts w:ascii="Arial" w:eastAsia="Times New Roman" w:hAnsi="Arial" w:cs="Arial"/>
                <w:sz w:val="16"/>
                <w:szCs w:val="16"/>
              </w:rPr>
            </w:pPr>
            <w:r w:rsidRPr="00934C02">
              <w:rPr>
                <w:rFonts w:ascii="Arial" w:eastAsia="Times New Roman" w:hAnsi="Arial" w:cs="Arial"/>
                <w:sz w:val="16"/>
                <w:szCs w:val="16"/>
              </w:rPr>
              <w:t>I.I. PATRAUCEANU L.</w:t>
            </w:r>
          </w:p>
        </w:tc>
        <w:tc>
          <w:tcPr>
            <w:tcW w:w="3240" w:type="dxa"/>
            <w:tcBorders>
              <w:top w:val="nil"/>
              <w:left w:val="nil"/>
              <w:bottom w:val="single" w:sz="4" w:space="0" w:color="auto"/>
              <w:right w:val="single" w:sz="4" w:space="0" w:color="auto"/>
            </w:tcBorders>
            <w:shd w:val="clear" w:color="auto" w:fill="auto"/>
            <w:vAlign w:val="center"/>
            <w:hideMark/>
          </w:tcPr>
          <w:p w:rsidR="00934C02" w:rsidRPr="00934C02" w:rsidRDefault="00934C02" w:rsidP="00934C02">
            <w:pPr>
              <w:spacing w:after="0" w:line="240" w:lineRule="auto"/>
              <w:jc w:val="center"/>
              <w:rPr>
                <w:rFonts w:ascii="Arial" w:eastAsia="Times New Roman" w:hAnsi="Arial" w:cs="Arial"/>
                <w:sz w:val="16"/>
                <w:szCs w:val="16"/>
              </w:rPr>
            </w:pPr>
            <w:r w:rsidRPr="00934C02">
              <w:rPr>
                <w:rFonts w:ascii="Arial" w:eastAsia="Times New Roman" w:hAnsi="Arial" w:cs="Arial"/>
                <w:sz w:val="16"/>
                <w:szCs w:val="16"/>
              </w:rPr>
              <w:t>Loc.Huşi, str. Sfîntu Gheorghe, nr.14, bl. 13, sc.A, et. 1, ap.5, tel:0764145307, Pătrăuceanu Livia, jud. Vaslui</w:t>
            </w:r>
          </w:p>
        </w:tc>
        <w:tc>
          <w:tcPr>
            <w:tcW w:w="3240" w:type="dxa"/>
            <w:tcBorders>
              <w:top w:val="nil"/>
              <w:left w:val="nil"/>
              <w:bottom w:val="single" w:sz="4" w:space="0" w:color="auto"/>
              <w:right w:val="single" w:sz="4" w:space="0" w:color="auto"/>
            </w:tcBorders>
            <w:shd w:val="clear" w:color="auto" w:fill="auto"/>
            <w:vAlign w:val="center"/>
            <w:hideMark/>
          </w:tcPr>
          <w:p w:rsidR="00934C02" w:rsidRPr="00934C02" w:rsidRDefault="00934C02" w:rsidP="00934C02">
            <w:pPr>
              <w:spacing w:after="0" w:line="240" w:lineRule="auto"/>
              <w:jc w:val="center"/>
              <w:rPr>
                <w:rFonts w:ascii="Arial" w:eastAsia="Times New Roman" w:hAnsi="Arial" w:cs="Arial"/>
                <w:sz w:val="16"/>
                <w:szCs w:val="16"/>
              </w:rPr>
            </w:pPr>
            <w:r w:rsidRPr="00934C02">
              <w:rPr>
                <w:rFonts w:ascii="Arial" w:eastAsia="Times New Roman" w:hAnsi="Arial" w:cs="Arial"/>
                <w:sz w:val="16"/>
                <w:szCs w:val="16"/>
              </w:rPr>
              <w:t>Husi,</w:t>
            </w:r>
            <w:r w:rsidRPr="00934C02">
              <w:rPr>
                <w:rFonts w:ascii="Arial" w:eastAsia="Times New Roman" w:hAnsi="Arial" w:cs="Arial"/>
                <w:sz w:val="16"/>
                <w:szCs w:val="16"/>
              </w:rPr>
              <w:br/>
              <w:t>str.Petre Filip, nr.6, tel:0764145307, Pătrăuceanu Livia</w:t>
            </w:r>
          </w:p>
        </w:tc>
        <w:tc>
          <w:tcPr>
            <w:tcW w:w="2880" w:type="dxa"/>
            <w:tcBorders>
              <w:top w:val="nil"/>
              <w:left w:val="nil"/>
              <w:bottom w:val="single" w:sz="4" w:space="0" w:color="auto"/>
              <w:right w:val="single" w:sz="4" w:space="0" w:color="auto"/>
            </w:tcBorders>
            <w:shd w:val="clear" w:color="auto" w:fill="auto"/>
            <w:vAlign w:val="center"/>
            <w:hideMark/>
          </w:tcPr>
          <w:p w:rsidR="00934C02" w:rsidRPr="00934C02" w:rsidRDefault="00934C02" w:rsidP="00934C02">
            <w:pPr>
              <w:spacing w:after="0" w:line="240" w:lineRule="auto"/>
              <w:jc w:val="center"/>
              <w:rPr>
                <w:rFonts w:ascii="Arial" w:eastAsia="Times New Roman" w:hAnsi="Arial" w:cs="Arial"/>
                <w:color w:val="000000"/>
                <w:sz w:val="16"/>
                <w:szCs w:val="16"/>
              </w:rPr>
            </w:pPr>
            <w:r w:rsidRPr="00934C02">
              <w:rPr>
                <w:rFonts w:ascii="Arial" w:eastAsia="Times New Roman" w:hAnsi="Arial" w:cs="Arial"/>
                <w:color w:val="000000"/>
                <w:sz w:val="16"/>
                <w:szCs w:val="16"/>
              </w:rPr>
              <w:t xml:space="preserve">Autorizaţia de mediu, </w:t>
            </w:r>
            <w:r w:rsidRPr="00934C02">
              <w:rPr>
                <w:rFonts w:ascii="Arial" w:eastAsia="Times New Roman" w:hAnsi="Arial" w:cs="Arial"/>
                <w:color w:val="000000"/>
                <w:sz w:val="16"/>
                <w:szCs w:val="16"/>
              </w:rPr>
              <w:br/>
              <w:t>Nr.80/ 05.08.2009, rev. 15.06.2016, valabilitate 05.08.2019</w:t>
            </w:r>
          </w:p>
        </w:tc>
      </w:tr>
      <w:tr w:rsidR="00934C02" w:rsidRPr="00934C02" w:rsidTr="00934C02">
        <w:trPr>
          <w:trHeight w:val="899"/>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934C02" w:rsidRPr="00934C02" w:rsidRDefault="00934C02" w:rsidP="00934C02">
            <w:pPr>
              <w:spacing w:after="0" w:line="240" w:lineRule="auto"/>
              <w:jc w:val="center"/>
              <w:rPr>
                <w:rFonts w:ascii="Arial" w:eastAsia="Times New Roman" w:hAnsi="Arial" w:cs="Arial"/>
                <w:color w:val="000000"/>
                <w:sz w:val="16"/>
                <w:szCs w:val="16"/>
              </w:rPr>
            </w:pPr>
            <w:r w:rsidRPr="00934C02">
              <w:rPr>
                <w:rFonts w:ascii="Arial" w:eastAsia="Times New Roman" w:hAnsi="Arial" w:cs="Arial"/>
                <w:color w:val="000000"/>
                <w:sz w:val="16"/>
                <w:szCs w:val="16"/>
              </w:rPr>
              <w:t>Vaslui</w:t>
            </w:r>
          </w:p>
        </w:tc>
        <w:tc>
          <w:tcPr>
            <w:tcW w:w="2070" w:type="dxa"/>
            <w:tcBorders>
              <w:top w:val="nil"/>
              <w:left w:val="nil"/>
              <w:bottom w:val="single" w:sz="4" w:space="0" w:color="auto"/>
              <w:right w:val="single" w:sz="4" w:space="0" w:color="auto"/>
            </w:tcBorders>
            <w:shd w:val="clear" w:color="auto" w:fill="auto"/>
            <w:vAlign w:val="center"/>
            <w:hideMark/>
          </w:tcPr>
          <w:p w:rsidR="00934C02" w:rsidRPr="00934C02" w:rsidRDefault="00934C02" w:rsidP="00934C02">
            <w:pPr>
              <w:spacing w:after="0" w:line="240" w:lineRule="auto"/>
              <w:jc w:val="center"/>
              <w:rPr>
                <w:rFonts w:ascii="Arial" w:eastAsia="Times New Roman" w:hAnsi="Arial" w:cs="Arial"/>
                <w:color w:val="000000"/>
                <w:sz w:val="16"/>
                <w:szCs w:val="16"/>
              </w:rPr>
            </w:pPr>
            <w:r w:rsidRPr="00934C02">
              <w:rPr>
                <w:rFonts w:ascii="Arial" w:eastAsia="Times New Roman" w:hAnsi="Arial" w:cs="Arial"/>
                <w:color w:val="000000"/>
                <w:sz w:val="16"/>
                <w:szCs w:val="16"/>
              </w:rPr>
              <w:t>S.C. COM ECOSAL S.A.</w:t>
            </w:r>
          </w:p>
        </w:tc>
        <w:tc>
          <w:tcPr>
            <w:tcW w:w="3240" w:type="dxa"/>
            <w:tcBorders>
              <w:top w:val="nil"/>
              <w:left w:val="nil"/>
              <w:bottom w:val="single" w:sz="4" w:space="0" w:color="auto"/>
              <w:right w:val="single" w:sz="4" w:space="0" w:color="auto"/>
            </w:tcBorders>
            <w:shd w:val="clear" w:color="auto" w:fill="auto"/>
            <w:vAlign w:val="center"/>
            <w:hideMark/>
          </w:tcPr>
          <w:p w:rsidR="00934C02" w:rsidRPr="00934C02" w:rsidRDefault="00934C02" w:rsidP="00934C02">
            <w:pPr>
              <w:spacing w:after="0" w:line="240" w:lineRule="auto"/>
              <w:jc w:val="center"/>
              <w:rPr>
                <w:rFonts w:ascii="Arial" w:eastAsia="Times New Roman" w:hAnsi="Arial" w:cs="Arial"/>
                <w:color w:val="000000"/>
                <w:sz w:val="16"/>
                <w:szCs w:val="16"/>
              </w:rPr>
            </w:pPr>
            <w:r w:rsidRPr="00934C02">
              <w:rPr>
                <w:rFonts w:ascii="Arial" w:eastAsia="Times New Roman" w:hAnsi="Arial" w:cs="Arial"/>
                <w:color w:val="000000"/>
                <w:sz w:val="16"/>
                <w:szCs w:val="16"/>
              </w:rPr>
              <w:t>Vaslui</w:t>
            </w:r>
            <w:r w:rsidRPr="00934C02">
              <w:rPr>
                <w:rFonts w:ascii="Arial" w:eastAsia="Times New Roman" w:hAnsi="Arial" w:cs="Arial"/>
                <w:color w:val="000000"/>
                <w:sz w:val="16"/>
                <w:szCs w:val="16"/>
              </w:rPr>
              <w:br/>
              <w:t>str.Podul Inalt, nr.9, tel.0235/360309, persoana de contact: Sandu Hriscu</w:t>
            </w:r>
          </w:p>
        </w:tc>
        <w:tc>
          <w:tcPr>
            <w:tcW w:w="3240" w:type="dxa"/>
            <w:tcBorders>
              <w:top w:val="nil"/>
              <w:left w:val="nil"/>
              <w:bottom w:val="single" w:sz="4" w:space="0" w:color="auto"/>
              <w:right w:val="single" w:sz="4" w:space="0" w:color="auto"/>
            </w:tcBorders>
            <w:shd w:val="clear" w:color="auto" w:fill="auto"/>
            <w:vAlign w:val="center"/>
            <w:hideMark/>
          </w:tcPr>
          <w:p w:rsidR="00934C02" w:rsidRPr="00934C02" w:rsidRDefault="00934C02" w:rsidP="00934C02">
            <w:pPr>
              <w:spacing w:after="0" w:line="240" w:lineRule="auto"/>
              <w:jc w:val="center"/>
              <w:rPr>
                <w:rFonts w:ascii="Arial" w:eastAsia="Times New Roman" w:hAnsi="Arial" w:cs="Arial"/>
                <w:color w:val="000000"/>
                <w:sz w:val="16"/>
                <w:szCs w:val="16"/>
              </w:rPr>
            </w:pPr>
            <w:r w:rsidRPr="00934C02">
              <w:rPr>
                <w:rFonts w:ascii="Arial" w:eastAsia="Times New Roman" w:hAnsi="Arial" w:cs="Arial"/>
                <w:color w:val="000000"/>
                <w:sz w:val="16"/>
                <w:szCs w:val="16"/>
              </w:rPr>
              <w:t>Vaslui</w:t>
            </w:r>
            <w:r w:rsidRPr="00934C02">
              <w:rPr>
                <w:rFonts w:ascii="Arial" w:eastAsia="Times New Roman" w:hAnsi="Arial" w:cs="Arial"/>
                <w:color w:val="000000"/>
                <w:sz w:val="16"/>
                <w:szCs w:val="16"/>
              </w:rPr>
              <w:br/>
              <w:t>str. Agroindustriala, nr.4, tel.0235/360309, persoana de contact: Chimu Iulian</w:t>
            </w:r>
          </w:p>
        </w:tc>
        <w:tc>
          <w:tcPr>
            <w:tcW w:w="2880" w:type="dxa"/>
            <w:tcBorders>
              <w:top w:val="nil"/>
              <w:left w:val="nil"/>
              <w:bottom w:val="single" w:sz="4" w:space="0" w:color="auto"/>
              <w:right w:val="single" w:sz="4" w:space="0" w:color="auto"/>
            </w:tcBorders>
            <w:shd w:val="clear" w:color="auto" w:fill="auto"/>
            <w:vAlign w:val="center"/>
            <w:hideMark/>
          </w:tcPr>
          <w:p w:rsidR="00934C02" w:rsidRPr="00934C02" w:rsidRDefault="00934C02" w:rsidP="00934C02">
            <w:pPr>
              <w:spacing w:after="0" w:line="240" w:lineRule="auto"/>
              <w:jc w:val="center"/>
              <w:rPr>
                <w:rFonts w:ascii="Arial" w:eastAsia="Times New Roman" w:hAnsi="Arial" w:cs="Arial"/>
                <w:color w:val="000000"/>
                <w:sz w:val="16"/>
                <w:szCs w:val="16"/>
              </w:rPr>
            </w:pPr>
            <w:r w:rsidRPr="00934C02">
              <w:rPr>
                <w:rFonts w:ascii="Arial" w:eastAsia="Times New Roman" w:hAnsi="Arial" w:cs="Arial"/>
                <w:color w:val="000000"/>
                <w:sz w:val="16"/>
                <w:szCs w:val="16"/>
              </w:rPr>
              <w:t xml:space="preserve">Autorizaţia de mediu, </w:t>
            </w:r>
            <w:r w:rsidRPr="00934C02">
              <w:rPr>
                <w:rFonts w:ascii="Arial" w:eastAsia="Times New Roman" w:hAnsi="Arial" w:cs="Arial"/>
                <w:color w:val="000000"/>
                <w:sz w:val="16"/>
                <w:szCs w:val="16"/>
              </w:rPr>
              <w:br/>
              <w:t xml:space="preserve">Nr.82/12.08.2009, rev. 19.07.2011, valabilitate 12.08.2019.  </w:t>
            </w:r>
          </w:p>
        </w:tc>
      </w:tr>
      <w:tr w:rsidR="00934C02" w:rsidRPr="00934C02" w:rsidTr="00934C02">
        <w:trPr>
          <w:trHeight w:val="971"/>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C02" w:rsidRPr="00934C02" w:rsidRDefault="00934C02" w:rsidP="00934C02">
            <w:pPr>
              <w:spacing w:after="0" w:line="240" w:lineRule="auto"/>
              <w:jc w:val="center"/>
              <w:rPr>
                <w:rFonts w:ascii="Arial" w:eastAsia="Times New Roman" w:hAnsi="Arial" w:cs="Arial"/>
                <w:color w:val="000000"/>
                <w:sz w:val="16"/>
                <w:szCs w:val="16"/>
              </w:rPr>
            </w:pPr>
            <w:r w:rsidRPr="00934C02">
              <w:rPr>
                <w:rFonts w:ascii="Arial" w:eastAsia="Times New Roman" w:hAnsi="Arial" w:cs="Arial"/>
                <w:color w:val="000000"/>
                <w:sz w:val="16"/>
                <w:szCs w:val="16"/>
              </w:rPr>
              <w:t>Vaslui</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934C02" w:rsidRPr="00934C02" w:rsidRDefault="00934C02" w:rsidP="00934C02">
            <w:pPr>
              <w:spacing w:after="0" w:line="240" w:lineRule="auto"/>
              <w:jc w:val="center"/>
              <w:rPr>
                <w:rFonts w:ascii="Arial" w:eastAsia="Times New Roman" w:hAnsi="Arial" w:cs="Arial"/>
                <w:color w:val="000000"/>
                <w:sz w:val="16"/>
                <w:szCs w:val="16"/>
              </w:rPr>
            </w:pPr>
            <w:r w:rsidRPr="00934C02">
              <w:rPr>
                <w:rFonts w:ascii="Arial" w:eastAsia="Times New Roman" w:hAnsi="Arial" w:cs="Arial"/>
                <w:color w:val="000000"/>
                <w:sz w:val="16"/>
                <w:szCs w:val="16"/>
              </w:rPr>
              <w:t>S.C. COM ECOSAL SRL</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rsidR="00934C02" w:rsidRPr="00934C02" w:rsidRDefault="00934C02" w:rsidP="00934C02">
            <w:pPr>
              <w:spacing w:after="0" w:line="240" w:lineRule="auto"/>
              <w:jc w:val="center"/>
              <w:rPr>
                <w:rFonts w:ascii="Arial" w:eastAsia="Times New Roman" w:hAnsi="Arial" w:cs="Arial"/>
                <w:color w:val="000000"/>
                <w:sz w:val="16"/>
                <w:szCs w:val="16"/>
              </w:rPr>
            </w:pPr>
            <w:r w:rsidRPr="00934C02">
              <w:rPr>
                <w:rFonts w:ascii="Arial" w:eastAsia="Times New Roman" w:hAnsi="Arial" w:cs="Arial"/>
                <w:color w:val="000000"/>
                <w:sz w:val="16"/>
                <w:szCs w:val="16"/>
              </w:rPr>
              <w:t>Vaslui</w:t>
            </w:r>
            <w:r w:rsidRPr="00934C02">
              <w:rPr>
                <w:rFonts w:ascii="Arial" w:eastAsia="Times New Roman" w:hAnsi="Arial" w:cs="Arial"/>
                <w:color w:val="000000"/>
                <w:sz w:val="16"/>
                <w:szCs w:val="16"/>
              </w:rPr>
              <w:br/>
              <w:t>str.Podul Inalt, nr.9, tel.0235/360309, persoana de contact: Sandu Hriscu</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rsidR="00934C02" w:rsidRPr="00934C02" w:rsidRDefault="00934C02" w:rsidP="00934C02">
            <w:pPr>
              <w:spacing w:after="0" w:line="240" w:lineRule="auto"/>
              <w:jc w:val="center"/>
              <w:rPr>
                <w:rFonts w:ascii="Arial" w:eastAsia="Times New Roman" w:hAnsi="Arial" w:cs="Arial"/>
                <w:color w:val="000000"/>
                <w:sz w:val="16"/>
                <w:szCs w:val="16"/>
              </w:rPr>
            </w:pPr>
            <w:r w:rsidRPr="00934C02">
              <w:rPr>
                <w:rFonts w:ascii="Arial" w:eastAsia="Times New Roman" w:hAnsi="Arial" w:cs="Arial"/>
                <w:color w:val="000000"/>
                <w:sz w:val="16"/>
                <w:szCs w:val="16"/>
              </w:rPr>
              <w:t>Barlad,</w:t>
            </w:r>
            <w:r w:rsidRPr="00934C02">
              <w:rPr>
                <w:rFonts w:ascii="Arial" w:eastAsia="Times New Roman" w:hAnsi="Arial" w:cs="Arial"/>
                <w:color w:val="000000"/>
                <w:sz w:val="16"/>
                <w:szCs w:val="16"/>
              </w:rPr>
              <w:br/>
              <w:t xml:space="preserve">str.Capitan Grigore Ignat , tel.0235/360309, </w:t>
            </w:r>
          </w:p>
        </w:tc>
        <w:tc>
          <w:tcPr>
            <w:tcW w:w="2880" w:type="dxa"/>
            <w:tcBorders>
              <w:top w:val="single" w:sz="4" w:space="0" w:color="auto"/>
              <w:left w:val="nil"/>
              <w:bottom w:val="single" w:sz="4" w:space="0" w:color="auto"/>
              <w:right w:val="single" w:sz="4" w:space="0" w:color="auto"/>
            </w:tcBorders>
            <w:shd w:val="clear" w:color="auto" w:fill="auto"/>
            <w:vAlign w:val="center"/>
            <w:hideMark/>
          </w:tcPr>
          <w:p w:rsidR="00934C02" w:rsidRPr="00934C02" w:rsidRDefault="00934C02" w:rsidP="00934C02">
            <w:pPr>
              <w:spacing w:after="0" w:line="240" w:lineRule="auto"/>
              <w:jc w:val="center"/>
              <w:rPr>
                <w:rFonts w:ascii="Arial" w:eastAsia="Times New Roman" w:hAnsi="Arial" w:cs="Arial"/>
                <w:color w:val="000000"/>
                <w:sz w:val="16"/>
                <w:szCs w:val="16"/>
              </w:rPr>
            </w:pPr>
            <w:r w:rsidRPr="00934C02">
              <w:rPr>
                <w:rFonts w:ascii="Arial" w:eastAsia="Times New Roman" w:hAnsi="Arial" w:cs="Arial"/>
                <w:color w:val="000000"/>
                <w:sz w:val="16"/>
                <w:szCs w:val="16"/>
              </w:rPr>
              <w:t xml:space="preserve">Autorizaţia de mediu, </w:t>
            </w:r>
            <w:r w:rsidRPr="00934C02">
              <w:rPr>
                <w:rFonts w:ascii="Arial" w:eastAsia="Times New Roman" w:hAnsi="Arial" w:cs="Arial"/>
                <w:color w:val="000000"/>
                <w:sz w:val="16"/>
                <w:szCs w:val="16"/>
              </w:rPr>
              <w:br/>
              <w:t xml:space="preserve">nr. 65 din 03.05.2012  valabilitate 03.05.2022.  </w:t>
            </w:r>
          </w:p>
        </w:tc>
      </w:tr>
      <w:tr w:rsidR="00934C02" w:rsidRPr="00934C02" w:rsidTr="00934C02">
        <w:trPr>
          <w:trHeight w:val="836"/>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C02" w:rsidRPr="00934C02" w:rsidRDefault="00934C02" w:rsidP="00934C02">
            <w:pPr>
              <w:spacing w:after="0" w:line="240" w:lineRule="auto"/>
              <w:jc w:val="center"/>
              <w:rPr>
                <w:rFonts w:ascii="Arial" w:eastAsia="Times New Roman" w:hAnsi="Arial" w:cs="Arial"/>
                <w:color w:val="000000"/>
                <w:sz w:val="16"/>
                <w:szCs w:val="16"/>
              </w:rPr>
            </w:pPr>
            <w:r w:rsidRPr="00934C02">
              <w:rPr>
                <w:rFonts w:ascii="Arial" w:eastAsia="Times New Roman" w:hAnsi="Arial" w:cs="Arial"/>
                <w:color w:val="000000"/>
                <w:sz w:val="16"/>
                <w:szCs w:val="16"/>
              </w:rPr>
              <w:t>Vaslui</w:t>
            </w:r>
          </w:p>
        </w:tc>
        <w:tc>
          <w:tcPr>
            <w:tcW w:w="2070" w:type="dxa"/>
            <w:tcBorders>
              <w:top w:val="single" w:sz="4" w:space="0" w:color="auto"/>
              <w:left w:val="nil"/>
              <w:bottom w:val="single" w:sz="4" w:space="0" w:color="auto"/>
              <w:right w:val="single" w:sz="4" w:space="0" w:color="auto"/>
            </w:tcBorders>
            <w:shd w:val="clear" w:color="000000" w:fill="FFFFFF"/>
            <w:vAlign w:val="center"/>
            <w:hideMark/>
          </w:tcPr>
          <w:p w:rsidR="00934C02" w:rsidRPr="00934C02" w:rsidRDefault="00934C02" w:rsidP="00934C02">
            <w:pPr>
              <w:spacing w:after="0" w:line="240" w:lineRule="auto"/>
              <w:jc w:val="center"/>
              <w:rPr>
                <w:rFonts w:ascii="Arial" w:eastAsia="Times New Roman" w:hAnsi="Arial" w:cs="Arial"/>
                <w:sz w:val="16"/>
                <w:szCs w:val="16"/>
              </w:rPr>
            </w:pPr>
            <w:r w:rsidRPr="00934C02">
              <w:rPr>
                <w:rFonts w:ascii="Arial" w:eastAsia="Times New Roman" w:hAnsi="Arial" w:cs="Arial"/>
                <w:sz w:val="16"/>
                <w:szCs w:val="16"/>
              </w:rPr>
              <w:t>SC ECOREC RECYCLING SRL Bacau</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rsidR="00934C02" w:rsidRPr="00934C02" w:rsidRDefault="00934C02" w:rsidP="00934C02">
            <w:pPr>
              <w:spacing w:after="0" w:line="240" w:lineRule="auto"/>
              <w:jc w:val="center"/>
              <w:rPr>
                <w:rFonts w:ascii="Arial" w:eastAsia="Times New Roman" w:hAnsi="Arial" w:cs="Arial"/>
                <w:color w:val="000000"/>
                <w:sz w:val="16"/>
                <w:szCs w:val="16"/>
              </w:rPr>
            </w:pPr>
            <w:r w:rsidRPr="00934C02">
              <w:rPr>
                <w:rFonts w:ascii="Arial" w:eastAsia="Times New Roman" w:hAnsi="Arial" w:cs="Arial"/>
                <w:color w:val="000000"/>
                <w:sz w:val="16"/>
                <w:szCs w:val="16"/>
              </w:rPr>
              <w:t>Buhusi</w:t>
            </w:r>
            <w:r w:rsidRPr="00934C02">
              <w:rPr>
                <w:rFonts w:ascii="Arial" w:eastAsia="Times New Roman" w:hAnsi="Arial" w:cs="Arial"/>
                <w:color w:val="000000"/>
                <w:sz w:val="16"/>
                <w:szCs w:val="16"/>
              </w:rPr>
              <w:br/>
              <w:t xml:space="preserve"> str. Libertatii, nr.36, zona Chebac, jud. Bacau, persoana contact:Loredana Ianau, tel. 0745019790</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rsidR="00934C02" w:rsidRPr="00934C02" w:rsidRDefault="00934C02" w:rsidP="00934C02">
            <w:pPr>
              <w:spacing w:after="0" w:line="240" w:lineRule="auto"/>
              <w:jc w:val="center"/>
              <w:rPr>
                <w:rFonts w:ascii="Arial" w:eastAsia="Times New Roman" w:hAnsi="Arial" w:cs="Arial"/>
                <w:color w:val="000000"/>
                <w:sz w:val="16"/>
                <w:szCs w:val="16"/>
              </w:rPr>
            </w:pPr>
            <w:r w:rsidRPr="00934C02">
              <w:rPr>
                <w:rFonts w:ascii="Arial" w:eastAsia="Times New Roman" w:hAnsi="Arial" w:cs="Arial"/>
                <w:color w:val="000000"/>
                <w:sz w:val="16"/>
                <w:szCs w:val="16"/>
              </w:rPr>
              <w:t xml:space="preserve">Vaslui, </w:t>
            </w:r>
            <w:r w:rsidRPr="00934C02">
              <w:rPr>
                <w:rFonts w:ascii="Arial" w:eastAsia="Times New Roman" w:hAnsi="Arial" w:cs="Arial"/>
                <w:color w:val="000000"/>
                <w:sz w:val="16"/>
                <w:szCs w:val="16"/>
              </w:rPr>
              <w:br/>
              <w:t>str. Fabricii, nr.1, jud. Vaslui, persoana contact: Zaharia I., tel. 0743058745</w:t>
            </w:r>
          </w:p>
        </w:tc>
        <w:tc>
          <w:tcPr>
            <w:tcW w:w="2880" w:type="dxa"/>
            <w:tcBorders>
              <w:top w:val="single" w:sz="4" w:space="0" w:color="auto"/>
              <w:left w:val="nil"/>
              <w:bottom w:val="single" w:sz="4" w:space="0" w:color="auto"/>
              <w:right w:val="single" w:sz="4" w:space="0" w:color="auto"/>
            </w:tcBorders>
            <w:shd w:val="clear" w:color="auto" w:fill="auto"/>
            <w:vAlign w:val="center"/>
            <w:hideMark/>
          </w:tcPr>
          <w:p w:rsidR="00934C02" w:rsidRPr="00934C02" w:rsidRDefault="00934C02" w:rsidP="00934C02">
            <w:pPr>
              <w:spacing w:after="0" w:line="240" w:lineRule="auto"/>
              <w:jc w:val="center"/>
              <w:rPr>
                <w:rFonts w:ascii="Arial" w:eastAsia="Times New Roman" w:hAnsi="Arial" w:cs="Arial"/>
                <w:color w:val="000000"/>
                <w:sz w:val="16"/>
                <w:szCs w:val="16"/>
              </w:rPr>
            </w:pPr>
            <w:r w:rsidRPr="00934C02">
              <w:rPr>
                <w:rFonts w:ascii="Arial" w:eastAsia="Times New Roman" w:hAnsi="Arial" w:cs="Arial"/>
                <w:color w:val="000000"/>
                <w:sz w:val="16"/>
                <w:szCs w:val="16"/>
              </w:rPr>
              <w:t xml:space="preserve">Autorizaţia de mediu, </w:t>
            </w:r>
            <w:r w:rsidRPr="00934C02">
              <w:rPr>
                <w:rFonts w:ascii="Arial" w:eastAsia="Times New Roman" w:hAnsi="Arial" w:cs="Arial"/>
                <w:color w:val="000000"/>
                <w:sz w:val="16"/>
                <w:szCs w:val="16"/>
              </w:rPr>
              <w:br/>
              <w:t xml:space="preserve">Nr.181/05.07.2013, rev. 06.06.2016 valabilitate 04.07.2023 </w:t>
            </w:r>
          </w:p>
        </w:tc>
      </w:tr>
      <w:tr w:rsidR="00934C02" w:rsidRPr="00934C02" w:rsidTr="00934C02">
        <w:trPr>
          <w:trHeight w:val="836"/>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4C02" w:rsidRPr="00934C02" w:rsidRDefault="00934C02" w:rsidP="00934C02">
            <w:pPr>
              <w:spacing w:after="0" w:line="240" w:lineRule="auto"/>
              <w:jc w:val="center"/>
              <w:rPr>
                <w:rFonts w:ascii="Arial" w:eastAsia="Times New Roman" w:hAnsi="Arial" w:cs="Arial"/>
                <w:color w:val="000000"/>
                <w:sz w:val="16"/>
                <w:szCs w:val="16"/>
              </w:rPr>
            </w:pPr>
            <w:r w:rsidRPr="00934C02">
              <w:rPr>
                <w:rFonts w:ascii="Arial" w:eastAsia="Times New Roman" w:hAnsi="Arial" w:cs="Arial"/>
                <w:color w:val="000000"/>
                <w:sz w:val="16"/>
                <w:szCs w:val="16"/>
              </w:rPr>
              <w:t>Vaslui</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934C02" w:rsidRPr="00934C02" w:rsidRDefault="00934C02" w:rsidP="00934C02">
            <w:pPr>
              <w:spacing w:after="0" w:line="240" w:lineRule="auto"/>
              <w:jc w:val="center"/>
              <w:rPr>
                <w:rFonts w:ascii="Arial" w:eastAsia="Times New Roman" w:hAnsi="Arial" w:cs="Arial"/>
                <w:color w:val="000000"/>
                <w:sz w:val="16"/>
                <w:szCs w:val="16"/>
              </w:rPr>
            </w:pPr>
            <w:r w:rsidRPr="00934C02">
              <w:rPr>
                <w:rFonts w:ascii="Arial" w:eastAsia="Times New Roman" w:hAnsi="Arial" w:cs="Arial"/>
                <w:color w:val="000000"/>
                <w:sz w:val="16"/>
                <w:szCs w:val="16"/>
              </w:rPr>
              <w:t>SC GOSCOM SA VASLUI</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rsidR="00934C02" w:rsidRPr="00934C02" w:rsidRDefault="00934C02" w:rsidP="00934C02">
            <w:pPr>
              <w:spacing w:after="0" w:line="240" w:lineRule="auto"/>
              <w:jc w:val="center"/>
              <w:rPr>
                <w:rFonts w:ascii="Arial" w:eastAsia="Times New Roman" w:hAnsi="Arial" w:cs="Arial"/>
                <w:color w:val="000000"/>
                <w:sz w:val="16"/>
                <w:szCs w:val="16"/>
              </w:rPr>
            </w:pPr>
            <w:r w:rsidRPr="00934C02">
              <w:rPr>
                <w:rFonts w:ascii="Arial" w:eastAsia="Times New Roman" w:hAnsi="Arial" w:cs="Arial"/>
                <w:color w:val="000000"/>
                <w:sz w:val="16"/>
                <w:szCs w:val="16"/>
              </w:rPr>
              <w:t xml:space="preserve"> Vaslui, </w:t>
            </w:r>
            <w:r w:rsidRPr="00934C02">
              <w:rPr>
                <w:rFonts w:ascii="Arial" w:eastAsia="Times New Roman" w:hAnsi="Arial" w:cs="Arial"/>
                <w:color w:val="000000"/>
                <w:sz w:val="16"/>
                <w:szCs w:val="16"/>
              </w:rPr>
              <w:br/>
              <w:t>str. Donici, nr. 23, jud. Vaslui, tel. 0235/314070, int. 113, persoana de  contact: Dan Zaharia</w:t>
            </w:r>
          </w:p>
        </w:tc>
        <w:tc>
          <w:tcPr>
            <w:tcW w:w="3240" w:type="dxa"/>
            <w:tcBorders>
              <w:top w:val="single" w:sz="4" w:space="0" w:color="auto"/>
              <w:left w:val="nil"/>
              <w:bottom w:val="single" w:sz="4" w:space="0" w:color="auto"/>
              <w:right w:val="single" w:sz="4" w:space="0" w:color="auto"/>
            </w:tcBorders>
            <w:shd w:val="clear" w:color="auto" w:fill="auto"/>
            <w:vAlign w:val="center"/>
            <w:hideMark/>
          </w:tcPr>
          <w:p w:rsidR="00934C02" w:rsidRPr="00934C02" w:rsidRDefault="00934C02" w:rsidP="00934C02">
            <w:pPr>
              <w:spacing w:after="0" w:line="240" w:lineRule="auto"/>
              <w:jc w:val="center"/>
              <w:rPr>
                <w:rFonts w:ascii="Arial" w:eastAsia="Times New Roman" w:hAnsi="Arial" w:cs="Arial"/>
                <w:color w:val="000000"/>
                <w:sz w:val="16"/>
                <w:szCs w:val="16"/>
              </w:rPr>
            </w:pPr>
            <w:r w:rsidRPr="00934C02">
              <w:rPr>
                <w:rFonts w:ascii="Arial" w:eastAsia="Times New Roman" w:hAnsi="Arial" w:cs="Arial"/>
                <w:color w:val="000000"/>
                <w:sz w:val="16"/>
                <w:szCs w:val="16"/>
              </w:rPr>
              <w:t xml:space="preserve"> Vaslui </w:t>
            </w:r>
            <w:r w:rsidRPr="00934C02">
              <w:rPr>
                <w:rFonts w:ascii="Arial" w:eastAsia="Times New Roman" w:hAnsi="Arial" w:cs="Arial"/>
                <w:color w:val="000000"/>
                <w:sz w:val="16"/>
                <w:szCs w:val="16"/>
              </w:rPr>
              <w:br/>
              <w:t>str. Alexandru cel Bun, nr. 8 bis, jud. Vaslui, tel. 0235/314070, int. 113</w:t>
            </w:r>
          </w:p>
        </w:tc>
        <w:tc>
          <w:tcPr>
            <w:tcW w:w="2880" w:type="dxa"/>
            <w:tcBorders>
              <w:top w:val="single" w:sz="4" w:space="0" w:color="auto"/>
              <w:left w:val="nil"/>
              <w:bottom w:val="single" w:sz="4" w:space="0" w:color="auto"/>
              <w:right w:val="single" w:sz="4" w:space="0" w:color="auto"/>
            </w:tcBorders>
            <w:shd w:val="clear" w:color="auto" w:fill="auto"/>
            <w:vAlign w:val="center"/>
            <w:hideMark/>
          </w:tcPr>
          <w:p w:rsidR="00934C02" w:rsidRPr="00934C02" w:rsidRDefault="00934C02" w:rsidP="00934C02">
            <w:pPr>
              <w:spacing w:after="0" w:line="240" w:lineRule="auto"/>
              <w:jc w:val="center"/>
              <w:rPr>
                <w:rFonts w:ascii="Arial" w:eastAsia="Times New Roman" w:hAnsi="Arial" w:cs="Arial"/>
                <w:color w:val="000000"/>
                <w:sz w:val="16"/>
                <w:szCs w:val="16"/>
              </w:rPr>
            </w:pPr>
            <w:r w:rsidRPr="00934C02">
              <w:rPr>
                <w:rFonts w:ascii="Arial" w:eastAsia="Times New Roman" w:hAnsi="Arial" w:cs="Arial"/>
                <w:color w:val="000000"/>
                <w:sz w:val="16"/>
                <w:szCs w:val="16"/>
              </w:rPr>
              <w:t xml:space="preserve">Autorizaţie mediu </w:t>
            </w:r>
            <w:r w:rsidRPr="00934C02">
              <w:rPr>
                <w:rFonts w:ascii="Arial" w:eastAsia="Times New Roman" w:hAnsi="Arial" w:cs="Arial"/>
                <w:color w:val="000000"/>
                <w:sz w:val="16"/>
                <w:szCs w:val="16"/>
              </w:rPr>
              <w:br/>
              <w:t>nr. 17/09.02.2011, rev. 07.12.2015 valabilitate 09.02.2021</w:t>
            </w:r>
          </w:p>
        </w:tc>
      </w:tr>
      <w:tr w:rsidR="00934C02" w:rsidRPr="00934C02" w:rsidTr="00934C02">
        <w:trPr>
          <w:trHeight w:val="1079"/>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934C02" w:rsidRPr="00934C02" w:rsidRDefault="00934C02" w:rsidP="00934C02">
            <w:pPr>
              <w:spacing w:after="0" w:line="240" w:lineRule="auto"/>
              <w:jc w:val="center"/>
              <w:rPr>
                <w:rFonts w:ascii="Arial" w:eastAsia="Times New Roman" w:hAnsi="Arial" w:cs="Arial"/>
                <w:color w:val="000000"/>
                <w:sz w:val="16"/>
                <w:szCs w:val="16"/>
              </w:rPr>
            </w:pPr>
            <w:r w:rsidRPr="00934C02">
              <w:rPr>
                <w:rFonts w:ascii="Arial" w:eastAsia="Times New Roman" w:hAnsi="Arial" w:cs="Arial"/>
                <w:color w:val="000000"/>
                <w:sz w:val="16"/>
                <w:szCs w:val="16"/>
              </w:rPr>
              <w:t>Vaslui</w:t>
            </w:r>
          </w:p>
        </w:tc>
        <w:tc>
          <w:tcPr>
            <w:tcW w:w="2070" w:type="dxa"/>
            <w:tcBorders>
              <w:top w:val="nil"/>
              <w:left w:val="nil"/>
              <w:bottom w:val="single" w:sz="4" w:space="0" w:color="auto"/>
              <w:right w:val="single" w:sz="4" w:space="0" w:color="auto"/>
            </w:tcBorders>
            <w:shd w:val="clear" w:color="auto" w:fill="auto"/>
            <w:vAlign w:val="center"/>
            <w:hideMark/>
          </w:tcPr>
          <w:p w:rsidR="00934C02" w:rsidRPr="00934C02" w:rsidRDefault="00934C02" w:rsidP="00934C02">
            <w:pPr>
              <w:spacing w:after="0" w:line="240" w:lineRule="auto"/>
              <w:jc w:val="center"/>
              <w:rPr>
                <w:rFonts w:ascii="Arial" w:eastAsia="Times New Roman" w:hAnsi="Arial" w:cs="Arial"/>
                <w:color w:val="000000"/>
                <w:sz w:val="16"/>
                <w:szCs w:val="16"/>
              </w:rPr>
            </w:pPr>
            <w:r w:rsidRPr="00934C02">
              <w:rPr>
                <w:rFonts w:ascii="Arial" w:eastAsia="Times New Roman" w:hAnsi="Arial" w:cs="Arial"/>
                <w:color w:val="000000"/>
                <w:sz w:val="16"/>
                <w:szCs w:val="16"/>
              </w:rPr>
              <w:t>SC ECOSALUBRIZARE PREST SRL Husi</w:t>
            </w:r>
          </w:p>
        </w:tc>
        <w:tc>
          <w:tcPr>
            <w:tcW w:w="3240" w:type="dxa"/>
            <w:tcBorders>
              <w:top w:val="nil"/>
              <w:left w:val="nil"/>
              <w:bottom w:val="single" w:sz="4" w:space="0" w:color="auto"/>
              <w:right w:val="single" w:sz="4" w:space="0" w:color="auto"/>
            </w:tcBorders>
            <w:shd w:val="clear" w:color="auto" w:fill="auto"/>
            <w:vAlign w:val="center"/>
            <w:hideMark/>
          </w:tcPr>
          <w:p w:rsidR="00934C02" w:rsidRPr="00934C02" w:rsidRDefault="00934C02" w:rsidP="00934C02">
            <w:pPr>
              <w:spacing w:after="0" w:line="240" w:lineRule="auto"/>
              <w:jc w:val="center"/>
              <w:rPr>
                <w:rFonts w:ascii="Arial" w:eastAsia="Times New Roman" w:hAnsi="Arial" w:cs="Arial"/>
                <w:color w:val="000000"/>
                <w:sz w:val="16"/>
                <w:szCs w:val="16"/>
              </w:rPr>
            </w:pPr>
            <w:r w:rsidRPr="00934C02">
              <w:rPr>
                <w:rFonts w:ascii="Arial" w:eastAsia="Times New Roman" w:hAnsi="Arial" w:cs="Arial"/>
                <w:color w:val="000000"/>
                <w:sz w:val="16"/>
                <w:szCs w:val="16"/>
              </w:rPr>
              <w:t xml:space="preserve">Husi, </w:t>
            </w:r>
            <w:r w:rsidRPr="00934C02">
              <w:rPr>
                <w:rFonts w:ascii="Arial" w:eastAsia="Times New Roman" w:hAnsi="Arial" w:cs="Arial"/>
                <w:color w:val="000000"/>
                <w:sz w:val="16"/>
                <w:szCs w:val="16"/>
              </w:rPr>
              <w:br/>
              <w:t>str. Stefan cel Mare, nr. 18, tel. 0235/480511,  persoana de contact: Maxim Carmen, 0743/117479</w:t>
            </w:r>
          </w:p>
        </w:tc>
        <w:tc>
          <w:tcPr>
            <w:tcW w:w="3240" w:type="dxa"/>
            <w:tcBorders>
              <w:top w:val="nil"/>
              <w:left w:val="nil"/>
              <w:bottom w:val="single" w:sz="4" w:space="0" w:color="auto"/>
              <w:right w:val="single" w:sz="4" w:space="0" w:color="auto"/>
            </w:tcBorders>
            <w:shd w:val="clear" w:color="auto" w:fill="auto"/>
            <w:vAlign w:val="center"/>
            <w:hideMark/>
          </w:tcPr>
          <w:p w:rsidR="00934C02" w:rsidRPr="00934C02" w:rsidRDefault="00934C02" w:rsidP="00934C02">
            <w:pPr>
              <w:spacing w:after="0" w:line="240" w:lineRule="auto"/>
              <w:jc w:val="center"/>
              <w:rPr>
                <w:rFonts w:ascii="Arial" w:eastAsia="Times New Roman" w:hAnsi="Arial" w:cs="Arial"/>
                <w:color w:val="000000"/>
                <w:sz w:val="16"/>
                <w:szCs w:val="16"/>
              </w:rPr>
            </w:pPr>
            <w:r w:rsidRPr="00934C02">
              <w:rPr>
                <w:rFonts w:ascii="Arial" w:eastAsia="Times New Roman" w:hAnsi="Arial" w:cs="Arial"/>
                <w:color w:val="000000"/>
                <w:sz w:val="16"/>
                <w:szCs w:val="16"/>
              </w:rPr>
              <w:t xml:space="preserve">Husi, </w:t>
            </w:r>
            <w:r w:rsidRPr="00934C02">
              <w:rPr>
                <w:rFonts w:ascii="Arial" w:eastAsia="Times New Roman" w:hAnsi="Arial" w:cs="Arial"/>
                <w:color w:val="000000"/>
                <w:sz w:val="16"/>
                <w:szCs w:val="16"/>
              </w:rPr>
              <w:br/>
              <w:t>str. Stefan cel Mare, nr. 18, tel. 0235/480511, persoana de contact: Maxim Carmen</w:t>
            </w:r>
          </w:p>
        </w:tc>
        <w:tc>
          <w:tcPr>
            <w:tcW w:w="2880" w:type="dxa"/>
            <w:tcBorders>
              <w:top w:val="nil"/>
              <w:left w:val="nil"/>
              <w:bottom w:val="single" w:sz="4" w:space="0" w:color="auto"/>
              <w:right w:val="single" w:sz="4" w:space="0" w:color="auto"/>
            </w:tcBorders>
            <w:shd w:val="clear" w:color="auto" w:fill="auto"/>
            <w:vAlign w:val="center"/>
            <w:hideMark/>
          </w:tcPr>
          <w:p w:rsidR="00934C02" w:rsidRPr="00934C02" w:rsidRDefault="00934C02" w:rsidP="00934C02">
            <w:pPr>
              <w:spacing w:after="0" w:line="240" w:lineRule="auto"/>
              <w:jc w:val="center"/>
              <w:rPr>
                <w:rFonts w:ascii="Arial" w:eastAsia="Times New Roman" w:hAnsi="Arial" w:cs="Arial"/>
                <w:color w:val="000000"/>
                <w:sz w:val="16"/>
                <w:szCs w:val="16"/>
              </w:rPr>
            </w:pPr>
            <w:r w:rsidRPr="00934C02">
              <w:rPr>
                <w:rFonts w:ascii="Arial" w:eastAsia="Times New Roman" w:hAnsi="Arial" w:cs="Arial"/>
                <w:color w:val="000000"/>
                <w:sz w:val="16"/>
                <w:szCs w:val="16"/>
              </w:rPr>
              <w:t xml:space="preserve">Autoriraţie de mediu </w:t>
            </w:r>
            <w:r w:rsidRPr="00934C02">
              <w:rPr>
                <w:rFonts w:ascii="Arial" w:eastAsia="Times New Roman" w:hAnsi="Arial" w:cs="Arial"/>
                <w:color w:val="000000"/>
                <w:sz w:val="16"/>
                <w:szCs w:val="16"/>
              </w:rPr>
              <w:br/>
              <w:t>nr. 107/27.10.2011 valabilitate 26.10.2021</w:t>
            </w:r>
          </w:p>
        </w:tc>
      </w:tr>
    </w:tbl>
    <w:p w:rsidR="00934C02" w:rsidRPr="00934C02" w:rsidRDefault="00934C02" w:rsidP="00934C02">
      <w:pPr>
        <w:tabs>
          <w:tab w:val="left" w:pos="1140"/>
        </w:tabs>
        <w:spacing w:after="0" w:line="240" w:lineRule="auto"/>
        <w:rPr>
          <w:rFonts w:ascii="Arial" w:hAnsi="Arial" w:cs="Arial"/>
          <w:color w:val="000000"/>
          <w:sz w:val="24"/>
          <w:szCs w:val="24"/>
        </w:rPr>
      </w:pPr>
    </w:p>
    <w:p w:rsidR="00934C02" w:rsidRPr="00934C02" w:rsidRDefault="00934C02" w:rsidP="00934C02">
      <w:pPr>
        <w:spacing w:after="0" w:line="240" w:lineRule="auto"/>
        <w:jc w:val="both"/>
        <w:rPr>
          <w:rFonts w:ascii="Arial" w:eastAsia="Times New Roman" w:hAnsi="Arial" w:cs="Arial"/>
          <w:sz w:val="24"/>
          <w:szCs w:val="24"/>
        </w:rPr>
      </w:pPr>
      <w:r w:rsidRPr="00934C02">
        <w:rPr>
          <w:rFonts w:ascii="Arial" w:eastAsia="Times New Roman" w:hAnsi="Arial" w:cs="Arial"/>
          <w:sz w:val="24"/>
          <w:szCs w:val="24"/>
        </w:rPr>
        <w:t>În urma acţiunilor de colectare a</w:t>
      </w:r>
      <w:r w:rsidRPr="00934C02">
        <w:rPr>
          <w:rFonts w:ascii="Arial" w:hAnsi="Arial" w:cs="Arial"/>
          <w:sz w:val="24"/>
          <w:szCs w:val="24"/>
        </w:rPr>
        <w:t xml:space="preserve"> deşeurilor de</w:t>
      </w:r>
      <w:r w:rsidRPr="00934C02">
        <w:rPr>
          <w:rFonts w:ascii="Arial" w:eastAsia="Times New Roman" w:hAnsi="Arial" w:cs="Arial"/>
          <w:sz w:val="24"/>
          <w:szCs w:val="24"/>
        </w:rPr>
        <w:t xml:space="preserve"> </w:t>
      </w:r>
      <w:r w:rsidRPr="00934C02">
        <w:rPr>
          <w:rFonts w:ascii="Arial" w:hAnsi="Arial" w:cs="Arial"/>
          <w:sz w:val="24"/>
          <w:szCs w:val="24"/>
        </w:rPr>
        <w:t xml:space="preserve">echipamente de deşeuri electrice şi electronice, </w:t>
      </w:r>
      <w:r w:rsidRPr="00934C02">
        <w:rPr>
          <w:rFonts w:ascii="Arial" w:eastAsia="Times New Roman" w:hAnsi="Arial" w:cs="Arial"/>
          <w:sz w:val="24"/>
          <w:szCs w:val="24"/>
        </w:rPr>
        <w:t>în judeţul Vaslui s-au adunat următoarele cantităţi:</w:t>
      </w:r>
    </w:p>
    <w:p w:rsidR="00934C02" w:rsidRPr="00934C02" w:rsidRDefault="00934C02" w:rsidP="00934C02">
      <w:pPr>
        <w:spacing w:after="0" w:line="240" w:lineRule="auto"/>
        <w:jc w:val="both"/>
        <w:rPr>
          <w:rFonts w:ascii="Arial" w:eastAsia="Times New Roman" w:hAnsi="Arial" w:cs="Arial"/>
          <w:sz w:val="24"/>
          <w:szCs w:val="24"/>
        </w:rPr>
        <w:sectPr w:rsidR="00934C02" w:rsidRPr="00934C02" w:rsidSect="00934C02">
          <w:pgSz w:w="15840" w:h="12240" w:orient="landscape"/>
          <w:pgMar w:top="1440" w:right="1440" w:bottom="1440" w:left="1440" w:header="720" w:footer="720" w:gutter="0"/>
          <w:cols w:space="720"/>
          <w:docGrid w:linePitch="360"/>
        </w:sectPr>
      </w:pPr>
    </w:p>
    <w:p w:rsidR="00934C02" w:rsidRPr="00934C02" w:rsidRDefault="00934C02" w:rsidP="00934C02">
      <w:pPr>
        <w:spacing w:after="0" w:line="240" w:lineRule="auto"/>
        <w:jc w:val="both"/>
        <w:rPr>
          <w:rFonts w:ascii="Arial" w:eastAsia="Times New Roman" w:hAnsi="Arial" w:cs="Arial"/>
          <w:sz w:val="24"/>
          <w:szCs w:val="24"/>
        </w:rPr>
      </w:pPr>
    </w:p>
    <w:p w:rsidR="00934C02" w:rsidRPr="00934C02" w:rsidRDefault="00934C02" w:rsidP="00934C02">
      <w:pPr>
        <w:spacing w:after="0" w:line="240" w:lineRule="auto"/>
        <w:jc w:val="both"/>
        <w:rPr>
          <w:rFonts w:ascii="Arial" w:eastAsia="SimSun" w:hAnsi="Arial" w:cs="Arial"/>
          <w:sz w:val="24"/>
          <w:szCs w:val="24"/>
        </w:rPr>
      </w:pPr>
      <w:r w:rsidRPr="00934C02">
        <w:rPr>
          <w:rFonts w:ascii="Arial" w:eastAsia="SimSun" w:hAnsi="Arial" w:cs="Arial"/>
          <w:sz w:val="24"/>
          <w:szCs w:val="24"/>
        </w:rPr>
        <w:t xml:space="preserve">Tabelul nr. VII.15 Evoluția  cantităților de DEEE colectate </w:t>
      </w:r>
    </w:p>
    <w:p w:rsidR="00934C02" w:rsidRPr="00934C02" w:rsidRDefault="00934C02" w:rsidP="00934C02">
      <w:pPr>
        <w:spacing w:after="0" w:line="240" w:lineRule="auto"/>
        <w:jc w:val="both"/>
        <w:rPr>
          <w:rFonts w:ascii="Arial" w:eastAsia="SimSun"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548"/>
        <w:gridCol w:w="1548"/>
        <w:gridCol w:w="1548"/>
        <w:gridCol w:w="1548"/>
        <w:gridCol w:w="1548"/>
      </w:tblGrid>
      <w:tr w:rsidR="00934C02" w:rsidRPr="00934C02" w:rsidTr="00934C02">
        <w:tc>
          <w:tcPr>
            <w:tcW w:w="1548" w:type="dxa"/>
            <w:vMerge w:val="restart"/>
            <w:shd w:val="clear" w:color="auto" w:fill="auto"/>
          </w:tcPr>
          <w:p w:rsidR="00934C02" w:rsidRPr="00934C02" w:rsidRDefault="00934C02" w:rsidP="00934C02">
            <w:pPr>
              <w:spacing w:after="0" w:line="240" w:lineRule="auto"/>
              <w:jc w:val="both"/>
              <w:rPr>
                <w:rFonts w:ascii="Arial" w:eastAsia="Times New Roman" w:hAnsi="Arial" w:cs="Arial"/>
                <w:sz w:val="24"/>
                <w:szCs w:val="24"/>
              </w:rPr>
            </w:pPr>
            <w:r w:rsidRPr="00934C02">
              <w:rPr>
                <w:rFonts w:ascii="Arial" w:eastAsia="Times New Roman" w:hAnsi="Arial" w:cs="Arial"/>
                <w:sz w:val="24"/>
                <w:szCs w:val="24"/>
              </w:rPr>
              <w:t>județ</w:t>
            </w:r>
          </w:p>
        </w:tc>
        <w:tc>
          <w:tcPr>
            <w:tcW w:w="7740" w:type="dxa"/>
            <w:gridSpan w:val="5"/>
            <w:shd w:val="clear" w:color="auto" w:fill="auto"/>
          </w:tcPr>
          <w:p w:rsidR="00934C02" w:rsidRPr="00934C02" w:rsidRDefault="00934C02" w:rsidP="00934C02">
            <w:pPr>
              <w:spacing w:after="0" w:line="240" w:lineRule="auto"/>
              <w:jc w:val="center"/>
              <w:rPr>
                <w:rFonts w:ascii="Arial" w:eastAsia="Times New Roman" w:hAnsi="Arial" w:cs="Arial"/>
                <w:sz w:val="24"/>
                <w:szCs w:val="24"/>
              </w:rPr>
            </w:pPr>
            <w:r w:rsidRPr="00934C02">
              <w:rPr>
                <w:rFonts w:ascii="Arial" w:eastAsia="Times New Roman" w:hAnsi="Arial" w:cs="Arial"/>
                <w:sz w:val="24"/>
                <w:szCs w:val="24"/>
              </w:rPr>
              <w:t>Cantităţi de DEEE colectate-tone</w:t>
            </w:r>
          </w:p>
        </w:tc>
      </w:tr>
      <w:tr w:rsidR="00934C02" w:rsidRPr="00934C02" w:rsidTr="00934C02">
        <w:tc>
          <w:tcPr>
            <w:tcW w:w="1548" w:type="dxa"/>
            <w:vMerge/>
            <w:shd w:val="clear" w:color="auto" w:fill="auto"/>
          </w:tcPr>
          <w:p w:rsidR="00934C02" w:rsidRPr="00934C02" w:rsidRDefault="00934C02" w:rsidP="00934C02">
            <w:pPr>
              <w:spacing w:after="0" w:line="240" w:lineRule="auto"/>
              <w:jc w:val="both"/>
              <w:rPr>
                <w:rFonts w:ascii="Arial" w:eastAsia="Times New Roman" w:hAnsi="Arial" w:cs="Arial"/>
                <w:sz w:val="24"/>
                <w:szCs w:val="24"/>
              </w:rPr>
            </w:pPr>
            <w:r w:rsidRPr="00934C02">
              <w:rPr>
                <w:rFonts w:ascii="Arial" w:eastAsia="Times New Roman" w:hAnsi="Arial" w:cs="Arial"/>
                <w:noProof/>
                <w:sz w:val="24"/>
                <w:szCs w:val="24"/>
              </w:rPr>
              <w:drawing>
                <wp:inline distT="0" distB="0" distL="0" distR="0" wp14:anchorId="2B20A5FD" wp14:editId="1E8CA46B">
                  <wp:extent cx="5503545" cy="3217545"/>
                  <wp:effectExtent l="0" t="0" r="0" b="0"/>
                  <wp:docPr id="243" name="Diagramă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r w:rsidRPr="00934C02">
              <w:rPr>
                <w:rFonts w:ascii="Arial" w:eastAsia="Times New Roman" w:hAnsi="Arial" w:cs="Arial"/>
                <w:noProof/>
                <w:sz w:val="24"/>
                <w:szCs w:val="24"/>
              </w:rPr>
              <w:drawing>
                <wp:inline distT="0" distB="0" distL="0" distR="0" wp14:anchorId="148C579E" wp14:editId="670A0B75">
                  <wp:extent cx="5503545" cy="3217545"/>
                  <wp:effectExtent l="0" t="0" r="0" b="0"/>
                  <wp:docPr id="244" name="Diagramă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tc>
        <w:tc>
          <w:tcPr>
            <w:tcW w:w="1548" w:type="dxa"/>
            <w:shd w:val="clear" w:color="auto" w:fill="auto"/>
          </w:tcPr>
          <w:p w:rsidR="00934C02" w:rsidRPr="00934C02" w:rsidRDefault="00934C02" w:rsidP="00934C02">
            <w:pPr>
              <w:spacing w:after="0" w:line="240" w:lineRule="auto"/>
              <w:jc w:val="both"/>
              <w:rPr>
                <w:rFonts w:ascii="Arial" w:eastAsia="Times New Roman" w:hAnsi="Arial" w:cs="Arial"/>
                <w:sz w:val="24"/>
                <w:szCs w:val="24"/>
              </w:rPr>
            </w:pPr>
            <w:r w:rsidRPr="00934C02">
              <w:rPr>
                <w:rFonts w:ascii="Arial" w:eastAsia="Times New Roman" w:hAnsi="Arial" w:cs="Arial"/>
                <w:sz w:val="24"/>
                <w:szCs w:val="24"/>
              </w:rPr>
              <w:t>2010</w:t>
            </w:r>
          </w:p>
        </w:tc>
        <w:tc>
          <w:tcPr>
            <w:tcW w:w="1548" w:type="dxa"/>
            <w:shd w:val="clear" w:color="auto" w:fill="auto"/>
          </w:tcPr>
          <w:p w:rsidR="00934C02" w:rsidRPr="00934C02" w:rsidRDefault="00934C02" w:rsidP="00934C02">
            <w:pPr>
              <w:spacing w:after="0" w:line="240" w:lineRule="auto"/>
              <w:jc w:val="both"/>
              <w:rPr>
                <w:rFonts w:ascii="Arial" w:eastAsia="Times New Roman" w:hAnsi="Arial" w:cs="Arial"/>
                <w:sz w:val="24"/>
                <w:szCs w:val="24"/>
              </w:rPr>
            </w:pPr>
            <w:r w:rsidRPr="00934C02">
              <w:rPr>
                <w:rFonts w:ascii="Arial" w:eastAsia="Times New Roman" w:hAnsi="Arial" w:cs="Arial"/>
                <w:sz w:val="24"/>
                <w:szCs w:val="24"/>
              </w:rPr>
              <w:t>2011</w:t>
            </w:r>
          </w:p>
        </w:tc>
        <w:tc>
          <w:tcPr>
            <w:tcW w:w="1548" w:type="dxa"/>
            <w:shd w:val="clear" w:color="auto" w:fill="auto"/>
          </w:tcPr>
          <w:p w:rsidR="00934C02" w:rsidRPr="00934C02" w:rsidRDefault="00934C02" w:rsidP="00934C02">
            <w:pPr>
              <w:spacing w:after="0" w:line="240" w:lineRule="auto"/>
              <w:jc w:val="both"/>
              <w:rPr>
                <w:rFonts w:ascii="Arial" w:eastAsia="Times New Roman" w:hAnsi="Arial" w:cs="Arial"/>
                <w:sz w:val="24"/>
                <w:szCs w:val="24"/>
              </w:rPr>
            </w:pPr>
            <w:r w:rsidRPr="00934C02">
              <w:rPr>
                <w:rFonts w:ascii="Arial" w:eastAsia="Times New Roman" w:hAnsi="Arial" w:cs="Arial"/>
                <w:sz w:val="24"/>
                <w:szCs w:val="24"/>
              </w:rPr>
              <w:t>2012</w:t>
            </w:r>
          </w:p>
        </w:tc>
        <w:tc>
          <w:tcPr>
            <w:tcW w:w="1548" w:type="dxa"/>
            <w:shd w:val="clear" w:color="auto" w:fill="auto"/>
          </w:tcPr>
          <w:p w:rsidR="00934C02" w:rsidRPr="00934C02" w:rsidRDefault="00934C02" w:rsidP="00934C02">
            <w:pPr>
              <w:spacing w:after="0" w:line="240" w:lineRule="auto"/>
              <w:jc w:val="both"/>
              <w:rPr>
                <w:rFonts w:ascii="Arial" w:eastAsia="Times New Roman" w:hAnsi="Arial" w:cs="Arial"/>
                <w:sz w:val="24"/>
                <w:szCs w:val="24"/>
              </w:rPr>
            </w:pPr>
            <w:r w:rsidRPr="00934C02">
              <w:rPr>
                <w:rFonts w:ascii="Arial" w:eastAsia="Times New Roman" w:hAnsi="Arial" w:cs="Arial"/>
                <w:sz w:val="24"/>
                <w:szCs w:val="24"/>
              </w:rPr>
              <w:t>2013</w:t>
            </w:r>
          </w:p>
        </w:tc>
        <w:tc>
          <w:tcPr>
            <w:tcW w:w="1548" w:type="dxa"/>
            <w:shd w:val="clear" w:color="auto" w:fill="auto"/>
          </w:tcPr>
          <w:p w:rsidR="00934C02" w:rsidRPr="00934C02" w:rsidRDefault="00934C02" w:rsidP="00934C02">
            <w:pPr>
              <w:spacing w:after="0" w:line="240" w:lineRule="auto"/>
              <w:jc w:val="both"/>
              <w:rPr>
                <w:rFonts w:ascii="Arial" w:eastAsia="Times New Roman" w:hAnsi="Arial" w:cs="Arial"/>
                <w:sz w:val="24"/>
                <w:szCs w:val="24"/>
              </w:rPr>
            </w:pPr>
            <w:r w:rsidRPr="00934C02">
              <w:rPr>
                <w:rFonts w:ascii="Arial" w:eastAsia="Times New Roman" w:hAnsi="Arial" w:cs="Arial"/>
                <w:sz w:val="24"/>
                <w:szCs w:val="24"/>
              </w:rPr>
              <w:t>2014</w:t>
            </w:r>
          </w:p>
        </w:tc>
      </w:tr>
      <w:tr w:rsidR="00934C02" w:rsidRPr="00934C02" w:rsidTr="00934C02">
        <w:tc>
          <w:tcPr>
            <w:tcW w:w="1548" w:type="dxa"/>
            <w:shd w:val="clear" w:color="auto" w:fill="auto"/>
          </w:tcPr>
          <w:p w:rsidR="00934C02" w:rsidRPr="00934C02" w:rsidRDefault="00934C02" w:rsidP="00934C02">
            <w:pPr>
              <w:spacing w:after="0" w:line="240" w:lineRule="auto"/>
              <w:jc w:val="both"/>
              <w:rPr>
                <w:rFonts w:ascii="Arial" w:eastAsia="Times New Roman" w:hAnsi="Arial" w:cs="Arial"/>
                <w:sz w:val="24"/>
                <w:szCs w:val="24"/>
              </w:rPr>
            </w:pPr>
            <w:r w:rsidRPr="00934C02">
              <w:rPr>
                <w:rFonts w:ascii="Arial" w:eastAsia="Times New Roman" w:hAnsi="Arial" w:cs="Arial"/>
                <w:sz w:val="24"/>
                <w:szCs w:val="24"/>
              </w:rPr>
              <w:t>Vaslui</w:t>
            </w:r>
          </w:p>
        </w:tc>
        <w:tc>
          <w:tcPr>
            <w:tcW w:w="1548" w:type="dxa"/>
            <w:shd w:val="clear" w:color="auto" w:fill="auto"/>
            <w:vAlign w:val="bottom"/>
          </w:tcPr>
          <w:p w:rsidR="00934C02" w:rsidRPr="00934C02" w:rsidRDefault="00934C02" w:rsidP="00934C02">
            <w:pPr>
              <w:spacing w:after="0"/>
              <w:jc w:val="center"/>
              <w:rPr>
                <w:rFonts w:ascii="Arial" w:eastAsia="Calibri" w:hAnsi="Arial" w:cs="Arial"/>
                <w:sz w:val="24"/>
                <w:szCs w:val="24"/>
              </w:rPr>
            </w:pPr>
            <w:r w:rsidRPr="00934C02">
              <w:rPr>
                <w:rFonts w:ascii="Arial" w:eastAsia="Calibri" w:hAnsi="Arial" w:cs="Arial"/>
                <w:sz w:val="24"/>
                <w:szCs w:val="24"/>
              </w:rPr>
              <w:t>39,6</w:t>
            </w:r>
          </w:p>
        </w:tc>
        <w:tc>
          <w:tcPr>
            <w:tcW w:w="1548" w:type="dxa"/>
            <w:shd w:val="clear" w:color="auto" w:fill="auto"/>
            <w:vAlign w:val="bottom"/>
          </w:tcPr>
          <w:p w:rsidR="00934C02" w:rsidRPr="00934C02" w:rsidRDefault="00934C02" w:rsidP="00934C02">
            <w:pPr>
              <w:spacing w:after="0"/>
              <w:jc w:val="center"/>
              <w:rPr>
                <w:rFonts w:ascii="Arial" w:eastAsia="Calibri" w:hAnsi="Arial" w:cs="Arial"/>
                <w:sz w:val="24"/>
                <w:szCs w:val="24"/>
              </w:rPr>
            </w:pPr>
            <w:r w:rsidRPr="00934C02">
              <w:rPr>
                <w:rFonts w:ascii="Arial" w:eastAsia="Calibri" w:hAnsi="Arial" w:cs="Arial"/>
                <w:sz w:val="24"/>
                <w:szCs w:val="24"/>
              </w:rPr>
              <w:t>73,48</w:t>
            </w:r>
          </w:p>
        </w:tc>
        <w:tc>
          <w:tcPr>
            <w:tcW w:w="1548" w:type="dxa"/>
            <w:shd w:val="clear" w:color="auto" w:fill="auto"/>
            <w:vAlign w:val="bottom"/>
          </w:tcPr>
          <w:p w:rsidR="00934C02" w:rsidRPr="00934C02" w:rsidRDefault="00934C02" w:rsidP="00934C02">
            <w:pPr>
              <w:spacing w:after="0"/>
              <w:jc w:val="center"/>
              <w:rPr>
                <w:rFonts w:ascii="Arial" w:eastAsia="Calibri" w:hAnsi="Arial" w:cs="Arial"/>
                <w:sz w:val="24"/>
                <w:szCs w:val="24"/>
              </w:rPr>
            </w:pPr>
            <w:r w:rsidRPr="00934C02">
              <w:rPr>
                <w:rFonts w:ascii="Arial" w:eastAsia="Calibri" w:hAnsi="Arial" w:cs="Arial"/>
                <w:sz w:val="24"/>
                <w:szCs w:val="24"/>
              </w:rPr>
              <w:t>103,54</w:t>
            </w:r>
          </w:p>
        </w:tc>
        <w:tc>
          <w:tcPr>
            <w:tcW w:w="1548" w:type="dxa"/>
            <w:shd w:val="clear" w:color="auto" w:fill="auto"/>
            <w:vAlign w:val="bottom"/>
          </w:tcPr>
          <w:p w:rsidR="00934C02" w:rsidRPr="00934C02" w:rsidRDefault="00934C02" w:rsidP="00934C02">
            <w:pPr>
              <w:spacing w:after="0"/>
              <w:jc w:val="center"/>
              <w:rPr>
                <w:rFonts w:ascii="Arial" w:eastAsia="Calibri" w:hAnsi="Arial" w:cs="Arial"/>
                <w:sz w:val="24"/>
                <w:szCs w:val="24"/>
              </w:rPr>
            </w:pPr>
            <w:r w:rsidRPr="00934C02">
              <w:rPr>
                <w:rFonts w:ascii="Arial" w:eastAsia="Calibri" w:hAnsi="Arial" w:cs="Arial"/>
                <w:sz w:val="24"/>
                <w:szCs w:val="24"/>
              </w:rPr>
              <w:t>156,6</w:t>
            </w:r>
          </w:p>
        </w:tc>
        <w:tc>
          <w:tcPr>
            <w:tcW w:w="1548" w:type="dxa"/>
            <w:shd w:val="clear" w:color="auto" w:fill="auto"/>
            <w:vAlign w:val="bottom"/>
          </w:tcPr>
          <w:p w:rsidR="00934C02" w:rsidRPr="00934C02" w:rsidRDefault="00934C02" w:rsidP="00934C02">
            <w:pPr>
              <w:spacing w:after="0"/>
              <w:jc w:val="center"/>
              <w:rPr>
                <w:rFonts w:ascii="Arial" w:eastAsia="Calibri" w:hAnsi="Arial" w:cs="Arial"/>
                <w:sz w:val="24"/>
                <w:szCs w:val="24"/>
              </w:rPr>
            </w:pPr>
            <w:r w:rsidRPr="00934C02">
              <w:rPr>
                <w:rFonts w:ascii="Arial" w:eastAsia="Calibri" w:hAnsi="Arial" w:cs="Arial"/>
                <w:sz w:val="24"/>
                <w:szCs w:val="24"/>
              </w:rPr>
              <w:t>181,19</w:t>
            </w:r>
          </w:p>
        </w:tc>
      </w:tr>
    </w:tbl>
    <w:p w:rsidR="00934C02" w:rsidRPr="00934C02" w:rsidRDefault="00934C02" w:rsidP="00934C02">
      <w:pPr>
        <w:spacing w:after="0" w:line="240" w:lineRule="auto"/>
        <w:jc w:val="both"/>
        <w:rPr>
          <w:rFonts w:ascii="Arial" w:eastAsia="Times New Roman" w:hAnsi="Arial" w:cs="Arial"/>
          <w:sz w:val="24"/>
          <w:szCs w:val="24"/>
        </w:rPr>
      </w:pPr>
    </w:p>
    <w:p w:rsidR="00934C02" w:rsidRPr="00934C02" w:rsidRDefault="00934C02" w:rsidP="00934C02">
      <w:pPr>
        <w:spacing w:after="0" w:line="240" w:lineRule="auto"/>
        <w:jc w:val="both"/>
        <w:rPr>
          <w:rFonts w:ascii="Arial" w:eastAsia="Times New Roman" w:hAnsi="Arial" w:cs="Arial"/>
          <w:sz w:val="24"/>
          <w:szCs w:val="24"/>
        </w:rPr>
      </w:pPr>
    </w:p>
    <w:p w:rsidR="00934C02" w:rsidRPr="00934C02" w:rsidRDefault="00934C02" w:rsidP="00934C02">
      <w:pPr>
        <w:spacing w:after="0" w:line="240" w:lineRule="auto"/>
        <w:rPr>
          <w:rFonts w:ascii="Arial" w:eastAsia="Times New Roman" w:hAnsi="Arial" w:cs="Arial"/>
          <w:sz w:val="24"/>
          <w:szCs w:val="24"/>
          <w:lang w:val="pl-PL" w:eastAsia="pl-PL"/>
        </w:rPr>
      </w:pPr>
      <w:r w:rsidRPr="00934C02">
        <w:rPr>
          <w:rFonts w:ascii="Arial" w:eastAsia="Times New Roman" w:hAnsi="Arial" w:cs="Arial"/>
          <w:sz w:val="24"/>
          <w:szCs w:val="24"/>
          <w:lang w:val="pl-PL" w:eastAsia="pl-PL"/>
        </w:rPr>
        <w:t>Figura VII.12. Evoluţia cantităţii de DEEE colectate, în judeţul Vaslui, în perioada 2010-2014</w:t>
      </w:r>
    </w:p>
    <w:p w:rsidR="00934C02" w:rsidRPr="00934C02" w:rsidRDefault="00934C02" w:rsidP="00934C02">
      <w:pPr>
        <w:spacing w:after="0" w:line="240" w:lineRule="auto"/>
        <w:jc w:val="both"/>
        <w:rPr>
          <w:rFonts w:ascii="Arial" w:eastAsia="Times New Roman" w:hAnsi="Arial" w:cs="Arial"/>
          <w:sz w:val="24"/>
          <w:szCs w:val="24"/>
        </w:rPr>
      </w:pPr>
      <w:r w:rsidRPr="00934C02">
        <w:rPr>
          <w:rFonts w:ascii="Arial" w:eastAsia="Times New Roman" w:hAnsi="Arial" w:cs="Arial"/>
          <w:noProof/>
          <w:sz w:val="24"/>
          <w:szCs w:val="24"/>
        </w:rPr>
        <w:drawing>
          <wp:inline distT="0" distB="0" distL="0" distR="0" wp14:anchorId="07667727" wp14:editId="00F5B903">
            <wp:extent cx="6024283" cy="2818504"/>
            <wp:effectExtent l="0" t="0" r="0" b="1270"/>
            <wp:docPr id="245" name="Diagramă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934C02" w:rsidRPr="00934C02" w:rsidRDefault="00934C02" w:rsidP="00934C02">
      <w:pPr>
        <w:spacing w:after="0" w:line="240" w:lineRule="auto"/>
        <w:jc w:val="both"/>
        <w:rPr>
          <w:rFonts w:ascii="Arial" w:eastAsia="Times New Roman" w:hAnsi="Arial" w:cs="Arial"/>
          <w:sz w:val="24"/>
          <w:szCs w:val="24"/>
        </w:rPr>
      </w:pPr>
    </w:p>
    <w:p w:rsidR="00934C02" w:rsidRPr="00934C02" w:rsidRDefault="00934C02" w:rsidP="00934C02">
      <w:pPr>
        <w:spacing w:after="0" w:line="240" w:lineRule="auto"/>
        <w:rPr>
          <w:rFonts w:ascii="Arial" w:eastAsia="Times New Roman" w:hAnsi="Arial" w:cs="Arial"/>
          <w:sz w:val="24"/>
          <w:szCs w:val="24"/>
          <w:lang w:val="pl-PL" w:eastAsia="pl-PL"/>
        </w:rPr>
      </w:pPr>
      <w:r w:rsidRPr="00934C02">
        <w:rPr>
          <w:rFonts w:ascii="Arial" w:eastAsia="Times New Roman" w:hAnsi="Arial" w:cs="Arial"/>
          <w:sz w:val="24"/>
          <w:szCs w:val="24"/>
          <w:lang w:val="pl-PL" w:eastAsia="pl-PL"/>
        </w:rPr>
        <w:t>Deşeurile de echipamente electrice şi electronice</w:t>
      </w:r>
      <w:r w:rsidRPr="00934C02">
        <w:rPr>
          <w:rFonts w:ascii="Arial" w:eastAsia="SimSun" w:hAnsi="Arial" w:cs="Arial"/>
          <w:sz w:val="24"/>
          <w:szCs w:val="24"/>
          <w:lang w:val="pl-PL" w:eastAsia="pl-PL"/>
        </w:rPr>
        <w:t xml:space="preserve"> colectate urmează a fi transferate către operatorii economici autorizați pentru tratarea/eliminarea lor.</w:t>
      </w:r>
    </w:p>
    <w:p w:rsidR="00934C02" w:rsidRPr="00934C02" w:rsidRDefault="00934C02" w:rsidP="00934C02">
      <w:pPr>
        <w:spacing w:after="0" w:line="240" w:lineRule="auto"/>
        <w:rPr>
          <w:rFonts w:ascii="Arial" w:hAnsi="Arial" w:cs="Arial"/>
          <w:b/>
          <w:bCs/>
          <w:sz w:val="24"/>
          <w:szCs w:val="24"/>
        </w:rPr>
      </w:pPr>
      <w:r w:rsidRPr="00934C02">
        <w:rPr>
          <w:rFonts w:ascii="Arial" w:eastAsia="SimSun" w:hAnsi="Arial" w:cs="Arial"/>
          <w:sz w:val="24"/>
          <w:szCs w:val="24"/>
        </w:rPr>
        <w:t xml:space="preserve"> </w:t>
      </w:r>
      <w:r w:rsidRPr="00934C02">
        <w:rPr>
          <w:rFonts w:ascii="Arial" w:eastAsia="SimSun" w:hAnsi="Arial" w:cs="Arial"/>
          <w:sz w:val="24"/>
          <w:szCs w:val="24"/>
        </w:rPr>
        <w:tab/>
      </w:r>
      <w:r w:rsidRPr="00934C02">
        <w:rPr>
          <w:rFonts w:ascii="Arial" w:hAnsi="Arial" w:cs="Arial"/>
          <w:bCs/>
          <w:sz w:val="24"/>
          <w:szCs w:val="24"/>
        </w:rPr>
        <w:t>Obiective  generale de colectare a DEEE</w:t>
      </w:r>
      <w:r w:rsidRPr="00934C02">
        <w:rPr>
          <w:rFonts w:ascii="Arial" w:hAnsi="Arial" w:cs="Arial"/>
          <w:b/>
          <w:bCs/>
          <w:sz w:val="24"/>
          <w:szCs w:val="24"/>
        </w:rPr>
        <w:t>:</w:t>
      </w:r>
    </w:p>
    <w:p w:rsidR="00934C02" w:rsidRPr="00934C02" w:rsidRDefault="00934C02" w:rsidP="005910C7">
      <w:pPr>
        <w:numPr>
          <w:ilvl w:val="0"/>
          <w:numId w:val="18"/>
        </w:numPr>
        <w:autoSpaceDE w:val="0"/>
        <w:autoSpaceDN w:val="0"/>
        <w:adjustRightInd w:val="0"/>
        <w:spacing w:after="0" w:line="240" w:lineRule="auto"/>
        <w:contextualSpacing/>
        <w:jc w:val="both"/>
        <w:rPr>
          <w:rFonts w:ascii="Arial" w:hAnsi="Arial" w:cs="Arial"/>
          <w:sz w:val="24"/>
          <w:szCs w:val="24"/>
        </w:rPr>
      </w:pPr>
      <w:r w:rsidRPr="00934C02">
        <w:rPr>
          <w:rFonts w:ascii="Arial" w:hAnsi="Arial" w:cs="Arial"/>
          <w:sz w:val="24"/>
          <w:szCs w:val="24"/>
        </w:rPr>
        <w:t>crearea unui sistem care să permită gospodăriilor şi distribuitorilor să depună DEEE la  punctele de colectare;</w:t>
      </w:r>
    </w:p>
    <w:p w:rsidR="00934C02" w:rsidRPr="00934C02" w:rsidRDefault="00934C02" w:rsidP="005910C7">
      <w:pPr>
        <w:numPr>
          <w:ilvl w:val="0"/>
          <w:numId w:val="18"/>
        </w:numPr>
        <w:autoSpaceDE w:val="0"/>
        <w:autoSpaceDN w:val="0"/>
        <w:adjustRightInd w:val="0"/>
        <w:spacing w:after="0" w:line="240" w:lineRule="auto"/>
        <w:contextualSpacing/>
        <w:jc w:val="both"/>
        <w:rPr>
          <w:rFonts w:ascii="Arial" w:hAnsi="Arial" w:cs="Arial"/>
          <w:sz w:val="24"/>
          <w:szCs w:val="24"/>
        </w:rPr>
      </w:pPr>
      <w:r w:rsidRPr="00934C02">
        <w:rPr>
          <w:rFonts w:ascii="Arial" w:hAnsi="Arial" w:cs="Arial"/>
          <w:sz w:val="24"/>
          <w:szCs w:val="24"/>
        </w:rPr>
        <w:t>colectarea DEEE în momentul livrării de noi EEE;</w:t>
      </w:r>
    </w:p>
    <w:p w:rsidR="00934C02" w:rsidRPr="00934C02" w:rsidRDefault="00934C02" w:rsidP="005910C7">
      <w:pPr>
        <w:numPr>
          <w:ilvl w:val="0"/>
          <w:numId w:val="18"/>
        </w:numPr>
        <w:autoSpaceDE w:val="0"/>
        <w:autoSpaceDN w:val="0"/>
        <w:adjustRightInd w:val="0"/>
        <w:spacing w:after="0" w:line="240" w:lineRule="auto"/>
        <w:contextualSpacing/>
        <w:jc w:val="both"/>
        <w:rPr>
          <w:rFonts w:ascii="Arial" w:hAnsi="Arial" w:cs="Arial"/>
          <w:sz w:val="24"/>
          <w:szCs w:val="24"/>
        </w:rPr>
      </w:pPr>
      <w:r w:rsidRPr="00934C02">
        <w:rPr>
          <w:rFonts w:ascii="Arial" w:hAnsi="Arial" w:cs="Arial"/>
          <w:sz w:val="24"/>
          <w:szCs w:val="24"/>
        </w:rPr>
        <w:t>sisteme de colectare la nivel judeţean în special pentru zonele dens populate.</w:t>
      </w:r>
    </w:p>
    <w:p w:rsidR="00934C02" w:rsidRPr="00934C02" w:rsidRDefault="00934C02" w:rsidP="00934C02">
      <w:pPr>
        <w:autoSpaceDE w:val="0"/>
        <w:autoSpaceDN w:val="0"/>
        <w:adjustRightInd w:val="0"/>
        <w:spacing w:after="0" w:line="240" w:lineRule="auto"/>
        <w:rPr>
          <w:rFonts w:ascii="Arial" w:hAnsi="Arial" w:cs="Arial"/>
          <w:bCs/>
          <w:sz w:val="24"/>
          <w:szCs w:val="24"/>
        </w:rPr>
      </w:pPr>
    </w:p>
    <w:p w:rsidR="00934C02" w:rsidRPr="00934C02" w:rsidRDefault="00934C02" w:rsidP="00934C02">
      <w:pPr>
        <w:autoSpaceDE w:val="0"/>
        <w:autoSpaceDN w:val="0"/>
        <w:adjustRightInd w:val="0"/>
        <w:spacing w:after="0" w:line="240" w:lineRule="auto"/>
        <w:ind w:firstLine="420"/>
        <w:jc w:val="both"/>
        <w:rPr>
          <w:rFonts w:ascii="Arial" w:hAnsi="Arial" w:cs="Arial"/>
          <w:sz w:val="24"/>
          <w:szCs w:val="24"/>
        </w:rPr>
      </w:pPr>
      <w:r w:rsidRPr="00934C02">
        <w:rPr>
          <w:rFonts w:ascii="Arial" w:hAnsi="Arial" w:cs="Arial"/>
          <w:bCs/>
          <w:sz w:val="24"/>
          <w:szCs w:val="24"/>
        </w:rPr>
        <w:t>Ținte pentru recuperare:</w:t>
      </w:r>
    </w:p>
    <w:p w:rsidR="00934C02" w:rsidRPr="00934C02" w:rsidRDefault="00934C02" w:rsidP="00934C02">
      <w:pPr>
        <w:autoSpaceDE w:val="0"/>
        <w:autoSpaceDN w:val="0"/>
        <w:adjustRightInd w:val="0"/>
        <w:spacing w:after="0" w:line="240" w:lineRule="auto"/>
        <w:jc w:val="both"/>
        <w:rPr>
          <w:rFonts w:ascii="Arial" w:eastAsia="Times New Roman" w:hAnsi="Arial" w:cs="Arial"/>
          <w:sz w:val="24"/>
          <w:szCs w:val="24"/>
        </w:rPr>
      </w:pPr>
      <w:r w:rsidRPr="00934C02">
        <w:rPr>
          <w:rFonts w:ascii="Arial" w:eastAsia="Times New Roman" w:hAnsi="Arial" w:cs="Arial"/>
          <w:sz w:val="24"/>
          <w:szCs w:val="24"/>
        </w:rPr>
        <w:t xml:space="preserve">    a) pentru DEEE incluse în categoriile 1 şi 10 din anexa nr. 1A:</w:t>
      </w:r>
    </w:p>
    <w:p w:rsidR="00934C02" w:rsidRPr="00934C02" w:rsidRDefault="00934C02" w:rsidP="00934C02">
      <w:pPr>
        <w:autoSpaceDE w:val="0"/>
        <w:autoSpaceDN w:val="0"/>
        <w:adjustRightInd w:val="0"/>
        <w:spacing w:after="0" w:line="240" w:lineRule="auto"/>
        <w:jc w:val="both"/>
        <w:rPr>
          <w:rFonts w:ascii="Arial" w:eastAsia="Times New Roman" w:hAnsi="Arial" w:cs="Arial"/>
          <w:sz w:val="24"/>
          <w:szCs w:val="24"/>
        </w:rPr>
      </w:pPr>
      <w:r w:rsidRPr="00934C02">
        <w:rPr>
          <w:rFonts w:ascii="Arial" w:eastAsia="Times New Roman" w:hAnsi="Arial" w:cs="Arial"/>
          <w:sz w:val="24"/>
          <w:szCs w:val="24"/>
        </w:rPr>
        <w:t xml:space="preserve">    1. rata de valorificare de minimum 80% din greutatea medie pe aparat;</w:t>
      </w:r>
    </w:p>
    <w:p w:rsidR="00934C02" w:rsidRPr="00934C02" w:rsidRDefault="00934C02" w:rsidP="00934C02">
      <w:pPr>
        <w:autoSpaceDE w:val="0"/>
        <w:autoSpaceDN w:val="0"/>
        <w:adjustRightInd w:val="0"/>
        <w:spacing w:after="0" w:line="240" w:lineRule="auto"/>
        <w:jc w:val="both"/>
        <w:rPr>
          <w:rFonts w:ascii="Arial" w:eastAsia="Times New Roman" w:hAnsi="Arial" w:cs="Arial"/>
          <w:sz w:val="24"/>
          <w:szCs w:val="24"/>
        </w:rPr>
      </w:pPr>
      <w:r w:rsidRPr="00934C02">
        <w:rPr>
          <w:rFonts w:ascii="Arial" w:eastAsia="Times New Roman" w:hAnsi="Arial" w:cs="Arial"/>
          <w:sz w:val="24"/>
          <w:szCs w:val="24"/>
        </w:rPr>
        <w:t xml:space="preserve">    2. rata de reutilizare şi de reciclare a componentelor, materialelor şi substanţelor de minimum 75% din greutatea medie pe aparat;</w:t>
      </w:r>
    </w:p>
    <w:p w:rsidR="00934C02" w:rsidRPr="00934C02" w:rsidRDefault="00934C02" w:rsidP="00934C02">
      <w:pPr>
        <w:autoSpaceDE w:val="0"/>
        <w:autoSpaceDN w:val="0"/>
        <w:adjustRightInd w:val="0"/>
        <w:spacing w:after="0" w:line="240" w:lineRule="auto"/>
        <w:jc w:val="both"/>
        <w:rPr>
          <w:rFonts w:ascii="Arial" w:eastAsia="Times New Roman" w:hAnsi="Arial" w:cs="Arial"/>
          <w:sz w:val="24"/>
          <w:szCs w:val="24"/>
        </w:rPr>
      </w:pPr>
      <w:r w:rsidRPr="00934C02">
        <w:rPr>
          <w:rFonts w:ascii="Arial" w:eastAsia="Times New Roman" w:hAnsi="Arial" w:cs="Arial"/>
          <w:sz w:val="24"/>
          <w:szCs w:val="24"/>
        </w:rPr>
        <w:t xml:space="preserve">    b) pentru DEEE incluse în categoriile 3 şi 4 din anexa nr. 1A:</w:t>
      </w:r>
    </w:p>
    <w:p w:rsidR="00934C02" w:rsidRPr="00934C02" w:rsidRDefault="00934C02" w:rsidP="00934C02">
      <w:pPr>
        <w:autoSpaceDE w:val="0"/>
        <w:autoSpaceDN w:val="0"/>
        <w:adjustRightInd w:val="0"/>
        <w:spacing w:after="0" w:line="240" w:lineRule="auto"/>
        <w:jc w:val="both"/>
        <w:rPr>
          <w:rFonts w:ascii="Arial" w:eastAsia="Times New Roman" w:hAnsi="Arial" w:cs="Arial"/>
          <w:sz w:val="24"/>
          <w:szCs w:val="24"/>
        </w:rPr>
      </w:pPr>
      <w:r w:rsidRPr="00934C02">
        <w:rPr>
          <w:rFonts w:ascii="Arial" w:eastAsia="Times New Roman" w:hAnsi="Arial" w:cs="Arial"/>
          <w:sz w:val="24"/>
          <w:szCs w:val="24"/>
        </w:rPr>
        <w:t xml:space="preserve">    1. rata de valorificare de minimum 75% din greutatea medie pe aparat;</w:t>
      </w:r>
    </w:p>
    <w:p w:rsidR="00934C02" w:rsidRPr="00934C02" w:rsidRDefault="00934C02" w:rsidP="00934C02">
      <w:pPr>
        <w:autoSpaceDE w:val="0"/>
        <w:autoSpaceDN w:val="0"/>
        <w:adjustRightInd w:val="0"/>
        <w:spacing w:after="0" w:line="240" w:lineRule="auto"/>
        <w:jc w:val="both"/>
        <w:rPr>
          <w:rFonts w:ascii="Arial" w:eastAsia="Times New Roman" w:hAnsi="Arial" w:cs="Arial"/>
          <w:sz w:val="24"/>
          <w:szCs w:val="24"/>
        </w:rPr>
      </w:pPr>
      <w:r w:rsidRPr="00934C02">
        <w:rPr>
          <w:rFonts w:ascii="Arial" w:eastAsia="Times New Roman" w:hAnsi="Arial" w:cs="Arial"/>
          <w:sz w:val="24"/>
          <w:szCs w:val="24"/>
        </w:rPr>
        <w:t xml:space="preserve">    2. rata de reutilizare şi de reciclare a componentelor, materialelor şi substanţelor de minimum 65% din greutatea medie pe aparat;</w:t>
      </w:r>
    </w:p>
    <w:p w:rsidR="00934C02" w:rsidRPr="00934C02" w:rsidRDefault="00934C02" w:rsidP="00934C02">
      <w:pPr>
        <w:spacing w:after="0" w:line="240" w:lineRule="auto"/>
        <w:jc w:val="both"/>
        <w:rPr>
          <w:rFonts w:ascii="Arial" w:eastAsia="Times New Roman" w:hAnsi="Arial" w:cs="Arial"/>
          <w:sz w:val="24"/>
          <w:szCs w:val="24"/>
        </w:rPr>
        <w:sectPr w:rsidR="00934C02" w:rsidRPr="00934C02" w:rsidSect="00934C02">
          <w:pgSz w:w="12240" w:h="15840"/>
          <w:pgMar w:top="1440" w:right="1440" w:bottom="1440" w:left="1440" w:header="720" w:footer="720" w:gutter="0"/>
          <w:cols w:space="720"/>
          <w:docGrid w:linePitch="360"/>
        </w:sectPr>
      </w:pPr>
    </w:p>
    <w:p w:rsidR="00934C02" w:rsidRPr="00934C02" w:rsidRDefault="00934C02" w:rsidP="00934C02">
      <w:pPr>
        <w:autoSpaceDE w:val="0"/>
        <w:autoSpaceDN w:val="0"/>
        <w:adjustRightInd w:val="0"/>
        <w:spacing w:after="0" w:line="240" w:lineRule="auto"/>
        <w:jc w:val="both"/>
        <w:rPr>
          <w:rFonts w:ascii="Arial" w:eastAsia="Times New Roman" w:hAnsi="Arial" w:cs="Arial"/>
          <w:sz w:val="24"/>
          <w:szCs w:val="24"/>
        </w:rPr>
      </w:pPr>
      <w:r w:rsidRPr="00934C02">
        <w:rPr>
          <w:rFonts w:ascii="Arial" w:eastAsia="Times New Roman" w:hAnsi="Arial" w:cs="Arial"/>
          <w:sz w:val="24"/>
          <w:szCs w:val="24"/>
        </w:rPr>
        <w:lastRenderedPageBreak/>
        <w:t xml:space="preserve">    c) pentru DEEE incluse în categoriile 2, 5, 6, 7 şi 9 din anexa nr. 1A:</w:t>
      </w:r>
    </w:p>
    <w:p w:rsidR="00934C02" w:rsidRPr="00934C02" w:rsidRDefault="00934C02" w:rsidP="00934C02">
      <w:pPr>
        <w:autoSpaceDE w:val="0"/>
        <w:autoSpaceDN w:val="0"/>
        <w:adjustRightInd w:val="0"/>
        <w:spacing w:after="0" w:line="240" w:lineRule="auto"/>
        <w:jc w:val="both"/>
        <w:rPr>
          <w:rFonts w:ascii="Arial" w:eastAsia="Times New Roman" w:hAnsi="Arial" w:cs="Arial"/>
          <w:sz w:val="24"/>
          <w:szCs w:val="24"/>
        </w:rPr>
      </w:pPr>
      <w:r w:rsidRPr="00934C02">
        <w:rPr>
          <w:rFonts w:ascii="Arial" w:eastAsia="Times New Roman" w:hAnsi="Arial" w:cs="Arial"/>
          <w:sz w:val="24"/>
          <w:szCs w:val="24"/>
        </w:rPr>
        <w:t xml:space="preserve">    1. rata de valorificare trebuie să crească până la minimum 70% din greutatea medie pe aparat;</w:t>
      </w:r>
    </w:p>
    <w:p w:rsidR="00934C02" w:rsidRPr="00934C02" w:rsidRDefault="00934C02" w:rsidP="00934C02">
      <w:pPr>
        <w:autoSpaceDE w:val="0"/>
        <w:autoSpaceDN w:val="0"/>
        <w:adjustRightInd w:val="0"/>
        <w:spacing w:after="0" w:line="240" w:lineRule="auto"/>
        <w:jc w:val="both"/>
        <w:rPr>
          <w:rFonts w:ascii="Arial" w:eastAsia="Times New Roman" w:hAnsi="Arial" w:cs="Arial"/>
          <w:sz w:val="24"/>
          <w:szCs w:val="24"/>
        </w:rPr>
      </w:pPr>
      <w:r w:rsidRPr="00934C02">
        <w:rPr>
          <w:rFonts w:ascii="Arial" w:eastAsia="Times New Roman" w:hAnsi="Arial" w:cs="Arial"/>
          <w:sz w:val="24"/>
          <w:szCs w:val="24"/>
        </w:rPr>
        <w:t xml:space="preserve">    2. rata de reutilizare şi de reciclare a componentelor, materialelor şi substanţelor trebuie să crească până la minimum 50% din greutatea medie pe aparat;</w:t>
      </w:r>
    </w:p>
    <w:p w:rsidR="00934C02" w:rsidRPr="00934C02" w:rsidRDefault="00934C02" w:rsidP="00934C02">
      <w:pPr>
        <w:autoSpaceDE w:val="0"/>
        <w:autoSpaceDN w:val="0"/>
        <w:adjustRightInd w:val="0"/>
        <w:spacing w:after="0" w:line="240" w:lineRule="auto"/>
        <w:jc w:val="both"/>
        <w:rPr>
          <w:rFonts w:ascii="Arial" w:eastAsia="Times New Roman" w:hAnsi="Arial" w:cs="Arial"/>
          <w:sz w:val="24"/>
          <w:szCs w:val="24"/>
        </w:rPr>
      </w:pPr>
      <w:r w:rsidRPr="00934C02">
        <w:rPr>
          <w:rFonts w:ascii="Arial" w:eastAsia="Times New Roman" w:hAnsi="Arial" w:cs="Arial"/>
          <w:sz w:val="24"/>
          <w:szCs w:val="24"/>
        </w:rPr>
        <w:t xml:space="preserve">    d) pentru lămpile cu descărcare în gaz rata de reutilizare şi de reciclare a componentelor, materialelor şi substanţelor trebuie să crească până la minimum 80% din greutatea lămpilor.</w:t>
      </w:r>
    </w:p>
    <w:p w:rsidR="00934C02" w:rsidRPr="00934C02" w:rsidRDefault="00934C02" w:rsidP="00934C02">
      <w:pPr>
        <w:autoSpaceDE w:val="0"/>
        <w:autoSpaceDN w:val="0"/>
        <w:adjustRightInd w:val="0"/>
        <w:spacing w:after="0" w:line="240" w:lineRule="auto"/>
        <w:jc w:val="both"/>
        <w:rPr>
          <w:rFonts w:ascii="Arial" w:eastAsia="Times New Roman" w:hAnsi="Arial" w:cs="Arial"/>
          <w:sz w:val="24"/>
          <w:szCs w:val="24"/>
        </w:rPr>
      </w:pPr>
    </w:p>
    <w:p w:rsidR="00934C02" w:rsidRPr="00934C02" w:rsidRDefault="00934C02" w:rsidP="00934C02">
      <w:pPr>
        <w:autoSpaceDE w:val="0"/>
        <w:autoSpaceDN w:val="0"/>
        <w:adjustRightInd w:val="0"/>
        <w:spacing w:after="0" w:line="240" w:lineRule="auto"/>
        <w:jc w:val="both"/>
        <w:rPr>
          <w:rFonts w:ascii="Arial" w:eastAsia="Calibri" w:hAnsi="Arial" w:cs="Arial"/>
          <w:sz w:val="24"/>
          <w:szCs w:val="24"/>
        </w:rPr>
      </w:pPr>
      <w:r w:rsidRPr="00934C02">
        <w:rPr>
          <w:rFonts w:ascii="Arial" w:eastAsia="SimSun" w:hAnsi="Arial" w:cs="Arial"/>
          <w:sz w:val="24"/>
          <w:szCs w:val="24"/>
        </w:rPr>
        <w:t>Tabelul nr. VII.16</w:t>
      </w:r>
      <w:r w:rsidRPr="00934C02">
        <w:rPr>
          <w:rFonts w:ascii="Arial" w:eastAsia="Calibri" w:hAnsi="Arial" w:cs="Arial"/>
          <w:sz w:val="24"/>
          <w:szCs w:val="24"/>
        </w:rPr>
        <w:t xml:space="preserve"> Obiectivele de reciclare / valorificare. </w:t>
      </w:r>
    </w:p>
    <w:tbl>
      <w:tblPr>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1"/>
        <w:gridCol w:w="1870"/>
        <w:gridCol w:w="1871"/>
        <w:gridCol w:w="1870"/>
        <w:gridCol w:w="1986"/>
      </w:tblGrid>
      <w:tr w:rsidR="00934C02" w:rsidRPr="00934C02" w:rsidTr="00934C02">
        <w:trPr>
          <w:trHeight w:val="908"/>
        </w:trPr>
        <w:tc>
          <w:tcPr>
            <w:tcW w:w="1831" w:type="dxa"/>
          </w:tcPr>
          <w:p w:rsidR="00934C02" w:rsidRPr="00934C02" w:rsidRDefault="00934C02" w:rsidP="00934C02">
            <w:pPr>
              <w:autoSpaceDE w:val="0"/>
              <w:autoSpaceDN w:val="0"/>
              <w:adjustRightInd w:val="0"/>
              <w:spacing w:after="0" w:line="240" w:lineRule="auto"/>
              <w:ind w:left="-40"/>
              <w:jc w:val="both"/>
              <w:rPr>
                <w:rFonts w:ascii="Arial" w:eastAsia="SimSun" w:hAnsi="Arial" w:cs="Arial"/>
                <w:sz w:val="24"/>
                <w:szCs w:val="24"/>
              </w:rPr>
            </w:pPr>
            <w:r w:rsidRPr="00934C02">
              <w:rPr>
                <w:rFonts w:ascii="Arial" w:eastAsia="SimSun" w:hAnsi="Arial" w:cs="Arial"/>
                <w:sz w:val="24"/>
                <w:szCs w:val="24"/>
              </w:rPr>
              <w:t>Obiectiv valorificare anul 2010</w:t>
            </w:r>
          </w:p>
        </w:tc>
        <w:tc>
          <w:tcPr>
            <w:tcW w:w="1870" w:type="dxa"/>
          </w:tcPr>
          <w:p w:rsidR="00934C02" w:rsidRPr="00934C02" w:rsidRDefault="00934C02" w:rsidP="00934C02">
            <w:pPr>
              <w:spacing w:after="0" w:line="240" w:lineRule="auto"/>
              <w:jc w:val="both"/>
              <w:rPr>
                <w:rFonts w:ascii="Calibri" w:eastAsia="Calibri" w:hAnsi="Calibri" w:cs="Times New Roman"/>
              </w:rPr>
            </w:pPr>
            <w:r w:rsidRPr="00934C02">
              <w:rPr>
                <w:rFonts w:ascii="Arial" w:eastAsia="SimSun" w:hAnsi="Arial" w:cs="Arial"/>
                <w:sz w:val="24"/>
                <w:szCs w:val="24"/>
              </w:rPr>
              <w:t>Obiectiv valorificare anul 2011</w:t>
            </w:r>
          </w:p>
        </w:tc>
        <w:tc>
          <w:tcPr>
            <w:tcW w:w="1871" w:type="dxa"/>
          </w:tcPr>
          <w:p w:rsidR="00934C02" w:rsidRPr="00934C02" w:rsidRDefault="00934C02" w:rsidP="00934C02">
            <w:pPr>
              <w:spacing w:after="0" w:line="240" w:lineRule="auto"/>
              <w:jc w:val="both"/>
              <w:rPr>
                <w:rFonts w:ascii="Calibri" w:eastAsia="Calibri" w:hAnsi="Calibri" w:cs="Times New Roman"/>
              </w:rPr>
            </w:pPr>
            <w:r w:rsidRPr="00934C02">
              <w:rPr>
                <w:rFonts w:ascii="Arial" w:eastAsia="SimSun" w:hAnsi="Arial" w:cs="Arial"/>
                <w:sz w:val="24"/>
                <w:szCs w:val="24"/>
              </w:rPr>
              <w:t>Obiectiv valorificare anul 2012</w:t>
            </w:r>
          </w:p>
        </w:tc>
        <w:tc>
          <w:tcPr>
            <w:tcW w:w="1870" w:type="dxa"/>
          </w:tcPr>
          <w:p w:rsidR="00934C02" w:rsidRPr="00934C02" w:rsidRDefault="00934C02" w:rsidP="00934C02">
            <w:pPr>
              <w:spacing w:after="0" w:line="240" w:lineRule="auto"/>
              <w:jc w:val="both"/>
              <w:rPr>
                <w:rFonts w:ascii="Calibri" w:eastAsia="Calibri" w:hAnsi="Calibri" w:cs="Times New Roman"/>
              </w:rPr>
            </w:pPr>
            <w:r w:rsidRPr="00934C02">
              <w:rPr>
                <w:rFonts w:ascii="Arial" w:eastAsia="SimSun" w:hAnsi="Arial" w:cs="Arial"/>
                <w:sz w:val="24"/>
                <w:szCs w:val="24"/>
              </w:rPr>
              <w:t>Obiectiv valorificare anul 2013</w:t>
            </w:r>
          </w:p>
        </w:tc>
        <w:tc>
          <w:tcPr>
            <w:tcW w:w="1986" w:type="dxa"/>
          </w:tcPr>
          <w:p w:rsidR="00934C02" w:rsidRPr="00934C02" w:rsidRDefault="00934C02" w:rsidP="00934C02">
            <w:pPr>
              <w:spacing w:after="0" w:line="240" w:lineRule="auto"/>
              <w:jc w:val="both"/>
              <w:rPr>
                <w:rFonts w:ascii="Calibri" w:eastAsia="Calibri" w:hAnsi="Calibri" w:cs="Times New Roman"/>
              </w:rPr>
            </w:pPr>
            <w:r w:rsidRPr="00934C02">
              <w:rPr>
                <w:rFonts w:ascii="Arial" w:eastAsia="SimSun" w:hAnsi="Arial" w:cs="Arial"/>
                <w:sz w:val="24"/>
                <w:szCs w:val="24"/>
              </w:rPr>
              <w:t>Obiectiv valorificare anul 2014</w:t>
            </w:r>
          </w:p>
        </w:tc>
      </w:tr>
      <w:tr w:rsidR="00934C02" w:rsidRPr="00934C02" w:rsidTr="00934C02">
        <w:trPr>
          <w:trHeight w:val="215"/>
        </w:trPr>
        <w:tc>
          <w:tcPr>
            <w:tcW w:w="1831" w:type="dxa"/>
          </w:tcPr>
          <w:p w:rsidR="00934C02" w:rsidRPr="00934C02" w:rsidRDefault="00934C02" w:rsidP="00934C02">
            <w:pPr>
              <w:autoSpaceDE w:val="0"/>
              <w:autoSpaceDN w:val="0"/>
              <w:adjustRightInd w:val="0"/>
              <w:spacing w:after="0" w:line="240" w:lineRule="auto"/>
              <w:ind w:left="-40"/>
              <w:jc w:val="both"/>
              <w:rPr>
                <w:rFonts w:ascii="Arial" w:eastAsia="SimSun" w:hAnsi="Arial" w:cs="Arial"/>
                <w:sz w:val="24"/>
                <w:szCs w:val="24"/>
              </w:rPr>
            </w:pPr>
            <w:r w:rsidRPr="00934C02">
              <w:rPr>
                <w:rFonts w:ascii="Arial" w:eastAsia="SimSun" w:hAnsi="Arial" w:cs="Arial"/>
                <w:sz w:val="24"/>
                <w:szCs w:val="24"/>
              </w:rPr>
              <w:t>84.7</w:t>
            </w:r>
          </w:p>
        </w:tc>
        <w:tc>
          <w:tcPr>
            <w:tcW w:w="1870" w:type="dxa"/>
          </w:tcPr>
          <w:p w:rsidR="00934C02" w:rsidRPr="00934C02" w:rsidRDefault="00934C02" w:rsidP="00934C02">
            <w:pPr>
              <w:autoSpaceDE w:val="0"/>
              <w:autoSpaceDN w:val="0"/>
              <w:adjustRightInd w:val="0"/>
              <w:spacing w:after="0" w:line="240" w:lineRule="auto"/>
              <w:jc w:val="both"/>
              <w:rPr>
                <w:rFonts w:ascii="Arial" w:eastAsia="Calibri" w:hAnsi="Arial" w:cs="Arial"/>
                <w:color w:val="000000"/>
                <w:sz w:val="24"/>
                <w:szCs w:val="24"/>
              </w:rPr>
            </w:pPr>
            <w:r w:rsidRPr="00934C02">
              <w:rPr>
                <w:rFonts w:ascii="Arial" w:eastAsia="Calibri" w:hAnsi="Arial" w:cs="Arial"/>
                <w:color w:val="000000"/>
                <w:sz w:val="24"/>
                <w:szCs w:val="24"/>
              </w:rPr>
              <w:t>85.1</w:t>
            </w:r>
          </w:p>
        </w:tc>
        <w:tc>
          <w:tcPr>
            <w:tcW w:w="1871" w:type="dxa"/>
          </w:tcPr>
          <w:p w:rsidR="00934C02" w:rsidRPr="00934C02" w:rsidRDefault="00934C02" w:rsidP="00934C02">
            <w:pPr>
              <w:autoSpaceDE w:val="0"/>
              <w:autoSpaceDN w:val="0"/>
              <w:adjustRightInd w:val="0"/>
              <w:spacing w:after="0" w:line="240" w:lineRule="auto"/>
              <w:jc w:val="both"/>
              <w:rPr>
                <w:rFonts w:ascii="Arial" w:eastAsia="Calibri" w:hAnsi="Arial" w:cs="Arial"/>
                <w:color w:val="000000"/>
                <w:sz w:val="24"/>
                <w:szCs w:val="24"/>
              </w:rPr>
            </w:pPr>
            <w:r w:rsidRPr="00934C02">
              <w:rPr>
                <w:rFonts w:ascii="Arial" w:eastAsia="Calibri" w:hAnsi="Arial" w:cs="Arial"/>
                <w:color w:val="000000"/>
                <w:sz w:val="24"/>
                <w:szCs w:val="24"/>
              </w:rPr>
              <w:t>84.3</w:t>
            </w:r>
          </w:p>
        </w:tc>
        <w:tc>
          <w:tcPr>
            <w:tcW w:w="1870" w:type="dxa"/>
          </w:tcPr>
          <w:p w:rsidR="00934C02" w:rsidRPr="00934C02" w:rsidRDefault="00934C02" w:rsidP="00934C02">
            <w:pPr>
              <w:autoSpaceDE w:val="0"/>
              <w:autoSpaceDN w:val="0"/>
              <w:adjustRightInd w:val="0"/>
              <w:spacing w:after="0" w:line="240" w:lineRule="auto"/>
              <w:jc w:val="both"/>
              <w:rPr>
                <w:rFonts w:ascii="Arial" w:eastAsia="Calibri" w:hAnsi="Arial" w:cs="Arial"/>
                <w:color w:val="000000"/>
                <w:sz w:val="24"/>
                <w:szCs w:val="24"/>
              </w:rPr>
            </w:pPr>
            <w:r w:rsidRPr="00934C02">
              <w:rPr>
                <w:rFonts w:ascii="Arial" w:eastAsia="Calibri" w:hAnsi="Arial" w:cs="Arial"/>
                <w:color w:val="000000"/>
                <w:sz w:val="24"/>
                <w:szCs w:val="24"/>
              </w:rPr>
              <w:t>84.3</w:t>
            </w:r>
          </w:p>
        </w:tc>
        <w:tc>
          <w:tcPr>
            <w:tcW w:w="1986" w:type="dxa"/>
          </w:tcPr>
          <w:p w:rsidR="00934C02" w:rsidRPr="00934C02" w:rsidRDefault="00934C02" w:rsidP="00934C02">
            <w:pPr>
              <w:autoSpaceDE w:val="0"/>
              <w:autoSpaceDN w:val="0"/>
              <w:adjustRightInd w:val="0"/>
              <w:spacing w:after="0" w:line="240" w:lineRule="auto"/>
              <w:jc w:val="both"/>
              <w:rPr>
                <w:rFonts w:ascii="Arial" w:eastAsia="Calibri" w:hAnsi="Arial" w:cs="Arial"/>
                <w:color w:val="000000"/>
                <w:sz w:val="24"/>
                <w:szCs w:val="24"/>
              </w:rPr>
            </w:pPr>
            <w:r w:rsidRPr="00934C02">
              <w:rPr>
                <w:rFonts w:ascii="Arial" w:eastAsia="Calibri" w:hAnsi="Arial" w:cs="Arial"/>
                <w:color w:val="000000"/>
                <w:sz w:val="24"/>
                <w:szCs w:val="24"/>
              </w:rPr>
              <w:t>84.3</w:t>
            </w:r>
          </w:p>
        </w:tc>
      </w:tr>
    </w:tbl>
    <w:p w:rsidR="00934C02" w:rsidRPr="00934C02" w:rsidRDefault="00934C02" w:rsidP="00934C02">
      <w:pPr>
        <w:spacing w:after="0" w:line="240" w:lineRule="auto"/>
        <w:jc w:val="both"/>
        <w:rPr>
          <w:rFonts w:ascii="Arial" w:eastAsia="SimSun" w:hAnsi="Arial" w:cs="Arial"/>
          <w:sz w:val="24"/>
          <w:szCs w:val="24"/>
        </w:rPr>
      </w:pPr>
      <w:r w:rsidRPr="00934C02">
        <w:rPr>
          <w:rFonts w:ascii="Arial" w:eastAsia="Calibri" w:hAnsi="Arial" w:cs="Arial"/>
          <w:color w:val="000000"/>
          <w:sz w:val="24"/>
          <w:szCs w:val="24"/>
        </w:rPr>
        <w:t> </w:t>
      </w:r>
    </w:p>
    <w:p w:rsidR="00934C02" w:rsidRPr="00934C02" w:rsidRDefault="00934C02" w:rsidP="00934C02">
      <w:pPr>
        <w:autoSpaceDE w:val="0"/>
        <w:autoSpaceDN w:val="0"/>
        <w:adjustRightInd w:val="0"/>
        <w:spacing w:after="0" w:line="240" w:lineRule="auto"/>
        <w:jc w:val="both"/>
        <w:rPr>
          <w:rFonts w:ascii="Arial" w:eastAsia="SimSun" w:hAnsi="Arial" w:cs="Arial"/>
          <w:sz w:val="24"/>
          <w:szCs w:val="24"/>
        </w:rPr>
      </w:pPr>
      <w:r w:rsidRPr="00934C02">
        <w:rPr>
          <w:rFonts w:ascii="Arial" w:eastAsia="SimSun" w:hAnsi="Arial" w:cs="Arial"/>
          <w:sz w:val="24"/>
          <w:szCs w:val="24"/>
        </w:rPr>
        <w:t>Tabelul nr. VII.17 Evoluția țintei de colectate a DEEE / kg locuitor /an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1"/>
        <w:gridCol w:w="1367"/>
        <w:gridCol w:w="1587"/>
        <w:gridCol w:w="1587"/>
        <w:gridCol w:w="1588"/>
        <w:gridCol w:w="1588"/>
      </w:tblGrid>
      <w:tr w:rsidR="00934C02" w:rsidRPr="00934C02" w:rsidTr="00934C02">
        <w:tc>
          <w:tcPr>
            <w:tcW w:w="1751" w:type="dxa"/>
            <w:shd w:val="clear" w:color="auto" w:fill="auto"/>
          </w:tcPr>
          <w:p w:rsidR="00934C02" w:rsidRPr="00934C02" w:rsidRDefault="00934C02" w:rsidP="00934C02">
            <w:pPr>
              <w:spacing w:after="0" w:line="240" w:lineRule="auto"/>
              <w:jc w:val="both"/>
              <w:rPr>
                <w:rFonts w:ascii="Arial" w:eastAsia="SimSun" w:hAnsi="Arial" w:cs="Arial"/>
                <w:sz w:val="24"/>
                <w:szCs w:val="24"/>
                <w:lang w:eastAsia="ro-RO"/>
              </w:rPr>
            </w:pPr>
            <w:r w:rsidRPr="00934C02">
              <w:rPr>
                <w:rFonts w:ascii="Arial" w:eastAsia="SimSun" w:hAnsi="Arial" w:cs="Arial"/>
                <w:sz w:val="24"/>
                <w:szCs w:val="24"/>
                <w:lang w:eastAsia="ro-RO"/>
              </w:rPr>
              <w:t>Anul</w:t>
            </w:r>
          </w:p>
        </w:tc>
        <w:tc>
          <w:tcPr>
            <w:tcW w:w="1367" w:type="dxa"/>
            <w:shd w:val="clear" w:color="auto" w:fill="auto"/>
          </w:tcPr>
          <w:p w:rsidR="00934C02" w:rsidRPr="00934C02" w:rsidRDefault="00934C02" w:rsidP="00934C02">
            <w:pPr>
              <w:spacing w:after="0" w:line="240" w:lineRule="auto"/>
              <w:jc w:val="both"/>
              <w:rPr>
                <w:rFonts w:ascii="Arial" w:eastAsia="SimSun" w:hAnsi="Arial" w:cs="Arial"/>
                <w:sz w:val="24"/>
                <w:szCs w:val="24"/>
                <w:lang w:eastAsia="ro-RO"/>
              </w:rPr>
            </w:pPr>
            <w:r w:rsidRPr="00934C02">
              <w:rPr>
                <w:rFonts w:ascii="Arial" w:eastAsia="SimSun" w:hAnsi="Arial" w:cs="Arial"/>
                <w:sz w:val="24"/>
                <w:szCs w:val="24"/>
                <w:lang w:eastAsia="ro-RO"/>
              </w:rPr>
              <w:t>2010</w:t>
            </w:r>
          </w:p>
        </w:tc>
        <w:tc>
          <w:tcPr>
            <w:tcW w:w="1587" w:type="dxa"/>
            <w:shd w:val="clear" w:color="auto" w:fill="auto"/>
          </w:tcPr>
          <w:p w:rsidR="00934C02" w:rsidRPr="00934C02" w:rsidRDefault="00934C02" w:rsidP="00934C02">
            <w:pPr>
              <w:spacing w:after="0" w:line="240" w:lineRule="auto"/>
              <w:jc w:val="both"/>
              <w:rPr>
                <w:rFonts w:ascii="Arial" w:eastAsia="SimSun" w:hAnsi="Arial" w:cs="Arial"/>
                <w:sz w:val="24"/>
                <w:szCs w:val="24"/>
                <w:lang w:eastAsia="ro-RO"/>
              </w:rPr>
            </w:pPr>
            <w:r w:rsidRPr="00934C02">
              <w:rPr>
                <w:rFonts w:ascii="Arial" w:eastAsia="SimSun" w:hAnsi="Arial" w:cs="Arial"/>
                <w:sz w:val="24"/>
                <w:szCs w:val="24"/>
                <w:lang w:eastAsia="ro-RO"/>
              </w:rPr>
              <w:t>2011</w:t>
            </w:r>
          </w:p>
        </w:tc>
        <w:tc>
          <w:tcPr>
            <w:tcW w:w="1587" w:type="dxa"/>
            <w:shd w:val="clear" w:color="auto" w:fill="auto"/>
          </w:tcPr>
          <w:p w:rsidR="00934C02" w:rsidRPr="00934C02" w:rsidRDefault="00934C02" w:rsidP="00934C02">
            <w:pPr>
              <w:spacing w:after="0" w:line="240" w:lineRule="auto"/>
              <w:jc w:val="both"/>
              <w:rPr>
                <w:rFonts w:ascii="Arial" w:eastAsia="SimSun" w:hAnsi="Arial" w:cs="Arial"/>
                <w:sz w:val="24"/>
                <w:szCs w:val="24"/>
                <w:lang w:eastAsia="ro-RO"/>
              </w:rPr>
            </w:pPr>
            <w:r w:rsidRPr="00934C02">
              <w:rPr>
                <w:rFonts w:ascii="Arial" w:eastAsia="SimSun" w:hAnsi="Arial" w:cs="Arial"/>
                <w:sz w:val="24"/>
                <w:szCs w:val="24"/>
                <w:lang w:eastAsia="ro-RO"/>
              </w:rPr>
              <w:t>2012</w:t>
            </w:r>
          </w:p>
        </w:tc>
        <w:tc>
          <w:tcPr>
            <w:tcW w:w="1588" w:type="dxa"/>
            <w:shd w:val="clear" w:color="auto" w:fill="auto"/>
          </w:tcPr>
          <w:p w:rsidR="00934C02" w:rsidRPr="00934C02" w:rsidRDefault="00934C02" w:rsidP="00934C02">
            <w:pPr>
              <w:spacing w:after="0" w:line="240" w:lineRule="auto"/>
              <w:jc w:val="both"/>
              <w:rPr>
                <w:rFonts w:ascii="Arial" w:eastAsia="SimSun" w:hAnsi="Arial" w:cs="Arial"/>
                <w:sz w:val="24"/>
                <w:szCs w:val="24"/>
                <w:lang w:eastAsia="ro-RO"/>
              </w:rPr>
            </w:pPr>
            <w:r w:rsidRPr="00934C02">
              <w:rPr>
                <w:rFonts w:ascii="Arial" w:eastAsia="SimSun" w:hAnsi="Arial" w:cs="Arial"/>
                <w:sz w:val="24"/>
                <w:szCs w:val="24"/>
                <w:lang w:eastAsia="ro-RO"/>
              </w:rPr>
              <w:t>2013</w:t>
            </w:r>
          </w:p>
        </w:tc>
        <w:tc>
          <w:tcPr>
            <w:tcW w:w="1588" w:type="dxa"/>
            <w:shd w:val="clear" w:color="auto" w:fill="auto"/>
          </w:tcPr>
          <w:p w:rsidR="00934C02" w:rsidRPr="00934C02" w:rsidRDefault="00934C02" w:rsidP="00934C02">
            <w:pPr>
              <w:spacing w:after="0" w:line="240" w:lineRule="auto"/>
              <w:jc w:val="both"/>
              <w:rPr>
                <w:rFonts w:ascii="Arial" w:eastAsia="SimSun" w:hAnsi="Arial" w:cs="Arial"/>
                <w:sz w:val="24"/>
                <w:szCs w:val="24"/>
                <w:lang w:eastAsia="ro-RO"/>
              </w:rPr>
            </w:pPr>
            <w:r w:rsidRPr="00934C02">
              <w:rPr>
                <w:rFonts w:ascii="Arial" w:eastAsia="SimSun" w:hAnsi="Arial" w:cs="Arial"/>
                <w:sz w:val="24"/>
                <w:szCs w:val="24"/>
                <w:lang w:eastAsia="ro-RO"/>
              </w:rPr>
              <w:t>2014</w:t>
            </w:r>
          </w:p>
        </w:tc>
      </w:tr>
      <w:tr w:rsidR="00934C02" w:rsidRPr="00934C02" w:rsidTr="00934C02">
        <w:tc>
          <w:tcPr>
            <w:tcW w:w="1751" w:type="dxa"/>
            <w:shd w:val="clear" w:color="auto" w:fill="auto"/>
          </w:tcPr>
          <w:p w:rsidR="00934C02" w:rsidRPr="00934C02" w:rsidRDefault="00934C02" w:rsidP="00934C02">
            <w:pPr>
              <w:spacing w:after="0" w:line="240" w:lineRule="auto"/>
              <w:jc w:val="both"/>
              <w:rPr>
                <w:rFonts w:ascii="Arial" w:eastAsia="SimSun" w:hAnsi="Arial" w:cs="Arial"/>
                <w:sz w:val="24"/>
                <w:szCs w:val="24"/>
                <w:lang w:eastAsia="ro-RO"/>
              </w:rPr>
            </w:pPr>
            <w:r w:rsidRPr="00934C02">
              <w:rPr>
                <w:rFonts w:ascii="Arial" w:eastAsia="SimSun" w:hAnsi="Arial" w:cs="Arial"/>
                <w:sz w:val="24"/>
                <w:szCs w:val="24"/>
                <w:lang w:eastAsia="ro-RO"/>
              </w:rPr>
              <w:t>Ținta realizata</w:t>
            </w:r>
          </w:p>
        </w:tc>
        <w:tc>
          <w:tcPr>
            <w:tcW w:w="1367" w:type="dxa"/>
            <w:shd w:val="clear" w:color="auto" w:fill="auto"/>
          </w:tcPr>
          <w:p w:rsidR="00934C02" w:rsidRPr="00934C02" w:rsidRDefault="00934C02" w:rsidP="00934C02">
            <w:pPr>
              <w:spacing w:after="0" w:line="240" w:lineRule="auto"/>
              <w:jc w:val="both"/>
              <w:rPr>
                <w:rFonts w:ascii="Arial" w:eastAsia="SimSun" w:hAnsi="Arial" w:cs="Arial"/>
                <w:sz w:val="24"/>
                <w:szCs w:val="24"/>
                <w:lang w:eastAsia="ro-RO"/>
              </w:rPr>
            </w:pPr>
            <w:r w:rsidRPr="00934C02">
              <w:rPr>
                <w:rFonts w:ascii="Arial" w:eastAsia="SimSun" w:hAnsi="Arial" w:cs="Arial"/>
                <w:sz w:val="24"/>
                <w:szCs w:val="24"/>
                <w:lang w:eastAsia="ro-RO"/>
              </w:rPr>
              <w:t>0.099</w:t>
            </w:r>
          </w:p>
        </w:tc>
        <w:tc>
          <w:tcPr>
            <w:tcW w:w="1587" w:type="dxa"/>
            <w:shd w:val="clear" w:color="auto" w:fill="auto"/>
          </w:tcPr>
          <w:p w:rsidR="00934C02" w:rsidRPr="00934C02" w:rsidRDefault="00934C02" w:rsidP="00934C02">
            <w:pPr>
              <w:spacing w:after="0" w:line="240" w:lineRule="auto"/>
              <w:jc w:val="both"/>
              <w:rPr>
                <w:rFonts w:ascii="Arial" w:eastAsia="SimSun" w:hAnsi="Arial" w:cs="Arial"/>
                <w:sz w:val="24"/>
                <w:szCs w:val="24"/>
                <w:lang w:eastAsia="ro-RO"/>
              </w:rPr>
            </w:pPr>
            <w:r w:rsidRPr="00934C02">
              <w:rPr>
                <w:rFonts w:ascii="Arial" w:eastAsia="SimSun" w:hAnsi="Arial" w:cs="Arial"/>
                <w:sz w:val="24"/>
                <w:szCs w:val="24"/>
                <w:lang w:eastAsia="ro-RO"/>
              </w:rPr>
              <w:t>0.177</w:t>
            </w:r>
          </w:p>
        </w:tc>
        <w:tc>
          <w:tcPr>
            <w:tcW w:w="1587" w:type="dxa"/>
            <w:shd w:val="clear" w:color="auto" w:fill="auto"/>
          </w:tcPr>
          <w:p w:rsidR="00934C02" w:rsidRPr="00934C02" w:rsidRDefault="00934C02" w:rsidP="00934C02">
            <w:pPr>
              <w:spacing w:after="0" w:line="240" w:lineRule="auto"/>
              <w:jc w:val="both"/>
              <w:rPr>
                <w:rFonts w:ascii="Arial" w:eastAsia="SimSun" w:hAnsi="Arial" w:cs="Arial"/>
                <w:sz w:val="24"/>
                <w:szCs w:val="24"/>
                <w:lang w:eastAsia="ro-RO"/>
              </w:rPr>
            </w:pPr>
            <w:r w:rsidRPr="00934C02">
              <w:rPr>
                <w:rFonts w:ascii="Arial" w:eastAsia="SimSun" w:hAnsi="Arial" w:cs="Arial"/>
                <w:sz w:val="24"/>
                <w:szCs w:val="24"/>
                <w:lang w:eastAsia="ro-RO"/>
              </w:rPr>
              <w:t>0.258</w:t>
            </w:r>
          </w:p>
        </w:tc>
        <w:tc>
          <w:tcPr>
            <w:tcW w:w="1588" w:type="dxa"/>
            <w:shd w:val="clear" w:color="auto" w:fill="auto"/>
          </w:tcPr>
          <w:p w:rsidR="00934C02" w:rsidRPr="00934C02" w:rsidRDefault="00934C02" w:rsidP="00934C02">
            <w:pPr>
              <w:spacing w:after="0" w:line="240" w:lineRule="auto"/>
              <w:jc w:val="both"/>
              <w:rPr>
                <w:rFonts w:ascii="Arial" w:eastAsia="SimSun" w:hAnsi="Arial" w:cs="Arial"/>
                <w:sz w:val="24"/>
                <w:szCs w:val="24"/>
                <w:lang w:eastAsia="ro-RO"/>
              </w:rPr>
            </w:pPr>
            <w:r w:rsidRPr="00934C02">
              <w:rPr>
                <w:rFonts w:ascii="Arial" w:eastAsia="SimSun" w:hAnsi="Arial" w:cs="Arial"/>
                <w:sz w:val="24"/>
                <w:szCs w:val="24"/>
                <w:lang w:eastAsia="ro-RO"/>
              </w:rPr>
              <w:t>0.401</w:t>
            </w:r>
          </w:p>
        </w:tc>
        <w:tc>
          <w:tcPr>
            <w:tcW w:w="1588" w:type="dxa"/>
            <w:shd w:val="clear" w:color="auto" w:fill="auto"/>
          </w:tcPr>
          <w:p w:rsidR="00934C02" w:rsidRPr="00934C02" w:rsidRDefault="00934C02" w:rsidP="00934C02">
            <w:pPr>
              <w:spacing w:after="0" w:line="240" w:lineRule="auto"/>
              <w:jc w:val="both"/>
              <w:rPr>
                <w:rFonts w:ascii="Arial" w:eastAsia="SimSun" w:hAnsi="Arial" w:cs="Arial"/>
                <w:sz w:val="24"/>
                <w:szCs w:val="24"/>
                <w:lang w:eastAsia="ro-RO"/>
              </w:rPr>
            </w:pPr>
            <w:r w:rsidRPr="00934C02">
              <w:rPr>
                <w:rFonts w:ascii="Arial" w:eastAsia="SimSun" w:hAnsi="Arial" w:cs="Arial"/>
                <w:sz w:val="24"/>
                <w:szCs w:val="24"/>
                <w:lang w:eastAsia="ro-RO"/>
              </w:rPr>
              <w:t>0.465</w:t>
            </w:r>
          </w:p>
        </w:tc>
      </w:tr>
      <w:tr w:rsidR="00934C02" w:rsidRPr="00934C02" w:rsidTr="00934C02">
        <w:tc>
          <w:tcPr>
            <w:tcW w:w="1751" w:type="dxa"/>
            <w:shd w:val="clear" w:color="auto" w:fill="auto"/>
          </w:tcPr>
          <w:p w:rsidR="00934C02" w:rsidRPr="00934C02" w:rsidRDefault="00934C02" w:rsidP="00934C02">
            <w:pPr>
              <w:spacing w:after="0" w:line="240" w:lineRule="auto"/>
              <w:jc w:val="both"/>
              <w:rPr>
                <w:rFonts w:ascii="Arial" w:eastAsia="SimSun" w:hAnsi="Arial" w:cs="Arial"/>
                <w:sz w:val="24"/>
                <w:szCs w:val="24"/>
                <w:lang w:eastAsia="ro-RO"/>
              </w:rPr>
            </w:pPr>
            <w:r w:rsidRPr="00934C02">
              <w:rPr>
                <w:rFonts w:ascii="Arial" w:eastAsia="SimSun" w:hAnsi="Arial" w:cs="Arial"/>
                <w:sz w:val="24"/>
                <w:szCs w:val="24"/>
                <w:lang w:eastAsia="ro-RO"/>
              </w:rPr>
              <w:t>Ținta impusa</w:t>
            </w:r>
          </w:p>
        </w:tc>
        <w:tc>
          <w:tcPr>
            <w:tcW w:w="1367" w:type="dxa"/>
            <w:shd w:val="clear" w:color="auto" w:fill="auto"/>
          </w:tcPr>
          <w:p w:rsidR="00934C02" w:rsidRPr="00934C02" w:rsidRDefault="00934C02" w:rsidP="00934C02">
            <w:pPr>
              <w:spacing w:after="0" w:line="240" w:lineRule="auto"/>
              <w:jc w:val="both"/>
              <w:rPr>
                <w:rFonts w:ascii="Arial" w:eastAsia="SimSun" w:hAnsi="Arial" w:cs="Arial"/>
                <w:sz w:val="24"/>
                <w:szCs w:val="24"/>
                <w:lang w:eastAsia="ro-RO"/>
              </w:rPr>
            </w:pPr>
            <w:r w:rsidRPr="00934C02">
              <w:rPr>
                <w:rFonts w:ascii="Arial" w:eastAsia="SimSun" w:hAnsi="Arial" w:cs="Arial"/>
                <w:sz w:val="24"/>
                <w:szCs w:val="24"/>
                <w:lang w:eastAsia="ro-RO"/>
              </w:rPr>
              <w:t>4.0</w:t>
            </w:r>
          </w:p>
        </w:tc>
        <w:tc>
          <w:tcPr>
            <w:tcW w:w="1587" w:type="dxa"/>
            <w:shd w:val="clear" w:color="auto" w:fill="auto"/>
          </w:tcPr>
          <w:p w:rsidR="00934C02" w:rsidRPr="00934C02" w:rsidRDefault="00934C02" w:rsidP="00934C02">
            <w:pPr>
              <w:spacing w:after="0" w:line="240" w:lineRule="auto"/>
              <w:jc w:val="both"/>
              <w:rPr>
                <w:rFonts w:ascii="Arial" w:eastAsia="Times New Roman" w:hAnsi="Arial" w:cs="Arial"/>
                <w:sz w:val="24"/>
                <w:szCs w:val="24"/>
                <w:lang w:eastAsia="ro-RO"/>
              </w:rPr>
            </w:pPr>
            <w:r w:rsidRPr="00934C02">
              <w:rPr>
                <w:rFonts w:ascii="Arial" w:eastAsia="SimSun" w:hAnsi="Arial" w:cs="Arial"/>
                <w:sz w:val="24"/>
                <w:szCs w:val="24"/>
                <w:lang w:eastAsia="ro-RO"/>
              </w:rPr>
              <w:t>4.0</w:t>
            </w:r>
          </w:p>
        </w:tc>
        <w:tc>
          <w:tcPr>
            <w:tcW w:w="1587" w:type="dxa"/>
            <w:shd w:val="clear" w:color="auto" w:fill="auto"/>
          </w:tcPr>
          <w:p w:rsidR="00934C02" w:rsidRPr="00934C02" w:rsidRDefault="00934C02" w:rsidP="00934C02">
            <w:pPr>
              <w:spacing w:after="0" w:line="240" w:lineRule="auto"/>
              <w:jc w:val="both"/>
              <w:rPr>
                <w:rFonts w:ascii="Arial" w:eastAsia="Times New Roman" w:hAnsi="Arial" w:cs="Arial"/>
                <w:sz w:val="24"/>
                <w:szCs w:val="24"/>
                <w:lang w:eastAsia="ro-RO"/>
              </w:rPr>
            </w:pPr>
            <w:r w:rsidRPr="00934C02">
              <w:rPr>
                <w:rFonts w:ascii="Arial" w:eastAsia="SimSun" w:hAnsi="Arial" w:cs="Arial"/>
                <w:sz w:val="24"/>
                <w:szCs w:val="24"/>
                <w:lang w:eastAsia="ro-RO"/>
              </w:rPr>
              <w:t>4.0</w:t>
            </w:r>
          </w:p>
        </w:tc>
        <w:tc>
          <w:tcPr>
            <w:tcW w:w="1588" w:type="dxa"/>
            <w:shd w:val="clear" w:color="auto" w:fill="auto"/>
          </w:tcPr>
          <w:p w:rsidR="00934C02" w:rsidRPr="00934C02" w:rsidRDefault="00934C02" w:rsidP="00934C02">
            <w:pPr>
              <w:spacing w:after="0" w:line="240" w:lineRule="auto"/>
              <w:jc w:val="both"/>
              <w:rPr>
                <w:rFonts w:ascii="Arial" w:eastAsia="Times New Roman" w:hAnsi="Arial" w:cs="Arial"/>
                <w:sz w:val="24"/>
                <w:szCs w:val="24"/>
                <w:lang w:eastAsia="ro-RO"/>
              </w:rPr>
            </w:pPr>
            <w:r w:rsidRPr="00934C02">
              <w:rPr>
                <w:rFonts w:ascii="Arial" w:eastAsia="SimSun" w:hAnsi="Arial" w:cs="Arial"/>
                <w:sz w:val="24"/>
                <w:szCs w:val="24"/>
                <w:lang w:eastAsia="ro-RO"/>
              </w:rPr>
              <w:t>4.0</w:t>
            </w:r>
          </w:p>
        </w:tc>
        <w:tc>
          <w:tcPr>
            <w:tcW w:w="1588" w:type="dxa"/>
            <w:shd w:val="clear" w:color="auto" w:fill="auto"/>
          </w:tcPr>
          <w:p w:rsidR="00934C02" w:rsidRPr="00934C02" w:rsidRDefault="00934C02" w:rsidP="00934C02">
            <w:pPr>
              <w:spacing w:after="0" w:line="240" w:lineRule="auto"/>
              <w:jc w:val="both"/>
              <w:rPr>
                <w:rFonts w:ascii="Arial" w:eastAsia="Times New Roman" w:hAnsi="Arial" w:cs="Arial"/>
                <w:sz w:val="24"/>
                <w:szCs w:val="24"/>
                <w:lang w:eastAsia="ro-RO"/>
              </w:rPr>
            </w:pPr>
            <w:r w:rsidRPr="00934C02">
              <w:rPr>
                <w:rFonts w:ascii="Arial" w:eastAsia="SimSun" w:hAnsi="Arial" w:cs="Arial"/>
                <w:sz w:val="24"/>
                <w:szCs w:val="24"/>
                <w:lang w:eastAsia="ro-RO"/>
              </w:rPr>
              <w:t>4.0</w:t>
            </w:r>
          </w:p>
        </w:tc>
      </w:tr>
    </w:tbl>
    <w:p w:rsidR="00934C02" w:rsidRPr="00934C02" w:rsidRDefault="00934C02" w:rsidP="00934C02">
      <w:pPr>
        <w:spacing w:after="0" w:line="240" w:lineRule="auto"/>
        <w:jc w:val="both"/>
        <w:rPr>
          <w:rFonts w:ascii="Arial" w:eastAsia="Calibri" w:hAnsi="Arial" w:cs="Arial"/>
          <w:color w:val="000000"/>
          <w:sz w:val="24"/>
          <w:szCs w:val="24"/>
        </w:rPr>
      </w:pPr>
    </w:p>
    <w:p w:rsidR="00934C02" w:rsidRPr="00934C02" w:rsidRDefault="00934C02" w:rsidP="00934C02">
      <w:pPr>
        <w:spacing w:after="0" w:line="240" w:lineRule="auto"/>
        <w:jc w:val="both"/>
        <w:rPr>
          <w:rFonts w:ascii="Arial" w:eastAsia="Calibri" w:hAnsi="Arial" w:cs="Arial"/>
          <w:color w:val="000000"/>
          <w:sz w:val="24"/>
          <w:szCs w:val="24"/>
        </w:rPr>
      </w:pPr>
      <w:r w:rsidRPr="00934C02">
        <w:rPr>
          <w:rFonts w:ascii="Arial" w:eastAsia="Calibri" w:hAnsi="Arial" w:cs="Arial"/>
          <w:color w:val="000000"/>
          <w:sz w:val="24"/>
          <w:szCs w:val="24"/>
        </w:rPr>
        <w:t>Operatorii economici autorizaţi pentru tratare DEEE din judeţul Vaslui.</w:t>
      </w:r>
    </w:p>
    <w:p w:rsidR="00934C02" w:rsidRPr="00934C02" w:rsidRDefault="00934C02" w:rsidP="00934C02">
      <w:pPr>
        <w:spacing w:after="0" w:line="240" w:lineRule="auto"/>
        <w:jc w:val="both"/>
        <w:rPr>
          <w:rFonts w:ascii="Arial" w:eastAsia="Calibri" w:hAnsi="Arial" w:cs="Arial"/>
          <w:color w:val="000000"/>
          <w:sz w:val="24"/>
          <w:szCs w:val="24"/>
        </w:rPr>
      </w:pPr>
    </w:p>
    <w:p w:rsidR="00934C02" w:rsidRPr="00934C02" w:rsidRDefault="008D2617" w:rsidP="008D2617">
      <w:pPr>
        <w:spacing w:after="0" w:line="240" w:lineRule="auto"/>
        <w:jc w:val="both"/>
        <w:rPr>
          <w:rFonts w:ascii="Arial" w:eastAsia="Times New Roman" w:hAnsi="Arial" w:cs="Arial"/>
          <w:color w:val="000000"/>
          <w:sz w:val="24"/>
          <w:szCs w:val="24"/>
        </w:rPr>
      </w:pPr>
      <w:r>
        <w:rPr>
          <w:rFonts w:ascii="Arial" w:eastAsia="Calibri" w:hAnsi="Arial" w:cs="Arial"/>
          <w:color w:val="000000"/>
          <w:sz w:val="24"/>
          <w:szCs w:val="24"/>
        </w:rPr>
        <w:t>-</w:t>
      </w:r>
      <w:r w:rsidR="00934C02" w:rsidRPr="00934C02">
        <w:rPr>
          <w:rFonts w:ascii="Arial" w:eastAsia="Calibri" w:hAnsi="Arial" w:cs="Arial"/>
          <w:color w:val="000000"/>
          <w:sz w:val="24"/>
          <w:szCs w:val="24"/>
        </w:rPr>
        <w:t xml:space="preserve">SC COM ECOSAL SRL </w:t>
      </w:r>
      <w:r w:rsidR="00934C02" w:rsidRPr="00934C02">
        <w:rPr>
          <w:rFonts w:ascii="Arial" w:eastAsia="Times New Roman" w:hAnsi="Arial" w:cs="Arial"/>
          <w:color w:val="000000"/>
          <w:sz w:val="24"/>
          <w:szCs w:val="24"/>
        </w:rPr>
        <w:t xml:space="preserve">Vaslui, str.Podul Inalt, nr.9, </w:t>
      </w:r>
      <w:r w:rsidR="00934C02" w:rsidRPr="00934C02">
        <w:rPr>
          <w:rFonts w:ascii="Arial" w:eastAsia="Calibri" w:hAnsi="Arial" w:cs="Arial"/>
          <w:color w:val="000000"/>
          <w:sz w:val="24"/>
          <w:szCs w:val="24"/>
        </w:rPr>
        <w:t>a</w:t>
      </w:r>
      <w:r w:rsidR="00934C02" w:rsidRPr="00934C02">
        <w:rPr>
          <w:rFonts w:ascii="Arial" w:eastAsia="Times New Roman" w:hAnsi="Arial" w:cs="Arial"/>
          <w:color w:val="000000"/>
          <w:sz w:val="24"/>
          <w:szCs w:val="24"/>
        </w:rPr>
        <w:t>utorizaţia de mediu nr.82/12.08.2009, valabilă până la 11.08.2019.</w:t>
      </w:r>
    </w:p>
    <w:p w:rsidR="00934C02" w:rsidRPr="00934C02" w:rsidRDefault="00934C02" w:rsidP="00934C02">
      <w:pPr>
        <w:spacing w:after="0" w:line="240" w:lineRule="auto"/>
        <w:rPr>
          <w:rFonts w:ascii="Arial" w:eastAsia="Times New Roman" w:hAnsi="Arial" w:cs="Arial"/>
          <w:color w:val="000000"/>
          <w:sz w:val="24"/>
          <w:szCs w:val="24"/>
        </w:rPr>
      </w:pPr>
    </w:p>
    <w:p w:rsidR="00934C02" w:rsidRPr="00934C02" w:rsidRDefault="00934C02" w:rsidP="00934C02">
      <w:pPr>
        <w:autoSpaceDE w:val="0"/>
        <w:autoSpaceDN w:val="0"/>
        <w:adjustRightInd w:val="0"/>
        <w:spacing w:after="0" w:line="240" w:lineRule="auto"/>
        <w:rPr>
          <w:rFonts w:ascii="Arial" w:eastAsia="Times New Roman" w:hAnsi="Arial" w:cs="Arial"/>
          <w:color w:val="000000"/>
          <w:sz w:val="24"/>
          <w:szCs w:val="24"/>
        </w:rPr>
      </w:pPr>
      <w:r w:rsidRPr="00934C02">
        <w:rPr>
          <w:rFonts w:ascii="Arial" w:eastAsia="Times New Roman" w:hAnsi="Arial" w:cs="Arial"/>
          <w:color w:val="000000"/>
          <w:sz w:val="24"/>
          <w:szCs w:val="24"/>
        </w:rPr>
        <w:t xml:space="preserve">  </w:t>
      </w:r>
      <w:r w:rsidRPr="00934C02">
        <w:rPr>
          <w:rFonts w:ascii="Arial" w:eastAsia="SimSun" w:hAnsi="Arial" w:cs="Arial"/>
          <w:sz w:val="24"/>
          <w:szCs w:val="24"/>
        </w:rPr>
        <w:t>Tabelul nr. VII.18. Cantitaţi de DEEE colectate şi tratate (tone) în judeţul Vaslui.</w:t>
      </w:r>
    </w:p>
    <w:tbl>
      <w:tblPr>
        <w:tblStyle w:val="TableGrid31"/>
        <w:tblW w:w="0" w:type="auto"/>
        <w:tblLook w:val="04A0" w:firstRow="1" w:lastRow="0" w:firstColumn="1" w:lastColumn="0" w:noHBand="0" w:noVBand="1"/>
      </w:tblPr>
      <w:tblGrid>
        <w:gridCol w:w="1679"/>
        <w:gridCol w:w="1566"/>
        <w:gridCol w:w="1566"/>
        <w:gridCol w:w="1633"/>
        <w:gridCol w:w="1566"/>
        <w:gridCol w:w="1566"/>
      </w:tblGrid>
      <w:tr w:rsidR="00934C02" w:rsidRPr="00934C02" w:rsidTr="00934C02">
        <w:tc>
          <w:tcPr>
            <w:tcW w:w="1679" w:type="dxa"/>
          </w:tcPr>
          <w:p w:rsidR="00934C02" w:rsidRPr="00934C02" w:rsidRDefault="00934C02" w:rsidP="00934C02">
            <w:pPr>
              <w:rPr>
                <w:rFonts w:ascii="Arial" w:hAnsi="Arial" w:cs="Arial"/>
                <w:color w:val="000000"/>
                <w:sz w:val="24"/>
                <w:szCs w:val="24"/>
              </w:rPr>
            </w:pPr>
            <w:r w:rsidRPr="00934C02">
              <w:rPr>
                <w:rFonts w:ascii="Arial" w:hAnsi="Arial" w:cs="Arial"/>
                <w:color w:val="000000"/>
                <w:sz w:val="24"/>
                <w:szCs w:val="24"/>
              </w:rPr>
              <w:t>Anul</w:t>
            </w:r>
          </w:p>
        </w:tc>
        <w:tc>
          <w:tcPr>
            <w:tcW w:w="1566" w:type="dxa"/>
          </w:tcPr>
          <w:p w:rsidR="00934C02" w:rsidRPr="00934C02" w:rsidRDefault="00934C02" w:rsidP="00934C02">
            <w:pPr>
              <w:rPr>
                <w:rFonts w:ascii="Arial" w:hAnsi="Arial" w:cs="Arial"/>
                <w:color w:val="000000"/>
                <w:sz w:val="24"/>
                <w:szCs w:val="24"/>
              </w:rPr>
            </w:pPr>
            <w:r w:rsidRPr="00934C02">
              <w:rPr>
                <w:rFonts w:ascii="Arial" w:hAnsi="Arial" w:cs="Arial"/>
                <w:color w:val="000000"/>
                <w:sz w:val="24"/>
                <w:szCs w:val="24"/>
              </w:rPr>
              <w:t>2010</w:t>
            </w:r>
          </w:p>
        </w:tc>
        <w:tc>
          <w:tcPr>
            <w:tcW w:w="1566" w:type="dxa"/>
          </w:tcPr>
          <w:p w:rsidR="00934C02" w:rsidRPr="00934C02" w:rsidRDefault="00934C02" w:rsidP="00934C02">
            <w:pPr>
              <w:rPr>
                <w:rFonts w:ascii="Arial" w:hAnsi="Arial" w:cs="Arial"/>
                <w:color w:val="000000"/>
                <w:sz w:val="24"/>
                <w:szCs w:val="24"/>
              </w:rPr>
            </w:pPr>
            <w:r w:rsidRPr="00934C02">
              <w:rPr>
                <w:rFonts w:ascii="Arial" w:hAnsi="Arial" w:cs="Arial"/>
                <w:color w:val="000000"/>
                <w:sz w:val="24"/>
                <w:szCs w:val="24"/>
              </w:rPr>
              <w:t>2011</w:t>
            </w:r>
          </w:p>
        </w:tc>
        <w:tc>
          <w:tcPr>
            <w:tcW w:w="1633" w:type="dxa"/>
          </w:tcPr>
          <w:p w:rsidR="00934C02" w:rsidRPr="00934C02" w:rsidRDefault="00934C02" w:rsidP="00934C02">
            <w:pPr>
              <w:rPr>
                <w:rFonts w:ascii="Arial" w:hAnsi="Arial" w:cs="Arial"/>
                <w:color w:val="000000"/>
                <w:sz w:val="24"/>
                <w:szCs w:val="24"/>
              </w:rPr>
            </w:pPr>
            <w:r w:rsidRPr="00934C02">
              <w:rPr>
                <w:rFonts w:ascii="Arial" w:hAnsi="Arial" w:cs="Arial"/>
                <w:color w:val="000000"/>
                <w:sz w:val="24"/>
                <w:szCs w:val="24"/>
              </w:rPr>
              <w:t>2012</w:t>
            </w:r>
          </w:p>
        </w:tc>
        <w:tc>
          <w:tcPr>
            <w:tcW w:w="1566" w:type="dxa"/>
          </w:tcPr>
          <w:p w:rsidR="00934C02" w:rsidRPr="00934C02" w:rsidRDefault="00934C02" w:rsidP="00934C02">
            <w:pPr>
              <w:rPr>
                <w:rFonts w:ascii="Arial" w:hAnsi="Arial" w:cs="Arial"/>
                <w:color w:val="000000"/>
                <w:sz w:val="24"/>
                <w:szCs w:val="24"/>
              </w:rPr>
            </w:pPr>
            <w:r w:rsidRPr="00934C02">
              <w:rPr>
                <w:rFonts w:ascii="Arial" w:hAnsi="Arial" w:cs="Arial"/>
                <w:color w:val="000000"/>
                <w:sz w:val="24"/>
                <w:szCs w:val="24"/>
              </w:rPr>
              <w:t>2013</w:t>
            </w:r>
          </w:p>
        </w:tc>
        <w:tc>
          <w:tcPr>
            <w:tcW w:w="1566" w:type="dxa"/>
          </w:tcPr>
          <w:p w:rsidR="00934C02" w:rsidRPr="00934C02" w:rsidRDefault="00934C02" w:rsidP="00934C02">
            <w:pPr>
              <w:rPr>
                <w:rFonts w:ascii="Arial" w:hAnsi="Arial" w:cs="Arial"/>
                <w:color w:val="000000"/>
                <w:sz w:val="24"/>
                <w:szCs w:val="24"/>
              </w:rPr>
            </w:pPr>
            <w:r w:rsidRPr="00934C02">
              <w:rPr>
                <w:rFonts w:ascii="Arial" w:hAnsi="Arial" w:cs="Arial"/>
                <w:color w:val="000000"/>
                <w:sz w:val="24"/>
                <w:szCs w:val="24"/>
              </w:rPr>
              <w:t>2014</w:t>
            </w:r>
          </w:p>
        </w:tc>
      </w:tr>
      <w:tr w:rsidR="00934C02" w:rsidRPr="00934C02" w:rsidTr="00934C02">
        <w:tc>
          <w:tcPr>
            <w:tcW w:w="1679" w:type="dxa"/>
          </w:tcPr>
          <w:p w:rsidR="00934C02" w:rsidRPr="00934C02" w:rsidRDefault="00934C02" w:rsidP="00934C02">
            <w:pPr>
              <w:rPr>
                <w:rFonts w:ascii="Arial" w:hAnsi="Arial" w:cs="Arial"/>
                <w:color w:val="000000"/>
                <w:sz w:val="24"/>
                <w:szCs w:val="24"/>
              </w:rPr>
            </w:pPr>
            <w:r w:rsidRPr="00934C02">
              <w:rPr>
                <w:rFonts w:ascii="Arial" w:hAnsi="Arial" w:cs="Arial"/>
                <w:color w:val="000000"/>
                <w:sz w:val="24"/>
                <w:szCs w:val="24"/>
              </w:rPr>
              <w:t>Cantitate tratată (tone)</w:t>
            </w:r>
          </w:p>
        </w:tc>
        <w:tc>
          <w:tcPr>
            <w:tcW w:w="1566" w:type="dxa"/>
          </w:tcPr>
          <w:p w:rsidR="00934C02" w:rsidRPr="00934C02" w:rsidRDefault="00934C02" w:rsidP="00934C02">
            <w:pPr>
              <w:rPr>
                <w:rFonts w:ascii="Arial" w:hAnsi="Arial" w:cs="Arial"/>
                <w:color w:val="000000"/>
                <w:sz w:val="24"/>
                <w:szCs w:val="24"/>
              </w:rPr>
            </w:pPr>
            <w:r w:rsidRPr="00934C02">
              <w:rPr>
                <w:rFonts w:ascii="Arial" w:hAnsi="Arial" w:cs="Arial"/>
                <w:color w:val="000000"/>
                <w:sz w:val="24"/>
                <w:szCs w:val="24"/>
              </w:rPr>
              <w:t>54,076</w:t>
            </w:r>
          </w:p>
        </w:tc>
        <w:tc>
          <w:tcPr>
            <w:tcW w:w="1566" w:type="dxa"/>
          </w:tcPr>
          <w:p w:rsidR="00934C02" w:rsidRPr="00934C02" w:rsidRDefault="00934C02" w:rsidP="00934C02">
            <w:pPr>
              <w:rPr>
                <w:rFonts w:ascii="Arial" w:hAnsi="Arial" w:cs="Arial"/>
                <w:color w:val="000000"/>
                <w:sz w:val="24"/>
                <w:szCs w:val="24"/>
              </w:rPr>
            </w:pPr>
            <w:r w:rsidRPr="00934C02">
              <w:rPr>
                <w:rFonts w:ascii="Arial" w:hAnsi="Arial" w:cs="Arial"/>
                <w:color w:val="000000"/>
                <w:sz w:val="24"/>
                <w:szCs w:val="24"/>
              </w:rPr>
              <w:t>172,83</w:t>
            </w:r>
          </w:p>
        </w:tc>
        <w:tc>
          <w:tcPr>
            <w:tcW w:w="1633" w:type="dxa"/>
          </w:tcPr>
          <w:p w:rsidR="00934C02" w:rsidRPr="00934C02" w:rsidRDefault="00934C02" w:rsidP="00934C02">
            <w:pPr>
              <w:rPr>
                <w:rFonts w:ascii="Arial" w:hAnsi="Arial" w:cs="Arial"/>
                <w:color w:val="000000"/>
                <w:sz w:val="24"/>
                <w:szCs w:val="24"/>
              </w:rPr>
            </w:pPr>
            <w:r w:rsidRPr="00934C02">
              <w:rPr>
                <w:rFonts w:ascii="Arial" w:hAnsi="Arial" w:cs="Arial"/>
                <w:color w:val="000000"/>
                <w:sz w:val="24"/>
                <w:szCs w:val="24"/>
              </w:rPr>
              <w:t>269,187</w:t>
            </w:r>
          </w:p>
        </w:tc>
        <w:tc>
          <w:tcPr>
            <w:tcW w:w="1566" w:type="dxa"/>
          </w:tcPr>
          <w:p w:rsidR="00934C02" w:rsidRPr="00934C02" w:rsidRDefault="00934C02" w:rsidP="00934C02">
            <w:pPr>
              <w:rPr>
                <w:rFonts w:ascii="Arial" w:hAnsi="Arial" w:cs="Arial"/>
                <w:color w:val="000000"/>
                <w:sz w:val="24"/>
                <w:szCs w:val="24"/>
              </w:rPr>
            </w:pPr>
            <w:r w:rsidRPr="00934C02">
              <w:rPr>
                <w:rFonts w:ascii="Arial" w:hAnsi="Arial" w:cs="Arial"/>
                <w:color w:val="000000"/>
                <w:sz w:val="24"/>
                <w:szCs w:val="24"/>
              </w:rPr>
              <w:t>270.57</w:t>
            </w:r>
          </w:p>
        </w:tc>
        <w:tc>
          <w:tcPr>
            <w:tcW w:w="1566" w:type="dxa"/>
          </w:tcPr>
          <w:p w:rsidR="00934C02" w:rsidRPr="00934C02" w:rsidRDefault="00934C02" w:rsidP="00934C02">
            <w:pPr>
              <w:rPr>
                <w:rFonts w:ascii="Arial" w:hAnsi="Arial" w:cs="Arial"/>
                <w:color w:val="000000"/>
                <w:sz w:val="24"/>
                <w:szCs w:val="24"/>
              </w:rPr>
            </w:pPr>
            <w:r w:rsidRPr="00934C02">
              <w:rPr>
                <w:rFonts w:ascii="Arial" w:hAnsi="Arial" w:cs="Arial"/>
                <w:color w:val="000000"/>
                <w:sz w:val="24"/>
                <w:szCs w:val="24"/>
              </w:rPr>
              <w:t>74.245</w:t>
            </w:r>
          </w:p>
        </w:tc>
      </w:tr>
    </w:tbl>
    <w:p w:rsidR="00934C02" w:rsidRPr="00934C02" w:rsidRDefault="00934C02" w:rsidP="00934C02">
      <w:pPr>
        <w:autoSpaceDE w:val="0"/>
        <w:autoSpaceDN w:val="0"/>
        <w:adjustRightInd w:val="0"/>
        <w:spacing w:after="0" w:line="240" w:lineRule="auto"/>
        <w:jc w:val="both"/>
        <w:rPr>
          <w:rFonts w:ascii="Arial" w:eastAsia="Times New Roman" w:hAnsi="Arial" w:cs="Arial"/>
          <w:sz w:val="24"/>
          <w:szCs w:val="24"/>
        </w:rPr>
      </w:pPr>
    </w:p>
    <w:p w:rsidR="00934C02" w:rsidRPr="00934C02" w:rsidRDefault="00934C02" w:rsidP="00934C02">
      <w:pPr>
        <w:autoSpaceDE w:val="0"/>
        <w:autoSpaceDN w:val="0"/>
        <w:adjustRightInd w:val="0"/>
        <w:spacing w:after="0" w:line="240" w:lineRule="auto"/>
        <w:jc w:val="both"/>
        <w:rPr>
          <w:rFonts w:ascii="Arial" w:eastAsia="Times New Roman" w:hAnsi="Arial" w:cs="Arial"/>
          <w:sz w:val="24"/>
          <w:szCs w:val="24"/>
        </w:rPr>
      </w:pPr>
      <w:r w:rsidRPr="00934C02">
        <w:rPr>
          <w:noProof/>
        </w:rPr>
        <w:drawing>
          <wp:inline distT="0" distB="0" distL="0" distR="0" wp14:anchorId="6DC75126" wp14:editId="12810D54">
            <wp:extent cx="5561704" cy="2065468"/>
            <wp:effectExtent l="0" t="0" r="20320" b="11430"/>
            <wp:docPr id="246" name="Chart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934C02" w:rsidRPr="00934C02" w:rsidRDefault="00934C02" w:rsidP="00934C02">
      <w:pPr>
        <w:spacing w:after="0" w:line="240" w:lineRule="auto"/>
        <w:rPr>
          <w:rFonts w:ascii="Arial" w:eastAsia="Times New Roman" w:hAnsi="Arial" w:cs="Arial"/>
          <w:sz w:val="24"/>
          <w:szCs w:val="24"/>
          <w:lang w:val="pl-PL" w:eastAsia="pl-PL"/>
        </w:rPr>
      </w:pPr>
      <w:r w:rsidRPr="00934C02">
        <w:rPr>
          <w:rFonts w:ascii="Arial" w:eastAsia="Times New Roman" w:hAnsi="Arial" w:cs="Arial"/>
          <w:sz w:val="24"/>
          <w:szCs w:val="24"/>
          <w:lang w:val="pl-PL" w:eastAsia="pl-PL"/>
        </w:rPr>
        <w:t>Figura VII.13 Evoluţia cantităţii de DEEE colectate şi tratate, în judeţul Vaslui, în perioada 2010-2014</w:t>
      </w:r>
    </w:p>
    <w:p w:rsidR="00934C02" w:rsidRDefault="00934C02" w:rsidP="00934C02">
      <w:pPr>
        <w:spacing w:after="0" w:line="240" w:lineRule="auto"/>
        <w:rPr>
          <w:rFonts w:ascii="Arial" w:eastAsia="Times New Roman" w:hAnsi="Arial" w:cs="Arial"/>
          <w:b/>
          <w:sz w:val="24"/>
          <w:szCs w:val="24"/>
          <w:lang w:val="ro-RO" w:eastAsia="pl-PL"/>
        </w:rPr>
      </w:pPr>
    </w:p>
    <w:p w:rsidR="008D2617" w:rsidRPr="00934C02" w:rsidRDefault="008D2617" w:rsidP="00934C02">
      <w:pPr>
        <w:spacing w:after="0" w:line="240" w:lineRule="auto"/>
        <w:rPr>
          <w:rFonts w:ascii="Arial" w:eastAsia="Times New Roman" w:hAnsi="Arial" w:cs="Arial"/>
          <w:b/>
          <w:sz w:val="24"/>
          <w:szCs w:val="24"/>
          <w:lang w:val="ro-RO" w:eastAsia="pl-PL"/>
        </w:rPr>
      </w:pPr>
    </w:p>
    <w:p w:rsidR="00934C02" w:rsidRPr="00934C02" w:rsidRDefault="00934C02" w:rsidP="00934C02">
      <w:pPr>
        <w:spacing w:after="0" w:line="240" w:lineRule="auto"/>
        <w:rPr>
          <w:rFonts w:ascii="Arial" w:eastAsia="Times New Roman" w:hAnsi="Arial" w:cs="Arial"/>
          <w:sz w:val="24"/>
          <w:szCs w:val="24"/>
          <w:lang w:val="pl-PL" w:eastAsia="pl-PL"/>
        </w:rPr>
      </w:pPr>
      <w:r w:rsidRPr="00934C02">
        <w:rPr>
          <w:rFonts w:ascii="Arial" w:eastAsia="Times New Roman" w:hAnsi="Arial" w:cs="Arial"/>
          <w:b/>
          <w:sz w:val="24"/>
          <w:szCs w:val="24"/>
          <w:lang w:val="ro-RO" w:eastAsia="pl-PL"/>
        </w:rPr>
        <w:lastRenderedPageBreak/>
        <w:t>VII.1.3.2. Deşeuri de ambalaje</w:t>
      </w:r>
    </w:p>
    <w:p w:rsidR="00934C02" w:rsidRPr="00934C02" w:rsidRDefault="00934C02" w:rsidP="00934C02">
      <w:pPr>
        <w:spacing w:after="0" w:line="240" w:lineRule="auto"/>
        <w:rPr>
          <w:rFonts w:ascii="Arial" w:hAnsi="Arial" w:cs="Arial"/>
          <w:b/>
          <w:i/>
          <w:sz w:val="24"/>
          <w:szCs w:val="24"/>
          <w:lang w:val="ro-RO" w:eastAsia="pl-PL"/>
        </w:rPr>
      </w:pPr>
    </w:p>
    <w:p w:rsidR="00934C02" w:rsidRPr="00934C02" w:rsidRDefault="00934C02" w:rsidP="00934C02">
      <w:pPr>
        <w:autoSpaceDE w:val="0"/>
        <w:autoSpaceDN w:val="0"/>
        <w:adjustRightInd w:val="0"/>
        <w:spacing w:after="0" w:line="240" w:lineRule="auto"/>
        <w:ind w:firstLine="720"/>
        <w:jc w:val="both"/>
        <w:rPr>
          <w:rFonts w:ascii="Arial" w:hAnsi="Arial" w:cs="Arial"/>
          <w:sz w:val="24"/>
          <w:szCs w:val="24"/>
          <w:lang w:val="ro-RO" w:eastAsia="ro-RO"/>
        </w:rPr>
      </w:pPr>
      <w:r w:rsidRPr="00934C02">
        <w:rPr>
          <w:rFonts w:ascii="Arial" w:hAnsi="Arial" w:cs="Arial"/>
          <w:sz w:val="24"/>
          <w:szCs w:val="24"/>
          <w:lang w:val="ro-RO" w:eastAsia="ro-RO"/>
        </w:rPr>
        <w:t>Activitatea de gestionare a ambalajelor şi a deşeurilor de ambalaje are la bază ierarhia deşeurilor,  care se aplică în funcţie de ordinea priorităţilor în cadrul legislaţiei şi al politicii în materie de prevenire a generării şi de gestionare a deşeurilor, după cum urmează:</w:t>
      </w:r>
    </w:p>
    <w:p w:rsidR="00934C02" w:rsidRPr="00934C02" w:rsidRDefault="00934C02" w:rsidP="005910C7">
      <w:pPr>
        <w:numPr>
          <w:ilvl w:val="0"/>
          <w:numId w:val="8"/>
        </w:numPr>
        <w:autoSpaceDE w:val="0"/>
        <w:autoSpaceDN w:val="0"/>
        <w:adjustRightInd w:val="0"/>
        <w:spacing w:after="0" w:line="240" w:lineRule="auto"/>
        <w:jc w:val="both"/>
        <w:rPr>
          <w:rFonts w:ascii="Arial" w:hAnsi="Arial" w:cs="Arial"/>
          <w:sz w:val="24"/>
          <w:szCs w:val="24"/>
          <w:lang w:val="ro-RO" w:eastAsia="ro-RO"/>
        </w:rPr>
      </w:pPr>
      <w:r w:rsidRPr="00934C02">
        <w:rPr>
          <w:rFonts w:ascii="Arial" w:hAnsi="Arial" w:cs="Arial"/>
          <w:sz w:val="24"/>
          <w:szCs w:val="24"/>
          <w:lang w:val="ro-RO" w:eastAsia="ro-RO"/>
        </w:rPr>
        <w:t>prevenirea;</w:t>
      </w:r>
    </w:p>
    <w:p w:rsidR="00934C02" w:rsidRPr="00934C02" w:rsidRDefault="00934C02" w:rsidP="005910C7">
      <w:pPr>
        <w:numPr>
          <w:ilvl w:val="0"/>
          <w:numId w:val="8"/>
        </w:numPr>
        <w:autoSpaceDE w:val="0"/>
        <w:autoSpaceDN w:val="0"/>
        <w:adjustRightInd w:val="0"/>
        <w:spacing w:after="0" w:line="240" w:lineRule="auto"/>
        <w:jc w:val="both"/>
        <w:rPr>
          <w:rFonts w:ascii="Arial" w:hAnsi="Arial" w:cs="Arial"/>
          <w:sz w:val="24"/>
          <w:szCs w:val="24"/>
          <w:lang w:val="ro-RO" w:eastAsia="ro-RO"/>
        </w:rPr>
      </w:pPr>
      <w:r w:rsidRPr="00934C02">
        <w:rPr>
          <w:rFonts w:ascii="Arial" w:hAnsi="Arial" w:cs="Arial"/>
          <w:sz w:val="24"/>
          <w:szCs w:val="24"/>
          <w:lang w:val="ro-RO" w:eastAsia="ro-RO"/>
        </w:rPr>
        <w:t>pregătirea pentru reutilizare;</w:t>
      </w:r>
    </w:p>
    <w:p w:rsidR="00934C02" w:rsidRPr="00934C02" w:rsidRDefault="00934C02" w:rsidP="005910C7">
      <w:pPr>
        <w:numPr>
          <w:ilvl w:val="0"/>
          <w:numId w:val="8"/>
        </w:numPr>
        <w:autoSpaceDE w:val="0"/>
        <w:autoSpaceDN w:val="0"/>
        <w:adjustRightInd w:val="0"/>
        <w:spacing w:after="0" w:line="240" w:lineRule="auto"/>
        <w:jc w:val="both"/>
        <w:rPr>
          <w:rFonts w:ascii="Arial" w:hAnsi="Arial" w:cs="Arial"/>
          <w:sz w:val="24"/>
          <w:szCs w:val="24"/>
          <w:lang w:val="ro-RO" w:eastAsia="ro-RO"/>
        </w:rPr>
      </w:pPr>
      <w:r w:rsidRPr="00934C02">
        <w:rPr>
          <w:rFonts w:ascii="Arial" w:hAnsi="Arial" w:cs="Arial"/>
          <w:sz w:val="24"/>
          <w:szCs w:val="24"/>
          <w:lang w:val="ro-RO" w:eastAsia="ro-RO"/>
        </w:rPr>
        <w:t>reciclarea;</w:t>
      </w:r>
    </w:p>
    <w:p w:rsidR="00934C02" w:rsidRPr="00934C02" w:rsidRDefault="00934C02" w:rsidP="005910C7">
      <w:pPr>
        <w:numPr>
          <w:ilvl w:val="0"/>
          <w:numId w:val="8"/>
        </w:numPr>
        <w:autoSpaceDE w:val="0"/>
        <w:autoSpaceDN w:val="0"/>
        <w:adjustRightInd w:val="0"/>
        <w:spacing w:after="0" w:line="240" w:lineRule="auto"/>
        <w:jc w:val="both"/>
        <w:rPr>
          <w:rFonts w:ascii="Arial" w:hAnsi="Arial" w:cs="Arial"/>
          <w:sz w:val="24"/>
          <w:szCs w:val="24"/>
          <w:lang w:val="ro-RO" w:eastAsia="ro-RO"/>
        </w:rPr>
      </w:pPr>
      <w:r w:rsidRPr="00934C02">
        <w:rPr>
          <w:rFonts w:ascii="Arial" w:hAnsi="Arial" w:cs="Arial"/>
          <w:sz w:val="24"/>
          <w:szCs w:val="24"/>
          <w:lang w:val="ro-RO" w:eastAsia="ro-RO"/>
        </w:rPr>
        <w:t>alte operaţiuni de valorificare, de exemplu valorificarea energetică;</w:t>
      </w:r>
    </w:p>
    <w:p w:rsidR="00934C02" w:rsidRPr="00934C02" w:rsidRDefault="00934C02" w:rsidP="005910C7">
      <w:pPr>
        <w:numPr>
          <w:ilvl w:val="0"/>
          <w:numId w:val="8"/>
        </w:numPr>
        <w:autoSpaceDE w:val="0"/>
        <w:autoSpaceDN w:val="0"/>
        <w:adjustRightInd w:val="0"/>
        <w:spacing w:after="0" w:line="240" w:lineRule="auto"/>
        <w:jc w:val="both"/>
        <w:rPr>
          <w:rFonts w:ascii="Arial" w:hAnsi="Arial" w:cs="Arial"/>
          <w:sz w:val="24"/>
          <w:szCs w:val="24"/>
          <w:lang w:val="ro-RO" w:eastAsia="ro-RO"/>
        </w:rPr>
      </w:pPr>
      <w:r w:rsidRPr="00934C02">
        <w:rPr>
          <w:rFonts w:ascii="Arial" w:hAnsi="Arial" w:cs="Arial"/>
          <w:sz w:val="24"/>
          <w:szCs w:val="24"/>
          <w:lang w:val="ro-RO" w:eastAsia="ro-RO"/>
        </w:rPr>
        <w:t>eliminarea.</w:t>
      </w:r>
    </w:p>
    <w:p w:rsidR="00934C02" w:rsidRPr="00934C02" w:rsidRDefault="00934C02" w:rsidP="00934C02">
      <w:pPr>
        <w:autoSpaceDE w:val="0"/>
        <w:autoSpaceDN w:val="0"/>
        <w:adjustRightInd w:val="0"/>
        <w:spacing w:after="0" w:line="240" w:lineRule="auto"/>
        <w:jc w:val="both"/>
        <w:rPr>
          <w:rFonts w:ascii="Arial" w:hAnsi="Arial" w:cs="Arial"/>
          <w:lang w:val="pt-BR"/>
        </w:rPr>
      </w:pPr>
      <w:r w:rsidRPr="00934C02">
        <w:rPr>
          <w:rFonts w:ascii="Arial" w:hAnsi="Arial" w:cs="Arial"/>
          <w:lang w:val="ro-RO" w:eastAsia="ro-RO"/>
        </w:rPr>
        <w:t xml:space="preserve">   </w:t>
      </w:r>
      <w:r w:rsidRPr="00934C02">
        <w:rPr>
          <w:rFonts w:ascii="Arial" w:hAnsi="Arial" w:cs="Arial"/>
          <w:lang w:val="pt-BR"/>
        </w:rPr>
        <w:t xml:space="preserve">            </w:t>
      </w:r>
      <w:r w:rsidRPr="00934C02">
        <w:rPr>
          <w:rFonts w:ascii="Arial" w:hAnsi="Arial" w:cs="Arial"/>
          <w:sz w:val="24"/>
          <w:szCs w:val="24"/>
          <w:lang w:val="ro-RO" w:eastAsia="ro-RO"/>
        </w:rPr>
        <w:t>Aplicarea ierarhiei deşeurilor are ca scop încurajarea acţiunii în materie de prevenire a generării şi gestionării eficiente şi eficace a deşeurilor, astfel încât să se reducă efectele negative ale acestora asupra mediului. În acest sens, pentru anumite fluxuri de deşeuri specifice, aplicarea ierarhiei deşeurilor poate suferi modificări în baza evaluării de tip analiza ciclului de viaţă privind efectele globale ale generării şi gestionării acestor deşeuri.</w:t>
      </w:r>
    </w:p>
    <w:p w:rsidR="00934C02" w:rsidRPr="00934C02" w:rsidRDefault="00934C02" w:rsidP="00934C02">
      <w:pPr>
        <w:autoSpaceDE w:val="0"/>
        <w:autoSpaceDN w:val="0"/>
        <w:adjustRightInd w:val="0"/>
        <w:spacing w:after="0" w:line="240" w:lineRule="auto"/>
        <w:ind w:firstLine="720"/>
        <w:jc w:val="both"/>
        <w:rPr>
          <w:rFonts w:ascii="Arial" w:eastAsia="Times New Roman" w:hAnsi="Arial" w:cs="Arial"/>
          <w:sz w:val="24"/>
          <w:szCs w:val="24"/>
          <w:lang w:val="ro-RO"/>
        </w:rPr>
      </w:pPr>
      <w:r w:rsidRPr="00934C02">
        <w:rPr>
          <w:rFonts w:ascii="Arial" w:eastAsia="Times New Roman" w:hAnsi="Arial" w:cs="Arial"/>
          <w:sz w:val="24"/>
          <w:szCs w:val="24"/>
          <w:lang w:val="pt-BR"/>
        </w:rPr>
        <w:t>Deşeurile de ambalaje sunt formate din toate ambalajele şi materialele de ambalare de care deţinătorul se debarasează, are intenţia sau obligaţia de a se debarasa. Ele reprezintă o</w:t>
      </w:r>
      <w:r w:rsidRPr="00934C02">
        <w:rPr>
          <w:rFonts w:ascii="Arial" w:eastAsia="Times New Roman" w:hAnsi="Arial" w:cs="Arial"/>
          <w:sz w:val="24"/>
          <w:szCs w:val="24"/>
          <w:lang w:val="ro-RO"/>
        </w:rPr>
        <w:t xml:space="preserve"> fracţie importantă din deşeurile municipale. În funcţie de creşterea/scăderea economică, a crescut/scăzut şi ponderea acestora în totalul deşeurilor municipale generate, corespunzător creşterii/scăderii cantităţilor de ambalaje introduse pe piaţă. </w:t>
      </w:r>
    </w:p>
    <w:p w:rsidR="00934C02" w:rsidRPr="00934C02" w:rsidRDefault="00934C02" w:rsidP="00934C02">
      <w:pPr>
        <w:autoSpaceDE w:val="0"/>
        <w:autoSpaceDN w:val="0"/>
        <w:adjustRightInd w:val="0"/>
        <w:spacing w:after="0" w:line="240" w:lineRule="auto"/>
        <w:ind w:firstLine="720"/>
        <w:jc w:val="both"/>
        <w:rPr>
          <w:rFonts w:ascii="Arial" w:eastAsia="Times New Roman" w:hAnsi="Arial" w:cs="Arial"/>
          <w:i/>
          <w:sz w:val="24"/>
          <w:szCs w:val="24"/>
          <w:lang w:val="it-IT"/>
        </w:rPr>
      </w:pPr>
      <w:r w:rsidRPr="00934C02">
        <w:rPr>
          <w:rFonts w:ascii="Arial" w:eastAsia="Times New Roman" w:hAnsi="Arial" w:cs="Arial"/>
          <w:sz w:val="24"/>
          <w:szCs w:val="24"/>
          <w:lang w:val="ro-RO" w:eastAsia="ro-RO"/>
        </w:rPr>
        <w:t xml:space="preserve">Începând cu anul 2012, operatorii economici, producători şi importatori de ambalaje de desfacere, producători/importatori de produse ambalate, supraambalatori de produse ambalate, precum şi cei care au transferat obligaţiile, au obligaţia să raporteze datele </w:t>
      </w:r>
      <w:r w:rsidRPr="00934C02">
        <w:rPr>
          <w:rFonts w:ascii="Arial" w:eastAsia="Times New Roman" w:hAnsi="Arial" w:cs="Arial"/>
          <w:i/>
          <w:sz w:val="24"/>
          <w:szCs w:val="24"/>
          <w:lang w:val="it-IT"/>
        </w:rPr>
        <w:t>referitoare la ambalaje şi deşeuri de ambalaje, în conformitate cu Ordinul nr. 794 din 2012.</w:t>
      </w:r>
    </w:p>
    <w:p w:rsidR="00934C02" w:rsidRPr="00934C02" w:rsidRDefault="00934C02" w:rsidP="00934C02">
      <w:pPr>
        <w:spacing w:after="0" w:line="240" w:lineRule="auto"/>
        <w:jc w:val="both"/>
        <w:rPr>
          <w:rFonts w:ascii="Arial" w:hAnsi="Arial" w:cs="Arial"/>
          <w:sz w:val="24"/>
          <w:szCs w:val="24"/>
          <w:lang w:val="ro-RO"/>
        </w:rPr>
      </w:pPr>
      <w:r w:rsidRPr="00934C02">
        <w:rPr>
          <w:rFonts w:ascii="Arial" w:hAnsi="Arial" w:cs="Arial"/>
          <w:sz w:val="24"/>
          <w:szCs w:val="24"/>
          <w:lang w:val="ro-RO"/>
        </w:rPr>
        <w:t xml:space="preserve">            Cantităţi de ambalaje introduse pe piaţă raportate de operatorii economici la nivelul unui judeţ, nu sunt reprezentative, deoarece  operatorii economici raportează datele în judeţul în care au înregistrat sediul social. </w:t>
      </w:r>
    </w:p>
    <w:p w:rsidR="00934C02" w:rsidRPr="00934C02" w:rsidRDefault="00934C02" w:rsidP="00934C02">
      <w:pPr>
        <w:spacing w:after="0" w:line="240" w:lineRule="auto"/>
        <w:jc w:val="both"/>
        <w:rPr>
          <w:rFonts w:ascii="Arial" w:hAnsi="Arial" w:cs="Arial"/>
          <w:sz w:val="24"/>
          <w:szCs w:val="24"/>
          <w:lang w:val="ro-RO"/>
        </w:rPr>
      </w:pPr>
      <w:r w:rsidRPr="00934C02">
        <w:rPr>
          <w:rFonts w:ascii="Arial" w:hAnsi="Arial" w:cs="Arial"/>
          <w:sz w:val="24"/>
          <w:szCs w:val="24"/>
          <w:lang w:val="ro-RO"/>
        </w:rPr>
        <w:t xml:space="preserve">           Totodată, operatorii economici care au predat responsabilitatea organizaţiilor de transfer de responsabilitate (OTR), nu au obligaţie de raportare, raportările fiind realizate de către OTR-uri. </w:t>
      </w:r>
    </w:p>
    <w:p w:rsidR="00934C02" w:rsidRPr="008D2617" w:rsidRDefault="00934C02" w:rsidP="00934C02">
      <w:pPr>
        <w:spacing w:after="0" w:line="240" w:lineRule="auto"/>
        <w:jc w:val="both"/>
        <w:rPr>
          <w:rFonts w:ascii="Arial" w:hAnsi="Arial" w:cs="Arial"/>
          <w:sz w:val="24"/>
          <w:szCs w:val="24"/>
          <w:lang w:val="ro-RO"/>
        </w:rPr>
      </w:pPr>
      <w:r w:rsidRPr="00934C02">
        <w:rPr>
          <w:rFonts w:ascii="Arial" w:hAnsi="Arial" w:cs="Arial"/>
          <w:sz w:val="24"/>
          <w:szCs w:val="24"/>
          <w:lang w:val="ro-RO"/>
        </w:rPr>
        <w:t xml:space="preserve">            Cantităţile de deşeuri de ambalaje raportate ca reciclate/valorificate într-un judeţ, nu sunt reprezentative deoarece aceste deşeuri de ambalaje sunt generate şi în alte judeţe în care nu există reciclatori de astfel de deşeuri.</w:t>
      </w:r>
      <w:r w:rsidR="008D2617">
        <w:rPr>
          <w:rFonts w:ascii="Arial" w:hAnsi="Arial" w:cs="Arial"/>
          <w:sz w:val="24"/>
          <w:szCs w:val="24"/>
          <w:lang w:val="ro-RO"/>
        </w:rPr>
        <w:t xml:space="preserve"> </w:t>
      </w:r>
      <w:r w:rsidRPr="00934C02">
        <w:rPr>
          <w:rFonts w:ascii="Arial" w:hAnsi="Arial" w:cs="Arial"/>
          <w:sz w:val="24"/>
          <w:szCs w:val="24"/>
        </w:rPr>
        <w:t xml:space="preserve"> În anul 2014  (anul pentru care se deţin date validate), cantitatea de deșeuri de ambalaje colectată în judeţul Vaslui este de </w:t>
      </w:r>
      <w:r w:rsidRPr="00934C02">
        <w:rPr>
          <w:rFonts w:ascii="Arial" w:hAnsi="Arial" w:cs="Arial"/>
          <w:sz w:val="24"/>
          <w:szCs w:val="24"/>
          <w:lang w:val="ro-RO" w:eastAsia="pl-PL"/>
        </w:rPr>
        <w:t xml:space="preserve">2899.819 </w:t>
      </w:r>
      <w:r w:rsidRPr="00934C02">
        <w:rPr>
          <w:rFonts w:ascii="Arial" w:hAnsi="Arial" w:cs="Arial"/>
          <w:sz w:val="24"/>
          <w:szCs w:val="24"/>
        </w:rPr>
        <w:t>tone.</w:t>
      </w:r>
      <w:r w:rsidRPr="00934C02">
        <w:rPr>
          <w:rFonts w:ascii="Arial" w:hAnsi="Arial" w:cs="Arial"/>
          <w:color w:val="FF0000"/>
          <w:sz w:val="24"/>
          <w:szCs w:val="24"/>
          <w:lang w:val="ro-RO" w:eastAsia="ro-RO"/>
        </w:rPr>
        <w:t xml:space="preserve"> </w:t>
      </w:r>
    </w:p>
    <w:p w:rsidR="00934C02" w:rsidRPr="00934C02" w:rsidRDefault="00934C02" w:rsidP="00934C02">
      <w:pPr>
        <w:spacing w:after="0" w:line="240" w:lineRule="auto"/>
        <w:jc w:val="both"/>
        <w:rPr>
          <w:rFonts w:ascii="Arial" w:hAnsi="Arial" w:cs="Arial"/>
          <w:color w:val="000000" w:themeColor="text1"/>
          <w:sz w:val="24"/>
          <w:szCs w:val="24"/>
          <w:lang w:val="ro-RO"/>
        </w:rPr>
      </w:pPr>
      <w:r w:rsidRPr="00934C02">
        <w:rPr>
          <w:rFonts w:ascii="Arial" w:hAnsi="Arial" w:cs="Arial"/>
          <w:color w:val="000000" w:themeColor="text1"/>
          <w:sz w:val="24"/>
          <w:szCs w:val="24"/>
          <w:lang w:val="ro-RO"/>
        </w:rPr>
        <w:t xml:space="preserve"> </w:t>
      </w:r>
    </w:p>
    <w:p w:rsidR="00934C02" w:rsidRPr="00934C02" w:rsidRDefault="00934C02" w:rsidP="00934C02">
      <w:pPr>
        <w:spacing w:after="0" w:line="240" w:lineRule="auto"/>
        <w:jc w:val="both"/>
        <w:rPr>
          <w:rFonts w:ascii="Arial" w:hAnsi="Arial" w:cs="Arial"/>
          <w:color w:val="000000" w:themeColor="text1"/>
          <w:sz w:val="24"/>
          <w:szCs w:val="24"/>
          <w:lang w:val="ro-RO"/>
        </w:rPr>
      </w:pPr>
      <w:r w:rsidRPr="00934C02">
        <w:rPr>
          <w:rFonts w:ascii="Arial" w:hAnsi="Arial" w:cs="Arial"/>
          <w:color w:val="000000" w:themeColor="text1"/>
          <w:sz w:val="24"/>
          <w:szCs w:val="24"/>
          <w:lang w:val="ro-RO"/>
        </w:rPr>
        <w:t xml:space="preserve">Tabelul </w:t>
      </w:r>
      <w:r w:rsidRPr="00934C02">
        <w:rPr>
          <w:rFonts w:ascii="Arial" w:hAnsi="Arial" w:cs="Arial"/>
          <w:sz w:val="24"/>
          <w:szCs w:val="24"/>
        </w:rPr>
        <w:t>VII.19.</w:t>
      </w:r>
      <w:r w:rsidRPr="00934C02">
        <w:rPr>
          <w:rFonts w:ascii="Arial" w:hAnsi="Arial" w:cs="Arial"/>
          <w:color w:val="000000" w:themeColor="text1"/>
          <w:sz w:val="24"/>
          <w:szCs w:val="24"/>
          <w:lang w:val="ro-RO"/>
        </w:rPr>
        <w:t>Cantităţi de deşeuri de ambalaje colectate în anul 2014</w:t>
      </w:r>
    </w:p>
    <w:tbl>
      <w:tblPr>
        <w:tblStyle w:val="TableGrid"/>
        <w:tblW w:w="9915" w:type="dxa"/>
        <w:tblInd w:w="392" w:type="dxa"/>
        <w:tblLayout w:type="fixed"/>
        <w:tblLook w:val="04A0" w:firstRow="1" w:lastRow="0" w:firstColumn="1" w:lastColumn="0" w:noHBand="0" w:noVBand="1"/>
      </w:tblPr>
      <w:tblGrid>
        <w:gridCol w:w="2408"/>
        <w:gridCol w:w="2833"/>
        <w:gridCol w:w="4674"/>
      </w:tblGrid>
      <w:tr w:rsidR="00934C02" w:rsidRPr="00934C02" w:rsidTr="00934C02">
        <w:trPr>
          <w:trHeight w:val="330"/>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934C02" w:rsidRPr="00934C02" w:rsidRDefault="00934C02" w:rsidP="00934C02">
            <w:pPr>
              <w:jc w:val="center"/>
              <w:rPr>
                <w:rFonts w:ascii="Arial" w:hAnsi="Arial" w:cs="Arial"/>
                <w:b/>
                <w:sz w:val="24"/>
                <w:szCs w:val="24"/>
                <w:lang w:val="ro-RO" w:eastAsia="pl-PL"/>
              </w:rPr>
            </w:pPr>
            <w:r w:rsidRPr="00934C02">
              <w:rPr>
                <w:rFonts w:ascii="Arial" w:hAnsi="Arial" w:cs="Arial"/>
                <w:b/>
                <w:sz w:val="24"/>
                <w:szCs w:val="24"/>
                <w:lang w:val="ro-RO" w:eastAsia="pl-PL"/>
              </w:rPr>
              <w:t>MATERIAL</w:t>
            </w:r>
          </w:p>
        </w:tc>
        <w:tc>
          <w:tcPr>
            <w:tcW w:w="7512" w:type="dxa"/>
            <w:gridSpan w:val="2"/>
            <w:tcBorders>
              <w:top w:val="single" w:sz="4" w:space="0" w:color="auto"/>
              <w:left w:val="single" w:sz="4" w:space="0" w:color="auto"/>
              <w:bottom w:val="single" w:sz="4" w:space="0" w:color="auto"/>
              <w:right w:val="single" w:sz="4" w:space="0" w:color="auto"/>
            </w:tcBorders>
            <w:vAlign w:val="center"/>
            <w:hideMark/>
          </w:tcPr>
          <w:p w:rsidR="00934C02" w:rsidRPr="00934C02" w:rsidRDefault="00934C02" w:rsidP="00934C02">
            <w:pPr>
              <w:jc w:val="center"/>
              <w:rPr>
                <w:rFonts w:ascii="Arial" w:hAnsi="Arial" w:cs="Arial"/>
                <w:b/>
                <w:sz w:val="24"/>
                <w:szCs w:val="24"/>
                <w:lang w:val="ro-RO" w:eastAsia="pl-PL"/>
              </w:rPr>
            </w:pPr>
            <w:r w:rsidRPr="00934C02">
              <w:rPr>
                <w:rFonts w:ascii="Arial" w:hAnsi="Arial" w:cs="Arial"/>
                <w:b/>
                <w:sz w:val="24"/>
                <w:szCs w:val="24"/>
                <w:lang w:val="ro-RO" w:eastAsia="pl-PL"/>
              </w:rPr>
              <w:t>Cantitatea de deşeuri de ambalaje colectate</w:t>
            </w:r>
          </w:p>
        </w:tc>
      </w:tr>
      <w:tr w:rsidR="00934C02" w:rsidRPr="00934C02" w:rsidTr="00934C02">
        <w:trPr>
          <w:trHeight w:val="313"/>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934C02" w:rsidRPr="00934C02" w:rsidRDefault="00934C02" w:rsidP="00934C02">
            <w:pPr>
              <w:rPr>
                <w:rFonts w:ascii="Arial" w:hAnsi="Arial" w:cs="Arial"/>
                <w:b/>
                <w:sz w:val="24"/>
                <w:szCs w:val="24"/>
                <w:lang w:val="ro-RO" w:eastAsia="pl-PL"/>
              </w:rPr>
            </w:pPr>
          </w:p>
        </w:tc>
        <w:tc>
          <w:tcPr>
            <w:tcW w:w="2835" w:type="dxa"/>
            <w:tcBorders>
              <w:top w:val="single" w:sz="4" w:space="0" w:color="auto"/>
              <w:left w:val="single" w:sz="4" w:space="0" w:color="auto"/>
              <w:bottom w:val="single" w:sz="4" w:space="0" w:color="auto"/>
              <w:right w:val="single" w:sz="4" w:space="0" w:color="auto"/>
            </w:tcBorders>
            <w:vAlign w:val="center"/>
            <w:hideMark/>
          </w:tcPr>
          <w:p w:rsidR="00934C02" w:rsidRPr="00934C02" w:rsidRDefault="00934C02" w:rsidP="00934C02">
            <w:pPr>
              <w:jc w:val="center"/>
              <w:rPr>
                <w:rFonts w:ascii="Arial" w:hAnsi="Arial" w:cs="Arial"/>
                <w:b/>
                <w:sz w:val="24"/>
                <w:szCs w:val="24"/>
                <w:lang w:val="ro-RO" w:eastAsia="pl-PL"/>
              </w:rPr>
            </w:pPr>
            <w:r w:rsidRPr="00934C02">
              <w:rPr>
                <w:rFonts w:ascii="Arial" w:hAnsi="Arial" w:cs="Arial"/>
                <w:b/>
                <w:sz w:val="24"/>
                <w:szCs w:val="24"/>
                <w:lang w:val="ro-RO" w:eastAsia="pl-PL"/>
              </w:rPr>
              <w:t>Cantitatea totală (tone)</w:t>
            </w:r>
          </w:p>
        </w:tc>
        <w:tc>
          <w:tcPr>
            <w:tcW w:w="4677" w:type="dxa"/>
            <w:tcBorders>
              <w:top w:val="single" w:sz="4" w:space="0" w:color="auto"/>
              <w:left w:val="single" w:sz="4" w:space="0" w:color="auto"/>
              <w:bottom w:val="single" w:sz="4" w:space="0" w:color="auto"/>
              <w:right w:val="single" w:sz="4" w:space="0" w:color="auto"/>
            </w:tcBorders>
            <w:vAlign w:val="center"/>
            <w:hideMark/>
          </w:tcPr>
          <w:p w:rsidR="00934C02" w:rsidRPr="00934C02" w:rsidRDefault="00934C02" w:rsidP="00934C02">
            <w:pPr>
              <w:jc w:val="center"/>
              <w:rPr>
                <w:rFonts w:ascii="Arial" w:hAnsi="Arial" w:cs="Arial"/>
                <w:b/>
                <w:sz w:val="24"/>
                <w:szCs w:val="24"/>
                <w:lang w:val="ro-RO" w:eastAsia="pl-PL"/>
              </w:rPr>
            </w:pPr>
            <w:r w:rsidRPr="00934C02">
              <w:rPr>
                <w:rFonts w:ascii="Arial" w:hAnsi="Arial" w:cs="Arial"/>
                <w:b/>
                <w:sz w:val="24"/>
                <w:szCs w:val="24"/>
                <w:lang w:val="ro-RO" w:eastAsia="pl-PL"/>
              </w:rPr>
              <w:t>Din care cantitatea periculoasă (tone)</w:t>
            </w:r>
          </w:p>
        </w:tc>
      </w:tr>
      <w:tr w:rsidR="00934C02" w:rsidRPr="00934C02" w:rsidTr="00934C02">
        <w:trPr>
          <w:trHeight w:val="277"/>
        </w:trPr>
        <w:tc>
          <w:tcPr>
            <w:tcW w:w="2410" w:type="dxa"/>
            <w:tcBorders>
              <w:top w:val="single" w:sz="4" w:space="0" w:color="auto"/>
              <w:left w:val="single" w:sz="4" w:space="0" w:color="auto"/>
              <w:bottom w:val="single" w:sz="4" w:space="0" w:color="auto"/>
              <w:right w:val="single" w:sz="4" w:space="0" w:color="auto"/>
            </w:tcBorders>
            <w:vAlign w:val="center"/>
            <w:hideMark/>
          </w:tcPr>
          <w:p w:rsidR="00934C02" w:rsidRPr="00934C02" w:rsidRDefault="00934C02" w:rsidP="00934C02">
            <w:pPr>
              <w:rPr>
                <w:rFonts w:ascii="Arial" w:hAnsi="Arial" w:cs="Arial"/>
              </w:rPr>
            </w:pPr>
            <w:r w:rsidRPr="00934C02">
              <w:rPr>
                <w:rFonts w:ascii="Arial" w:hAnsi="Arial" w:cs="Arial"/>
              </w:rPr>
              <w:t>STICLA</w:t>
            </w:r>
          </w:p>
        </w:tc>
        <w:tc>
          <w:tcPr>
            <w:tcW w:w="2835" w:type="dxa"/>
            <w:tcBorders>
              <w:top w:val="single" w:sz="4" w:space="0" w:color="auto"/>
              <w:left w:val="single" w:sz="4" w:space="0" w:color="auto"/>
              <w:bottom w:val="single" w:sz="4" w:space="0" w:color="auto"/>
              <w:right w:val="single" w:sz="4" w:space="0" w:color="auto"/>
            </w:tcBorders>
            <w:vAlign w:val="center"/>
            <w:hideMark/>
          </w:tcPr>
          <w:p w:rsidR="00934C02" w:rsidRPr="00934C02" w:rsidRDefault="00934C02" w:rsidP="00934C02">
            <w:pPr>
              <w:jc w:val="center"/>
              <w:rPr>
                <w:rFonts w:ascii="Arial" w:hAnsi="Arial" w:cs="Arial"/>
                <w:lang w:val="ro-RO" w:eastAsia="pl-PL"/>
              </w:rPr>
            </w:pPr>
            <w:r w:rsidRPr="00934C02">
              <w:rPr>
                <w:rFonts w:ascii="Arial" w:hAnsi="Arial" w:cs="Arial"/>
                <w:lang w:val="ro-RO" w:eastAsia="pl-PL"/>
              </w:rPr>
              <w:t>22,380</w:t>
            </w:r>
          </w:p>
        </w:tc>
        <w:tc>
          <w:tcPr>
            <w:tcW w:w="4677" w:type="dxa"/>
            <w:tcBorders>
              <w:top w:val="single" w:sz="4" w:space="0" w:color="auto"/>
              <w:left w:val="single" w:sz="4" w:space="0" w:color="auto"/>
              <w:bottom w:val="single" w:sz="4" w:space="0" w:color="auto"/>
              <w:right w:val="single" w:sz="4" w:space="0" w:color="auto"/>
            </w:tcBorders>
            <w:vAlign w:val="center"/>
            <w:hideMark/>
          </w:tcPr>
          <w:p w:rsidR="00934C02" w:rsidRPr="00934C02" w:rsidRDefault="00934C02" w:rsidP="00934C02">
            <w:pPr>
              <w:jc w:val="center"/>
              <w:rPr>
                <w:rFonts w:ascii="Arial" w:hAnsi="Arial" w:cs="Arial"/>
                <w:lang w:val="ro-RO" w:eastAsia="pl-PL"/>
              </w:rPr>
            </w:pPr>
            <w:r w:rsidRPr="00934C02">
              <w:rPr>
                <w:rFonts w:ascii="Arial" w:hAnsi="Arial" w:cs="Arial"/>
                <w:lang w:val="ro-RO" w:eastAsia="pl-PL"/>
              </w:rPr>
              <w:t>0</w:t>
            </w:r>
          </w:p>
        </w:tc>
      </w:tr>
      <w:tr w:rsidR="00934C02" w:rsidRPr="00934C02" w:rsidTr="00934C02">
        <w:trPr>
          <w:trHeight w:val="397"/>
        </w:trPr>
        <w:tc>
          <w:tcPr>
            <w:tcW w:w="2410" w:type="dxa"/>
            <w:tcBorders>
              <w:top w:val="single" w:sz="4" w:space="0" w:color="auto"/>
              <w:left w:val="single" w:sz="4" w:space="0" w:color="auto"/>
              <w:bottom w:val="single" w:sz="4" w:space="0" w:color="auto"/>
              <w:right w:val="single" w:sz="4" w:space="0" w:color="auto"/>
            </w:tcBorders>
            <w:vAlign w:val="center"/>
            <w:hideMark/>
          </w:tcPr>
          <w:p w:rsidR="00934C02" w:rsidRPr="00934C02" w:rsidRDefault="00934C02" w:rsidP="00934C02">
            <w:pPr>
              <w:rPr>
                <w:rFonts w:ascii="Arial" w:hAnsi="Arial" w:cs="Arial"/>
              </w:rPr>
            </w:pPr>
            <w:r w:rsidRPr="00934C02">
              <w:rPr>
                <w:rFonts w:ascii="Arial" w:hAnsi="Arial" w:cs="Arial"/>
              </w:rPr>
              <w:t>PET</w:t>
            </w:r>
          </w:p>
        </w:tc>
        <w:tc>
          <w:tcPr>
            <w:tcW w:w="2835" w:type="dxa"/>
            <w:tcBorders>
              <w:top w:val="single" w:sz="4" w:space="0" w:color="auto"/>
              <w:left w:val="single" w:sz="4" w:space="0" w:color="auto"/>
              <w:bottom w:val="single" w:sz="4" w:space="0" w:color="auto"/>
              <w:right w:val="single" w:sz="4" w:space="0" w:color="auto"/>
            </w:tcBorders>
            <w:vAlign w:val="center"/>
            <w:hideMark/>
          </w:tcPr>
          <w:p w:rsidR="00934C02" w:rsidRPr="00934C02" w:rsidRDefault="00934C02" w:rsidP="00934C02">
            <w:pPr>
              <w:jc w:val="center"/>
              <w:rPr>
                <w:rFonts w:ascii="Arial" w:hAnsi="Arial" w:cs="Arial"/>
                <w:lang w:val="ro-RO" w:eastAsia="pl-PL"/>
              </w:rPr>
            </w:pPr>
            <w:r w:rsidRPr="00934C02">
              <w:rPr>
                <w:rFonts w:ascii="Arial" w:hAnsi="Arial" w:cs="Arial"/>
                <w:lang w:val="ro-RO" w:eastAsia="pl-PL"/>
              </w:rPr>
              <w:t>721,228</w:t>
            </w:r>
          </w:p>
        </w:tc>
        <w:tc>
          <w:tcPr>
            <w:tcW w:w="4677" w:type="dxa"/>
            <w:tcBorders>
              <w:top w:val="single" w:sz="4" w:space="0" w:color="auto"/>
              <w:left w:val="single" w:sz="4" w:space="0" w:color="auto"/>
              <w:bottom w:val="single" w:sz="4" w:space="0" w:color="auto"/>
              <w:right w:val="single" w:sz="4" w:space="0" w:color="auto"/>
            </w:tcBorders>
            <w:vAlign w:val="center"/>
            <w:hideMark/>
          </w:tcPr>
          <w:p w:rsidR="00934C02" w:rsidRPr="00934C02" w:rsidRDefault="00934C02" w:rsidP="00934C02">
            <w:pPr>
              <w:jc w:val="center"/>
              <w:rPr>
                <w:rFonts w:ascii="Arial" w:hAnsi="Arial" w:cs="Arial"/>
                <w:lang w:val="ro-RO" w:eastAsia="pl-PL"/>
              </w:rPr>
            </w:pPr>
            <w:r w:rsidRPr="00934C02">
              <w:rPr>
                <w:rFonts w:ascii="Arial" w:hAnsi="Arial" w:cs="Arial"/>
                <w:lang w:val="ro-RO" w:eastAsia="pl-PL"/>
              </w:rPr>
              <w:t>0</w:t>
            </w:r>
          </w:p>
        </w:tc>
      </w:tr>
      <w:tr w:rsidR="00934C02" w:rsidRPr="00934C02" w:rsidTr="00934C02">
        <w:tc>
          <w:tcPr>
            <w:tcW w:w="2410" w:type="dxa"/>
            <w:tcBorders>
              <w:top w:val="single" w:sz="4" w:space="0" w:color="auto"/>
              <w:left w:val="single" w:sz="4" w:space="0" w:color="auto"/>
              <w:bottom w:val="single" w:sz="4" w:space="0" w:color="auto"/>
              <w:right w:val="single" w:sz="4" w:space="0" w:color="auto"/>
            </w:tcBorders>
            <w:vAlign w:val="center"/>
            <w:hideMark/>
          </w:tcPr>
          <w:p w:rsidR="00934C02" w:rsidRPr="00934C02" w:rsidRDefault="00934C02" w:rsidP="00934C02">
            <w:pPr>
              <w:rPr>
                <w:rFonts w:ascii="Arial" w:hAnsi="Arial" w:cs="Arial"/>
              </w:rPr>
            </w:pPr>
            <w:r w:rsidRPr="00934C02">
              <w:rPr>
                <w:rFonts w:ascii="Arial" w:hAnsi="Arial" w:cs="Arial"/>
              </w:rPr>
              <w:lastRenderedPageBreak/>
              <w:t>ALTE PLASTICE</w:t>
            </w:r>
          </w:p>
        </w:tc>
        <w:tc>
          <w:tcPr>
            <w:tcW w:w="2835" w:type="dxa"/>
            <w:tcBorders>
              <w:top w:val="single" w:sz="4" w:space="0" w:color="auto"/>
              <w:left w:val="single" w:sz="4" w:space="0" w:color="auto"/>
              <w:bottom w:val="single" w:sz="4" w:space="0" w:color="auto"/>
              <w:right w:val="single" w:sz="4" w:space="0" w:color="auto"/>
            </w:tcBorders>
            <w:vAlign w:val="center"/>
            <w:hideMark/>
          </w:tcPr>
          <w:p w:rsidR="00934C02" w:rsidRPr="00934C02" w:rsidRDefault="00934C02" w:rsidP="00934C02">
            <w:pPr>
              <w:jc w:val="center"/>
              <w:rPr>
                <w:rFonts w:ascii="Arial" w:hAnsi="Arial" w:cs="Arial"/>
                <w:lang w:val="ro-RO" w:eastAsia="pl-PL"/>
              </w:rPr>
            </w:pPr>
            <w:r w:rsidRPr="00934C02">
              <w:rPr>
                <w:rFonts w:ascii="Arial" w:hAnsi="Arial" w:cs="Arial"/>
                <w:lang w:val="ro-RO" w:eastAsia="pl-PL"/>
              </w:rPr>
              <w:t>616,736</w:t>
            </w:r>
          </w:p>
        </w:tc>
        <w:tc>
          <w:tcPr>
            <w:tcW w:w="4677" w:type="dxa"/>
            <w:tcBorders>
              <w:top w:val="single" w:sz="4" w:space="0" w:color="auto"/>
              <w:left w:val="single" w:sz="4" w:space="0" w:color="auto"/>
              <w:bottom w:val="single" w:sz="4" w:space="0" w:color="auto"/>
              <w:right w:val="single" w:sz="4" w:space="0" w:color="auto"/>
            </w:tcBorders>
            <w:vAlign w:val="center"/>
            <w:hideMark/>
          </w:tcPr>
          <w:p w:rsidR="00934C02" w:rsidRPr="00934C02" w:rsidRDefault="00934C02" w:rsidP="00934C02">
            <w:pPr>
              <w:jc w:val="center"/>
              <w:rPr>
                <w:rFonts w:ascii="Arial" w:hAnsi="Arial" w:cs="Arial"/>
                <w:lang w:val="ro-RO" w:eastAsia="pl-PL"/>
              </w:rPr>
            </w:pPr>
            <w:r w:rsidRPr="00934C02">
              <w:rPr>
                <w:rFonts w:ascii="Arial" w:hAnsi="Arial" w:cs="Arial"/>
                <w:lang w:val="ro-RO" w:eastAsia="pl-PL"/>
              </w:rPr>
              <w:t>0</w:t>
            </w:r>
          </w:p>
        </w:tc>
      </w:tr>
      <w:tr w:rsidR="00934C02" w:rsidRPr="00934C02" w:rsidTr="00934C02">
        <w:trPr>
          <w:trHeight w:val="305"/>
        </w:trPr>
        <w:tc>
          <w:tcPr>
            <w:tcW w:w="2410" w:type="dxa"/>
            <w:tcBorders>
              <w:top w:val="single" w:sz="4" w:space="0" w:color="auto"/>
              <w:left w:val="single" w:sz="4" w:space="0" w:color="auto"/>
              <w:bottom w:val="single" w:sz="4" w:space="0" w:color="auto"/>
              <w:right w:val="single" w:sz="4" w:space="0" w:color="auto"/>
            </w:tcBorders>
            <w:vAlign w:val="center"/>
            <w:hideMark/>
          </w:tcPr>
          <w:p w:rsidR="00934C02" w:rsidRPr="00934C02" w:rsidRDefault="00934C02" w:rsidP="00934C02">
            <w:pPr>
              <w:rPr>
                <w:rFonts w:ascii="Arial" w:hAnsi="Arial" w:cs="Arial"/>
                <w:b/>
              </w:rPr>
            </w:pPr>
            <w:r w:rsidRPr="00934C02">
              <w:rPr>
                <w:rFonts w:ascii="Arial" w:hAnsi="Arial" w:cs="Arial"/>
                <w:b/>
              </w:rPr>
              <w:t>TOTAL PLASTIC</w:t>
            </w:r>
          </w:p>
        </w:tc>
        <w:tc>
          <w:tcPr>
            <w:tcW w:w="2835" w:type="dxa"/>
            <w:tcBorders>
              <w:top w:val="single" w:sz="4" w:space="0" w:color="auto"/>
              <w:left w:val="single" w:sz="4" w:space="0" w:color="auto"/>
              <w:bottom w:val="single" w:sz="4" w:space="0" w:color="auto"/>
              <w:right w:val="single" w:sz="4" w:space="0" w:color="auto"/>
            </w:tcBorders>
            <w:vAlign w:val="center"/>
            <w:hideMark/>
          </w:tcPr>
          <w:p w:rsidR="00934C02" w:rsidRPr="00934C02" w:rsidRDefault="00934C02" w:rsidP="00934C02">
            <w:pPr>
              <w:jc w:val="center"/>
              <w:rPr>
                <w:rFonts w:ascii="Arial" w:hAnsi="Arial" w:cs="Arial"/>
                <w:lang w:val="ro-RO" w:eastAsia="pl-PL"/>
              </w:rPr>
            </w:pPr>
            <w:r w:rsidRPr="00934C02">
              <w:rPr>
                <w:rFonts w:ascii="Arial" w:hAnsi="Arial" w:cs="Arial"/>
                <w:lang w:val="ro-RO" w:eastAsia="pl-PL"/>
              </w:rPr>
              <w:t>1079,131</w:t>
            </w:r>
          </w:p>
        </w:tc>
        <w:tc>
          <w:tcPr>
            <w:tcW w:w="4677" w:type="dxa"/>
            <w:tcBorders>
              <w:top w:val="single" w:sz="4" w:space="0" w:color="auto"/>
              <w:left w:val="single" w:sz="4" w:space="0" w:color="auto"/>
              <w:bottom w:val="single" w:sz="4" w:space="0" w:color="auto"/>
              <w:right w:val="single" w:sz="4" w:space="0" w:color="auto"/>
            </w:tcBorders>
            <w:vAlign w:val="center"/>
            <w:hideMark/>
          </w:tcPr>
          <w:p w:rsidR="00934C02" w:rsidRPr="00934C02" w:rsidRDefault="00934C02" w:rsidP="00934C02">
            <w:pPr>
              <w:jc w:val="center"/>
              <w:rPr>
                <w:rFonts w:ascii="Arial" w:hAnsi="Arial" w:cs="Arial"/>
                <w:lang w:val="ro-RO" w:eastAsia="pl-PL"/>
              </w:rPr>
            </w:pPr>
            <w:r w:rsidRPr="00934C02">
              <w:rPr>
                <w:rFonts w:ascii="Arial" w:hAnsi="Arial" w:cs="Arial"/>
                <w:lang w:val="ro-RO" w:eastAsia="pl-PL"/>
              </w:rPr>
              <w:t>0</w:t>
            </w:r>
          </w:p>
        </w:tc>
      </w:tr>
      <w:tr w:rsidR="00934C02" w:rsidRPr="00934C02" w:rsidTr="00934C02">
        <w:tc>
          <w:tcPr>
            <w:tcW w:w="2410" w:type="dxa"/>
            <w:tcBorders>
              <w:top w:val="single" w:sz="4" w:space="0" w:color="auto"/>
              <w:left w:val="single" w:sz="4" w:space="0" w:color="auto"/>
              <w:bottom w:val="single" w:sz="4" w:space="0" w:color="auto"/>
              <w:right w:val="single" w:sz="4" w:space="0" w:color="auto"/>
            </w:tcBorders>
            <w:vAlign w:val="center"/>
            <w:hideMark/>
          </w:tcPr>
          <w:p w:rsidR="00934C02" w:rsidRPr="00934C02" w:rsidRDefault="00934C02" w:rsidP="00934C02">
            <w:pPr>
              <w:rPr>
                <w:rFonts w:ascii="Arial" w:hAnsi="Arial" w:cs="Arial"/>
              </w:rPr>
            </w:pPr>
            <w:r w:rsidRPr="00934C02">
              <w:rPr>
                <w:rFonts w:ascii="Arial" w:hAnsi="Arial" w:cs="Arial"/>
              </w:rPr>
              <w:t>HARTIE ŞI CARTON</w:t>
            </w:r>
          </w:p>
        </w:tc>
        <w:tc>
          <w:tcPr>
            <w:tcW w:w="2835" w:type="dxa"/>
            <w:tcBorders>
              <w:top w:val="single" w:sz="4" w:space="0" w:color="auto"/>
              <w:left w:val="single" w:sz="4" w:space="0" w:color="auto"/>
              <w:bottom w:val="single" w:sz="4" w:space="0" w:color="auto"/>
              <w:right w:val="single" w:sz="4" w:space="0" w:color="auto"/>
            </w:tcBorders>
            <w:vAlign w:val="center"/>
            <w:hideMark/>
          </w:tcPr>
          <w:p w:rsidR="00934C02" w:rsidRPr="00934C02" w:rsidRDefault="00934C02" w:rsidP="00934C02">
            <w:pPr>
              <w:jc w:val="center"/>
              <w:rPr>
                <w:rFonts w:ascii="Arial" w:hAnsi="Arial" w:cs="Arial"/>
                <w:lang w:val="ro-RO" w:eastAsia="pl-PL"/>
              </w:rPr>
            </w:pPr>
            <w:r w:rsidRPr="00934C02">
              <w:rPr>
                <w:rFonts w:ascii="Arial" w:hAnsi="Arial" w:cs="Arial"/>
                <w:lang w:val="ro-RO" w:eastAsia="pl-PL"/>
              </w:rPr>
              <w:t>1309,261</w:t>
            </w:r>
          </w:p>
        </w:tc>
        <w:tc>
          <w:tcPr>
            <w:tcW w:w="4677" w:type="dxa"/>
            <w:tcBorders>
              <w:top w:val="single" w:sz="4" w:space="0" w:color="auto"/>
              <w:left w:val="single" w:sz="4" w:space="0" w:color="auto"/>
              <w:bottom w:val="single" w:sz="4" w:space="0" w:color="auto"/>
              <w:right w:val="single" w:sz="4" w:space="0" w:color="auto"/>
            </w:tcBorders>
            <w:vAlign w:val="center"/>
            <w:hideMark/>
          </w:tcPr>
          <w:p w:rsidR="00934C02" w:rsidRPr="00934C02" w:rsidRDefault="00934C02" w:rsidP="00934C02">
            <w:pPr>
              <w:jc w:val="center"/>
              <w:rPr>
                <w:rFonts w:ascii="Arial" w:hAnsi="Arial" w:cs="Arial"/>
                <w:lang w:val="ro-RO" w:eastAsia="pl-PL"/>
              </w:rPr>
            </w:pPr>
            <w:r w:rsidRPr="00934C02">
              <w:rPr>
                <w:rFonts w:ascii="Arial" w:hAnsi="Arial" w:cs="Arial"/>
                <w:lang w:val="ro-RO" w:eastAsia="pl-PL"/>
              </w:rPr>
              <w:t>1,200</w:t>
            </w:r>
          </w:p>
        </w:tc>
      </w:tr>
      <w:tr w:rsidR="00934C02" w:rsidRPr="00934C02" w:rsidTr="00934C02">
        <w:tc>
          <w:tcPr>
            <w:tcW w:w="2410" w:type="dxa"/>
            <w:tcBorders>
              <w:top w:val="single" w:sz="4" w:space="0" w:color="auto"/>
              <w:left w:val="single" w:sz="4" w:space="0" w:color="auto"/>
              <w:bottom w:val="single" w:sz="4" w:space="0" w:color="auto"/>
              <w:right w:val="single" w:sz="4" w:space="0" w:color="auto"/>
            </w:tcBorders>
            <w:vAlign w:val="center"/>
            <w:hideMark/>
          </w:tcPr>
          <w:p w:rsidR="00934C02" w:rsidRPr="00934C02" w:rsidRDefault="00934C02" w:rsidP="00934C02">
            <w:pPr>
              <w:rPr>
                <w:rFonts w:ascii="Arial" w:hAnsi="Arial" w:cs="Arial"/>
              </w:rPr>
            </w:pPr>
            <w:r w:rsidRPr="00934C02">
              <w:rPr>
                <w:rFonts w:ascii="Arial" w:hAnsi="Arial" w:cs="Arial"/>
              </w:rPr>
              <w:t>ALUMINIU</w:t>
            </w:r>
          </w:p>
        </w:tc>
        <w:tc>
          <w:tcPr>
            <w:tcW w:w="2835" w:type="dxa"/>
            <w:tcBorders>
              <w:top w:val="single" w:sz="4" w:space="0" w:color="auto"/>
              <w:left w:val="single" w:sz="4" w:space="0" w:color="auto"/>
              <w:bottom w:val="single" w:sz="4" w:space="0" w:color="auto"/>
              <w:right w:val="single" w:sz="4" w:space="0" w:color="auto"/>
            </w:tcBorders>
            <w:vAlign w:val="center"/>
            <w:hideMark/>
          </w:tcPr>
          <w:p w:rsidR="00934C02" w:rsidRPr="00934C02" w:rsidRDefault="00934C02" w:rsidP="00934C02">
            <w:pPr>
              <w:jc w:val="center"/>
              <w:rPr>
                <w:rFonts w:ascii="Arial" w:hAnsi="Arial" w:cs="Arial"/>
                <w:lang w:val="ro-RO" w:eastAsia="pl-PL"/>
              </w:rPr>
            </w:pPr>
            <w:r w:rsidRPr="00934C02">
              <w:rPr>
                <w:rFonts w:ascii="Arial" w:hAnsi="Arial" w:cs="Arial"/>
                <w:lang w:val="ro-RO" w:eastAsia="pl-PL"/>
              </w:rPr>
              <w:t>10,472</w:t>
            </w:r>
          </w:p>
        </w:tc>
        <w:tc>
          <w:tcPr>
            <w:tcW w:w="4677" w:type="dxa"/>
            <w:tcBorders>
              <w:top w:val="single" w:sz="4" w:space="0" w:color="auto"/>
              <w:left w:val="single" w:sz="4" w:space="0" w:color="auto"/>
              <w:bottom w:val="single" w:sz="4" w:space="0" w:color="auto"/>
              <w:right w:val="single" w:sz="4" w:space="0" w:color="auto"/>
            </w:tcBorders>
            <w:vAlign w:val="center"/>
            <w:hideMark/>
          </w:tcPr>
          <w:p w:rsidR="00934C02" w:rsidRPr="00934C02" w:rsidRDefault="00934C02" w:rsidP="00934C02">
            <w:pPr>
              <w:jc w:val="center"/>
              <w:rPr>
                <w:rFonts w:ascii="Arial" w:hAnsi="Arial" w:cs="Arial"/>
                <w:lang w:val="ro-RO" w:eastAsia="pl-PL"/>
              </w:rPr>
            </w:pPr>
            <w:r w:rsidRPr="00934C02">
              <w:rPr>
                <w:rFonts w:ascii="Arial" w:hAnsi="Arial" w:cs="Arial"/>
                <w:lang w:val="ro-RO" w:eastAsia="pl-PL"/>
              </w:rPr>
              <w:t>0,095</w:t>
            </w:r>
          </w:p>
        </w:tc>
      </w:tr>
      <w:tr w:rsidR="00934C02" w:rsidRPr="00934C02" w:rsidTr="00934C02">
        <w:tc>
          <w:tcPr>
            <w:tcW w:w="2410" w:type="dxa"/>
            <w:tcBorders>
              <w:top w:val="single" w:sz="4" w:space="0" w:color="auto"/>
              <w:left w:val="single" w:sz="4" w:space="0" w:color="auto"/>
              <w:bottom w:val="single" w:sz="4" w:space="0" w:color="auto"/>
              <w:right w:val="single" w:sz="4" w:space="0" w:color="auto"/>
            </w:tcBorders>
            <w:vAlign w:val="center"/>
            <w:hideMark/>
          </w:tcPr>
          <w:p w:rsidR="00934C02" w:rsidRPr="00934C02" w:rsidRDefault="00934C02" w:rsidP="00934C02">
            <w:pPr>
              <w:rPr>
                <w:rFonts w:ascii="Arial" w:hAnsi="Arial" w:cs="Arial"/>
              </w:rPr>
            </w:pPr>
            <w:r w:rsidRPr="00934C02">
              <w:rPr>
                <w:rFonts w:ascii="Arial" w:hAnsi="Arial" w:cs="Arial"/>
              </w:rPr>
              <w:t>OŢEL</w:t>
            </w:r>
          </w:p>
        </w:tc>
        <w:tc>
          <w:tcPr>
            <w:tcW w:w="2835" w:type="dxa"/>
            <w:tcBorders>
              <w:top w:val="single" w:sz="4" w:space="0" w:color="auto"/>
              <w:left w:val="single" w:sz="4" w:space="0" w:color="auto"/>
              <w:bottom w:val="single" w:sz="4" w:space="0" w:color="auto"/>
              <w:right w:val="single" w:sz="4" w:space="0" w:color="auto"/>
            </w:tcBorders>
            <w:vAlign w:val="center"/>
            <w:hideMark/>
          </w:tcPr>
          <w:p w:rsidR="00934C02" w:rsidRPr="00934C02" w:rsidRDefault="00934C02" w:rsidP="00934C02">
            <w:pPr>
              <w:jc w:val="center"/>
              <w:rPr>
                <w:rFonts w:ascii="Arial" w:hAnsi="Arial" w:cs="Arial"/>
                <w:lang w:val="ro-RO" w:eastAsia="pl-PL"/>
              </w:rPr>
            </w:pPr>
            <w:r w:rsidRPr="00934C02">
              <w:rPr>
                <w:rFonts w:ascii="Arial" w:hAnsi="Arial" w:cs="Arial"/>
                <w:lang w:val="ro-RO" w:eastAsia="pl-PL"/>
              </w:rPr>
              <w:t>219,742</w:t>
            </w:r>
          </w:p>
        </w:tc>
        <w:tc>
          <w:tcPr>
            <w:tcW w:w="4677" w:type="dxa"/>
            <w:tcBorders>
              <w:top w:val="single" w:sz="4" w:space="0" w:color="auto"/>
              <w:left w:val="single" w:sz="4" w:space="0" w:color="auto"/>
              <w:bottom w:val="single" w:sz="4" w:space="0" w:color="auto"/>
              <w:right w:val="single" w:sz="4" w:space="0" w:color="auto"/>
            </w:tcBorders>
            <w:vAlign w:val="center"/>
            <w:hideMark/>
          </w:tcPr>
          <w:p w:rsidR="00934C02" w:rsidRPr="00934C02" w:rsidRDefault="00934C02" w:rsidP="00934C02">
            <w:pPr>
              <w:jc w:val="center"/>
              <w:rPr>
                <w:rFonts w:ascii="Arial" w:hAnsi="Arial" w:cs="Arial"/>
                <w:lang w:val="ro-RO" w:eastAsia="pl-PL"/>
              </w:rPr>
            </w:pPr>
            <w:r w:rsidRPr="00934C02">
              <w:rPr>
                <w:rFonts w:ascii="Arial" w:hAnsi="Arial" w:cs="Arial"/>
                <w:lang w:val="ro-RO" w:eastAsia="pl-PL"/>
              </w:rPr>
              <w:t>174,398</w:t>
            </w:r>
          </w:p>
        </w:tc>
      </w:tr>
      <w:tr w:rsidR="00934C02" w:rsidRPr="00934C02" w:rsidTr="00934C02">
        <w:tc>
          <w:tcPr>
            <w:tcW w:w="2410" w:type="dxa"/>
            <w:tcBorders>
              <w:top w:val="single" w:sz="4" w:space="0" w:color="auto"/>
              <w:left w:val="single" w:sz="4" w:space="0" w:color="auto"/>
              <w:bottom w:val="single" w:sz="4" w:space="0" w:color="auto"/>
              <w:right w:val="single" w:sz="4" w:space="0" w:color="auto"/>
            </w:tcBorders>
            <w:vAlign w:val="center"/>
            <w:hideMark/>
          </w:tcPr>
          <w:p w:rsidR="00934C02" w:rsidRPr="00934C02" w:rsidRDefault="00934C02" w:rsidP="00934C02">
            <w:pPr>
              <w:rPr>
                <w:rFonts w:ascii="Arial" w:hAnsi="Arial" w:cs="Arial"/>
                <w:b/>
              </w:rPr>
            </w:pPr>
            <w:r w:rsidRPr="00934C02">
              <w:rPr>
                <w:rFonts w:ascii="Arial" w:hAnsi="Arial" w:cs="Arial"/>
                <w:b/>
              </w:rPr>
              <w:t>TOTAL METAL</w:t>
            </w:r>
          </w:p>
        </w:tc>
        <w:tc>
          <w:tcPr>
            <w:tcW w:w="2835" w:type="dxa"/>
            <w:tcBorders>
              <w:top w:val="single" w:sz="4" w:space="0" w:color="auto"/>
              <w:left w:val="single" w:sz="4" w:space="0" w:color="auto"/>
              <w:bottom w:val="single" w:sz="4" w:space="0" w:color="auto"/>
              <w:right w:val="single" w:sz="4" w:space="0" w:color="auto"/>
            </w:tcBorders>
            <w:vAlign w:val="center"/>
            <w:hideMark/>
          </w:tcPr>
          <w:p w:rsidR="00934C02" w:rsidRPr="00934C02" w:rsidRDefault="00934C02" w:rsidP="00934C02">
            <w:pPr>
              <w:jc w:val="center"/>
              <w:rPr>
                <w:rFonts w:ascii="Arial" w:hAnsi="Arial" w:cs="Arial"/>
                <w:lang w:val="ro-RO" w:eastAsia="pl-PL"/>
              </w:rPr>
            </w:pPr>
            <w:r w:rsidRPr="00934C02">
              <w:rPr>
                <w:rFonts w:ascii="Arial" w:hAnsi="Arial" w:cs="Arial"/>
                <w:lang w:val="ro-RO" w:eastAsia="pl-PL"/>
              </w:rPr>
              <w:t>230,214</w:t>
            </w:r>
          </w:p>
        </w:tc>
        <w:tc>
          <w:tcPr>
            <w:tcW w:w="4677" w:type="dxa"/>
            <w:tcBorders>
              <w:top w:val="single" w:sz="4" w:space="0" w:color="auto"/>
              <w:left w:val="single" w:sz="4" w:space="0" w:color="auto"/>
              <w:bottom w:val="single" w:sz="4" w:space="0" w:color="auto"/>
              <w:right w:val="single" w:sz="4" w:space="0" w:color="auto"/>
            </w:tcBorders>
            <w:vAlign w:val="center"/>
            <w:hideMark/>
          </w:tcPr>
          <w:p w:rsidR="00934C02" w:rsidRPr="00934C02" w:rsidRDefault="00934C02" w:rsidP="00934C02">
            <w:pPr>
              <w:jc w:val="center"/>
              <w:rPr>
                <w:rFonts w:ascii="Arial" w:hAnsi="Arial" w:cs="Arial"/>
                <w:lang w:val="ro-RO" w:eastAsia="pl-PL"/>
              </w:rPr>
            </w:pPr>
            <w:r w:rsidRPr="00934C02">
              <w:rPr>
                <w:rFonts w:ascii="Arial" w:hAnsi="Arial" w:cs="Arial"/>
                <w:lang w:val="ro-RO" w:eastAsia="pl-PL"/>
              </w:rPr>
              <w:t>174,493</w:t>
            </w:r>
          </w:p>
        </w:tc>
      </w:tr>
      <w:tr w:rsidR="00934C02" w:rsidRPr="00934C02" w:rsidTr="00934C02">
        <w:tc>
          <w:tcPr>
            <w:tcW w:w="2410" w:type="dxa"/>
            <w:tcBorders>
              <w:top w:val="single" w:sz="4" w:space="0" w:color="auto"/>
              <w:left w:val="single" w:sz="4" w:space="0" w:color="auto"/>
              <w:bottom w:val="single" w:sz="4" w:space="0" w:color="auto"/>
              <w:right w:val="single" w:sz="4" w:space="0" w:color="auto"/>
            </w:tcBorders>
            <w:vAlign w:val="center"/>
            <w:hideMark/>
          </w:tcPr>
          <w:p w:rsidR="00934C02" w:rsidRPr="00934C02" w:rsidRDefault="00934C02" w:rsidP="00934C02">
            <w:pPr>
              <w:rPr>
                <w:rFonts w:ascii="Arial" w:hAnsi="Arial" w:cs="Arial"/>
              </w:rPr>
            </w:pPr>
            <w:r w:rsidRPr="00934C02">
              <w:rPr>
                <w:rFonts w:ascii="Arial" w:hAnsi="Arial" w:cs="Arial"/>
              </w:rPr>
              <w:t>LEMN</w:t>
            </w:r>
          </w:p>
        </w:tc>
        <w:tc>
          <w:tcPr>
            <w:tcW w:w="2835" w:type="dxa"/>
            <w:tcBorders>
              <w:top w:val="single" w:sz="4" w:space="0" w:color="auto"/>
              <w:left w:val="single" w:sz="4" w:space="0" w:color="auto"/>
              <w:bottom w:val="single" w:sz="4" w:space="0" w:color="auto"/>
              <w:right w:val="single" w:sz="4" w:space="0" w:color="auto"/>
            </w:tcBorders>
            <w:vAlign w:val="center"/>
            <w:hideMark/>
          </w:tcPr>
          <w:p w:rsidR="00934C02" w:rsidRPr="00934C02" w:rsidRDefault="00934C02" w:rsidP="00934C02">
            <w:pPr>
              <w:jc w:val="center"/>
              <w:rPr>
                <w:rFonts w:ascii="Arial" w:hAnsi="Arial" w:cs="Arial"/>
                <w:lang w:val="ro-RO" w:eastAsia="pl-PL"/>
              </w:rPr>
            </w:pPr>
            <w:r w:rsidRPr="00934C02">
              <w:rPr>
                <w:rFonts w:ascii="Arial" w:hAnsi="Arial" w:cs="Arial"/>
                <w:lang w:val="ro-RO" w:eastAsia="pl-PL"/>
              </w:rPr>
              <w:t>0</w:t>
            </w:r>
          </w:p>
        </w:tc>
        <w:tc>
          <w:tcPr>
            <w:tcW w:w="4677" w:type="dxa"/>
            <w:tcBorders>
              <w:top w:val="single" w:sz="4" w:space="0" w:color="auto"/>
              <w:left w:val="single" w:sz="4" w:space="0" w:color="auto"/>
              <w:bottom w:val="single" w:sz="4" w:space="0" w:color="auto"/>
              <w:right w:val="single" w:sz="4" w:space="0" w:color="auto"/>
            </w:tcBorders>
            <w:vAlign w:val="center"/>
            <w:hideMark/>
          </w:tcPr>
          <w:p w:rsidR="00934C02" w:rsidRPr="00934C02" w:rsidRDefault="00934C02" w:rsidP="00934C02">
            <w:pPr>
              <w:jc w:val="center"/>
              <w:rPr>
                <w:rFonts w:ascii="Arial" w:hAnsi="Arial" w:cs="Arial"/>
                <w:lang w:val="ro-RO" w:eastAsia="pl-PL"/>
              </w:rPr>
            </w:pPr>
            <w:r w:rsidRPr="00934C02">
              <w:rPr>
                <w:rFonts w:ascii="Arial" w:hAnsi="Arial" w:cs="Arial"/>
                <w:lang w:val="ro-RO" w:eastAsia="pl-PL"/>
              </w:rPr>
              <w:t>0</w:t>
            </w:r>
          </w:p>
        </w:tc>
      </w:tr>
      <w:tr w:rsidR="00934C02" w:rsidRPr="00934C02" w:rsidTr="00934C02">
        <w:tc>
          <w:tcPr>
            <w:tcW w:w="2410" w:type="dxa"/>
            <w:tcBorders>
              <w:top w:val="single" w:sz="4" w:space="0" w:color="auto"/>
              <w:left w:val="single" w:sz="4" w:space="0" w:color="auto"/>
              <w:bottom w:val="single" w:sz="4" w:space="0" w:color="auto"/>
              <w:right w:val="single" w:sz="4" w:space="0" w:color="auto"/>
            </w:tcBorders>
            <w:vAlign w:val="center"/>
            <w:hideMark/>
          </w:tcPr>
          <w:p w:rsidR="00934C02" w:rsidRPr="00934C02" w:rsidRDefault="00934C02" w:rsidP="00934C02">
            <w:pPr>
              <w:rPr>
                <w:rFonts w:ascii="Arial" w:hAnsi="Arial" w:cs="Arial"/>
                <w:b/>
              </w:rPr>
            </w:pPr>
            <w:r w:rsidRPr="00934C02">
              <w:rPr>
                <w:rFonts w:ascii="Arial" w:hAnsi="Arial" w:cs="Arial"/>
                <w:b/>
              </w:rPr>
              <w:t>TOTAL GENERAL</w:t>
            </w:r>
          </w:p>
        </w:tc>
        <w:tc>
          <w:tcPr>
            <w:tcW w:w="2835" w:type="dxa"/>
            <w:tcBorders>
              <w:top w:val="single" w:sz="4" w:space="0" w:color="auto"/>
              <w:left w:val="single" w:sz="4" w:space="0" w:color="auto"/>
              <w:bottom w:val="single" w:sz="4" w:space="0" w:color="auto"/>
              <w:right w:val="single" w:sz="4" w:space="0" w:color="auto"/>
            </w:tcBorders>
            <w:vAlign w:val="center"/>
            <w:hideMark/>
          </w:tcPr>
          <w:p w:rsidR="00934C02" w:rsidRPr="00934C02" w:rsidRDefault="00934C02" w:rsidP="00934C02">
            <w:pPr>
              <w:jc w:val="center"/>
              <w:rPr>
                <w:rFonts w:ascii="Arial" w:hAnsi="Arial" w:cs="Arial"/>
                <w:b/>
                <w:lang w:val="ro-RO" w:eastAsia="pl-PL"/>
              </w:rPr>
            </w:pPr>
            <w:r w:rsidRPr="00934C02">
              <w:rPr>
                <w:rFonts w:ascii="Arial" w:hAnsi="Arial" w:cs="Arial"/>
                <w:b/>
                <w:lang w:val="ro-RO" w:eastAsia="pl-PL"/>
              </w:rPr>
              <w:t>2899,819</w:t>
            </w:r>
          </w:p>
        </w:tc>
        <w:tc>
          <w:tcPr>
            <w:tcW w:w="4677" w:type="dxa"/>
            <w:tcBorders>
              <w:top w:val="single" w:sz="4" w:space="0" w:color="auto"/>
              <w:left w:val="single" w:sz="4" w:space="0" w:color="auto"/>
              <w:bottom w:val="single" w:sz="4" w:space="0" w:color="auto"/>
              <w:right w:val="single" w:sz="4" w:space="0" w:color="auto"/>
            </w:tcBorders>
            <w:vAlign w:val="center"/>
            <w:hideMark/>
          </w:tcPr>
          <w:p w:rsidR="00934C02" w:rsidRPr="00934C02" w:rsidRDefault="00934C02" w:rsidP="00934C02">
            <w:pPr>
              <w:jc w:val="center"/>
              <w:rPr>
                <w:rFonts w:ascii="Arial" w:hAnsi="Arial" w:cs="Arial"/>
                <w:b/>
                <w:lang w:val="ro-RO" w:eastAsia="pl-PL"/>
              </w:rPr>
            </w:pPr>
            <w:r w:rsidRPr="00934C02">
              <w:rPr>
                <w:rFonts w:ascii="Arial" w:hAnsi="Arial" w:cs="Arial"/>
                <w:b/>
                <w:lang w:val="ro-RO" w:eastAsia="pl-PL"/>
              </w:rPr>
              <w:t>0</w:t>
            </w:r>
          </w:p>
        </w:tc>
      </w:tr>
    </w:tbl>
    <w:p w:rsidR="00934C02" w:rsidRPr="00934C02" w:rsidRDefault="00934C02" w:rsidP="00934C02">
      <w:pPr>
        <w:spacing w:after="0" w:line="240" w:lineRule="auto"/>
        <w:jc w:val="both"/>
        <w:rPr>
          <w:rFonts w:ascii="Arial" w:eastAsia="Times New Roman" w:hAnsi="Arial" w:cs="Arial"/>
          <w:i/>
          <w:sz w:val="20"/>
          <w:szCs w:val="20"/>
        </w:rPr>
      </w:pPr>
      <w:r w:rsidRPr="00934C02">
        <w:rPr>
          <w:rFonts w:ascii="Times New Roman" w:eastAsia="Times New Roman" w:hAnsi="Times New Roman" w:cs="Arial"/>
          <w:i/>
          <w:color w:val="000000" w:themeColor="text1"/>
          <w:sz w:val="20"/>
          <w:szCs w:val="20"/>
          <w:lang w:val="es-ES"/>
        </w:rPr>
        <w:t xml:space="preserve">                 </w:t>
      </w:r>
      <w:r w:rsidRPr="00934C02">
        <w:rPr>
          <w:rFonts w:ascii="Arial" w:eastAsia="Times New Roman" w:hAnsi="Arial" w:cs="Arial"/>
          <w:i/>
          <w:sz w:val="20"/>
          <w:szCs w:val="20"/>
        </w:rPr>
        <w:t>Sursa: APM Vaslui – aplicaţiile: MEDIUS şi SD (din SIM),cu date validate de ANPM</w:t>
      </w:r>
    </w:p>
    <w:p w:rsidR="00934C02" w:rsidRPr="00934C02" w:rsidRDefault="00934C02" w:rsidP="00934C02">
      <w:pPr>
        <w:spacing w:after="0" w:line="240" w:lineRule="auto"/>
        <w:jc w:val="both"/>
        <w:rPr>
          <w:rFonts w:ascii="Arial" w:eastAsia="Times New Roman" w:hAnsi="Arial" w:cs="Arial"/>
          <w:i/>
          <w:sz w:val="20"/>
          <w:szCs w:val="20"/>
        </w:rPr>
      </w:pPr>
    </w:p>
    <w:p w:rsidR="00934C02" w:rsidRPr="00934C02" w:rsidRDefault="00934C02" w:rsidP="00934C02">
      <w:pPr>
        <w:spacing w:after="0" w:line="240" w:lineRule="auto"/>
        <w:jc w:val="both"/>
        <w:rPr>
          <w:rFonts w:ascii="Arial" w:eastAsia="Times New Roman" w:hAnsi="Arial" w:cs="Arial"/>
          <w:i/>
          <w:sz w:val="20"/>
          <w:szCs w:val="20"/>
        </w:rPr>
      </w:pPr>
    </w:p>
    <w:p w:rsidR="00934C02" w:rsidRPr="00934C02" w:rsidRDefault="00934C02" w:rsidP="00934C02">
      <w:pPr>
        <w:spacing w:after="0" w:line="240" w:lineRule="auto"/>
        <w:jc w:val="both"/>
        <w:rPr>
          <w:rFonts w:ascii="Arial" w:hAnsi="Arial" w:cs="Arial"/>
          <w:sz w:val="24"/>
          <w:szCs w:val="24"/>
        </w:rPr>
      </w:pPr>
      <w:r w:rsidRPr="00934C02">
        <w:rPr>
          <w:rFonts w:ascii="Arial" w:hAnsi="Arial" w:cs="Arial"/>
          <w:color w:val="000000" w:themeColor="text1"/>
          <w:sz w:val="24"/>
          <w:szCs w:val="24"/>
          <w:lang w:val="ro-RO"/>
        </w:rPr>
        <w:t xml:space="preserve">  Tabelul </w:t>
      </w:r>
      <w:r w:rsidRPr="00934C02">
        <w:rPr>
          <w:rFonts w:ascii="Arial" w:hAnsi="Arial" w:cs="Arial"/>
          <w:sz w:val="24"/>
          <w:szCs w:val="24"/>
        </w:rPr>
        <w:t xml:space="preserve">VII.20. </w:t>
      </w:r>
      <w:r w:rsidRPr="00934C02">
        <w:rPr>
          <w:rFonts w:ascii="Arial" w:hAnsi="Arial" w:cs="Arial"/>
          <w:color w:val="000000" w:themeColor="text1"/>
          <w:sz w:val="24"/>
          <w:szCs w:val="24"/>
          <w:lang w:val="ro-RO"/>
        </w:rPr>
        <w:t>Cantităţi de deşeuri  de ambalaje preluate spre valorificare în perioada  2010-2014</w:t>
      </w:r>
    </w:p>
    <w:tbl>
      <w:tblPr>
        <w:tblW w:w="8227"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847"/>
        <w:gridCol w:w="1072"/>
        <w:gridCol w:w="1072"/>
        <w:gridCol w:w="1072"/>
        <w:gridCol w:w="1072"/>
        <w:gridCol w:w="1092"/>
      </w:tblGrid>
      <w:tr w:rsidR="00934C02" w:rsidRPr="00934C02" w:rsidTr="00934C02">
        <w:trPr>
          <w:trHeight w:val="564"/>
          <w:tblCellSpacing w:w="20" w:type="dxa"/>
          <w:jc w:val="center"/>
        </w:trPr>
        <w:tc>
          <w:tcPr>
            <w:tcW w:w="2910" w:type="dxa"/>
            <w:tcBorders>
              <w:top w:val="single" w:sz="4" w:space="0" w:color="auto"/>
              <w:left w:val="single" w:sz="4" w:space="0" w:color="auto"/>
              <w:bottom w:val="single" w:sz="4" w:space="0" w:color="auto"/>
              <w:right w:val="single" w:sz="4" w:space="0" w:color="auto"/>
              <w:tl2br w:val="inset" w:sz="6" w:space="0" w:color="auto"/>
            </w:tcBorders>
            <w:hideMark/>
          </w:tcPr>
          <w:p w:rsidR="00934C02" w:rsidRPr="00934C02" w:rsidRDefault="00934C02" w:rsidP="00934C02">
            <w:pPr>
              <w:widowControl w:val="0"/>
              <w:tabs>
                <w:tab w:val="center" w:pos="4680"/>
                <w:tab w:val="right" w:pos="9360"/>
              </w:tabs>
              <w:spacing w:after="0"/>
              <w:jc w:val="center"/>
              <w:rPr>
                <w:rFonts w:ascii="Arial" w:hAnsi="Arial" w:cs="Arial"/>
                <w:b/>
                <w:lang w:val="ro-RO"/>
              </w:rPr>
            </w:pPr>
            <w:r w:rsidRPr="00934C02">
              <w:rPr>
                <w:rFonts w:ascii="Arial" w:hAnsi="Arial" w:cs="Arial"/>
                <w:b/>
                <w:lang w:val="ro-RO"/>
              </w:rPr>
              <w:t xml:space="preserve">                       Anul</w:t>
            </w:r>
          </w:p>
          <w:p w:rsidR="00934C02" w:rsidRPr="00934C02" w:rsidRDefault="00934C02" w:rsidP="00934C02">
            <w:pPr>
              <w:widowControl w:val="0"/>
              <w:tabs>
                <w:tab w:val="center" w:pos="4680"/>
                <w:tab w:val="right" w:pos="9360"/>
              </w:tabs>
              <w:spacing w:after="0"/>
              <w:rPr>
                <w:rFonts w:ascii="Arial" w:hAnsi="Arial" w:cs="Arial"/>
                <w:b/>
                <w:lang w:val="ro-RO"/>
              </w:rPr>
            </w:pPr>
            <w:r w:rsidRPr="00934C02">
              <w:rPr>
                <w:rFonts w:ascii="Arial" w:hAnsi="Arial" w:cs="Arial"/>
                <w:b/>
                <w:lang w:val="ro-RO"/>
              </w:rPr>
              <w:t xml:space="preserve">    Material</w:t>
            </w:r>
          </w:p>
        </w:tc>
        <w:tc>
          <w:tcPr>
            <w:tcW w:w="1032"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widowControl w:val="0"/>
              <w:tabs>
                <w:tab w:val="center" w:pos="4680"/>
                <w:tab w:val="right" w:pos="9360"/>
              </w:tabs>
              <w:spacing w:after="0"/>
              <w:jc w:val="center"/>
              <w:rPr>
                <w:rFonts w:ascii="Arial" w:hAnsi="Arial" w:cs="Arial"/>
                <w:b/>
                <w:lang w:val="ro-RO"/>
              </w:rPr>
            </w:pPr>
          </w:p>
          <w:p w:rsidR="00934C02" w:rsidRPr="00934C02" w:rsidRDefault="00934C02" w:rsidP="00934C02">
            <w:pPr>
              <w:spacing w:after="0" w:line="240" w:lineRule="auto"/>
              <w:rPr>
                <w:rFonts w:ascii="Arial" w:hAnsi="Arial" w:cs="Arial"/>
                <w:b/>
              </w:rPr>
            </w:pPr>
            <w:r w:rsidRPr="00934C02">
              <w:rPr>
                <w:rFonts w:ascii="Arial" w:hAnsi="Arial" w:cs="Arial"/>
                <w:b/>
              </w:rPr>
              <w:t>2010</w:t>
            </w:r>
          </w:p>
        </w:tc>
        <w:tc>
          <w:tcPr>
            <w:tcW w:w="1032"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widowControl w:val="0"/>
              <w:tabs>
                <w:tab w:val="center" w:pos="4680"/>
                <w:tab w:val="right" w:pos="9360"/>
              </w:tabs>
              <w:spacing w:after="0"/>
              <w:jc w:val="center"/>
              <w:rPr>
                <w:rFonts w:ascii="Arial" w:hAnsi="Arial" w:cs="Arial"/>
                <w:b/>
                <w:lang w:val="ro-RO"/>
              </w:rPr>
            </w:pPr>
          </w:p>
          <w:p w:rsidR="00934C02" w:rsidRPr="00934C02" w:rsidRDefault="00934C02" w:rsidP="00934C02">
            <w:pPr>
              <w:widowControl w:val="0"/>
              <w:tabs>
                <w:tab w:val="center" w:pos="4680"/>
                <w:tab w:val="right" w:pos="9360"/>
              </w:tabs>
              <w:spacing w:after="0"/>
              <w:jc w:val="center"/>
              <w:rPr>
                <w:rFonts w:ascii="Arial" w:hAnsi="Arial" w:cs="Arial"/>
                <w:b/>
                <w:lang w:val="ro-RO"/>
              </w:rPr>
            </w:pPr>
            <w:r w:rsidRPr="00934C02">
              <w:rPr>
                <w:rFonts w:ascii="Arial" w:hAnsi="Arial" w:cs="Arial"/>
                <w:b/>
                <w:lang w:val="ro-RO"/>
              </w:rPr>
              <w:t>2011</w:t>
            </w:r>
          </w:p>
        </w:tc>
        <w:tc>
          <w:tcPr>
            <w:tcW w:w="1032"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widowControl w:val="0"/>
              <w:tabs>
                <w:tab w:val="center" w:pos="4680"/>
                <w:tab w:val="right" w:pos="9360"/>
              </w:tabs>
              <w:spacing w:after="0"/>
              <w:jc w:val="center"/>
              <w:rPr>
                <w:rFonts w:ascii="Arial" w:hAnsi="Arial" w:cs="Arial"/>
                <w:b/>
                <w:lang w:val="ro-RO"/>
              </w:rPr>
            </w:pPr>
          </w:p>
          <w:p w:rsidR="00934C02" w:rsidRPr="00934C02" w:rsidRDefault="00934C02" w:rsidP="00934C02">
            <w:pPr>
              <w:widowControl w:val="0"/>
              <w:tabs>
                <w:tab w:val="center" w:pos="4680"/>
                <w:tab w:val="right" w:pos="9360"/>
              </w:tabs>
              <w:spacing w:after="0"/>
              <w:jc w:val="center"/>
              <w:rPr>
                <w:rFonts w:ascii="Arial" w:hAnsi="Arial" w:cs="Arial"/>
                <w:b/>
                <w:lang w:val="ro-RO"/>
              </w:rPr>
            </w:pPr>
            <w:r w:rsidRPr="00934C02">
              <w:rPr>
                <w:rFonts w:ascii="Arial" w:hAnsi="Arial" w:cs="Arial"/>
                <w:b/>
                <w:lang w:val="ro-RO"/>
              </w:rPr>
              <w:t>2012</w:t>
            </w:r>
          </w:p>
        </w:tc>
        <w:tc>
          <w:tcPr>
            <w:tcW w:w="1032" w:type="dxa"/>
            <w:tcBorders>
              <w:top w:val="single" w:sz="4" w:space="0" w:color="auto"/>
              <w:left w:val="single" w:sz="4" w:space="0" w:color="auto"/>
              <w:bottom w:val="single" w:sz="4" w:space="0" w:color="auto"/>
              <w:right w:val="single" w:sz="4" w:space="0" w:color="auto"/>
            </w:tcBorders>
            <w:vAlign w:val="bottom"/>
            <w:hideMark/>
          </w:tcPr>
          <w:p w:rsidR="00934C02" w:rsidRPr="00934C02" w:rsidRDefault="00934C02" w:rsidP="00934C02">
            <w:pPr>
              <w:widowControl w:val="0"/>
              <w:tabs>
                <w:tab w:val="center" w:pos="4680"/>
                <w:tab w:val="right" w:pos="9360"/>
              </w:tabs>
              <w:spacing w:after="0"/>
              <w:jc w:val="center"/>
              <w:rPr>
                <w:rFonts w:ascii="Arial" w:hAnsi="Arial" w:cs="Arial"/>
                <w:b/>
                <w:lang w:val="ro-RO"/>
              </w:rPr>
            </w:pPr>
            <w:r w:rsidRPr="00934C02">
              <w:rPr>
                <w:rFonts w:ascii="Arial" w:hAnsi="Arial" w:cs="Arial"/>
                <w:b/>
                <w:lang w:val="ro-RO"/>
              </w:rPr>
              <w:t>2013</w:t>
            </w:r>
          </w:p>
        </w:tc>
        <w:tc>
          <w:tcPr>
            <w:tcW w:w="909" w:type="dxa"/>
            <w:tcBorders>
              <w:top w:val="single" w:sz="4" w:space="0" w:color="auto"/>
              <w:left w:val="single" w:sz="4" w:space="0" w:color="auto"/>
              <w:bottom w:val="single" w:sz="4" w:space="0" w:color="auto"/>
              <w:right w:val="single" w:sz="4" w:space="0" w:color="auto"/>
            </w:tcBorders>
            <w:vAlign w:val="bottom"/>
            <w:hideMark/>
          </w:tcPr>
          <w:p w:rsidR="00934C02" w:rsidRPr="00934C02" w:rsidRDefault="00934C02" w:rsidP="00934C02">
            <w:pPr>
              <w:widowControl w:val="0"/>
              <w:tabs>
                <w:tab w:val="center" w:pos="4680"/>
                <w:tab w:val="right" w:pos="9360"/>
              </w:tabs>
              <w:spacing w:after="0"/>
              <w:jc w:val="center"/>
              <w:rPr>
                <w:rFonts w:ascii="Arial" w:hAnsi="Arial" w:cs="Arial"/>
                <w:b/>
                <w:lang w:val="ro-RO"/>
              </w:rPr>
            </w:pPr>
            <w:r w:rsidRPr="00934C02">
              <w:rPr>
                <w:rFonts w:ascii="Arial" w:hAnsi="Arial" w:cs="Arial"/>
                <w:b/>
                <w:lang w:val="ro-RO"/>
              </w:rPr>
              <w:t>2014</w:t>
            </w:r>
          </w:p>
        </w:tc>
      </w:tr>
      <w:tr w:rsidR="00934C02" w:rsidRPr="00934C02" w:rsidTr="00934C02">
        <w:trPr>
          <w:trHeight w:val="275"/>
          <w:tblCellSpacing w:w="20" w:type="dxa"/>
          <w:jc w:val="center"/>
        </w:trPr>
        <w:tc>
          <w:tcPr>
            <w:tcW w:w="291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widowControl w:val="0"/>
              <w:tabs>
                <w:tab w:val="center" w:pos="4680"/>
                <w:tab w:val="right" w:pos="9360"/>
              </w:tabs>
              <w:spacing w:after="0"/>
              <w:jc w:val="center"/>
              <w:rPr>
                <w:rFonts w:ascii="Arial" w:hAnsi="Arial" w:cs="Arial"/>
                <w:b/>
                <w:lang w:val="ro-RO"/>
              </w:rPr>
            </w:pPr>
            <w:r w:rsidRPr="00934C02">
              <w:rPr>
                <w:rFonts w:ascii="Arial" w:hAnsi="Arial" w:cs="Arial"/>
                <w:b/>
                <w:lang w:val="ro-RO"/>
              </w:rPr>
              <w:t>Hartie/cartob\n</w:t>
            </w:r>
          </w:p>
        </w:tc>
        <w:tc>
          <w:tcPr>
            <w:tcW w:w="1032"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widowControl w:val="0"/>
              <w:tabs>
                <w:tab w:val="center" w:pos="4680"/>
                <w:tab w:val="right" w:pos="9360"/>
              </w:tabs>
              <w:spacing w:after="0"/>
              <w:jc w:val="center"/>
              <w:rPr>
                <w:rFonts w:ascii="Arial" w:hAnsi="Arial" w:cs="Arial"/>
                <w:lang w:val="ro-RO"/>
              </w:rPr>
            </w:pPr>
            <w:r w:rsidRPr="00934C02">
              <w:rPr>
                <w:rFonts w:ascii="Arial" w:hAnsi="Arial" w:cs="Arial"/>
                <w:lang w:val="ro-RO"/>
              </w:rPr>
              <w:t>155.238</w:t>
            </w:r>
          </w:p>
        </w:tc>
        <w:tc>
          <w:tcPr>
            <w:tcW w:w="1032"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widowControl w:val="0"/>
              <w:tabs>
                <w:tab w:val="center" w:pos="4680"/>
                <w:tab w:val="right" w:pos="9360"/>
              </w:tabs>
              <w:spacing w:after="0"/>
              <w:jc w:val="center"/>
              <w:rPr>
                <w:rFonts w:ascii="Arial" w:hAnsi="Arial" w:cs="Arial"/>
                <w:lang w:val="ro-RO"/>
              </w:rPr>
            </w:pPr>
            <w:r w:rsidRPr="00934C02">
              <w:rPr>
                <w:rFonts w:ascii="Arial" w:hAnsi="Arial" w:cs="Arial"/>
                <w:lang w:val="ro-RO"/>
              </w:rPr>
              <w:t>191.990</w:t>
            </w:r>
          </w:p>
        </w:tc>
        <w:tc>
          <w:tcPr>
            <w:tcW w:w="1032"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widowControl w:val="0"/>
              <w:tabs>
                <w:tab w:val="center" w:pos="4680"/>
                <w:tab w:val="right" w:pos="9360"/>
              </w:tabs>
              <w:spacing w:after="0"/>
              <w:jc w:val="center"/>
              <w:rPr>
                <w:rFonts w:ascii="Arial" w:hAnsi="Arial" w:cs="Arial"/>
                <w:lang w:val="ro-RO"/>
              </w:rPr>
            </w:pPr>
            <w:r w:rsidRPr="00934C02">
              <w:rPr>
                <w:rFonts w:ascii="Arial" w:hAnsi="Arial" w:cs="Arial"/>
                <w:lang w:val="ro-RO"/>
              </w:rPr>
              <w:t>211.698</w:t>
            </w:r>
          </w:p>
        </w:tc>
        <w:tc>
          <w:tcPr>
            <w:tcW w:w="1032"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widowControl w:val="0"/>
              <w:tabs>
                <w:tab w:val="center" w:pos="4680"/>
                <w:tab w:val="right" w:pos="9360"/>
              </w:tabs>
              <w:spacing w:after="0"/>
              <w:jc w:val="center"/>
              <w:rPr>
                <w:rFonts w:ascii="Arial" w:hAnsi="Arial" w:cs="Arial"/>
                <w:lang w:val="ro-RO"/>
              </w:rPr>
            </w:pPr>
            <w:r w:rsidRPr="00934C02">
              <w:rPr>
                <w:rFonts w:ascii="Arial" w:hAnsi="Arial" w:cs="Arial"/>
                <w:lang w:val="ro-RO"/>
              </w:rPr>
              <w:t>232,580</w:t>
            </w:r>
          </w:p>
        </w:tc>
        <w:tc>
          <w:tcPr>
            <w:tcW w:w="90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widowControl w:val="0"/>
              <w:tabs>
                <w:tab w:val="center" w:pos="4680"/>
                <w:tab w:val="right" w:pos="9360"/>
              </w:tabs>
              <w:spacing w:after="0"/>
              <w:jc w:val="center"/>
              <w:rPr>
                <w:rFonts w:ascii="Arial" w:hAnsi="Arial" w:cs="Arial"/>
                <w:lang w:val="ro-RO"/>
              </w:rPr>
            </w:pPr>
            <w:r w:rsidRPr="00934C02">
              <w:rPr>
                <w:rFonts w:ascii="Arial" w:hAnsi="Arial" w:cs="Arial"/>
                <w:lang w:val="ro-RO"/>
              </w:rPr>
              <w:t>323.767</w:t>
            </w:r>
          </w:p>
        </w:tc>
      </w:tr>
      <w:tr w:rsidR="00934C02" w:rsidRPr="00934C02" w:rsidTr="00934C02">
        <w:trPr>
          <w:trHeight w:val="290"/>
          <w:tblCellSpacing w:w="20" w:type="dxa"/>
          <w:jc w:val="center"/>
        </w:trPr>
        <w:tc>
          <w:tcPr>
            <w:tcW w:w="291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widowControl w:val="0"/>
              <w:tabs>
                <w:tab w:val="center" w:pos="4680"/>
                <w:tab w:val="right" w:pos="9360"/>
              </w:tabs>
              <w:spacing w:after="0"/>
              <w:jc w:val="center"/>
              <w:rPr>
                <w:rFonts w:ascii="Arial" w:hAnsi="Arial" w:cs="Arial"/>
                <w:b/>
                <w:lang w:val="ro-RO"/>
              </w:rPr>
            </w:pPr>
            <w:r w:rsidRPr="00934C02">
              <w:rPr>
                <w:rFonts w:ascii="Arial" w:hAnsi="Arial" w:cs="Arial"/>
                <w:b/>
                <w:lang w:val="ro-RO"/>
              </w:rPr>
              <w:t>Plastic</w:t>
            </w:r>
          </w:p>
        </w:tc>
        <w:tc>
          <w:tcPr>
            <w:tcW w:w="1032"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widowControl w:val="0"/>
              <w:tabs>
                <w:tab w:val="center" w:pos="4680"/>
                <w:tab w:val="right" w:pos="9360"/>
              </w:tabs>
              <w:spacing w:after="0"/>
              <w:jc w:val="center"/>
              <w:rPr>
                <w:rFonts w:ascii="Arial" w:hAnsi="Arial" w:cs="Arial"/>
                <w:lang w:val="ro-RO"/>
              </w:rPr>
            </w:pPr>
            <w:r w:rsidRPr="00934C02">
              <w:rPr>
                <w:rFonts w:ascii="Arial" w:hAnsi="Arial" w:cs="Arial"/>
                <w:lang w:val="ro-RO"/>
              </w:rPr>
              <w:t>79.391</w:t>
            </w:r>
          </w:p>
        </w:tc>
        <w:tc>
          <w:tcPr>
            <w:tcW w:w="1032"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widowControl w:val="0"/>
              <w:tabs>
                <w:tab w:val="center" w:pos="4680"/>
                <w:tab w:val="right" w:pos="9360"/>
              </w:tabs>
              <w:spacing w:after="0"/>
              <w:jc w:val="center"/>
              <w:rPr>
                <w:rFonts w:ascii="Arial" w:hAnsi="Arial" w:cs="Arial"/>
                <w:lang w:val="ro-RO"/>
              </w:rPr>
            </w:pPr>
            <w:r w:rsidRPr="00934C02">
              <w:rPr>
                <w:rFonts w:ascii="Arial" w:hAnsi="Arial" w:cs="Arial"/>
                <w:lang w:val="ro-RO"/>
              </w:rPr>
              <w:t>112.460</w:t>
            </w:r>
          </w:p>
        </w:tc>
        <w:tc>
          <w:tcPr>
            <w:tcW w:w="1032"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widowControl w:val="0"/>
              <w:tabs>
                <w:tab w:val="center" w:pos="4680"/>
                <w:tab w:val="right" w:pos="9360"/>
              </w:tabs>
              <w:spacing w:after="0"/>
              <w:jc w:val="center"/>
              <w:rPr>
                <w:rFonts w:ascii="Arial" w:hAnsi="Arial" w:cs="Arial"/>
                <w:lang w:val="ro-RO"/>
              </w:rPr>
            </w:pPr>
            <w:r w:rsidRPr="00934C02">
              <w:rPr>
                <w:rFonts w:ascii="Arial" w:hAnsi="Arial" w:cs="Arial"/>
                <w:lang w:val="ro-RO"/>
              </w:rPr>
              <w:t>152.852</w:t>
            </w:r>
          </w:p>
        </w:tc>
        <w:tc>
          <w:tcPr>
            <w:tcW w:w="1032"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widowControl w:val="0"/>
              <w:tabs>
                <w:tab w:val="center" w:pos="4680"/>
                <w:tab w:val="right" w:pos="9360"/>
              </w:tabs>
              <w:spacing w:after="0"/>
              <w:jc w:val="center"/>
              <w:rPr>
                <w:rFonts w:ascii="Arial" w:hAnsi="Arial" w:cs="Arial"/>
                <w:lang w:val="ro-RO"/>
              </w:rPr>
            </w:pPr>
            <w:r w:rsidRPr="00934C02">
              <w:rPr>
                <w:rFonts w:ascii="Arial" w:hAnsi="Arial" w:cs="Arial"/>
                <w:lang w:val="ro-RO"/>
              </w:rPr>
              <w:t>149.940</w:t>
            </w:r>
          </w:p>
        </w:tc>
        <w:tc>
          <w:tcPr>
            <w:tcW w:w="90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widowControl w:val="0"/>
              <w:tabs>
                <w:tab w:val="center" w:pos="4680"/>
                <w:tab w:val="right" w:pos="9360"/>
              </w:tabs>
              <w:spacing w:after="0"/>
              <w:jc w:val="center"/>
              <w:rPr>
                <w:rFonts w:ascii="Arial" w:hAnsi="Arial" w:cs="Arial"/>
                <w:lang w:val="ro-RO"/>
              </w:rPr>
            </w:pPr>
            <w:r w:rsidRPr="00934C02">
              <w:rPr>
                <w:rFonts w:ascii="Arial" w:hAnsi="Arial" w:cs="Arial"/>
                <w:lang w:val="ro-RO"/>
              </w:rPr>
              <w:t>166.279</w:t>
            </w:r>
          </w:p>
        </w:tc>
      </w:tr>
      <w:tr w:rsidR="00934C02" w:rsidRPr="00934C02" w:rsidTr="00934C02">
        <w:trPr>
          <w:trHeight w:val="290"/>
          <w:tblCellSpacing w:w="20" w:type="dxa"/>
          <w:jc w:val="center"/>
        </w:trPr>
        <w:tc>
          <w:tcPr>
            <w:tcW w:w="291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widowControl w:val="0"/>
              <w:tabs>
                <w:tab w:val="center" w:pos="4680"/>
                <w:tab w:val="right" w:pos="9360"/>
              </w:tabs>
              <w:spacing w:after="0"/>
              <w:jc w:val="center"/>
              <w:rPr>
                <w:rFonts w:ascii="Arial" w:hAnsi="Arial" w:cs="Arial"/>
                <w:b/>
                <w:lang w:val="ro-RO"/>
              </w:rPr>
            </w:pPr>
            <w:r w:rsidRPr="00934C02">
              <w:rPr>
                <w:rFonts w:ascii="Arial" w:hAnsi="Arial" w:cs="Arial"/>
                <w:b/>
                <w:lang w:val="ro-RO"/>
              </w:rPr>
              <w:t>Lemn</w:t>
            </w:r>
          </w:p>
        </w:tc>
        <w:tc>
          <w:tcPr>
            <w:tcW w:w="1032"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widowControl w:val="0"/>
              <w:tabs>
                <w:tab w:val="center" w:pos="4680"/>
                <w:tab w:val="right" w:pos="9360"/>
              </w:tabs>
              <w:spacing w:after="0"/>
              <w:jc w:val="center"/>
              <w:rPr>
                <w:rFonts w:ascii="Arial" w:hAnsi="Arial" w:cs="Arial"/>
                <w:lang w:val="ro-RO"/>
              </w:rPr>
            </w:pPr>
            <w:r w:rsidRPr="00934C02">
              <w:rPr>
                <w:rFonts w:ascii="Arial" w:hAnsi="Arial" w:cs="Arial"/>
                <w:lang w:val="ro-RO"/>
              </w:rPr>
              <w:t>38.451</w:t>
            </w:r>
          </w:p>
        </w:tc>
        <w:tc>
          <w:tcPr>
            <w:tcW w:w="1032"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widowControl w:val="0"/>
              <w:tabs>
                <w:tab w:val="center" w:pos="4680"/>
                <w:tab w:val="right" w:pos="9360"/>
              </w:tabs>
              <w:spacing w:after="0"/>
              <w:jc w:val="center"/>
              <w:rPr>
                <w:rFonts w:ascii="Arial" w:hAnsi="Arial" w:cs="Arial"/>
                <w:lang w:val="ro-RO"/>
              </w:rPr>
            </w:pPr>
            <w:r w:rsidRPr="00934C02">
              <w:rPr>
                <w:rFonts w:ascii="Arial" w:hAnsi="Arial" w:cs="Arial"/>
                <w:lang w:val="ro-RO"/>
              </w:rPr>
              <w:t>73.390</w:t>
            </w:r>
          </w:p>
        </w:tc>
        <w:tc>
          <w:tcPr>
            <w:tcW w:w="1032"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widowControl w:val="0"/>
              <w:tabs>
                <w:tab w:val="center" w:pos="4680"/>
                <w:tab w:val="right" w:pos="9360"/>
              </w:tabs>
              <w:spacing w:after="0"/>
              <w:jc w:val="center"/>
              <w:rPr>
                <w:rFonts w:ascii="Arial" w:hAnsi="Arial" w:cs="Arial"/>
                <w:lang w:val="ro-RO"/>
              </w:rPr>
            </w:pPr>
            <w:r w:rsidRPr="00934C02">
              <w:rPr>
                <w:rFonts w:ascii="Arial" w:hAnsi="Arial" w:cs="Arial"/>
                <w:lang w:val="ro-RO"/>
              </w:rPr>
              <w:t>98.660</w:t>
            </w:r>
          </w:p>
        </w:tc>
        <w:tc>
          <w:tcPr>
            <w:tcW w:w="1032"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widowControl w:val="0"/>
              <w:tabs>
                <w:tab w:val="center" w:pos="4680"/>
                <w:tab w:val="right" w:pos="9360"/>
              </w:tabs>
              <w:spacing w:after="0"/>
              <w:jc w:val="center"/>
              <w:rPr>
                <w:rFonts w:ascii="Arial" w:hAnsi="Arial" w:cs="Arial"/>
                <w:lang w:val="ro-RO"/>
              </w:rPr>
            </w:pPr>
            <w:r w:rsidRPr="00934C02">
              <w:rPr>
                <w:rFonts w:ascii="Arial" w:hAnsi="Arial" w:cs="Arial"/>
                <w:lang w:val="ro-RO"/>
              </w:rPr>
              <w:t>71.902</w:t>
            </w:r>
          </w:p>
        </w:tc>
        <w:tc>
          <w:tcPr>
            <w:tcW w:w="90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widowControl w:val="0"/>
              <w:tabs>
                <w:tab w:val="center" w:pos="4680"/>
                <w:tab w:val="right" w:pos="9360"/>
              </w:tabs>
              <w:spacing w:after="0"/>
              <w:jc w:val="center"/>
              <w:rPr>
                <w:rFonts w:ascii="Arial" w:hAnsi="Arial" w:cs="Arial"/>
                <w:lang w:val="ro-RO"/>
              </w:rPr>
            </w:pPr>
            <w:r w:rsidRPr="00934C02">
              <w:rPr>
                <w:rFonts w:ascii="Arial" w:hAnsi="Arial" w:cs="Arial"/>
                <w:lang w:val="ro-RO"/>
              </w:rPr>
              <w:t>77.111</w:t>
            </w:r>
          </w:p>
        </w:tc>
      </w:tr>
      <w:tr w:rsidR="00934C02" w:rsidRPr="00934C02" w:rsidTr="00934C02">
        <w:trPr>
          <w:trHeight w:val="290"/>
          <w:tblCellSpacing w:w="20" w:type="dxa"/>
          <w:jc w:val="center"/>
        </w:trPr>
        <w:tc>
          <w:tcPr>
            <w:tcW w:w="291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widowControl w:val="0"/>
              <w:tabs>
                <w:tab w:val="center" w:pos="4680"/>
                <w:tab w:val="right" w:pos="9360"/>
              </w:tabs>
              <w:spacing w:after="0"/>
              <w:jc w:val="center"/>
              <w:rPr>
                <w:rFonts w:ascii="Arial" w:hAnsi="Arial" w:cs="Arial"/>
                <w:b/>
                <w:lang w:val="ro-RO"/>
              </w:rPr>
            </w:pPr>
            <w:r w:rsidRPr="00934C02">
              <w:rPr>
                <w:rFonts w:ascii="Arial" w:hAnsi="Arial" w:cs="Arial"/>
                <w:b/>
                <w:lang w:val="ro-RO"/>
              </w:rPr>
              <w:t>Metale</w:t>
            </w:r>
          </w:p>
        </w:tc>
        <w:tc>
          <w:tcPr>
            <w:tcW w:w="1032"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widowControl w:val="0"/>
              <w:tabs>
                <w:tab w:val="center" w:pos="4680"/>
                <w:tab w:val="right" w:pos="9360"/>
              </w:tabs>
              <w:spacing w:after="0"/>
              <w:jc w:val="center"/>
              <w:rPr>
                <w:rFonts w:ascii="Arial" w:hAnsi="Arial" w:cs="Arial"/>
                <w:lang w:val="ro-RO"/>
              </w:rPr>
            </w:pPr>
            <w:r w:rsidRPr="00934C02">
              <w:rPr>
                <w:rFonts w:ascii="Arial" w:hAnsi="Arial" w:cs="Arial"/>
                <w:lang w:val="ro-RO"/>
              </w:rPr>
              <w:t>36.267</w:t>
            </w:r>
          </w:p>
        </w:tc>
        <w:tc>
          <w:tcPr>
            <w:tcW w:w="1032"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widowControl w:val="0"/>
              <w:tabs>
                <w:tab w:val="center" w:pos="4680"/>
                <w:tab w:val="right" w:pos="9360"/>
              </w:tabs>
              <w:spacing w:after="0"/>
              <w:jc w:val="center"/>
              <w:rPr>
                <w:rFonts w:ascii="Arial" w:hAnsi="Arial" w:cs="Arial"/>
                <w:lang w:val="ro-RO"/>
              </w:rPr>
            </w:pPr>
            <w:r w:rsidRPr="00934C02">
              <w:rPr>
                <w:rFonts w:ascii="Arial" w:hAnsi="Arial" w:cs="Arial"/>
                <w:lang w:val="ro-RO"/>
              </w:rPr>
              <w:t>34.410</w:t>
            </w:r>
          </w:p>
        </w:tc>
        <w:tc>
          <w:tcPr>
            <w:tcW w:w="1032"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widowControl w:val="0"/>
              <w:tabs>
                <w:tab w:val="center" w:pos="4680"/>
                <w:tab w:val="right" w:pos="9360"/>
              </w:tabs>
              <w:spacing w:after="0"/>
              <w:jc w:val="center"/>
              <w:rPr>
                <w:rFonts w:ascii="Arial" w:hAnsi="Arial" w:cs="Arial"/>
                <w:lang w:val="ro-RO"/>
              </w:rPr>
            </w:pPr>
            <w:r w:rsidRPr="00934C02">
              <w:rPr>
                <w:rFonts w:ascii="Arial" w:hAnsi="Arial" w:cs="Arial"/>
                <w:lang w:val="ro-RO"/>
              </w:rPr>
              <w:t>32.398</w:t>
            </w:r>
          </w:p>
        </w:tc>
        <w:tc>
          <w:tcPr>
            <w:tcW w:w="1032"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widowControl w:val="0"/>
              <w:tabs>
                <w:tab w:val="center" w:pos="4680"/>
                <w:tab w:val="right" w:pos="9360"/>
              </w:tabs>
              <w:spacing w:after="0"/>
              <w:jc w:val="center"/>
              <w:rPr>
                <w:rFonts w:ascii="Arial" w:hAnsi="Arial" w:cs="Arial"/>
                <w:lang w:val="ro-RO"/>
              </w:rPr>
            </w:pPr>
            <w:r w:rsidRPr="00934C02">
              <w:rPr>
                <w:rFonts w:ascii="Arial" w:hAnsi="Arial" w:cs="Arial"/>
                <w:lang w:val="ro-RO"/>
              </w:rPr>
              <w:t>28.723</w:t>
            </w:r>
          </w:p>
        </w:tc>
        <w:tc>
          <w:tcPr>
            <w:tcW w:w="90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widowControl w:val="0"/>
              <w:tabs>
                <w:tab w:val="center" w:pos="4680"/>
                <w:tab w:val="right" w:pos="9360"/>
              </w:tabs>
              <w:spacing w:after="0"/>
              <w:jc w:val="center"/>
              <w:rPr>
                <w:rFonts w:ascii="Arial" w:hAnsi="Arial" w:cs="Arial"/>
                <w:lang w:val="ro-RO"/>
              </w:rPr>
            </w:pPr>
            <w:r w:rsidRPr="00934C02">
              <w:rPr>
                <w:rFonts w:ascii="Arial" w:hAnsi="Arial" w:cs="Arial"/>
                <w:lang w:val="ro-RO"/>
              </w:rPr>
              <w:t>36.462</w:t>
            </w:r>
          </w:p>
        </w:tc>
      </w:tr>
      <w:tr w:rsidR="00934C02" w:rsidRPr="00934C02" w:rsidTr="00934C02">
        <w:trPr>
          <w:trHeight w:val="290"/>
          <w:tblCellSpacing w:w="20" w:type="dxa"/>
          <w:jc w:val="center"/>
        </w:trPr>
        <w:tc>
          <w:tcPr>
            <w:tcW w:w="2910" w:type="dxa"/>
            <w:tcBorders>
              <w:top w:val="single" w:sz="4" w:space="0" w:color="auto"/>
              <w:left w:val="single" w:sz="4" w:space="0" w:color="auto"/>
              <w:bottom w:val="single" w:sz="4" w:space="0" w:color="auto"/>
              <w:right w:val="single" w:sz="4" w:space="0" w:color="auto"/>
            </w:tcBorders>
            <w:vAlign w:val="center"/>
            <w:hideMark/>
          </w:tcPr>
          <w:p w:rsidR="00934C02" w:rsidRPr="00934C02" w:rsidRDefault="00934C02" w:rsidP="00934C02">
            <w:pPr>
              <w:widowControl w:val="0"/>
              <w:tabs>
                <w:tab w:val="center" w:pos="4680"/>
                <w:tab w:val="right" w:pos="9360"/>
              </w:tabs>
              <w:spacing w:after="0"/>
              <w:rPr>
                <w:rFonts w:ascii="Arial" w:hAnsi="Arial" w:cs="Arial"/>
                <w:b/>
                <w:lang w:val="ro-RO"/>
              </w:rPr>
            </w:pPr>
            <w:r w:rsidRPr="00934C02">
              <w:rPr>
                <w:rFonts w:ascii="Arial" w:hAnsi="Arial" w:cs="Arial"/>
                <w:b/>
                <w:lang w:val="ro-RO"/>
              </w:rPr>
              <w:t>TOTAL</w:t>
            </w:r>
          </w:p>
        </w:tc>
        <w:tc>
          <w:tcPr>
            <w:tcW w:w="1032"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widowControl w:val="0"/>
              <w:tabs>
                <w:tab w:val="center" w:pos="4680"/>
                <w:tab w:val="right" w:pos="9360"/>
              </w:tabs>
              <w:spacing w:after="0"/>
              <w:jc w:val="center"/>
              <w:rPr>
                <w:rFonts w:ascii="Arial" w:hAnsi="Arial" w:cs="Arial"/>
                <w:lang w:val="ro-RO"/>
              </w:rPr>
            </w:pPr>
            <w:r w:rsidRPr="00934C02">
              <w:rPr>
                <w:rFonts w:ascii="Arial" w:hAnsi="Arial" w:cs="Arial"/>
                <w:lang w:val="ro-RO"/>
              </w:rPr>
              <w:t>309.347</w:t>
            </w:r>
          </w:p>
        </w:tc>
        <w:tc>
          <w:tcPr>
            <w:tcW w:w="1032"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widowControl w:val="0"/>
              <w:tabs>
                <w:tab w:val="center" w:pos="4680"/>
                <w:tab w:val="right" w:pos="9360"/>
              </w:tabs>
              <w:spacing w:after="0"/>
              <w:jc w:val="center"/>
              <w:rPr>
                <w:rFonts w:ascii="Arial" w:hAnsi="Arial" w:cs="Arial"/>
                <w:lang w:val="ro-RO"/>
              </w:rPr>
            </w:pPr>
            <w:r w:rsidRPr="00934C02">
              <w:rPr>
                <w:rFonts w:ascii="Arial" w:hAnsi="Arial" w:cs="Arial"/>
                <w:lang w:val="ro-RO"/>
              </w:rPr>
              <w:t>412.250</w:t>
            </w:r>
          </w:p>
        </w:tc>
        <w:tc>
          <w:tcPr>
            <w:tcW w:w="1032"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widowControl w:val="0"/>
              <w:tabs>
                <w:tab w:val="center" w:pos="4680"/>
                <w:tab w:val="right" w:pos="9360"/>
              </w:tabs>
              <w:spacing w:after="0"/>
              <w:jc w:val="center"/>
              <w:rPr>
                <w:rFonts w:ascii="Arial" w:hAnsi="Arial" w:cs="Arial"/>
                <w:lang w:val="ro-RO"/>
              </w:rPr>
            </w:pPr>
            <w:r w:rsidRPr="00934C02">
              <w:rPr>
                <w:rFonts w:ascii="Arial" w:hAnsi="Arial" w:cs="Arial"/>
                <w:lang w:val="ro-RO"/>
              </w:rPr>
              <w:t>495.608</w:t>
            </w:r>
          </w:p>
        </w:tc>
        <w:tc>
          <w:tcPr>
            <w:tcW w:w="1032"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widowControl w:val="0"/>
              <w:tabs>
                <w:tab w:val="center" w:pos="4680"/>
                <w:tab w:val="right" w:pos="9360"/>
              </w:tabs>
              <w:spacing w:after="0"/>
              <w:jc w:val="center"/>
              <w:rPr>
                <w:rFonts w:ascii="Arial" w:hAnsi="Arial" w:cs="Arial"/>
                <w:lang w:val="ro-RO"/>
              </w:rPr>
            </w:pPr>
            <w:r w:rsidRPr="00934C02">
              <w:rPr>
                <w:rFonts w:ascii="Arial" w:hAnsi="Arial" w:cs="Arial"/>
                <w:lang w:val="ro-RO"/>
              </w:rPr>
              <w:t>483.145</w:t>
            </w:r>
          </w:p>
        </w:tc>
        <w:tc>
          <w:tcPr>
            <w:tcW w:w="90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widowControl w:val="0"/>
              <w:tabs>
                <w:tab w:val="center" w:pos="4680"/>
                <w:tab w:val="right" w:pos="9360"/>
              </w:tabs>
              <w:spacing w:after="0"/>
              <w:jc w:val="center"/>
              <w:rPr>
                <w:rFonts w:ascii="Arial" w:hAnsi="Arial" w:cs="Arial"/>
                <w:lang w:val="ro-RO"/>
              </w:rPr>
            </w:pPr>
            <w:r w:rsidRPr="00934C02">
              <w:rPr>
                <w:rFonts w:ascii="Arial" w:hAnsi="Arial" w:cs="Arial"/>
                <w:lang w:val="ro-RO"/>
              </w:rPr>
              <w:t>603.619</w:t>
            </w:r>
          </w:p>
        </w:tc>
      </w:tr>
    </w:tbl>
    <w:p w:rsidR="00934C02" w:rsidRPr="00934C02" w:rsidRDefault="00934C02" w:rsidP="00934C02">
      <w:pPr>
        <w:rPr>
          <w:rFonts w:ascii="Arial" w:hAnsi="Arial" w:cs="Arial"/>
          <w:sz w:val="24"/>
          <w:szCs w:val="24"/>
          <w:lang w:val="ro-RO" w:eastAsia="pl-PL"/>
        </w:rPr>
      </w:pPr>
      <w:r w:rsidRPr="00934C02">
        <w:rPr>
          <w:rFonts w:ascii="Arial" w:hAnsi="Arial" w:cs="Arial"/>
          <w:sz w:val="24"/>
          <w:szCs w:val="24"/>
          <w:lang w:val="ro-RO" w:eastAsia="pl-PL"/>
        </w:rPr>
        <w:t xml:space="preserve">           </w:t>
      </w:r>
    </w:p>
    <w:p w:rsidR="00934C02" w:rsidRPr="00934C02" w:rsidRDefault="00934C02" w:rsidP="00934C02">
      <w:pPr>
        <w:spacing w:after="0" w:line="240" w:lineRule="auto"/>
        <w:rPr>
          <w:rFonts w:ascii="Arial" w:hAnsi="Arial" w:cs="Arial"/>
          <w:sz w:val="24"/>
          <w:szCs w:val="24"/>
          <w:lang w:val="ro-RO" w:eastAsia="pl-PL"/>
        </w:rPr>
      </w:pPr>
      <w:r w:rsidRPr="00934C02">
        <w:rPr>
          <w:rFonts w:ascii="Arial" w:hAnsi="Arial" w:cs="Arial"/>
          <w:sz w:val="24"/>
          <w:szCs w:val="24"/>
          <w:lang w:val="ro-RO" w:eastAsia="pl-PL"/>
        </w:rPr>
        <w:t xml:space="preserve"> </w:t>
      </w:r>
      <w:r w:rsidRPr="00934C02">
        <w:rPr>
          <w:noProof/>
        </w:rPr>
        <w:drawing>
          <wp:inline distT="0" distB="0" distL="0" distR="0" wp14:anchorId="7BE90B61" wp14:editId="36668D76">
            <wp:extent cx="5649595" cy="2013585"/>
            <wp:effectExtent l="0" t="0" r="27305" b="24765"/>
            <wp:docPr id="247" name="Chart 2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934C02" w:rsidRPr="00934C02" w:rsidRDefault="00934C02" w:rsidP="00934C02">
      <w:pPr>
        <w:spacing w:after="0" w:line="240" w:lineRule="auto"/>
        <w:rPr>
          <w:rFonts w:ascii="Arial" w:hAnsi="Arial" w:cs="Arial"/>
        </w:rPr>
      </w:pPr>
      <w:r w:rsidRPr="00934C02">
        <w:rPr>
          <w:rFonts w:ascii="Arial" w:hAnsi="Arial" w:cs="Arial"/>
          <w:color w:val="000000" w:themeColor="text1"/>
          <w:sz w:val="24"/>
          <w:szCs w:val="24"/>
          <w:lang w:val="ro-RO"/>
        </w:rPr>
        <w:t xml:space="preserve">Figura </w:t>
      </w:r>
      <w:r w:rsidRPr="00934C02">
        <w:rPr>
          <w:rFonts w:ascii="Arial" w:hAnsi="Arial" w:cs="Arial"/>
          <w:sz w:val="24"/>
          <w:szCs w:val="24"/>
        </w:rPr>
        <w:t xml:space="preserve">VII.14. Evoluţia  cantităţii de deşeuri de ambalaje preluate spre valorificare </w:t>
      </w:r>
      <w:r w:rsidRPr="00934C02">
        <w:rPr>
          <w:rFonts w:ascii="Arial" w:hAnsi="Arial" w:cs="Arial"/>
          <w:color w:val="000000" w:themeColor="text1"/>
          <w:sz w:val="24"/>
          <w:szCs w:val="24"/>
          <w:lang w:val="ro-RO"/>
        </w:rPr>
        <w:t>în perioada 2010-2014</w:t>
      </w:r>
    </w:p>
    <w:p w:rsidR="00934C02" w:rsidRPr="00934C02" w:rsidRDefault="00934C02" w:rsidP="00934C02">
      <w:r w:rsidRPr="00934C02">
        <w:t xml:space="preserve">      </w:t>
      </w:r>
    </w:p>
    <w:p w:rsidR="00934C02" w:rsidRPr="00934C02" w:rsidRDefault="00934C02" w:rsidP="00934C02">
      <w:pPr>
        <w:rPr>
          <w:rFonts w:ascii="Arial" w:hAnsi="Arial" w:cs="Arial"/>
          <w:b/>
          <w:bCs/>
          <w:iCs/>
          <w:color w:val="000000"/>
          <w:sz w:val="24"/>
          <w:szCs w:val="24"/>
        </w:rPr>
      </w:pPr>
      <w:r w:rsidRPr="00934C02">
        <w:rPr>
          <w:b/>
        </w:rPr>
        <w:t xml:space="preserve"> </w:t>
      </w:r>
      <w:r w:rsidRPr="00934C02">
        <w:rPr>
          <w:rFonts w:ascii="Arial" w:hAnsi="Arial" w:cs="Arial"/>
          <w:b/>
          <w:bCs/>
          <w:iCs/>
          <w:color w:val="000000"/>
          <w:sz w:val="24"/>
          <w:szCs w:val="24"/>
        </w:rPr>
        <w:t>VII.1.3.3. Vehicule scoase din uz (VSU)</w:t>
      </w:r>
    </w:p>
    <w:p w:rsidR="00934C02" w:rsidRPr="00934C02" w:rsidRDefault="00934C02" w:rsidP="00934C02">
      <w:pPr>
        <w:spacing w:after="0" w:line="240" w:lineRule="auto"/>
        <w:rPr>
          <w:rFonts w:ascii="Arial" w:hAnsi="Arial" w:cs="Arial"/>
          <w:color w:val="000000"/>
          <w:sz w:val="24"/>
          <w:szCs w:val="24"/>
          <w:lang w:val="ro-RO"/>
        </w:rPr>
      </w:pPr>
    </w:p>
    <w:p w:rsidR="00934C02" w:rsidRPr="00934C02" w:rsidRDefault="00934C02" w:rsidP="00934C02">
      <w:pPr>
        <w:spacing w:after="0" w:line="240" w:lineRule="auto"/>
        <w:rPr>
          <w:rFonts w:ascii="Arial" w:hAnsi="Arial" w:cs="Arial"/>
          <w:color w:val="000000"/>
          <w:sz w:val="24"/>
          <w:szCs w:val="24"/>
          <w:lang w:val="ro-RO"/>
        </w:rPr>
      </w:pPr>
      <w:r w:rsidRPr="00934C02">
        <w:rPr>
          <w:rFonts w:ascii="Arial" w:hAnsi="Arial" w:cs="Arial"/>
          <w:color w:val="000000"/>
          <w:sz w:val="24"/>
          <w:szCs w:val="24"/>
        </w:rPr>
        <w:t> </w:t>
      </w:r>
      <w:r w:rsidRPr="00934C02">
        <w:rPr>
          <w:rFonts w:ascii="Arial" w:hAnsi="Arial" w:cs="Arial"/>
          <w:color w:val="000000"/>
          <w:sz w:val="24"/>
          <w:szCs w:val="24"/>
          <w:lang w:val="ro-RO"/>
        </w:rPr>
        <w:t xml:space="preserve">      </w:t>
      </w:r>
      <w:r w:rsidRPr="00934C02">
        <w:rPr>
          <w:rFonts w:ascii="Arial" w:hAnsi="Arial" w:cs="Arial"/>
          <w:color w:val="000000"/>
          <w:sz w:val="24"/>
          <w:szCs w:val="24"/>
          <w:lang w:val="ro-RO"/>
        </w:rPr>
        <w:tab/>
      </w:r>
      <w:r w:rsidRPr="00934C02">
        <w:rPr>
          <w:rFonts w:ascii="Arial" w:hAnsi="Arial" w:cs="Arial"/>
          <w:bCs/>
          <w:sz w:val="24"/>
          <w:szCs w:val="24"/>
        </w:rPr>
        <w:t>Directiva nr. 2000/53/CE privind vehiculele scoase din uz (VSU) transpusă prin HG 2406/2004  stabile</w:t>
      </w:r>
      <w:r w:rsidRPr="00934C02">
        <w:rPr>
          <w:rFonts w:ascii="Arial" w:hAnsi="Arial" w:cs="Arial"/>
          <w:sz w:val="24"/>
          <w:szCs w:val="24"/>
        </w:rPr>
        <w:t>ș</w:t>
      </w:r>
      <w:r w:rsidRPr="00934C02">
        <w:rPr>
          <w:rFonts w:ascii="Arial" w:hAnsi="Arial" w:cs="Arial"/>
          <w:bCs/>
          <w:sz w:val="24"/>
          <w:szCs w:val="24"/>
        </w:rPr>
        <w:t>te</w:t>
      </w:r>
      <w:r w:rsidRPr="00934C02">
        <w:rPr>
          <w:rFonts w:ascii="Arial" w:hAnsi="Arial" w:cs="Arial"/>
          <w:b/>
          <w:bCs/>
          <w:sz w:val="24"/>
          <w:szCs w:val="24"/>
        </w:rPr>
        <w:t>:</w:t>
      </w:r>
    </w:p>
    <w:p w:rsidR="00934C02" w:rsidRPr="00934C02" w:rsidRDefault="00934C02" w:rsidP="00934C02">
      <w:pPr>
        <w:autoSpaceDE w:val="0"/>
        <w:autoSpaceDN w:val="0"/>
        <w:adjustRightInd w:val="0"/>
        <w:spacing w:after="0" w:line="240" w:lineRule="auto"/>
        <w:jc w:val="both"/>
        <w:rPr>
          <w:rFonts w:ascii="Arial" w:hAnsi="Arial" w:cs="Arial"/>
          <w:sz w:val="24"/>
          <w:szCs w:val="24"/>
        </w:rPr>
      </w:pPr>
      <w:r w:rsidRPr="00934C02">
        <w:rPr>
          <w:rFonts w:ascii="Arial" w:hAnsi="Arial" w:cs="Arial"/>
          <w:sz w:val="24"/>
          <w:szCs w:val="24"/>
        </w:rPr>
        <w:t xml:space="preserve">     • Măsurile referitoare la prevenirea deșeurilor provenite de la vehicule pentru reutilizarea, reciclarea precum şi alte forme de deșeuri provenite de la vehicule şi componente ale acestora, deoarece este important a reduce cantităţile de deșeuri </w:t>
      </w:r>
      <w:r w:rsidRPr="00934C02">
        <w:rPr>
          <w:rFonts w:ascii="Arial" w:hAnsi="Arial" w:cs="Arial"/>
          <w:sz w:val="24"/>
          <w:szCs w:val="24"/>
        </w:rPr>
        <w:lastRenderedPageBreak/>
        <w:t>eliminate, ca de altfel şi îmbunătăţirea performanţelor de mediu ale operatorilor economici care sunt implicați în ciclul de viață al acestor vehicule.</w:t>
      </w:r>
    </w:p>
    <w:p w:rsidR="00934C02" w:rsidRPr="00934C02" w:rsidRDefault="00934C02" w:rsidP="00934C02">
      <w:pPr>
        <w:autoSpaceDE w:val="0"/>
        <w:autoSpaceDN w:val="0"/>
        <w:adjustRightInd w:val="0"/>
        <w:spacing w:after="0" w:line="240" w:lineRule="auto"/>
        <w:jc w:val="both"/>
        <w:rPr>
          <w:rFonts w:ascii="Arial" w:hAnsi="Arial" w:cs="Arial"/>
          <w:sz w:val="24"/>
          <w:szCs w:val="24"/>
        </w:rPr>
      </w:pPr>
      <w:r w:rsidRPr="00934C02">
        <w:rPr>
          <w:rFonts w:ascii="Arial" w:hAnsi="Arial" w:cs="Arial"/>
          <w:sz w:val="24"/>
          <w:szCs w:val="24"/>
        </w:rPr>
        <w:t xml:space="preserve">      • Directiva se referă la vehicule şi deșeuri provenite de la acestea, inclusiv componentele şi materialele lor</w:t>
      </w:r>
    </w:p>
    <w:p w:rsidR="00934C02" w:rsidRPr="00934C02" w:rsidRDefault="00934C02" w:rsidP="00934C02">
      <w:pPr>
        <w:autoSpaceDE w:val="0"/>
        <w:autoSpaceDN w:val="0"/>
        <w:adjustRightInd w:val="0"/>
        <w:spacing w:after="0" w:line="240" w:lineRule="auto"/>
        <w:jc w:val="both"/>
        <w:rPr>
          <w:rFonts w:ascii="Arial" w:hAnsi="Arial" w:cs="Arial"/>
          <w:sz w:val="24"/>
          <w:szCs w:val="24"/>
        </w:rPr>
      </w:pPr>
      <w:r w:rsidRPr="00934C02">
        <w:rPr>
          <w:rFonts w:ascii="Arial" w:hAnsi="Arial" w:cs="Arial"/>
          <w:sz w:val="24"/>
          <w:szCs w:val="24"/>
        </w:rPr>
        <w:t xml:space="preserve">      • Impune reutilizarea, reciclarea şi recuperarea energetică a acestor deșeuri provenite din vehicule</w:t>
      </w:r>
    </w:p>
    <w:p w:rsidR="00934C02" w:rsidRPr="00934C02" w:rsidRDefault="00934C02" w:rsidP="00934C02">
      <w:pPr>
        <w:autoSpaceDE w:val="0"/>
        <w:autoSpaceDN w:val="0"/>
        <w:adjustRightInd w:val="0"/>
        <w:spacing w:after="0" w:line="240" w:lineRule="auto"/>
        <w:ind w:firstLine="720"/>
        <w:jc w:val="both"/>
        <w:rPr>
          <w:rFonts w:ascii="Arial" w:hAnsi="Arial" w:cs="Arial"/>
          <w:sz w:val="24"/>
          <w:szCs w:val="24"/>
        </w:rPr>
      </w:pPr>
      <w:r w:rsidRPr="00934C02">
        <w:rPr>
          <w:rFonts w:ascii="Arial" w:hAnsi="Arial" w:cs="Arial"/>
          <w:sz w:val="24"/>
          <w:szCs w:val="24"/>
        </w:rPr>
        <w:t>Principalele cerinţe ale Directivei:</w:t>
      </w:r>
    </w:p>
    <w:p w:rsidR="00934C02" w:rsidRPr="00934C02" w:rsidRDefault="00934C02" w:rsidP="00934C02">
      <w:pPr>
        <w:autoSpaceDE w:val="0"/>
        <w:autoSpaceDN w:val="0"/>
        <w:adjustRightInd w:val="0"/>
        <w:spacing w:after="0" w:line="240" w:lineRule="auto"/>
        <w:jc w:val="both"/>
        <w:rPr>
          <w:rFonts w:ascii="Arial" w:hAnsi="Arial" w:cs="Arial"/>
          <w:sz w:val="24"/>
          <w:szCs w:val="24"/>
        </w:rPr>
      </w:pPr>
      <w:r w:rsidRPr="00934C02">
        <w:rPr>
          <w:rFonts w:ascii="Arial" w:hAnsi="Arial" w:cs="Arial"/>
          <w:sz w:val="24"/>
          <w:szCs w:val="24"/>
        </w:rPr>
        <w:t>- certificat de distrugere a vehiculelor scoase din uz;</w:t>
      </w:r>
    </w:p>
    <w:p w:rsidR="00934C02" w:rsidRPr="00934C02" w:rsidRDefault="00934C02" w:rsidP="00934C02">
      <w:pPr>
        <w:autoSpaceDE w:val="0"/>
        <w:autoSpaceDN w:val="0"/>
        <w:adjustRightInd w:val="0"/>
        <w:spacing w:after="0" w:line="240" w:lineRule="auto"/>
        <w:jc w:val="both"/>
        <w:rPr>
          <w:rFonts w:ascii="Arial" w:hAnsi="Arial" w:cs="Arial"/>
          <w:sz w:val="24"/>
          <w:szCs w:val="24"/>
        </w:rPr>
      </w:pPr>
      <w:r w:rsidRPr="00934C02">
        <w:rPr>
          <w:rFonts w:ascii="Arial" w:hAnsi="Arial" w:cs="Arial"/>
          <w:sz w:val="24"/>
          <w:szCs w:val="24"/>
        </w:rPr>
        <w:t>- limitarea folosirii substanțelor periculoase pentru construcția vehiculelor şi scădereanumărului celor care folosesc acest concept;</w:t>
      </w:r>
    </w:p>
    <w:p w:rsidR="00934C02" w:rsidRPr="00934C02" w:rsidRDefault="00934C02" w:rsidP="00934C02">
      <w:pPr>
        <w:autoSpaceDE w:val="0"/>
        <w:autoSpaceDN w:val="0"/>
        <w:adjustRightInd w:val="0"/>
        <w:spacing w:after="0" w:line="240" w:lineRule="auto"/>
        <w:jc w:val="both"/>
        <w:rPr>
          <w:rFonts w:ascii="Arial" w:hAnsi="Arial" w:cs="Arial"/>
          <w:sz w:val="24"/>
          <w:szCs w:val="24"/>
        </w:rPr>
      </w:pPr>
      <w:r w:rsidRPr="00934C02">
        <w:rPr>
          <w:rFonts w:ascii="Arial" w:hAnsi="Arial" w:cs="Arial"/>
          <w:sz w:val="24"/>
          <w:szCs w:val="24"/>
        </w:rPr>
        <w:t>- colectarea liberă a deșeurilor provenite din vehicule de la fostul proprietar;</w:t>
      </w:r>
    </w:p>
    <w:p w:rsidR="00934C02" w:rsidRPr="00934C02" w:rsidRDefault="00934C02" w:rsidP="00934C02">
      <w:pPr>
        <w:autoSpaceDE w:val="0"/>
        <w:autoSpaceDN w:val="0"/>
        <w:adjustRightInd w:val="0"/>
        <w:spacing w:after="0" w:line="240" w:lineRule="auto"/>
        <w:jc w:val="both"/>
        <w:rPr>
          <w:rFonts w:ascii="Arial" w:hAnsi="Arial" w:cs="Arial"/>
          <w:sz w:val="24"/>
          <w:szCs w:val="24"/>
        </w:rPr>
      </w:pPr>
      <w:r w:rsidRPr="00934C02">
        <w:rPr>
          <w:rFonts w:ascii="Arial" w:hAnsi="Arial" w:cs="Arial"/>
          <w:sz w:val="24"/>
          <w:szCs w:val="24"/>
        </w:rPr>
        <w:t>- integrarea unei cantităţi ridicate de materiale reciclate care provin din deșeurile vehiculelor scoase din uz, în noile vehicule şi alte produse, pentru dezvoltarea piețelor de material provenite din deșeuri;</w:t>
      </w:r>
    </w:p>
    <w:p w:rsidR="00934C02" w:rsidRPr="00934C02" w:rsidRDefault="00934C02" w:rsidP="00934C02">
      <w:pPr>
        <w:autoSpaceDE w:val="0"/>
        <w:autoSpaceDN w:val="0"/>
        <w:adjustRightInd w:val="0"/>
        <w:spacing w:after="0" w:line="240" w:lineRule="auto"/>
        <w:jc w:val="both"/>
        <w:rPr>
          <w:rFonts w:ascii="Arial" w:hAnsi="Arial" w:cs="Arial"/>
          <w:sz w:val="24"/>
          <w:szCs w:val="24"/>
        </w:rPr>
      </w:pPr>
      <w:r w:rsidRPr="00934C02">
        <w:rPr>
          <w:rFonts w:ascii="Arial" w:hAnsi="Arial" w:cs="Arial"/>
          <w:sz w:val="24"/>
          <w:szCs w:val="24"/>
        </w:rPr>
        <w:t>- dezvoltarea de sisteme de colectare de către operatorii economici de reciclare a deșeurilor provenite de la vehicule, componentele fiind necesare reparării altor vehicule în cazul în care aceasta este tehnic posibil.</w:t>
      </w:r>
    </w:p>
    <w:p w:rsidR="00934C02" w:rsidRPr="00934C02" w:rsidRDefault="00934C02" w:rsidP="00934C02">
      <w:pPr>
        <w:autoSpaceDE w:val="0"/>
        <w:autoSpaceDN w:val="0"/>
        <w:adjustRightInd w:val="0"/>
        <w:spacing w:after="0" w:line="240" w:lineRule="auto"/>
        <w:jc w:val="both"/>
        <w:rPr>
          <w:rFonts w:ascii="Arial" w:hAnsi="Arial" w:cs="Arial"/>
          <w:sz w:val="24"/>
          <w:szCs w:val="24"/>
        </w:rPr>
      </w:pPr>
    </w:p>
    <w:p w:rsidR="00934C02" w:rsidRPr="00934C02" w:rsidRDefault="00934C02" w:rsidP="00934C02">
      <w:pPr>
        <w:autoSpaceDE w:val="0"/>
        <w:autoSpaceDN w:val="0"/>
        <w:adjustRightInd w:val="0"/>
        <w:spacing w:after="0" w:line="240" w:lineRule="auto"/>
        <w:rPr>
          <w:rFonts w:ascii="Arial" w:hAnsi="Arial" w:cs="Arial"/>
          <w:sz w:val="24"/>
          <w:szCs w:val="24"/>
        </w:rPr>
        <w:sectPr w:rsidR="00934C02" w:rsidRPr="00934C02" w:rsidSect="00934C02">
          <w:pgSz w:w="12240" w:h="15840"/>
          <w:pgMar w:top="1440" w:right="1440" w:bottom="1440" w:left="1440" w:header="720" w:footer="720" w:gutter="0"/>
          <w:cols w:space="720"/>
          <w:docGrid w:linePitch="360"/>
        </w:sectPr>
      </w:pPr>
    </w:p>
    <w:p w:rsidR="00934C02" w:rsidRPr="00934C02" w:rsidRDefault="00934C02" w:rsidP="00934C02">
      <w:pPr>
        <w:autoSpaceDE w:val="0"/>
        <w:autoSpaceDN w:val="0"/>
        <w:adjustRightInd w:val="0"/>
        <w:spacing w:after="0" w:line="240" w:lineRule="auto"/>
        <w:jc w:val="both"/>
        <w:rPr>
          <w:rFonts w:ascii="Arial" w:hAnsi="Arial" w:cs="Arial"/>
          <w:sz w:val="24"/>
          <w:szCs w:val="24"/>
        </w:rPr>
      </w:pPr>
      <w:r w:rsidRPr="00934C02">
        <w:rPr>
          <w:rFonts w:ascii="Arial" w:hAnsi="Arial" w:cs="Arial"/>
          <w:sz w:val="24"/>
          <w:szCs w:val="24"/>
        </w:rPr>
        <w:lastRenderedPageBreak/>
        <w:t xml:space="preserve">            Tabelul VII.21. Agenţii economici autorizaţi pentru colectare şi tratare VSU în judeţul Vaslui</w:t>
      </w:r>
    </w:p>
    <w:tbl>
      <w:tblPr>
        <w:tblW w:w="14080" w:type="dxa"/>
        <w:tblInd w:w="103" w:type="dxa"/>
        <w:tblLook w:val="04A0" w:firstRow="1" w:lastRow="0" w:firstColumn="1" w:lastColumn="0" w:noHBand="0" w:noVBand="1"/>
      </w:tblPr>
      <w:tblGrid>
        <w:gridCol w:w="3691"/>
        <w:gridCol w:w="2164"/>
        <w:gridCol w:w="3285"/>
        <w:gridCol w:w="1820"/>
        <w:gridCol w:w="3120"/>
      </w:tblGrid>
      <w:tr w:rsidR="00934C02" w:rsidRPr="00934C02" w:rsidTr="00934C02">
        <w:trPr>
          <w:trHeight w:val="999"/>
        </w:trPr>
        <w:tc>
          <w:tcPr>
            <w:tcW w:w="585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34C02" w:rsidRPr="00934C02" w:rsidRDefault="00934C02" w:rsidP="00934C02">
            <w:pPr>
              <w:spacing w:after="0" w:line="240" w:lineRule="auto"/>
              <w:jc w:val="center"/>
              <w:rPr>
                <w:rFonts w:ascii="Arial" w:eastAsia="Times New Roman" w:hAnsi="Arial" w:cs="Arial"/>
                <w:b/>
                <w:bCs/>
                <w:sz w:val="24"/>
                <w:szCs w:val="24"/>
              </w:rPr>
            </w:pPr>
            <w:r w:rsidRPr="00934C02">
              <w:rPr>
                <w:rFonts w:ascii="Arial" w:eastAsia="Times New Roman" w:hAnsi="Arial" w:cs="Arial"/>
                <w:b/>
                <w:bCs/>
                <w:sz w:val="24"/>
                <w:szCs w:val="24"/>
              </w:rPr>
              <w:t>Agent economic</w:t>
            </w:r>
            <w:r w:rsidRPr="00934C02">
              <w:rPr>
                <w:rFonts w:ascii="Arial" w:eastAsia="Times New Roman" w:hAnsi="Arial" w:cs="Arial"/>
                <w:b/>
                <w:bCs/>
                <w:sz w:val="24"/>
                <w:szCs w:val="24"/>
              </w:rPr>
              <w:br/>
              <w:t xml:space="preserve"> (date de identificare: numele societăţii, CUI, adresă, telefon, fax, persoană de contact) </w:t>
            </w:r>
          </w:p>
        </w:tc>
        <w:tc>
          <w:tcPr>
            <w:tcW w:w="8225" w:type="dxa"/>
            <w:gridSpan w:val="3"/>
            <w:tcBorders>
              <w:top w:val="single" w:sz="4" w:space="0" w:color="auto"/>
              <w:left w:val="nil"/>
              <w:bottom w:val="single" w:sz="4" w:space="0" w:color="auto"/>
              <w:right w:val="single" w:sz="4" w:space="0" w:color="000000"/>
            </w:tcBorders>
            <w:shd w:val="clear" w:color="auto" w:fill="auto"/>
            <w:vAlign w:val="center"/>
            <w:hideMark/>
          </w:tcPr>
          <w:p w:rsidR="00934C02" w:rsidRPr="00934C02" w:rsidRDefault="00934C02" w:rsidP="00934C02">
            <w:pPr>
              <w:spacing w:after="0" w:line="240" w:lineRule="auto"/>
              <w:jc w:val="center"/>
              <w:rPr>
                <w:rFonts w:ascii="Arial" w:eastAsia="Times New Roman" w:hAnsi="Arial" w:cs="Arial"/>
                <w:b/>
                <w:bCs/>
                <w:sz w:val="24"/>
                <w:szCs w:val="24"/>
              </w:rPr>
            </w:pPr>
            <w:r w:rsidRPr="00934C02">
              <w:rPr>
                <w:rFonts w:ascii="Arial" w:eastAsia="Times New Roman" w:hAnsi="Arial" w:cs="Arial"/>
                <w:b/>
                <w:bCs/>
                <w:sz w:val="24"/>
                <w:szCs w:val="24"/>
              </w:rPr>
              <w:t xml:space="preserve">Autorizaţii (nr. /data/valabilă) </w:t>
            </w:r>
          </w:p>
        </w:tc>
      </w:tr>
      <w:tr w:rsidR="00934C02" w:rsidRPr="00934C02" w:rsidTr="0084419D">
        <w:trPr>
          <w:trHeight w:val="2690"/>
        </w:trPr>
        <w:tc>
          <w:tcPr>
            <w:tcW w:w="3691" w:type="dxa"/>
            <w:tcBorders>
              <w:top w:val="nil"/>
              <w:left w:val="single" w:sz="4" w:space="0" w:color="auto"/>
              <w:bottom w:val="single" w:sz="4" w:space="0" w:color="auto"/>
              <w:right w:val="single" w:sz="4" w:space="0" w:color="auto"/>
            </w:tcBorders>
            <w:shd w:val="clear" w:color="auto" w:fill="auto"/>
            <w:vAlign w:val="center"/>
            <w:hideMark/>
          </w:tcPr>
          <w:p w:rsidR="00934C02" w:rsidRPr="00934C02" w:rsidRDefault="00934C02" w:rsidP="00934C02">
            <w:pPr>
              <w:spacing w:after="0" w:line="240" w:lineRule="auto"/>
              <w:jc w:val="center"/>
              <w:rPr>
                <w:rFonts w:ascii="Arial" w:eastAsia="Times New Roman" w:hAnsi="Arial" w:cs="Arial"/>
                <w:b/>
                <w:bCs/>
                <w:sz w:val="24"/>
                <w:szCs w:val="24"/>
              </w:rPr>
            </w:pPr>
            <w:r w:rsidRPr="00934C02">
              <w:rPr>
                <w:rFonts w:ascii="Arial" w:eastAsia="Times New Roman" w:hAnsi="Arial" w:cs="Arial"/>
                <w:b/>
                <w:bCs/>
                <w:sz w:val="24"/>
                <w:szCs w:val="24"/>
              </w:rPr>
              <w:t>Sediul social</w:t>
            </w:r>
          </w:p>
        </w:tc>
        <w:tc>
          <w:tcPr>
            <w:tcW w:w="2164" w:type="dxa"/>
            <w:tcBorders>
              <w:top w:val="nil"/>
              <w:left w:val="nil"/>
              <w:bottom w:val="single" w:sz="4" w:space="0" w:color="auto"/>
              <w:right w:val="single" w:sz="4" w:space="0" w:color="auto"/>
            </w:tcBorders>
            <w:shd w:val="clear" w:color="auto" w:fill="auto"/>
            <w:vAlign w:val="center"/>
            <w:hideMark/>
          </w:tcPr>
          <w:p w:rsidR="00934C02" w:rsidRPr="00934C02" w:rsidRDefault="00934C02" w:rsidP="00934C02">
            <w:pPr>
              <w:spacing w:after="0" w:line="240" w:lineRule="auto"/>
              <w:jc w:val="center"/>
              <w:rPr>
                <w:rFonts w:ascii="Arial" w:eastAsia="Times New Roman" w:hAnsi="Arial" w:cs="Arial"/>
                <w:b/>
                <w:bCs/>
                <w:sz w:val="24"/>
                <w:szCs w:val="24"/>
              </w:rPr>
            </w:pPr>
            <w:r w:rsidRPr="00934C02">
              <w:rPr>
                <w:rFonts w:ascii="Arial" w:eastAsia="Times New Roman" w:hAnsi="Arial" w:cs="Arial"/>
                <w:b/>
                <w:bCs/>
                <w:sz w:val="24"/>
                <w:szCs w:val="24"/>
              </w:rPr>
              <w:t>Punct de lucru</w:t>
            </w:r>
          </w:p>
        </w:tc>
        <w:tc>
          <w:tcPr>
            <w:tcW w:w="3285" w:type="dxa"/>
            <w:tcBorders>
              <w:top w:val="nil"/>
              <w:left w:val="nil"/>
              <w:bottom w:val="single" w:sz="4" w:space="0" w:color="auto"/>
              <w:right w:val="single" w:sz="4" w:space="0" w:color="auto"/>
            </w:tcBorders>
            <w:shd w:val="clear" w:color="auto" w:fill="auto"/>
            <w:vAlign w:val="center"/>
            <w:hideMark/>
          </w:tcPr>
          <w:p w:rsidR="00934C02" w:rsidRPr="00934C02" w:rsidRDefault="00934C02" w:rsidP="00934C02">
            <w:pPr>
              <w:spacing w:after="0" w:line="240" w:lineRule="auto"/>
              <w:jc w:val="center"/>
              <w:rPr>
                <w:rFonts w:ascii="Arial" w:eastAsia="Times New Roman" w:hAnsi="Arial" w:cs="Arial"/>
                <w:b/>
                <w:bCs/>
                <w:sz w:val="24"/>
                <w:szCs w:val="24"/>
              </w:rPr>
            </w:pPr>
            <w:r w:rsidRPr="00934C02">
              <w:rPr>
                <w:rFonts w:ascii="Arial" w:eastAsia="Times New Roman" w:hAnsi="Arial" w:cs="Arial"/>
                <w:b/>
                <w:bCs/>
                <w:sz w:val="24"/>
                <w:szCs w:val="24"/>
              </w:rPr>
              <w:t xml:space="preserve">Poliţie conform Ordonanţei 82/2000 cu completările şi modificările ulterioare (nr. /data/valabilă) </w:t>
            </w:r>
          </w:p>
        </w:tc>
        <w:tc>
          <w:tcPr>
            <w:tcW w:w="1820" w:type="dxa"/>
            <w:tcBorders>
              <w:top w:val="nil"/>
              <w:left w:val="nil"/>
              <w:bottom w:val="single" w:sz="4" w:space="0" w:color="auto"/>
              <w:right w:val="single" w:sz="4" w:space="0" w:color="auto"/>
            </w:tcBorders>
            <w:shd w:val="clear" w:color="auto" w:fill="auto"/>
            <w:vAlign w:val="center"/>
            <w:hideMark/>
          </w:tcPr>
          <w:p w:rsidR="00934C02" w:rsidRPr="00934C02" w:rsidRDefault="00934C02" w:rsidP="00934C02">
            <w:pPr>
              <w:spacing w:after="0" w:line="240" w:lineRule="auto"/>
              <w:jc w:val="center"/>
              <w:rPr>
                <w:rFonts w:ascii="Arial" w:eastAsia="Times New Roman" w:hAnsi="Arial" w:cs="Arial"/>
                <w:b/>
                <w:bCs/>
                <w:sz w:val="24"/>
                <w:szCs w:val="24"/>
              </w:rPr>
            </w:pPr>
            <w:r w:rsidRPr="00934C02">
              <w:rPr>
                <w:rFonts w:ascii="Arial" w:eastAsia="Times New Roman" w:hAnsi="Arial" w:cs="Arial"/>
                <w:b/>
                <w:bCs/>
                <w:sz w:val="24"/>
                <w:szCs w:val="24"/>
              </w:rPr>
              <w:t xml:space="preserve">RAR conform Ordonanţei 82/2000 cu completările si modificările ulterioare </w:t>
            </w:r>
            <w:r w:rsidRPr="00934C02">
              <w:rPr>
                <w:rFonts w:ascii="Arial" w:eastAsia="Times New Roman" w:hAnsi="Arial" w:cs="Arial"/>
                <w:b/>
                <w:bCs/>
                <w:sz w:val="24"/>
                <w:szCs w:val="24"/>
              </w:rPr>
              <w:br/>
              <w:t xml:space="preserve"> (nr. /data/valabilă) </w:t>
            </w:r>
          </w:p>
        </w:tc>
        <w:tc>
          <w:tcPr>
            <w:tcW w:w="3120" w:type="dxa"/>
            <w:tcBorders>
              <w:top w:val="nil"/>
              <w:left w:val="nil"/>
              <w:bottom w:val="single" w:sz="4" w:space="0" w:color="auto"/>
              <w:right w:val="single" w:sz="4" w:space="0" w:color="auto"/>
            </w:tcBorders>
            <w:shd w:val="clear" w:color="auto" w:fill="auto"/>
            <w:vAlign w:val="center"/>
            <w:hideMark/>
          </w:tcPr>
          <w:p w:rsidR="00934C02" w:rsidRPr="00934C02" w:rsidRDefault="00934C02" w:rsidP="00934C02">
            <w:pPr>
              <w:spacing w:after="0" w:line="240" w:lineRule="auto"/>
              <w:jc w:val="center"/>
              <w:rPr>
                <w:rFonts w:ascii="Arial" w:eastAsia="Times New Roman" w:hAnsi="Arial" w:cs="Arial"/>
                <w:b/>
                <w:bCs/>
                <w:sz w:val="24"/>
                <w:szCs w:val="24"/>
              </w:rPr>
            </w:pPr>
            <w:r w:rsidRPr="00934C02">
              <w:rPr>
                <w:rFonts w:ascii="Arial" w:eastAsia="Times New Roman" w:hAnsi="Arial" w:cs="Arial"/>
                <w:b/>
                <w:bCs/>
                <w:sz w:val="24"/>
                <w:szCs w:val="24"/>
              </w:rPr>
              <w:t xml:space="preserve">MEDIU conform HG 2406/2004 completată şi modificată prin HG 1313/2006  (nr. /data/valabilă, cod CAEN) </w:t>
            </w:r>
          </w:p>
        </w:tc>
      </w:tr>
    </w:tbl>
    <w:p w:rsidR="00934C02" w:rsidRPr="00934C02" w:rsidRDefault="00934C02" w:rsidP="00934C02">
      <w:pPr>
        <w:spacing w:after="0" w:line="240" w:lineRule="auto"/>
        <w:jc w:val="both"/>
        <w:rPr>
          <w:rFonts w:ascii="Arial" w:eastAsia="Calibri" w:hAnsi="Arial" w:cs="Arial"/>
          <w:color w:val="000000"/>
          <w:sz w:val="24"/>
          <w:szCs w:val="24"/>
        </w:rPr>
      </w:pPr>
    </w:p>
    <w:tbl>
      <w:tblPr>
        <w:tblW w:w="14080" w:type="dxa"/>
        <w:tblInd w:w="103" w:type="dxa"/>
        <w:shd w:val="clear" w:color="auto" w:fill="FFFFFF" w:themeFill="background1"/>
        <w:tblLayout w:type="fixed"/>
        <w:tblLook w:val="04A0" w:firstRow="1" w:lastRow="0" w:firstColumn="1" w:lastColumn="0" w:noHBand="0" w:noVBand="1"/>
      </w:tblPr>
      <w:tblGrid>
        <w:gridCol w:w="3613"/>
        <w:gridCol w:w="27"/>
        <w:gridCol w:w="2215"/>
        <w:gridCol w:w="3330"/>
        <w:gridCol w:w="1800"/>
        <w:gridCol w:w="3095"/>
      </w:tblGrid>
      <w:tr w:rsidR="00934C02" w:rsidRPr="00934C02" w:rsidTr="00934C02">
        <w:trPr>
          <w:trHeight w:val="432"/>
        </w:trPr>
        <w:tc>
          <w:tcPr>
            <w:tcW w:w="585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4C02" w:rsidRPr="00934C02" w:rsidRDefault="00934C02" w:rsidP="00934C02">
            <w:pPr>
              <w:spacing w:after="0" w:line="240" w:lineRule="auto"/>
              <w:jc w:val="center"/>
              <w:rPr>
                <w:rFonts w:ascii="Arial" w:eastAsia="Times New Roman" w:hAnsi="Arial" w:cs="Arial"/>
                <w:b/>
                <w:bCs/>
                <w:sz w:val="24"/>
                <w:szCs w:val="24"/>
              </w:rPr>
            </w:pPr>
            <w:r w:rsidRPr="00934C02">
              <w:rPr>
                <w:rFonts w:ascii="Arial" w:eastAsia="Times New Roman" w:hAnsi="Arial" w:cs="Arial"/>
                <w:b/>
                <w:bCs/>
                <w:sz w:val="24"/>
                <w:szCs w:val="24"/>
              </w:rPr>
              <w:t>SC ABABEI SRL, CUI 15281893</w:t>
            </w:r>
          </w:p>
        </w:tc>
        <w:tc>
          <w:tcPr>
            <w:tcW w:w="333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4C02" w:rsidRPr="00934C02" w:rsidRDefault="00934C02" w:rsidP="00934C02">
            <w:pPr>
              <w:spacing w:after="0" w:line="240" w:lineRule="auto"/>
              <w:jc w:val="center"/>
              <w:rPr>
                <w:rFonts w:ascii="Arial" w:eastAsia="Times New Roman" w:hAnsi="Arial" w:cs="Arial"/>
                <w:sz w:val="24"/>
                <w:szCs w:val="24"/>
              </w:rPr>
            </w:pPr>
            <w:r w:rsidRPr="00934C02">
              <w:rPr>
                <w:rFonts w:ascii="Arial" w:eastAsia="Times New Roman" w:hAnsi="Arial" w:cs="Arial"/>
                <w:sz w:val="24"/>
                <w:szCs w:val="24"/>
              </w:rPr>
              <w:t>26550/08.11.2005</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4C02" w:rsidRPr="00934C02" w:rsidRDefault="00934C02" w:rsidP="00934C02">
            <w:pPr>
              <w:spacing w:after="0" w:line="240" w:lineRule="auto"/>
              <w:jc w:val="center"/>
              <w:rPr>
                <w:rFonts w:ascii="Arial" w:eastAsia="Times New Roman" w:hAnsi="Arial" w:cs="Arial"/>
                <w:sz w:val="24"/>
                <w:szCs w:val="24"/>
              </w:rPr>
            </w:pPr>
            <w:r w:rsidRPr="00934C02">
              <w:rPr>
                <w:rFonts w:ascii="Arial" w:eastAsia="Times New Roman" w:hAnsi="Arial" w:cs="Arial"/>
                <w:sz w:val="24"/>
                <w:szCs w:val="24"/>
              </w:rPr>
              <w:t>4534/15.01.2007 valabilă 07.2015</w:t>
            </w:r>
          </w:p>
        </w:tc>
        <w:tc>
          <w:tcPr>
            <w:tcW w:w="309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4C02" w:rsidRPr="00934C02" w:rsidRDefault="00934C02" w:rsidP="00934C02">
            <w:pPr>
              <w:spacing w:after="0" w:line="240" w:lineRule="auto"/>
              <w:jc w:val="center"/>
              <w:rPr>
                <w:rFonts w:ascii="Arial" w:eastAsia="Times New Roman" w:hAnsi="Arial" w:cs="Arial"/>
                <w:sz w:val="24"/>
                <w:szCs w:val="24"/>
              </w:rPr>
            </w:pPr>
            <w:r w:rsidRPr="00934C02">
              <w:rPr>
                <w:rFonts w:ascii="Arial" w:eastAsia="Times New Roman" w:hAnsi="Arial" w:cs="Arial"/>
                <w:sz w:val="24"/>
                <w:szCs w:val="24"/>
              </w:rPr>
              <w:t xml:space="preserve">29/14.02.2012 valabilă 14.02.2022, </w:t>
            </w:r>
            <w:r w:rsidRPr="00934C02">
              <w:rPr>
                <w:rFonts w:ascii="Arial" w:eastAsia="Times New Roman" w:hAnsi="Arial" w:cs="Arial"/>
                <w:sz w:val="24"/>
                <w:szCs w:val="24"/>
              </w:rPr>
              <w:br/>
              <w:t>CAEN (Rev. 2) 3811, 3812, 3831, 3832, 4677</w:t>
            </w:r>
          </w:p>
        </w:tc>
      </w:tr>
      <w:tr w:rsidR="00934C02" w:rsidRPr="00934C02" w:rsidTr="00934C02">
        <w:trPr>
          <w:trHeight w:val="1080"/>
        </w:trPr>
        <w:tc>
          <w:tcPr>
            <w:tcW w:w="3640"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rsidR="00934C02" w:rsidRPr="00934C02" w:rsidRDefault="00934C02" w:rsidP="00934C02">
            <w:pPr>
              <w:spacing w:after="0" w:line="240" w:lineRule="auto"/>
              <w:rPr>
                <w:rFonts w:ascii="Arial" w:eastAsia="Times New Roman" w:hAnsi="Arial" w:cs="Arial"/>
                <w:sz w:val="24"/>
                <w:szCs w:val="24"/>
              </w:rPr>
            </w:pPr>
            <w:r w:rsidRPr="00934C02">
              <w:rPr>
                <w:rFonts w:ascii="Arial" w:eastAsia="Times New Roman" w:hAnsi="Arial" w:cs="Arial"/>
                <w:sz w:val="24"/>
                <w:szCs w:val="24"/>
              </w:rPr>
              <w:t xml:space="preserve">Vaslui, str. Decebal 372, bl. A6, sc. A, etj. 4, ap. 1, tel: 0335/409485, Ababei Gheorghe </w:t>
            </w:r>
          </w:p>
        </w:tc>
        <w:tc>
          <w:tcPr>
            <w:tcW w:w="2215" w:type="dxa"/>
            <w:tcBorders>
              <w:top w:val="nil"/>
              <w:left w:val="nil"/>
              <w:bottom w:val="single" w:sz="4" w:space="0" w:color="auto"/>
              <w:right w:val="single" w:sz="4" w:space="0" w:color="auto"/>
            </w:tcBorders>
            <w:shd w:val="clear" w:color="auto" w:fill="FFFFFF" w:themeFill="background1"/>
            <w:vAlign w:val="center"/>
            <w:hideMark/>
          </w:tcPr>
          <w:p w:rsidR="00934C02" w:rsidRPr="00934C02" w:rsidRDefault="00934C02" w:rsidP="00934C02">
            <w:pPr>
              <w:spacing w:after="0" w:line="240" w:lineRule="auto"/>
              <w:rPr>
                <w:rFonts w:ascii="Arial" w:eastAsia="Times New Roman" w:hAnsi="Arial" w:cs="Arial"/>
                <w:sz w:val="24"/>
                <w:szCs w:val="24"/>
              </w:rPr>
            </w:pPr>
            <w:r w:rsidRPr="00934C02">
              <w:rPr>
                <w:rFonts w:ascii="Arial" w:eastAsia="Times New Roman" w:hAnsi="Arial" w:cs="Arial"/>
                <w:sz w:val="24"/>
                <w:szCs w:val="24"/>
              </w:rPr>
              <w:t>Vaslui, str. Stefan cel Mare nr. 5</w:t>
            </w:r>
          </w:p>
        </w:tc>
        <w:tc>
          <w:tcPr>
            <w:tcW w:w="333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4C02" w:rsidRPr="00934C02" w:rsidRDefault="00934C02" w:rsidP="00934C02">
            <w:pPr>
              <w:spacing w:after="0" w:line="240" w:lineRule="auto"/>
              <w:rPr>
                <w:rFonts w:ascii="Arial" w:eastAsia="Times New Roman" w:hAnsi="Arial" w:cs="Arial"/>
                <w:sz w:val="24"/>
                <w:szCs w:val="24"/>
              </w:rPr>
            </w:pPr>
          </w:p>
        </w:tc>
        <w:tc>
          <w:tcPr>
            <w:tcW w:w="18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4C02" w:rsidRPr="00934C02" w:rsidRDefault="00934C02" w:rsidP="00934C02">
            <w:pPr>
              <w:spacing w:after="0" w:line="240" w:lineRule="auto"/>
              <w:rPr>
                <w:rFonts w:ascii="Arial" w:eastAsia="Times New Roman" w:hAnsi="Arial" w:cs="Arial"/>
                <w:sz w:val="24"/>
                <w:szCs w:val="24"/>
              </w:rPr>
            </w:pPr>
          </w:p>
        </w:tc>
        <w:tc>
          <w:tcPr>
            <w:tcW w:w="309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4C02" w:rsidRPr="00934C02" w:rsidRDefault="00934C02" w:rsidP="00934C02">
            <w:pPr>
              <w:spacing w:after="0" w:line="240" w:lineRule="auto"/>
              <w:rPr>
                <w:rFonts w:ascii="Arial" w:eastAsia="Times New Roman" w:hAnsi="Arial" w:cs="Arial"/>
                <w:sz w:val="24"/>
                <w:szCs w:val="24"/>
              </w:rPr>
            </w:pPr>
          </w:p>
        </w:tc>
      </w:tr>
      <w:tr w:rsidR="00934C02" w:rsidRPr="00934C02" w:rsidTr="00934C02">
        <w:trPr>
          <w:trHeight w:val="368"/>
        </w:trPr>
        <w:tc>
          <w:tcPr>
            <w:tcW w:w="585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4C02" w:rsidRPr="00934C02" w:rsidRDefault="00934C02" w:rsidP="00934C02">
            <w:pPr>
              <w:spacing w:after="0" w:line="240" w:lineRule="auto"/>
              <w:jc w:val="center"/>
              <w:rPr>
                <w:rFonts w:ascii="Arial" w:eastAsia="Times New Roman" w:hAnsi="Arial" w:cs="Arial"/>
                <w:b/>
                <w:bCs/>
                <w:sz w:val="24"/>
                <w:szCs w:val="24"/>
              </w:rPr>
            </w:pPr>
            <w:r w:rsidRPr="00934C02">
              <w:rPr>
                <w:rFonts w:ascii="Arial" w:eastAsia="Times New Roman" w:hAnsi="Arial" w:cs="Arial"/>
                <w:b/>
                <w:bCs/>
                <w:sz w:val="24"/>
                <w:szCs w:val="24"/>
              </w:rPr>
              <w:t xml:space="preserve">SC COMPPlL VASLUI SA, CUI 11444866 </w:t>
            </w:r>
          </w:p>
        </w:tc>
        <w:tc>
          <w:tcPr>
            <w:tcW w:w="333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934C02" w:rsidRPr="00934C02" w:rsidRDefault="00934C02" w:rsidP="00934C02">
            <w:pPr>
              <w:spacing w:after="0" w:line="240" w:lineRule="auto"/>
              <w:jc w:val="center"/>
              <w:rPr>
                <w:rFonts w:ascii="Arial" w:eastAsia="Times New Roman" w:hAnsi="Arial" w:cs="Arial"/>
                <w:sz w:val="24"/>
                <w:szCs w:val="24"/>
              </w:rPr>
            </w:pPr>
            <w:r w:rsidRPr="00934C02">
              <w:rPr>
                <w:rFonts w:ascii="Arial" w:eastAsia="Times New Roman" w:hAnsi="Arial" w:cs="Arial"/>
                <w:sz w:val="24"/>
                <w:szCs w:val="24"/>
              </w:rPr>
              <w:t>156435/17.10.2006</w:t>
            </w:r>
          </w:p>
        </w:tc>
        <w:tc>
          <w:tcPr>
            <w:tcW w:w="180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934C02" w:rsidRPr="00934C02" w:rsidRDefault="00934C02" w:rsidP="00934C02">
            <w:pPr>
              <w:spacing w:after="0" w:line="240" w:lineRule="auto"/>
              <w:jc w:val="center"/>
              <w:rPr>
                <w:rFonts w:ascii="Arial" w:eastAsia="Times New Roman" w:hAnsi="Arial" w:cs="Arial"/>
                <w:sz w:val="24"/>
                <w:szCs w:val="24"/>
              </w:rPr>
            </w:pPr>
            <w:r w:rsidRPr="00934C02">
              <w:rPr>
                <w:rFonts w:ascii="Arial" w:eastAsia="Times New Roman" w:hAnsi="Arial" w:cs="Arial"/>
                <w:sz w:val="24"/>
                <w:szCs w:val="24"/>
              </w:rPr>
              <w:t>4592/22.01.2007 valabilă 07.2015</w:t>
            </w:r>
          </w:p>
        </w:tc>
        <w:tc>
          <w:tcPr>
            <w:tcW w:w="3095"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934C02" w:rsidRPr="00934C02" w:rsidRDefault="00934C02" w:rsidP="00934C02">
            <w:pPr>
              <w:spacing w:after="0" w:line="240" w:lineRule="auto"/>
              <w:jc w:val="center"/>
              <w:rPr>
                <w:rFonts w:ascii="Arial" w:eastAsia="Times New Roman" w:hAnsi="Arial" w:cs="Arial"/>
                <w:sz w:val="24"/>
                <w:szCs w:val="24"/>
              </w:rPr>
            </w:pPr>
            <w:r w:rsidRPr="00934C02">
              <w:rPr>
                <w:rFonts w:ascii="Arial" w:eastAsia="Times New Roman" w:hAnsi="Arial" w:cs="Arial"/>
                <w:sz w:val="24"/>
                <w:szCs w:val="24"/>
              </w:rPr>
              <w:t xml:space="preserve"> 25/29.03.2013 valabilă 28.03.2023, </w:t>
            </w:r>
            <w:r w:rsidRPr="00934C02">
              <w:rPr>
                <w:rFonts w:ascii="Arial" w:eastAsia="Times New Roman" w:hAnsi="Arial" w:cs="Arial"/>
                <w:sz w:val="24"/>
                <w:szCs w:val="24"/>
              </w:rPr>
              <w:br/>
              <w:t xml:space="preserve">CAEN (Rev. 2) 3811, 3812, 3831,  3832, 4677 </w:t>
            </w:r>
          </w:p>
        </w:tc>
      </w:tr>
      <w:tr w:rsidR="00934C02" w:rsidRPr="00934C02" w:rsidTr="00934C02">
        <w:trPr>
          <w:trHeight w:val="674"/>
        </w:trPr>
        <w:tc>
          <w:tcPr>
            <w:tcW w:w="3640" w:type="dxa"/>
            <w:gridSpan w:val="2"/>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934C02" w:rsidRPr="00934C02" w:rsidRDefault="00934C02" w:rsidP="00934C02">
            <w:pPr>
              <w:spacing w:after="0" w:line="240" w:lineRule="auto"/>
              <w:rPr>
                <w:rFonts w:ascii="Arial" w:eastAsia="Times New Roman" w:hAnsi="Arial" w:cs="Arial"/>
                <w:sz w:val="24"/>
                <w:szCs w:val="24"/>
              </w:rPr>
            </w:pPr>
            <w:r w:rsidRPr="00934C02">
              <w:rPr>
                <w:rFonts w:ascii="Arial" w:eastAsia="Times New Roman" w:hAnsi="Arial" w:cs="Arial"/>
                <w:sz w:val="24"/>
                <w:szCs w:val="24"/>
              </w:rPr>
              <w:t>Bârlad, str. Palermo nr. 2, tel.: 0235/414593, Stefan Balan</w:t>
            </w:r>
          </w:p>
        </w:tc>
        <w:tc>
          <w:tcPr>
            <w:tcW w:w="2215" w:type="dxa"/>
            <w:tcBorders>
              <w:top w:val="nil"/>
              <w:left w:val="nil"/>
              <w:bottom w:val="single" w:sz="4" w:space="0" w:color="auto"/>
              <w:right w:val="single" w:sz="4" w:space="0" w:color="auto"/>
            </w:tcBorders>
            <w:shd w:val="clear" w:color="auto" w:fill="FFFFFF" w:themeFill="background1"/>
            <w:vAlign w:val="center"/>
            <w:hideMark/>
          </w:tcPr>
          <w:p w:rsidR="00934C02" w:rsidRPr="00934C02" w:rsidRDefault="00934C02" w:rsidP="00934C02">
            <w:pPr>
              <w:spacing w:after="0" w:line="240" w:lineRule="auto"/>
              <w:rPr>
                <w:rFonts w:ascii="Arial" w:eastAsia="Times New Roman" w:hAnsi="Arial" w:cs="Arial"/>
                <w:sz w:val="24"/>
                <w:szCs w:val="24"/>
              </w:rPr>
            </w:pPr>
            <w:r w:rsidRPr="00934C02">
              <w:rPr>
                <w:rFonts w:ascii="Arial" w:eastAsia="Times New Roman" w:hAnsi="Arial" w:cs="Arial"/>
                <w:sz w:val="24"/>
                <w:szCs w:val="24"/>
              </w:rPr>
              <w:t>Barlad, str. Palermo nr. 2</w:t>
            </w:r>
          </w:p>
        </w:tc>
        <w:tc>
          <w:tcPr>
            <w:tcW w:w="3330"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934C02" w:rsidRPr="00934C02" w:rsidRDefault="00934C02" w:rsidP="00934C02">
            <w:pPr>
              <w:spacing w:after="0" w:line="240" w:lineRule="auto"/>
              <w:rPr>
                <w:rFonts w:ascii="Arial" w:eastAsia="Times New Roman" w:hAnsi="Arial" w:cs="Arial"/>
                <w:sz w:val="24"/>
                <w:szCs w:val="24"/>
              </w:rPr>
            </w:pPr>
          </w:p>
        </w:tc>
        <w:tc>
          <w:tcPr>
            <w:tcW w:w="1800"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934C02" w:rsidRPr="00934C02" w:rsidRDefault="00934C02" w:rsidP="00934C02">
            <w:pPr>
              <w:spacing w:after="0" w:line="240" w:lineRule="auto"/>
              <w:rPr>
                <w:rFonts w:ascii="Arial" w:eastAsia="Times New Roman" w:hAnsi="Arial" w:cs="Arial"/>
                <w:sz w:val="24"/>
                <w:szCs w:val="24"/>
              </w:rPr>
            </w:pPr>
          </w:p>
        </w:tc>
        <w:tc>
          <w:tcPr>
            <w:tcW w:w="309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934C02" w:rsidRPr="00934C02" w:rsidRDefault="00934C02" w:rsidP="00934C02">
            <w:pPr>
              <w:spacing w:after="0" w:line="240" w:lineRule="auto"/>
              <w:rPr>
                <w:rFonts w:ascii="Arial" w:eastAsia="Times New Roman" w:hAnsi="Arial" w:cs="Arial"/>
                <w:sz w:val="24"/>
                <w:szCs w:val="24"/>
              </w:rPr>
            </w:pPr>
          </w:p>
        </w:tc>
      </w:tr>
      <w:tr w:rsidR="00934C02" w:rsidRPr="00934C02" w:rsidTr="00934C02">
        <w:trPr>
          <w:trHeight w:val="1230"/>
        </w:trPr>
        <w:tc>
          <w:tcPr>
            <w:tcW w:w="3640" w:type="dxa"/>
            <w:gridSpan w:val="2"/>
            <w:vMerge/>
            <w:tcBorders>
              <w:top w:val="nil"/>
              <w:left w:val="single" w:sz="4" w:space="0" w:color="auto"/>
              <w:bottom w:val="single" w:sz="4" w:space="0" w:color="auto"/>
              <w:right w:val="single" w:sz="4" w:space="0" w:color="auto"/>
            </w:tcBorders>
            <w:shd w:val="clear" w:color="auto" w:fill="FFFFFF" w:themeFill="background1"/>
            <w:vAlign w:val="center"/>
            <w:hideMark/>
          </w:tcPr>
          <w:p w:rsidR="00934C02" w:rsidRPr="00934C02" w:rsidRDefault="00934C02" w:rsidP="00934C02">
            <w:pPr>
              <w:spacing w:after="0" w:line="240" w:lineRule="auto"/>
              <w:rPr>
                <w:rFonts w:ascii="Arial" w:eastAsia="Times New Roman" w:hAnsi="Arial" w:cs="Arial"/>
                <w:sz w:val="24"/>
                <w:szCs w:val="24"/>
              </w:rPr>
            </w:pPr>
          </w:p>
        </w:tc>
        <w:tc>
          <w:tcPr>
            <w:tcW w:w="2215" w:type="dxa"/>
            <w:tcBorders>
              <w:top w:val="nil"/>
              <w:left w:val="nil"/>
              <w:bottom w:val="single" w:sz="4" w:space="0" w:color="auto"/>
              <w:right w:val="single" w:sz="4" w:space="0" w:color="auto"/>
            </w:tcBorders>
            <w:shd w:val="clear" w:color="auto" w:fill="FFFFFF" w:themeFill="background1"/>
            <w:vAlign w:val="center"/>
            <w:hideMark/>
          </w:tcPr>
          <w:p w:rsidR="00934C02" w:rsidRPr="00934C02" w:rsidRDefault="00934C02" w:rsidP="00934C02">
            <w:pPr>
              <w:spacing w:after="0" w:line="240" w:lineRule="auto"/>
              <w:rPr>
                <w:rFonts w:ascii="Arial" w:eastAsia="Times New Roman" w:hAnsi="Arial" w:cs="Arial"/>
                <w:sz w:val="24"/>
                <w:szCs w:val="24"/>
              </w:rPr>
            </w:pPr>
            <w:r w:rsidRPr="00934C02">
              <w:rPr>
                <w:rFonts w:ascii="Arial" w:eastAsia="Times New Roman" w:hAnsi="Arial" w:cs="Arial"/>
                <w:sz w:val="24"/>
                <w:szCs w:val="24"/>
              </w:rPr>
              <w:t>Vaslui, str. Podul Inalt nr. 3</w:t>
            </w:r>
          </w:p>
        </w:tc>
        <w:tc>
          <w:tcPr>
            <w:tcW w:w="3330" w:type="dxa"/>
            <w:tcBorders>
              <w:top w:val="nil"/>
              <w:left w:val="nil"/>
              <w:bottom w:val="single" w:sz="4" w:space="0" w:color="auto"/>
              <w:right w:val="single" w:sz="4" w:space="0" w:color="auto"/>
            </w:tcBorders>
            <w:shd w:val="clear" w:color="auto" w:fill="FFFFFF" w:themeFill="background1"/>
            <w:vAlign w:val="center"/>
            <w:hideMark/>
          </w:tcPr>
          <w:p w:rsidR="00934C02" w:rsidRPr="00934C02" w:rsidRDefault="00934C02" w:rsidP="00934C02">
            <w:pPr>
              <w:spacing w:after="0" w:line="240" w:lineRule="auto"/>
              <w:jc w:val="center"/>
              <w:rPr>
                <w:rFonts w:ascii="Arial" w:eastAsia="Times New Roman" w:hAnsi="Arial" w:cs="Arial"/>
                <w:sz w:val="24"/>
                <w:szCs w:val="24"/>
              </w:rPr>
            </w:pPr>
            <w:r w:rsidRPr="00934C02">
              <w:rPr>
                <w:rFonts w:ascii="Arial" w:eastAsia="Times New Roman" w:hAnsi="Arial" w:cs="Arial"/>
                <w:sz w:val="24"/>
                <w:szCs w:val="24"/>
              </w:rPr>
              <w:t>156434/17.10.2006</w:t>
            </w:r>
          </w:p>
        </w:tc>
        <w:tc>
          <w:tcPr>
            <w:tcW w:w="1800" w:type="dxa"/>
            <w:tcBorders>
              <w:top w:val="nil"/>
              <w:left w:val="nil"/>
              <w:bottom w:val="single" w:sz="4" w:space="0" w:color="auto"/>
              <w:right w:val="single" w:sz="4" w:space="0" w:color="auto"/>
            </w:tcBorders>
            <w:shd w:val="clear" w:color="auto" w:fill="FFFFFF" w:themeFill="background1"/>
            <w:vAlign w:val="center"/>
            <w:hideMark/>
          </w:tcPr>
          <w:p w:rsidR="00934C02" w:rsidRPr="00934C02" w:rsidRDefault="00934C02" w:rsidP="00934C02">
            <w:pPr>
              <w:spacing w:after="0" w:line="240" w:lineRule="auto"/>
              <w:jc w:val="center"/>
              <w:rPr>
                <w:rFonts w:ascii="Arial" w:eastAsia="Times New Roman" w:hAnsi="Arial" w:cs="Arial"/>
                <w:sz w:val="24"/>
                <w:szCs w:val="24"/>
              </w:rPr>
            </w:pPr>
            <w:r w:rsidRPr="00934C02">
              <w:rPr>
                <w:rFonts w:ascii="Arial" w:eastAsia="Times New Roman" w:hAnsi="Arial" w:cs="Arial"/>
                <w:sz w:val="24"/>
                <w:szCs w:val="24"/>
              </w:rPr>
              <w:t>4533/15.01.2007 valabilă 07.2015</w:t>
            </w:r>
          </w:p>
        </w:tc>
        <w:tc>
          <w:tcPr>
            <w:tcW w:w="3095" w:type="dxa"/>
            <w:tcBorders>
              <w:top w:val="nil"/>
              <w:left w:val="nil"/>
              <w:bottom w:val="single" w:sz="4" w:space="0" w:color="auto"/>
              <w:right w:val="single" w:sz="4" w:space="0" w:color="auto"/>
            </w:tcBorders>
            <w:shd w:val="clear" w:color="auto" w:fill="FFFFFF" w:themeFill="background1"/>
            <w:vAlign w:val="center"/>
            <w:hideMark/>
          </w:tcPr>
          <w:p w:rsidR="00934C02" w:rsidRPr="00934C02" w:rsidRDefault="00934C02" w:rsidP="00934C02">
            <w:pPr>
              <w:spacing w:after="0" w:line="240" w:lineRule="auto"/>
              <w:jc w:val="center"/>
              <w:rPr>
                <w:rFonts w:ascii="Arial" w:eastAsia="Times New Roman" w:hAnsi="Arial" w:cs="Arial"/>
                <w:sz w:val="24"/>
                <w:szCs w:val="24"/>
              </w:rPr>
            </w:pPr>
            <w:r w:rsidRPr="00934C02">
              <w:rPr>
                <w:rFonts w:ascii="Arial" w:eastAsia="Times New Roman" w:hAnsi="Arial" w:cs="Arial"/>
                <w:sz w:val="24"/>
                <w:szCs w:val="24"/>
              </w:rPr>
              <w:t xml:space="preserve">25/29.03.2013 valabilă 28.03.2023, </w:t>
            </w:r>
            <w:r w:rsidRPr="00934C02">
              <w:rPr>
                <w:rFonts w:ascii="Arial" w:eastAsia="Times New Roman" w:hAnsi="Arial" w:cs="Arial"/>
                <w:sz w:val="24"/>
                <w:szCs w:val="24"/>
              </w:rPr>
              <w:br/>
              <w:t xml:space="preserve">CAEN (Rev. 2) 3811, 3812, 3831,  3832, 4677 </w:t>
            </w:r>
          </w:p>
        </w:tc>
      </w:tr>
      <w:tr w:rsidR="00934C02" w:rsidRPr="00934C02" w:rsidTr="00934C02">
        <w:trPr>
          <w:trHeight w:val="570"/>
        </w:trPr>
        <w:tc>
          <w:tcPr>
            <w:tcW w:w="5855" w:type="dxa"/>
            <w:gridSpan w:val="3"/>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934C02" w:rsidRPr="00934C02" w:rsidRDefault="00934C02" w:rsidP="00934C02">
            <w:pPr>
              <w:spacing w:after="0" w:line="240" w:lineRule="auto"/>
              <w:jc w:val="center"/>
              <w:rPr>
                <w:rFonts w:ascii="Arial" w:eastAsia="Times New Roman" w:hAnsi="Arial" w:cs="Arial"/>
                <w:b/>
                <w:bCs/>
                <w:sz w:val="24"/>
                <w:szCs w:val="24"/>
              </w:rPr>
            </w:pPr>
            <w:r w:rsidRPr="00934C02">
              <w:rPr>
                <w:rFonts w:ascii="Arial" w:eastAsia="Times New Roman" w:hAnsi="Arial" w:cs="Arial"/>
                <w:b/>
                <w:bCs/>
                <w:sz w:val="24"/>
                <w:szCs w:val="24"/>
              </w:rPr>
              <w:t>SC DIACONUAUTO SRL, CUI 33340610</w:t>
            </w:r>
          </w:p>
        </w:tc>
        <w:tc>
          <w:tcPr>
            <w:tcW w:w="333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4C02" w:rsidRPr="00934C02" w:rsidRDefault="00934C02" w:rsidP="00934C02">
            <w:pPr>
              <w:spacing w:after="0" w:line="240" w:lineRule="auto"/>
              <w:jc w:val="center"/>
              <w:rPr>
                <w:rFonts w:ascii="Arial" w:eastAsia="Times New Roman" w:hAnsi="Arial" w:cs="Arial"/>
                <w:sz w:val="24"/>
                <w:szCs w:val="24"/>
              </w:rPr>
            </w:pPr>
            <w:r w:rsidRPr="00934C02">
              <w:rPr>
                <w:rFonts w:ascii="Arial" w:eastAsia="Times New Roman" w:hAnsi="Arial" w:cs="Arial"/>
                <w:sz w:val="24"/>
                <w:szCs w:val="24"/>
              </w:rPr>
              <w:t>75553/BCI/01.09.2014</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4C02" w:rsidRPr="00934C02" w:rsidRDefault="00934C02" w:rsidP="00934C02">
            <w:pPr>
              <w:spacing w:after="0" w:line="240" w:lineRule="auto"/>
              <w:jc w:val="center"/>
              <w:rPr>
                <w:rFonts w:ascii="Arial" w:eastAsia="Times New Roman" w:hAnsi="Arial" w:cs="Arial"/>
                <w:sz w:val="24"/>
                <w:szCs w:val="24"/>
              </w:rPr>
            </w:pPr>
            <w:r w:rsidRPr="00934C02">
              <w:rPr>
                <w:rFonts w:ascii="Arial" w:eastAsia="Times New Roman" w:hAnsi="Arial" w:cs="Arial"/>
                <w:sz w:val="24"/>
                <w:szCs w:val="24"/>
              </w:rPr>
              <w:t xml:space="preserve">15532/27.11.2014 valabilă </w:t>
            </w:r>
            <w:r w:rsidRPr="00934C02">
              <w:rPr>
                <w:rFonts w:ascii="Arial" w:eastAsia="Times New Roman" w:hAnsi="Arial" w:cs="Arial"/>
                <w:sz w:val="24"/>
                <w:szCs w:val="24"/>
              </w:rPr>
              <w:lastRenderedPageBreak/>
              <w:t>05.2015</w:t>
            </w:r>
          </w:p>
        </w:tc>
        <w:tc>
          <w:tcPr>
            <w:tcW w:w="309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4C02" w:rsidRPr="00934C02" w:rsidRDefault="00934C02" w:rsidP="00934C02">
            <w:pPr>
              <w:spacing w:after="0" w:line="240" w:lineRule="auto"/>
              <w:jc w:val="center"/>
              <w:rPr>
                <w:rFonts w:ascii="Arial" w:eastAsia="Times New Roman" w:hAnsi="Arial" w:cs="Arial"/>
                <w:sz w:val="24"/>
                <w:szCs w:val="24"/>
              </w:rPr>
            </w:pPr>
            <w:r w:rsidRPr="00934C02">
              <w:rPr>
                <w:rFonts w:ascii="Arial" w:eastAsia="Times New Roman" w:hAnsi="Arial" w:cs="Arial"/>
                <w:sz w:val="24"/>
                <w:szCs w:val="24"/>
              </w:rPr>
              <w:lastRenderedPageBreak/>
              <w:t xml:space="preserve">24/16.02.2015 valabilă 15.02.2020, </w:t>
            </w:r>
            <w:r w:rsidRPr="00934C02">
              <w:rPr>
                <w:rFonts w:ascii="Arial" w:eastAsia="Times New Roman" w:hAnsi="Arial" w:cs="Arial"/>
                <w:sz w:val="24"/>
                <w:szCs w:val="24"/>
              </w:rPr>
              <w:br/>
            </w:r>
            <w:r w:rsidRPr="00934C02">
              <w:rPr>
                <w:rFonts w:ascii="Arial" w:eastAsia="Times New Roman" w:hAnsi="Arial" w:cs="Arial"/>
                <w:sz w:val="24"/>
                <w:szCs w:val="24"/>
              </w:rPr>
              <w:lastRenderedPageBreak/>
              <w:t>CAEN (Rev. 2)  3811, 3812, 3831, 4677</w:t>
            </w:r>
          </w:p>
        </w:tc>
      </w:tr>
      <w:tr w:rsidR="00934C02" w:rsidRPr="00934C02" w:rsidTr="00934C02">
        <w:trPr>
          <w:trHeight w:val="1275"/>
        </w:trPr>
        <w:tc>
          <w:tcPr>
            <w:tcW w:w="3640" w:type="dxa"/>
            <w:gridSpan w:val="2"/>
            <w:tcBorders>
              <w:top w:val="nil"/>
              <w:left w:val="single" w:sz="4" w:space="0" w:color="auto"/>
              <w:bottom w:val="nil"/>
              <w:right w:val="single" w:sz="4" w:space="0" w:color="auto"/>
            </w:tcBorders>
            <w:shd w:val="clear" w:color="auto" w:fill="FFFFFF" w:themeFill="background1"/>
            <w:vAlign w:val="center"/>
            <w:hideMark/>
          </w:tcPr>
          <w:p w:rsidR="00934C02" w:rsidRPr="00934C02" w:rsidRDefault="00934C02" w:rsidP="00934C02">
            <w:pPr>
              <w:spacing w:after="0" w:line="240" w:lineRule="auto"/>
              <w:rPr>
                <w:rFonts w:ascii="Arial" w:eastAsia="Times New Roman" w:hAnsi="Arial" w:cs="Arial"/>
                <w:sz w:val="24"/>
                <w:szCs w:val="24"/>
              </w:rPr>
            </w:pPr>
            <w:r w:rsidRPr="00934C02">
              <w:rPr>
                <w:rFonts w:ascii="Arial" w:eastAsia="Times New Roman" w:hAnsi="Arial" w:cs="Arial"/>
                <w:sz w:val="24"/>
                <w:szCs w:val="24"/>
              </w:rPr>
              <w:lastRenderedPageBreak/>
              <w:t>Sat Drânceni, Comuna Drânceni,  str. Laleleor, nr.3, jud. Vaslui tel: 0754416608, Niculcea Aliona, simona.aliona@gmail.com</w:t>
            </w:r>
          </w:p>
        </w:tc>
        <w:tc>
          <w:tcPr>
            <w:tcW w:w="2215" w:type="dxa"/>
            <w:tcBorders>
              <w:top w:val="nil"/>
              <w:left w:val="nil"/>
              <w:bottom w:val="nil"/>
              <w:right w:val="single" w:sz="4" w:space="0" w:color="auto"/>
            </w:tcBorders>
            <w:shd w:val="clear" w:color="auto" w:fill="FFFFFF" w:themeFill="background1"/>
            <w:vAlign w:val="center"/>
            <w:hideMark/>
          </w:tcPr>
          <w:p w:rsidR="00934C02" w:rsidRPr="00934C02" w:rsidRDefault="00934C02" w:rsidP="00934C02">
            <w:pPr>
              <w:spacing w:after="0" w:line="240" w:lineRule="auto"/>
              <w:rPr>
                <w:rFonts w:ascii="Arial" w:eastAsia="Times New Roman" w:hAnsi="Arial" w:cs="Arial"/>
                <w:sz w:val="24"/>
                <w:szCs w:val="24"/>
              </w:rPr>
            </w:pPr>
            <w:r w:rsidRPr="00934C02">
              <w:rPr>
                <w:rFonts w:ascii="Arial" w:eastAsia="Times New Roman" w:hAnsi="Arial" w:cs="Arial"/>
                <w:sz w:val="24"/>
                <w:szCs w:val="24"/>
              </w:rPr>
              <w:t>Loc. Drânceni, str. Laleleor, nr.3, jud. Vaslui</w:t>
            </w:r>
          </w:p>
        </w:tc>
        <w:tc>
          <w:tcPr>
            <w:tcW w:w="3330"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934C02" w:rsidRPr="00934C02" w:rsidRDefault="00934C02" w:rsidP="00934C02">
            <w:pPr>
              <w:spacing w:after="0" w:line="240" w:lineRule="auto"/>
              <w:rPr>
                <w:rFonts w:ascii="Arial" w:eastAsia="Times New Roman" w:hAnsi="Arial" w:cs="Arial"/>
                <w:sz w:val="24"/>
                <w:szCs w:val="24"/>
              </w:rPr>
            </w:pPr>
          </w:p>
        </w:tc>
        <w:tc>
          <w:tcPr>
            <w:tcW w:w="1800"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934C02" w:rsidRPr="00934C02" w:rsidRDefault="00934C02" w:rsidP="00934C02">
            <w:pPr>
              <w:spacing w:after="0" w:line="240" w:lineRule="auto"/>
              <w:rPr>
                <w:rFonts w:ascii="Arial" w:eastAsia="Times New Roman" w:hAnsi="Arial" w:cs="Arial"/>
                <w:sz w:val="24"/>
                <w:szCs w:val="24"/>
              </w:rPr>
            </w:pPr>
          </w:p>
        </w:tc>
        <w:tc>
          <w:tcPr>
            <w:tcW w:w="309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934C02" w:rsidRPr="00934C02" w:rsidRDefault="00934C02" w:rsidP="00934C02">
            <w:pPr>
              <w:spacing w:after="0" w:line="240" w:lineRule="auto"/>
              <w:rPr>
                <w:rFonts w:ascii="Arial" w:eastAsia="Times New Roman" w:hAnsi="Arial" w:cs="Arial"/>
                <w:sz w:val="24"/>
                <w:szCs w:val="24"/>
              </w:rPr>
            </w:pPr>
          </w:p>
        </w:tc>
      </w:tr>
      <w:tr w:rsidR="00934C02" w:rsidRPr="00934C02" w:rsidTr="00934C02">
        <w:trPr>
          <w:trHeight w:val="399"/>
        </w:trPr>
        <w:tc>
          <w:tcPr>
            <w:tcW w:w="5855" w:type="dxa"/>
            <w:gridSpan w:val="3"/>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934C02" w:rsidRPr="00934C02" w:rsidRDefault="00934C02" w:rsidP="00934C02">
            <w:pPr>
              <w:spacing w:after="0" w:line="240" w:lineRule="auto"/>
              <w:jc w:val="center"/>
              <w:rPr>
                <w:rFonts w:ascii="Arial" w:eastAsia="Times New Roman" w:hAnsi="Arial" w:cs="Arial"/>
                <w:b/>
                <w:bCs/>
                <w:sz w:val="24"/>
                <w:szCs w:val="24"/>
              </w:rPr>
            </w:pPr>
            <w:r w:rsidRPr="00934C02">
              <w:rPr>
                <w:rFonts w:ascii="Arial" w:eastAsia="Times New Roman" w:hAnsi="Arial" w:cs="Arial"/>
                <w:b/>
                <w:bCs/>
                <w:sz w:val="24"/>
                <w:szCs w:val="24"/>
              </w:rPr>
              <w:lastRenderedPageBreak/>
              <w:t>SC GIGI KENT SRL, CUI 29859106</w:t>
            </w:r>
          </w:p>
        </w:tc>
        <w:tc>
          <w:tcPr>
            <w:tcW w:w="333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4C02" w:rsidRPr="00934C02" w:rsidRDefault="00934C02" w:rsidP="00934C02">
            <w:pPr>
              <w:spacing w:after="0" w:line="240" w:lineRule="auto"/>
              <w:jc w:val="center"/>
              <w:rPr>
                <w:rFonts w:ascii="Arial" w:eastAsia="Times New Roman" w:hAnsi="Arial" w:cs="Arial"/>
                <w:sz w:val="24"/>
                <w:szCs w:val="24"/>
              </w:rPr>
            </w:pPr>
            <w:r w:rsidRPr="00934C02">
              <w:rPr>
                <w:rFonts w:ascii="Arial" w:eastAsia="Times New Roman" w:hAnsi="Arial" w:cs="Arial"/>
                <w:sz w:val="24"/>
                <w:szCs w:val="24"/>
              </w:rPr>
              <w:t>63399/BCI/15.03.2012</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4C02" w:rsidRPr="00934C02" w:rsidRDefault="00934C02" w:rsidP="00934C02">
            <w:pPr>
              <w:spacing w:after="0" w:line="240" w:lineRule="auto"/>
              <w:jc w:val="center"/>
              <w:rPr>
                <w:rFonts w:ascii="Arial" w:eastAsia="Times New Roman" w:hAnsi="Arial" w:cs="Arial"/>
                <w:sz w:val="24"/>
                <w:szCs w:val="24"/>
              </w:rPr>
            </w:pPr>
            <w:r w:rsidRPr="00934C02">
              <w:rPr>
                <w:rFonts w:ascii="Arial" w:eastAsia="Times New Roman" w:hAnsi="Arial" w:cs="Arial"/>
                <w:sz w:val="24"/>
                <w:szCs w:val="24"/>
              </w:rPr>
              <w:t>11995/07.06.2012 valabilă 08.2015</w:t>
            </w:r>
          </w:p>
        </w:tc>
        <w:tc>
          <w:tcPr>
            <w:tcW w:w="309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4C02" w:rsidRPr="00934C02" w:rsidRDefault="00934C02" w:rsidP="00934C02">
            <w:pPr>
              <w:spacing w:after="0" w:line="240" w:lineRule="auto"/>
              <w:jc w:val="center"/>
              <w:rPr>
                <w:rFonts w:ascii="Arial" w:eastAsia="Times New Roman" w:hAnsi="Arial" w:cs="Arial"/>
                <w:sz w:val="24"/>
                <w:szCs w:val="24"/>
              </w:rPr>
            </w:pPr>
            <w:r w:rsidRPr="00934C02">
              <w:rPr>
                <w:rFonts w:ascii="Arial" w:eastAsia="Times New Roman" w:hAnsi="Arial" w:cs="Arial"/>
                <w:sz w:val="24"/>
                <w:szCs w:val="24"/>
              </w:rPr>
              <w:t xml:space="preserve">50/23.03.2012 valabilă 23.03.2022, </w:t>
            </w:r>
            <w:r w:rsidRPr="00934C02">
              <w:rPr>
                <w:rFonts w:ascii="Arial" w:eastAsia="Times New Roman" w:hAnsi="Arial" w:cs="Arial"/>
                <w:sz w:val="24"/>
                <w:szCs w:val="24"/>
              </w:rPr>
              <w:br/>
              <w:t>CAEN (Rev. 2) 3811, 3812, 3831, 3832, 4677</w:t>
            </w:r>
          </w:p>
        </w:tc>
      </w:tr>
      <w:tr w:rsidR="00934C02" w:rsidRPr="00934C02" w:rsidTr="00934C02">
        <w:trPr>
          <w:trHeight w:val="1188"/>
        </w:trPr>
        <w:tc>
          <w:tcPr>
            <w:tcW w:w="3640" w:type="dxa"/>
            <w:gridSpan w:val="2"/>
            <w:tcBorders>
              <w:top w:val="nil"/>
              <w:left w:val="single" w:sz="4" w:space="0" w:color="auto"/>
              <w:bottom w:val="nil"/>
              <w:right w:val="single" w:sz="4" w:space="0" w:color="auto"/>
            </w:tcBorders>
            <w:shd w:val="clear" w:color="auto" w:fill="FFFFFF" w:themeFill="background1"/>
            <w:vAlign w:val="center"/>
            <w:hideMark/>
          </w:tcPr>
          <w:p w:rsidR="00934C02" w:rsidRPr="00934C02" w:rsidRDefault="00934C02" w:rsidP="00934C02">
            <w:pPr>
              <w:spacing w:after="0" w:line="240" w:lineRule="auto"/>
              <w:rPr>
                <w:rFonts w:ascii="Arial" w:eastAsia="Times New Roman" w:hAnsi="Arial" w:cs="Arial"/>
                <w:sz w:val="24"/>
                <w:szCs w:val="24"/>
              </w:rPr>
            </w:pPr>
            <w:r w:rsidRPr="00934C02">
              <w:rPr>
                <w:rFonts w:ascii="Arial" w:eastAsia="Times New Roman" w:hAnsi="Arial" w:cs="Arial"/>
                <w:sz w:val="24"/>
                <w:szCs w:val="24"/>
              </w:rPr>
              <w:t>Loc. Balteni, nr. 170, tel. 0752924726, Asavei Gheorghe</w:t>
            </w:r>
          </w:p>
        </w:tc>
        <w:tc>
          <w:tcPr>
            <w:tcW w:w="2215" w:type="dxa"/>
            <w:tcBorders>
              <w:top w:val="nil"/>
              <w:left w:val="nil"/>
              <w:bottom w:val="nil"/>
              <w:right w:val="single" w:sz="4" w:space="0" w:color="auto"/>
            </w:tcBorders>
            <w:shd w:val="clear" w:color="auto" w:fill="FFFFFF" w:themeFill="background1"/>
            <w:vAlign w:val="center"/>
            <w:hideMark/>
          </w:tcPr>
          <w:p w:rsidR="00934C02" w:rsidRPr="00934C02" w:rsidRDefault="00934C02" w:rsidP="00934C02">
            <w:pPr>
              <w:spacing w:after="0" w:line="240" w:lineRule="auto"/>
              <w:rPr>
                <w:rFonts w:ascii="Arial" w:eastAsia="Times New Roman" w:hAnsi="Arial" w:cs="Arial"/>
                <w:sz w:val="24"/>
                <w:szCs w:val="24"/>
              </w:rPr>
            </w:pPr>
            <w:r w:rsidRPr="00934C02">
              <w:rPr>
                <w:rFonts w:ascii="Arial" w:eastAsia="Times New Roman" w:hAnsi="Arial" w:cs="Arial"/>
                <w:sz w:val="24"/>
                <w:szCs w:val="24"/>
              </w:rPr>
              <w:t xml:space="preserve">Vaslui, str. Stefan cel Mare, nr. 5 </w:t>
            </w:r>
          </w:p>
        </w:tc>
        <w:tc>
          <w:tcPr>
            <w:tcW w:w="3330"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934C02" w:rsidRPr="00934C02" w:rsidRDefault="00934C02" w:rsidP="00934C02">
            <w:pPr>
              <w:spacing w:after="0" w:line="240" w:lineRule="auto"/>
              <w:rPr>
                <w:rFonts w:ascii="Arial" w:eastAsia="Times New Roman" w:hAnsi="Arial" w:cs="Arial"/>
                <w:sz w:val="24"/>
                <w:szCs w:val="24"/>
              </w:rPr>
            </w:pPr>
          </w:p>
        </w:tc>
        <w:tc>
          <w:tcPr>
            <w:tcW w:w="1800"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934C02" w:rsidRPr="00934C02" w:rsidRDefault="00934C02" w:rsidP="00934C02">
            <w:pPr>
              <w:spacing w:after="0" w:line="240" w:lineRule="auto"/>
              <w:rPr>
                <w:rFonts w:ascii="Arial" w:eastAsia="Times New Roman" w:hAnsi="Arial" w:cs="Arial"/>
                <w:sz w:val="24"/>
                <w:szCs w:val="24"/>
              </w:rPr>
            </w:pPr>
          </w:p>
        </w:tc>
        <w:tc>
          <w:tcPr>
            <w:tcW w:w="309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934C02" w:rsidRPr="00934C02" w:rsidRDefault="00934C02" w:rsidP="00934C02">
            <w:pPr>
              <w:spacing w:after="0" w:line="240" w:lineRule="auto"/>
              <w:rPr>
                <w:rFonts w:ascii="Arial" w:eastAsia="Times New Roman" w:hAnsi="Arial" w:cs="Arial"/>
                <w:sz w:val="24"/>
                <w:szCs w:val="24"/>
              </w:rPr>
            </w:pPr>
          </w:p>
        </w:tc>
      </w:tr>
      <w:tr w:rsidR="00934C02" w:rsidRPr="00934C02" w:rsidTr="00934C02">
        <w:trPr>
          <w:trHeight w:val="720"/>
        </w:trPr>
        <w:tc>
          <w:tcPr>
            <w:tcW w:w="585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4C02" w:rsidRPr="00934C02" w:rsidRDefault="00934C02" w:rsidP="00934C02">
            <w:pPr>
              <w:spacing w:after="0" w:line="240" w:lineRule="auto"/>
              <w:jc w:val="center"/>
              <w:rPr>
                <w:rFonts w:ascii="Arial" w:eastAsia="Times New Roman" w:hAnsi="Arial" w:cs="Arial"/>
                <w:b/>
                <w:bCs/>
                <w:sz w:val="24"/>
                <w:szCs w:val="24"/>
              </w:rPr>
            </w:pPr>
            <w:r w:rsidRPr="00934C02">
              <w:rPr>
                <w:rFonts w:ascii="Arial" w:eastAsia="Times New Roman" w:hAnsi="Arial" w:cs="Arial"/>
                <w:b/>
                <w:bCs/>
                <w:sz w:val="24"/>
                <w:szCs w:val="24"/>
              </w:rPr>
              <w:t>SC TSC ELECTRIC SRL, CUI 28255390</w:t>
            </w:r>
          </w:p>
        </w:tc>
        <w:tc>
          <w:tcPr>
            <w:tcW w:w="333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934C02" w:rsidRPr="00934C02" w:rsidRDefault="00934C02" w:rsidP="00934C02">
            <w:pPr>
              <w:spacing w:after="0" w:line="240" w:lineRule="auto"/>
              <w:jc w:val="center"/>
              <w:rPr>
                <w:rFonts w:ascii="Arial" w:eastAsia="Times New Roman" w:hAnsi="Arial" w:cs="Arial"/>
                <w:sz w:val="24"/>
                <w:szCs w:val="24"/>
              </w:rPr>
            </w:pPr>
            <w:r w:rsidRPr="00934C02">
              <w:rPr>
                <w:rFonts w:ascii="Arial" w:eastAsia="Times New Roman" w:hAnsi="Arial" w:cs="Arial"/>
                <w:sz w:val="24"/>
                <w:szCs w:val="24"/>
              </w:rPr>
              <w:t>83211/BCI/08.04.2013</w:t>
            </w:r>
          </w:p>
        </w:tc>
        <w:tc>
          <w:tcPr>
            <w:tcW w:w="180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934C02" w:rsidRPr="00934C02" w:rsidRDefault="00934C02" w:rsidP="00934C02">
            <w:pPr>
              <w:spacing w:after="0" w:line="240" w:lineRule="auto"/>
              <w:jc w:val="center"/>
              <w:rPr>
                <w:rFonts w:ascii="Arial" w:eastAsia="Times New Roman" w:hAnsi="Arial" w:cs="Arial"/>
                <w:sz w:val="24"/>
                <w:szCs w:val="24"/>
              </w:rPr>
            </w:pPr>
            <w:r w:rsidRPr="00934C02">
              <w:rPr>
                <w:rFonts w:ascii="Arial" w:eastAsia="Times New Roman" w:hAnsi="Arial" w:cs="Arial"/>
                <w:sz w:val="24"/>
                <w:szCs w:val="24"/>
              </w:rPr>
              <w:t>13721/03.06.2013 valabilă 12.2014</w:t>
            </w:r>
          </w:p>
        </w:tc>
        <w:tc>
          <w:tcPr>
            <w:tcW w:w="3095"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934C02" w:rsidRPr="00934C02" w:rsidRDefault="00934C02" w:rsidP="00934C02">
            <w:pPr>
              <w:spacing w:after="0" w:line="240" w:lineRule="auto"/>
              <w:jc w:val="center"/>
              <w:rPr>
                <w:rFonts w:ascii="Arial" w:eastAsia="Times New Roman" w:hAnsi="Arial" w:cs="Arial"/>
                <w:sz w:val="24"/>
                <w:szCs w:val="24"/>
              </w:rPr>
            </w:pPr>
            <w:r w:rsidRPr="00934C02">
              <w:rPr>
                <w:rFonts w:ascii="Arial" w:eastAsia="Times New Roman" w:hAnsi="Arial" w:cs="Arial"/>
                <w:sz w:val="24"/>
                <w:szCs w:val="24"/>
              </w:rPr>
              <w:t xml:space="preserve">176/26.07.2013 valabilă 25.07.2023, </w:t>
            </w:r>
            <w:r w:rsidRPr="00934C02">
              <w:rPr>
                <w:rFonts w:ascii="Arial" w:eastAsia="Times New Roman" w:hAnsi="Arial" w:cs="Arial"/>
                <w:sz w:val="24"/>
                <w:szCs w:val="24"/>
              </w:rPr>
              <w:br/>
              <w:t>CAEN (Rev 2) 3812, 3822, 3831, 3832, 4677</w:t>
            </w:r>
          </w:p>
        </w:tc>
      </w:tr>
      <w:tr w:rsidR="00934C02" w:rsidRPr="00934C02" w:rsidTr="00934C02">
        <w:trPr>
          <w:trHeight w:val="791"/>
        </w:trPr>
        <w:tc>
          <w:tcPr>
            <w:tcW w:w="3640"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rsidR="00934C02" w:rsidRPr="00934C02" w:rsidRDefault="00934C02" w:rsidP="00934C02">
            <w:pPr>
              <w:spacing w:after="0" w:line="240" w:lineRule="auto"/>
              <w:rPr>
                <w:rFonts w:ascii="Arial" w:eastAsia="Times New Roman" w:hAnsi="Arial" w:cs="Arial"/>
                <w:sz w:val="24"/>
                <w:szCs w:val="24"/>
              </w:rPr>
            </w:pPr>
            <w:r w:rsidRPr="00934C02">
              <w:rPr>
                <w:rFonts w:ascii="Arial" w:eastAsia="Times New Roman" w:hAnsi="Arial" w:cs="Arial"/>
                <w:sz w:val="24"/>
                <w:szCs w:val="24"/>
              </w:rPr>
              <w:t>loc. Râşeşti, com. Drânceni, tel. 0786517275, e-mail : eremia_auto@yahoo.com</w:t>
            </w:r>
          </w:p>
        </w:tc>
        <w:tc>
          <w:tcPr>
            <w:tcW w:w="2215" w:type="dxa"/>
            <w:tcBorders>
              <w:top w:val="nil"/>
              <w:left w:val="nil"/>
              <w:bottom w:val="single" w:sz="4" w:space="0" w:color="auto"/>
              <w:right w:val="single" w:sz="4" w:space="0" w:color="auto"/>
            </w:tcBorders>
            <w:shd w:val="clear" w:color="auto" w:fill="FFFFFF" w:themeFill="background1"/>
            <w:vAlign w:val="center"/>
            <w:hideMark/>
          </w:tcPr>
          <w:p w:rsidR="00934C02" w:rsidRPr="00934C02" w:rsidRDefault="00934C02" w:rsidP="00934C02">
            <w:pPr>
              <w:spacing w:after="0" w:line="240" w:lineRule="auto"/>
              <w:rPr>
                <w:rFonts w:ascii="Arial" w:eastAsia="Times New Roman" w:hAnsi="Arial" w:cs="Arial"/>
                <w:sz w:val="24"/>
                <w:szCs w:val="24"/>
              </w:rPr>
            </w:pPr>
            <w:r w:rsidRPr="00934C02">
              <w:rPr>
                <w:rFonts w:ascii="Arial" w:eastAsia="Times New Roman" w:hAnsi="Arial" w:cs="Arial"/>
                <w:sz w:val="24"/>
                <w:szCs w:val="24"/>
              </w:rPr>
              <w:t>loc. Râşeşti, com. Drânceni</w:t>
            </w:r>
          </w:p>
        </w:tc>
        <w:tc>
          <w:tcPr>
            <w:tcW w:w="3330"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934C02" w:rsidRPr="00934C02" w:rsidRDefault="00934C02" w:rsidP="00934C02">
            <w:pPr>
              <w:spacing w:after="0" w:line="240" w:lineRule="auto"/>
              <w:rPr>
                <w:rFonts w:ascii="Arial" w:eastAsia="Times New Roman" w:hAnsi="Arial" w:cs="Arial"/>
                <w:sz w:val="24"/>
                <w:szCs w:val="24"/>
              </w:rPr>
            </w:pPr>
          </w:p>
        </w:tc>
        <w:tc>
          <w:tcPr>
            <w:tcW w:w="1800"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934C02" w:rsidRPr="00934C02" w:rsidRDefault="00934C02" w:rsidP="00934C02">
            <w:pPr>
              <w:spacing w:after="0" w:line="240" w:lineRule="auto"/>
              <w:rPr>
                <w:rFonts w:ascii="Arial" w:eastAsia="Times New Roman" w:hAnsi="Arial" w:cs="Arial"/>
                <w:sz w:val="24"/>
                <w:szCs w:val="24"/>
              </w:rPr>
            </w:pPr>
          </w:p>
        </w:tc>
        <w:tc>
          <w:tcPr>
            <w:tcW w:w="3095" w:type="dxa"/>
            <w:vMerge/>
            <w:tcBorders>
              <w:top w:val="nil"/>
              <w:left w:val="single" w:sz="4" w:space="0" w:color="auto"/>
              <w:bottom w:val="single" w:sz="4" w:space="0" w:color="auto"/>
              <w:right w:val="single" w:sz="4" w:space="0" w:color="auto"/>
            </w:tcBorders>
            <w:shd w:val="clear" w:color="auto" w:fill="FFFFFF" w:themeFill="background1"/>
            <w:vAlign w:val="center"/>
            <w:hideMark/>
          </w:tcPr>
          <w:p w:rsidR="00934C02" w:rsidRPr="00934C02" w:rsidRDefault="00934C02" w:rsidP="00934C02">
            <w:pPr>
              <w:spacing w:after="0" w:line="240" w:lineRule="auto"/>
              <w:rPr>
                <w:rFonts w:ascii="Arial" w:eastAsia="Times New Roman" w:hAnsi="Arial" w:cs="Arial"/>
                <w:sz w:val="24"/>
                <w:szCs w:val="24"/>
              </w:rPr>
            </w:pPr>
          </w:p>
        </w:tc>
      </w:tr>
      <w:tr w:rsidR="00934C02" w:rsidRPr="00934C02" w:rsidTr="00934C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000" w:firstRow="0" w:lastRow="0" w:firstColumn="0" w:lastColumn="0" w:noHBand="0" w:noVBand="0"/>
        </w:tblPrEx>
        <w:trPr>
          <w:trHeight w:val="731"/>
        </w:trPr>
        <w:tc>
          <w:tcPr>
            <w:tcW w:w="5855" w:type="dxa"/>
            <w:gridSpan w:val="3"/>
          </w:tcPr>
          <w:p w:rsidR="00934C02" w:rsidRPr="00934C02" w:rsidRDefault="00934C02" w:rsidP="00934C02">
            <w:pPr>
              <w:spacing w:after="0" w:line="240" w:lineRule="auto"/>
              <w:ind w:left="5"/>
              <w:jc w:val="both"/>
              <w:rPr>
                <w:rFonts w:ascii="Arial" w:eastAsia="Calibri" w:hAnsi="Arial" w:cs="Arial"/>
                <w:color w:val="000000"/>
                <w:sz w:val="24"/>
                <w:szCs w:val="24"/>
              </w:rPr>
            </w:pPr>
          </w:p>
          <w:p w:rsidR="00934C02" w:rsidRPr="00934C02" w:rsidRDefault="00934C02" w:rsidP="00934C02">
            <w:pPr>
              <w:spacing w:after="0" w:line="240" w:lineRule="auto"/>
              <w:jc w:val="both"/>
              <w:rPr>
                <w:rFonts w:ascii="Arial" w:eastAsia="Calibri" w:hAnsi="Arial" w:cs="Arial"/>
                <w:b/>
                <w:bCs/>
              </w:rPr>
            </w:pPr>
            <w:r w:rsidRPr="00934C02">
              <w:rPr>
                <w:rFonts w:ascii="Arial" w:eastAsia="Calibri" w:hAnsi="Arial" w:cs="Arial"/>
                <w:b/>
                <w:bCs/>
              </w:rPr>
              <w:t xml:space="preserve">               OLARU NADIA VERONICA-I.I., CUI 30833037</w:t>
            </w:r>
          </w:p>
          <w:p w:rsidR="00934C02" w:rsidRPr="00934C02" w:rsidRDefault="00934C02" w:rsidP="00934C02">
            <w:pPr>
              <w:autoSpaceDE w:val="0"/>
              <w:autoSpaceDN w:val="0"/>
              <w:adjustRightInd w:val="0"/>
              <w:spacing w:after="0" w:line="240" w:lineRule="auto"/>
              <w:ind w:left="5"/>
              <w:jc w:val="both"/>
              <w:rPr>
                <w:rFonts w:ascii="Arial" w:eastAsia="Calibri" w:hAnsi="Arial" w:cs="Arial"/>
                <w:color w:val="000000"/>
                <w:sz w:val="24"/>
                <w:szCs w:val="24"/>
              </w:rPr>
            </w:pPr>
          </w:p>
        </w:tc>
        <w:tc>
          <w:tcPr>
            <w:tcW w:w="3330" w:type="dxa"/>
            <w:vMerge w:val="restart"/>
          </w:tcPr>
          <w:p w:rsidR="00934C02" w:rsidRPr="00934C02" w:rsidRDefault="00934C02" w:rsidP="00934C02">
            <w:pPr>
              <w:spacing w:after="0" w:line="240" w:lineRule="auto"/>
              <w:jc w:val="both"/>
              <w:rPr>
                <w:rFonts w:ascii="Arial" w:eastAsia="Calibri" w:hAnsi="Arial" w:cs="Arial"/>
                <w:color w:val="000000"/>
                <w:sz w:val="24"/>
                <w:szCs w:val="24"/>
              </w:rPr>
            </w:pPr>
          </w:p>
          <w:p w:rsidR="00934C02" w:rsidRPr="00934C02" w:rsidRDefault="00934C02" w:rsidP="00934C02">
            <w:pPr>
              <w:spacing w:after="0" w:line="240" w:lineRule="auto"/>
              <w:jc w:val="both"/>
              <w:rPr>
                <w:rFonts w:ascii="Arial" w:eastAsia="Calibri" w:hAnsi="Arial" w:cs="Arial"/>
                <w:color w:val="000000"/>
                <w:sz w:val="24"/>
                <w:szCs w:val="24"/>
              </w:rPr>
            </w:pPr>
          </w:p>
          <w:p w:rsidR="00934C02" w:rsidRPr="00934C02" w:rsidRDefault="00934C02" w:rsidP="00934C02">
            <w:pPr>
              <w:spacing w:after="0" w:line="240" w:lineRule="auto"/>
              <w:jc w:val="both"/>
              <w:rPr>
                <w:rFonts w:ascii="Arial" w:eastAsia="Calibri" w:hAnsi="Arial" w:cs="Arial"/>
                <w:color w:val="000000"/>
                <w:sz w:val="24"/>
                <w:szCs w:val="24"/>
              </w:rPr>
            </w:pPr>
          </w:p>
          <w:p w:rsidR="00934C02" w:rsidRPr="00934C02" w:rsidRDefault="00934C02" w:rsidP="00934C02">
            <w:pPr>
              <w:spacing w:after="0" w:line="240" w:lineRule="auto"/>
              <w:jc w:val="both"/>
              <w:rPr>
                <w:rFonts w:ascii="Arial" w:eastAsia="Calibri" w:hAnsi="Arial" w:cs="Arial"/>
                <w:color w:val="000000"/>
                <w:sz w:val="24"/>
                <w:szCs w:val="24"/>
              </w:rPr>
            </w:pPr>
          </w:p>
          <w:p w:rsidR="00934C02" w:rsidRPr="00934C02" w:rsidRDefault="00934C02" w:rsidP="00934C02">
            <w:pPr>
              <w:spacing w:after="0" w:line="240" w:lineRule="auto"/>
              <w:jc w:val="both"/>
              <w:rPr>
                <w:rFonts w:ascii="Arial" w:eastAsia="Calibri" w:hAnsi="Arial" w:cs="Arial"/>
                <w:color w:val="000000"/>
                <w:sz w:val="24"/>
                <w:szCs w:val="24"/>
              </w:rPr>
            </w:pPr>
            <w:r w:rsidRPr="00934C02">
              <w:rPr>
                <w:rFonts w:ascii="Arial" w:eastAsia="Calibri" w:hAnsi="Arial" w:cs="Arial"/>
                <w:color w:val="000000"/>
                <w:sz w:val="24"/>
                <w:szCs w:val="24"/>
              </w:rPr>
              <w:t>82820 /BCI/2013</w:t>
            </w:r>
          </w:p>
          <w:p w:rsidR="00934C02" w:rsidRPr="00934C02" w:rsidRDefault="00934C02" w:rsidP="00934C02">
            <w:pPr>
              <w:spacing w:after="0" w:line="240" w:lineRule="auto"/>
              <w:jc w:val="both"/>
              <w:rPr>
                <w:rFonts w:ascii="Arial" w:eastAsia="Calibri" w:hAnsi="Arial" w:cs="Arial"/>
                <w:color w:val="000000"/>
                <w:sz w:val="24"/>
                <w:szCs w:val="24"/>
              </w:rPr>
            </w:pPr>
          </w:p>
          <w:p w:rsidR="00934C02" w:rsidRPr="00934C02" w:rsidRDefault="00934C02" w:rsidP="00934C02">
            <w:pPr>
              <w:autoSpaceDE w:val="0"/>
              <w:autoSpaceDN w:val="0"/>
              <w:adjustRightInd w:val="0"/>
              <w:spacing w:after="0" w:line="240" w:lineRule="auto"/>
              <w:jc w:val="both"/>
              <w:rPr>
                <w:rFonts w:ascii="Arial" w:eastAsia="Calibri" w:hAnsi="Arial" w:cs="Arial"/>
                <w:color w:val="000000"/>
                <w:sz w:val="24"/>
                <w:szCs w:val="24"/>
              </w:rPr>
            </w:pPr>
          </w:p>
        </w:tc>
        <w:tc>
          <w:tcPr>
            <w:tcW w:w="1800" w:type="dxa"/>
            <w:vMerge w:val="restart"/>
          </w:tcPr>
          <w:p w:rsidR="00934C02" w:rsidRPr="00934C02" w:rsidRDefault="00934C02" w:rsidP="00934C02">
            <w:pPr>
              <w:spacing w:after="0" w:line="240" w:lineRule="auto"/>
              <w:jc w:val="both"/>
              <w:rPr>
                <w:rFonts w:ascii="Arial" w:eastAsia="Calibri" w:hAnsi="Arial" w:cs="Arial"/>
                <w:color w:val="000000"/>
                <w:sz w:val="24"/>
                <w:szCs w:val="24"/>
              </w:rPr>
            </w:pPr>
          </w:p>
          <w:p w:rsidR="00934C02" w:rsidRPr="00934C02" w:rsidRDefault="00934C02" w:rsidP="00934C02">
            <w:pPr>
              <w:spacing w:after="0" w:line="240" w:lineRule="auto"/>
              <w:jc w:val="both"/>
              <w:rPr>
                <w:rFonts w:ascii="Arial" w:eastAsia="Calibri" w:hAnsi="Arial" w:cs="Arial"/>
                <w:color w:val="000000"/>
                <w:sz w:val="24"/>
                <w:szCs w:val="24"/>
              </w:rPr>
            </w:pPr>
          </w:p>
          <w:p w:rsidR="00934C02" w:rsidRPr="00934C02" w:rsidRDefault="00934C02" w:rsidP="00934C02">
            <w:pPr>
              <w:spacing w:after="0" w:line="240" w:lineRule="auto"/>
              <w:jc w:val="both"/>
              <w:rPr>
                <w:rFonts w:ascii="Arial" w:eastAsia="Calibri" w:hAnsi="Arial" w:cs="Arial"/>
                <w:color w:val="000000"/>
                <w:sz w:val="24"/>
                <w:szCs w:val="24"/>
              </w:rPr>
            </w:pPr>
          </w:p>
          <w:p w:rsidR="00934C02" w:rsidRPr="00934C02" w:rsidRDefault="00934C02" w:rsidP="00934C02">
            <w:pPr>
              <w:spacing w:after="0" w:line="240" w:lineRule="auto"/>
              <w:jc w:val="both"/>
              <w:rPr>
                <w:rFonts w:ascii="Arial" w:eastAsia="Calibri" w:hAnsi="Arial" w:cs="Arial"/>
                <w:color w:val="000000"/>
                <w:sz w:val="24"/>
                <w:szCs w:val="24"/>
              </w:rPr>
            </w:pPr>
          </w:p>
          <w:p w:rsidR="00934C02" w:rsidRPr="00934C02" w:rsidRDefault="00934C02" w:rsidP="00934C02">
            <w:pPr>
              <w:spacing w:after="0" w:line="240" w:lineRule="auto"/>
              <w:jc w:val="both"/>
              <w:rPr>
                <w:rFonts w:ascii="Arial" w:eastAsia="Calibri" w:hAnsi="Arial" w:cs="Arial"/>
                <w:color w:val="000000"/>
                <w:sz w:val="24"/>
                <w:szCs w:val="24"/>
              </w:rPr>
            </w:pPr>
            <w:r w:rsidRPr="00934C02">
              <w:rPr>
                <w:rFonts w:ascii="Arial" w:eastAsia="Calibri" w:hAnsi="Arial" w:cs="Arial"/>
                <w:color w:val="000000"/>
                <w:sz w:val="24"/>
                <w:szCs w:val="24"/>
              </w:rPr>
              <w:t>16169/18.02.2015 valabilă 08.2016</w:t>
            </w:r>
          </w:p>
          <w:p w:rsidR="00934C02" w:rsidRPr="00934C02" w:rsidRDefault="00934C02" w:rsidP="00934C02">
            <w:pPr>
              <w:spacing w:after="0" w:line="240" w:lineRule="auto"/>
              <w:jc w:val="both"/>
              <w:rPr>
                <w:rFonts w:ascii="Arial" w:eastAsia="Calibri" w:hAnsi="Arial" w:cs="Arial"/>
                <w:color w:val="000000"/>
                <w:sz w:val="24"/>
                <w:szCs w:val="24"/>
              </w:rPr>
            </w:pPr>
          </w:p>
          <w:p w:rsidR="00934C02" w:rsidRPr="00934C02" w:rsidRDefault="00934C02" w:rsidP="00934C02">
            <w:pPr>
              <w:autoSpaceDE w:val="0"/>
              <w:autoSpaceDN w:val="0"/>
              <w:adjustRightInd w:val="0"/>
              <w:spacing w:after="0" w:line="240" w:lineRule="auto"/>
              <w:jc w:val="both"/>
              <w:rPr>
                <w:rFonts w:ascii="Arial" w:eastAsia="Calibri" w:hAnsi="Arial" w:cs="Arial"/>
                <w:color w:val="000000"/>
                <w:sz w:val="24"/>
                <w:szCs w:val="24"/>
              </w:rPr>
            </w:pPr>
          </w:p>
        </w:tc>
        <w:tc>
          <w:tcPr>
            <w:tcW w:w="3095" w:type="dxa"/>
            <w:vMerge w:val="restart"/>
          </w:tcPr>
          <w:p w:rsidR="00934C02" w:rsidRPr="00934C02" w:rsidRDefault="00934C02" w:rsidP="00934C02">
            <w:pPr>
              <w:spacing w:after="0" w:line="240" w:lineRule="auto"/>
              <w:jc w:val="both"/>
              <w:rPr>
                <w:rFonts w:ascii="Arial" w:eastAsia="Calibri" w:hAnsi="Arial" w:cs="Arial"/>
                <w:color w:val="000000"/>
                <w:sz w:val="24"/>
                <w:szCs w:val="24"/>
              </w:rPr>
            </w:pPr>
          </w:p>
          <w:p w:rsidR="00934C02" w:rsidRPr="00934C02" w:rsidRDefault="00934C02" w:rsidP="00934C02">
            <w:pPr>
              <w:spacing w:after="0" w:line="240" w:lineRule="auto"/>
              <w:jc w:val="both"/>
              <w:rPr>
                <w:rFonts w:ascii="Arial" w:eastAsia="Calibri" w:hAnsi="Arial" w:cs="Arial"/>
                <w:color w:val="000000"/>
                <w:sz w:val="24"/>
                <w:szCs w:val="24"/>
              </w:rPr>
            </w:pPr>
          </w:p>
          <w:p w:rsidR="00934C02" w:rsidRPr="00934C02" w:rsidRDefault="00934C02" w:rsidP="00934C02">
            <w:pPr>
              <w:spacing w:after="0" w:line="240" w:lineRule="auto"/>
              <w:jc w:val="both"/>
              <w:rPr>
                <w:rFonts w:ascii="Arial" w:eastAsia="Calibri" w:hAnsi="Arial" w:cs="Arial"/>
                <w:color w:val="000000"/>
                <w:sz w:val="24"/>
                <w:szCs w:val="24"/>
              </w:rPr>
            </w:pPr>
          </w:p>
          <w:p w:rsidR="00934C02" w:rsidRPr="00934C02" w:rsidRDefault="00934C02" w:rsidP="00934C02">
            <w:pPr>
              <w:spacing w:after="0" w:line="240" w:lineRule="auto"/>
              <w:jc w:val="both"/>
              <w:rPr>
                <w:rFonts w:ascii="Arial" w:eastAsia="Calibri" w:hAnsi="Arial" w:cs="Arial"/>
                <w:color w:val="000000"/>
                <w:sz w:val="24"/>
                <w:szCs w:val="24"/>
              </w:rPr>
            </w:pPr>
            <w:r w:rsidRPr="00934C02">
              <w:rPr>
                <w:rFonts w:ascii="Arial" w:eastAsia="Calibri" w:hAnsi="Arial" w:cs="Arial"/>
                <w:color w:val="000000"/>
                <w:sz w:val="24"/>
                <w:szCs w:val="24"/>
              </w:rPr>
              <w:t xml:space="preserve">91/15.07.2015, valabila 14.07.2025 </w:t>
            </w:r>
          </w:p>
          <w:p w:rsidR="00934C02" w:rsidRPr="00934C02" w:rsidRDefault="00934C02" w:rsidP="00934C02">
            <w:pPr>
              <w:spacing w:after="0" w:line="240" w:lineRule="auto"/>
              <w:jc w:val="both"/>
              <w:rPr>
                <w:rFonts w:ascii="Arial" w:eastAsia="Calibri" w:hAnsi="Arial" w:cs="Arial"/>
                <w:color w:val="000000"/>
                <w:sz w:val="24"/>
                <w:szCs w:val="24"/>
              </w:rPr>
            </w:pPr>
            <w:r w:rsidRPr="00934C02">
              <w:rPr>
                <w:rFonts w:ascii="Arial" w:eastAsia="Calibri" w:hAnsi="Arial" w:cs="Arial"/>
                <w:color w:val="000000"/>
                <w:sz w:val="24"/>
                <w:szCs w:val="24"/>
              </w:rPr>
              <w:t>CAEN (Rev 2) 3811, 3812, 3831, 3832, 4677</w:t>
            </w:r>
          </w:p>
          <w:p w:rsidR="00934C02" w:rsidRPr="00934C02" w:rsidRDefault="00934C02" w:rsidP="00934C02">
            <w:pPr>
              <w:spacing w:after="0" w:line="240" w:lineRule="auto"/>
              <w:jc w:val="both"/>
              <w:rPr>
                <w:rFonts w:ascii="Arial" w:eastAsia="Calibri" w:hAnsi="Arial" w:cs="Arial"/>
                <w:color w:val="000000"/>
                <w:sz w:val="24"/>
                <w:szCs w:val="24"/>
              </w:rPr>
            </w:pPr>
          </w:p>
          <w:p w:rsidR="00934C02" w:rsidRPr="00934C02" w:rsidRDefault="00934C02" w:rsidP="00934C02">
            <w:pPr>
              <w:spacing w:after="0" w:line="240" w:lineRule="auto"/>
              <w:jc w:val="both"/>
              <w:rPr>
                <w:rFonts w:ascii="Arial" w:eastAsia="Calibri" w:hAnsi="Arial" w:cs="Arial"/>
                <w:color w:val="000000"/>
                <w:sz w:val="24"/>
                <w:szCs w:val="24"/>
              </w:rPr>
            </w:pPr>
          </w:p>
          <w:p w:rsidR="00934C02" w:rsidRPr="00934C02" w:rsidRDefault="00934C02" w:rsidP="00934C02">
            <w:pPr>
              <w:autoSpaceDE w:val="0"/>
              <w:autoSpaceDN w:val="0"/>
              <w:adjustRightInd w:val="0"/>
              <w:spacing w:after="0" w:line="240" w:lineRule="auto"/>
              <w:jc w:val="both"/>
              <w:rPr>
                <w:rFonts w:ascii="Arial" w:eastAsia="Calibri" w:hAnsi="Arial" w:cs="Arial"/>
                <w:color w:val="000000"/>
                <w:sz w:val="24"/>
                <w:szCs w:val="24"/>
              </w:rPr>
            </w:pPr>
          </w:p>
        </w:tc>
      </w:tr>
      <w:tr w:rsidR="00934C02" w:rsidRPr="00934C02" w:rsidTr="00934C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000" w:firstRow="0" w:lastRow="0" w:firstColumn="0" w:lastColumn="0" w:noHBand="0" w:noVBand="0"/>
        </w:tblPrEx>
        <w:trPr>
          <w:trHeight w:val="1457"/>
        </w:trPr>
        <w:tc>
          <w:tcPr>
            <w:tcW w:w="3613" w:type="dxa"/>
          </w:tcPr>
          <w:p w:rsidR="00934C02" w:rsidRPr="00934C02" w:rsidRDefault="00934C02" w:rsidP="00934C02">
            <w:pPr>
              <w:autoSpaceDE w:val="0"/>
              <w:autoSpaceDN w:val="0"/>
              <w:adjustRightInd w:val="0"/>
              <w:spacing w:after="0" w:line="240" w:lineRule="auto"/>
              <w:ind w:left="5"/>
              <w:jc w:val="both"/>
              <w:rPr>
                <w:rFonts w:ascii="Arial" w:eastAsia="Calibri" w:hAnsi="Arial" w:cs="Arial"/>
                <w:sz w:val="24"/>
                <w:szCs w:val="24"/>
              </w:rPr>
            </w:pPr>
          </w:p>
          <w:p w:rsidR="00934C02" w:rsidRPr="00934C02" w:rsidRDefault="00934C02" w:rsidP="00934C02">
            <w:pPr>
              <w:autoSpaceDE w:val="0"/>
              <w:autoSpaceDN w:val="0"/>
              <w:adjustRightInd w:val="0"/>
              <w:spacing w:after="0" w:line="240" w:lineRule="auto"/>
              <w:ind w:left="5"/>
              <w:jc w:val="both"/>
              <w:rPr>
                <w:rFonts w:ascii="Arial" w:eastAsia="Calibri" w:hAnsi="Arial" w:cs="Arial"/>
                <w:sz w:val="24"/>
                <w:szCs w:val="24"/>
              </w:rPr>
            </w:pPr>
          </w:p>
          <w:p w:rsidR="00934C02" w:rsidRPr="00934C02" w:rsidRDefault="00934C02" w:rsidP="00934C02">
            <w:pPr>
              <w:autoSpaceDE w:val="0"/>
              <w:autoSpaceDN w:val="0"/>
              <w:adjustRightInd w:val="0"/>
              <w:spacing w:after="0" w:line="240" w:lineRule="auto"/>
              <w:ind w:left="5"/>
              <w:jc w:val="both"/>
              <w:rPr>
                <w:rFonts w:ascii="Arial" w:eastAsia="Calibri" w:hAnsi="Arial" w:cs="Arial"/>
                <w:sz w:val="24"/>
                <w:szCs w:val="24"/>
              </w:rPr>
            </w:pPr>
            <w:r w:rsidRPr="00934C02">
              <w:rPr>
                <w:rFonts w:ascii="Arial" w:eastAsia="Calibri" w:hAnsi="Arial" w:cs="Arial"/>
                <w:sz w:val="24"/>
                <w:szCs w:val="24"/>
              </w:rPr>
              <w:t>aleea Garoafelor, nr 1, loc. Barlad, jud. Vaslui, tel. 0753/864697</w:t>
            </w:r>
          </w:p>
          <w:p w:rsidR="00934C02" w:rsidRPr="00934C02" w:rsidRDefault="00934C02" w:rsidP="00934C02">
            <w:pPr>
              <w:autoSpaceDE w:val="0"/>
              <w:autoSpaceDN w:val="0"/>
              <w:adjustRightInd w:val="0"/>
              <w:spacing w:after="0" w:line="240" w:lineRule="auto"/>
              <w:ind w:left="5"/>
              <w:jc w:val="both"/>
              <w:rPr>
                <w:rFonts w:ascii="Arial" w:eastAsia="Calibri" w:hAnsi="Arial" w:cs="Arial"/>
                <w:sz w:val="24"/>
                <w:szCs w:val="24"/>
              </w:rPr>
            </w:pPr>
          </w:p>
          <w:p w:rsidR="00934C02" w:rsidRPr="00934C02" w:rsidRDefault="00934C02" w:rsidP="00934C02">
            <w:pPr>
              <w:autoSpaceDE w:val="0"/>
              <w:autoSpaceDN w:val="0"/>
              <w:adjustRightInd w:val="0"/>
              <w:spacing w:after="0" w:line="240" w:lineRule="auto"/>
              <w:ind w:left="5"/>
              <w:jc w:val="both"/>
              <w:rPr>
                <w:rFonts w:ascii="Arial" w:eastAsia="Calibri" w:hAnsi="Arial" w:cs="Arial"/>
                <w:color w:val="000000"/>
                <w:sz w:val="24"/>
                <w:szCs w:val="24"/>
              </w:rPr>
            </w:pPr>
          </w:p>
        </w:tc>
        <w:tc>
          <w:tcPr>
            <w:tcW w:w="2242" w:type="dxa"/>
            <w:gridSpan w:val="2"/>
          </w:tcPr>
          <w:p w:rsidR="00934C02" w:rsidRPr="00934C02" w:rsidRDefault="00934C02" w:rsidP="00934C02">
            <w:pPr>
              <w:spacing w:after="0" w:line="240" w:lineRule="auto"/>
              <w:jc w:val="both"/>
              <w:rPr>
                <w:rFonts w:ascii="Arial" w:eastAsia="Calibri" w:hAnsi="Arial" w:cs="Arial"/>
                <w:color w:val="000000"/>
                <w:sz w:val="24"/>
                <w:szCs w:val="24"/>
              </w:rPr>
            </w:pPr>
          </w:p>
          <w:p w:rsidR="00934C02" w:rsidRPr="00934C02" w:rsidRDefault="00934C02" w:rsidP="00934C02">
            <w:pPr>
              <w:spacing w:after="0" w:line="240" w:lineRule="auto"/>
              <w:jc w:val="both"/>
              <w:rPr>
                <w:rFonts w:ascii="Arial" w:eastAsia="Calibri" w:hAnsi="Arial" w:cs="Arial"/>
                <w:color w:val="000000"/>
                <w:sz w:val="24"/>
                <w:szCs w:val="24"/>
              </w:rPr>
            </w:pPr>
          </w:p>
          <w:p w:rsidR="00934C02" w:rsidRPr="00934C02" w:rsidRDefault="00934C02" w:rsidP="00934C02">
            <w:pPr>
              <w:spacing w:after="0" w:line="240" w:lineRule="auto"/>
              <w:jc w:val="both"/>
              <w:rPr>
                <w:rFonts w:ascii="Arial" w:eastAsia="Calibri" w:hAnsi="Arial" w:cs="Arial"/>
                <w:color w:val="000000"/>
                <w:sz w:val="24"/>
                <w:szCs w:val="24"/>
              </w:rPr>
            </w:pPr>
          </w:p>
          <w:p w:rsidR="00934C02" w:rsidRPr="00934C02" w:rsidRDefault="00934C02" w:rsidP="00934C02">
            <w:pPr>
              <w:spacing w:after="0" w:line="240" w:lineRule="auto"/>
              <w:jc w:val="both"/>
              <w:rPr>
                <w:rFonts w:ascii="Arial" w:eastAsia="Calibri" w:hAnsi="Arial" w:cs="Arial"/>
              </w:rPr>
            </w:pPr>
            <w:r w:rsidRPr="00934C02">
              <w:rPr>
                <w:rFonts w:ascii="Arial" w:eastAsia="Calibri" w:hAnsi="Arial" w:cs="Arial"/>
              </w:rPr>
              <w:t>com. Perieni</w:t>
            </w:r>
          </w:p>
          <w:p w:rsidR="00934C02" w:rsidRPr="00934C02" w:rsidRDefault="00934C02" w:rsidP="00934C02">
            <w:pPr>
              <w:spacing w:after="0" w:line="240" w:lineRule="auto"/>
              <w:jc w:val="both"/>
              <w:rPr>
                <w:rFonts w:ascii="Arial" w:eastAsia="Calibri" w:hAnsi="Arial" w:cs="Arial"/>
                <w:color w:val="000000"/>
                <w:sz w:val="24"/>
                <w:szCs w:val="24"/>
              </w:rPr>
            </w:pPr>
          </w:p>
          <w:p w:rsidR="00934C02" w:rsidRPr="00934C02" w:rsidRDefault="00934C02" w:rsidP="00934C02">
            <w:pPr>
              <w:autoSpaceDE w:val="0"/>
              <w:autoSpaceDN w:val="0"/>
              <w:adjustRightInd w:val="0"/>
              <w:spacing w:after="0" w:line="240" w:lineRule="auto"/>
              <w:jc w:val="both"/>
              <w:rPr>
                <w:rFonts w:ascii="Arial" w:eastAsia="Calibri" w:hAnsi="Arial" w:cs="Arial"/>
                <w:color w:val="000000"/>
                <w:sz w:val="24"/>
                <w:szCs w:val="24"/>
              </w:rPr>
            </w:pPr>
          </w:p>
        </w:tc>
        <w:tc>
          <w:tcPr>
            <w:tcW w:w="3330" w:type="dxa"/>
            <w:vMerge/>
          </w:tcPr>
          <w:p w:rsidR="00934C02" w:rsidRPr="00934C02" w:rsidRDefault="00934C02" w:rsidP="00934C02">
            <w:pPr>
              <w:spacing w:after="0" w:line="240" w:lineRule="auto"/>
              <w:jc w:val="both"/>
              <w:rPr>
                <w:rFonts w:ascii="Arial" w:eastAsia="Calibri" w:hAnsi="Arial" w:cs="Arial"/>
                <w:color w:val="000000"/>
                <w:sz w:val="24"/>
                <w:szCs w:val="24"/>
              </w:rPr>
            </w:pPr>
          </w:p>
        </w:tc>
        <w:tc>
          <w:tcPr>
            <w:tcW w:w="1800" w:type="dxa"/>
            <w:vMerge/>
          </w:tcPr>
          <w:p w:rsidR="00934C02" w:rsidRPr="00934C02" w:rsidRDefault="00934C02" w:rsidP="00934C02">
            <w:pPr>
              <w:spacing w:after="0" w:line="240" w:lineRule="auto"/>
              <w:jc w:val="both"/>
              <w:rPr>
                <w:rFonts w:ascii="Arial" w:eastAsia="Calibri" w:hAnsi="Arial" w:cs="Arial"/>
                <w:color w:val="000000"/>
                <w:sz w:val="24"/>
                <w:szCs w:val="24"/>
              </w:rPr>
            </w:pPr>
          </w:p>
        </w:tc>
        <w:tc>
          <w:tcPr>
            <w:tcW w:w="3095" w:type="dxa"/>
            <w:vMerge/>
          </w:tcPr>
          <w:p w:rsidR="00934C02" w:rsidRPr="00934C02" w:rsidRDefault="00934C02" w:rsidP="00934C02">
            <w:pPr>
              <w:spacing w:after="0" w:line="240" w:lineRule="auto"/>
              <w:jc w:val="both"/>
              <w:rPr>
                <w:rFonts w:ascii="Arial" w:eastAsia="Calibri" w:hAnsi="Arial" w:cs="Arial"/>
                <w:color w:val="000000"/>
                <w:sz w:val="24"/>
                <w:szCs w:val="24"/>
              </w:rPr>
            </w:pPr>
          </w:p>
        </w:tc>
      </w:tr>
    </w:tbl>
    <w:p w:rsidR="00934C02" w:rsidRPr="00934C02" w:rsidRDefault="00934C02" w:rsidP="00934C02">
      <w:pPr>
        <w:autoSpaceDE w:val="0"/>
        <w:autoSpaceDN w:val="0"/>
        <w:adjustRightInd w:val="0"/>
        <w:spacing w:after="0" w:line="240" w:lineRule="auto"/>
        <w:jc w:val="both"/>
        <w:rPr>
          <w:rFonts w:ascii="Arial" w:eastAsia="Calibri" w:hAnsi="Arial" w:cs="Arial"/>
          <w:sz w:val="24"/>
          <w:szCs w:val="24"/>
        </w:rPr>
      </w:pPr>
      <w:r w:rsidRPr="00934C02">
        <w:rPr>
          <w:rFonts w:ascii="Arial" w:eastAsia="Calibri" w:hAnsi="Arial" w:cs="Arial"/>
          <w:sz w:val="24"/>
          <w:szCs w:val="24"/>
        </w:rPr>
        <w:t xml:space="preserve"> </w:t>
      </w:r>
    </w:p>
    <w:p w:rsidR="00934C02" w:rsidRPr="00934C02" w:rsidRDefault="00934C02" w:rsidP="004F131A">
      <w:pPr>
        <w:autoSpaceDE w:val="0"/>
        <w:autoSpaceDN w:val="0"/>
        <w:adjustRightInd w:val="0"/>
        <w:spacing w:after="0" w:line="240" w:lineRule="auto"/>
        <w:rPr>
          <w:rFonts w:ascii="Arial" w:hAnsi="Arial" w:cs="Arial"/>
          <w:sz w:val="24"/>
          <w:szCs w:val="24"/>
        </w:rPr>
      </w:pPr>
      <w:r w:rsidRPr="00934C02">
        <w:rPr>
          <w:rFonts w:ascii="Arial" w:eastAsia="SimSun" w:hAnsi="Arial" w:cs="Arial"/>
          <w:sz w:val="24"/>
          <w:szCs w:val="24"/>
        </w:rPr>
        <w:t>Tabelul VII.22.</w:t>
      </w:r>
      <w:r w:rsidRPr="00934C02">
        <w:rPr>
          <w:rFonts w:ascii="Arial" w:hAnsi="Arial" w:cs="Arial"/>
          <w:sz w:val="24"/>
          <w:szCs w:val="24"/>
        </w:rPr>
        <w:t xml:space="preserve"> Cantităţile de VSU colectate / tratate în judeţul Vaslui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548"/>
        <w:gridCol w:w="1548"/>
        <w:gridCol w:w="1548"/>
        <w:gridCol w:w="1548"/>
        <w:gridCol w:w="1548"/>
      </w:tblGrid>
      <w:tr w:rsidR="00934C02" w:rsidRPr="00934C02" w:rsidTr="00934C02">
        <w:tc>
          <w:tcPr>
            <w:tcW w:w="1548" w:type="dxa"/>
            <w:vMerge w:val="restart"/>
            <w:shd w:val="clear" w:color="auto" w:fill="auto"/>
          </w:tcPr>
          <w:p w:rsidR="00934C02" w:rsidRPr="00934C02" w:rsidRDefault="00934C02" w:rsidP="00934C02">
            <w:pPr>
              <w:spacing w:after="0" w:line="240" w:lineRule="auto"/>
              <w:jc w:val="both"/>
              <w:rPr>
                <w:rFonts w:ascii="Arial" w:eastAsia="Times New Roman" w:hAnsi="Arial" w:cs="Arial"/>
                <w:sz w:val="24"/>
                <w:szCs w:val="24"/>
              </w:rPr>
            </w:pPr>
          </w:p>
          <w:p w:rsidR="00934C02" w:rsidRPr="00934C02" w:rsidRDefault="00934C02" w:rsidP="00934C02">
            <w:pPr>
              <w:spacing w:after="0" w:line="240" w:lineRule="auto"/>
              <w:jc w:val="both"/>
              <w:rPr>
                <w:rFonts w:ascii="Arial" w:eastAsia="Times New Roman" w:hAnsi="Arial" w:cs="Arial"/>
                <w:sz w:val="24"/>
                <w:szCs w:val="24"/>
              </w:rPr>
            </w:pPr>
            <w:r w:rsidRPr="00934C02">
              <w:rPr>
                <w:rFonts w:ascii="Arial" w:eastAsia="Times New Roman" w:hAnsi="Arial" w:cs="Arial"/>
                <w:sz w:val="24"/>
                <w:szCs w:val="24"/>
              </w:rPr>
              <w:t>Anul</w:t>
            </w:r>
          </w:p>
        </w:tc>
        <w:tc>
          <w:tcPr>
            <w:tcW w:w="7740" w:type="dxa"/>
            <w:gridSpan w:val="5"/>
            <w:shd w:val="clear" w:color="auto" w:fill="auto"/>
          </w:tcPr>
          <w:p w:rsidR="00934C02" w:rsidRPr="00934C02" w:rsidRDefault="00934C02" w:rsidP="00934C02">
            <w:pPr>
              <w:spacing w:after="0" w:line="240" w:lineRule="auto"/>
              <w:jc w:val="center"/>
              <w:rPr>
                <w:rFonts w:ascii="Arial" w:eastAsia="Times New Roman" w:hAnsi="Arial" w:cs="Arial"/>
                <w:sz w:val="24"/>
                <w:szCs w:val="24"/>
              </w:rPr>
            </w:pPr>
            <w:r w:rsidRPr="00934C02">
              <w:rPr>
                <w:rFonts w:ascii="Arial" w:eastAsia="Times New Roman" w:hAnsi="Arial" w:cs="Arial"/>
                <w:sz w:val="24"/>
                <w:szCs w:val="24"/>
              </w:rPr>
              <w:t>Cantităţi de VSU colectate / tratate – buc.</w:t>
            </w:r>
          </w:p>
        </w:tc>
      </w:tr>
      <w:tr w:rsidR="00934C02" w:rsidRPr="00934C02" w:rsidTr="00934C02">
        <w:tc>
          <w:tcPr>
            <w:tcW w:w="1548" w:type="dxa"/>
            <w:vMerge/>
            <w:shd w:val="clear" w:color="auto" w:fill="auto"/>
          </w:tcPr>
          <w:p w:rsidR="00934C02" w:rsidRPr="00934C02" w:rsidRDefault="00934C02" w:rsidP="00934C02">
            <w:pPr>
              <w:spacing w:after="0" w:line="240" w:lineRule="auto"/>
              <w:jc w:val="both"/>
              <w:rPr>
                <w:rFonts w:ascii="Arial" w:eastAsia="Times New Roman" w:hAnsi="Arial" w:cs="Arial"/>
                <w:sz w:val="24"/>
                <w:szCs w:val="24"/>
              </w:rPr>
            </w:pPr>
            <w:r w:rsidRPr="00934C02">
              <w:rPr>
                <w:rFonts w:ascii="Arial" w:eastAsia="Times New Roman" w:hAnsi="Arial" w:cs="Arial"/>
                <w:noProof/>
                <w:sz w:val="24"/>
                <w:szCs w:val="24"/>
              </w:rPr>
              <w:drawing>
                <wp:inline distT="0" distB="0" distL="0" distR="0" wp14:anchorId="174DC010" wp14:editId="1CCDD146">
                  <wp:extent cx="5503545" cy="3217545"/>
                  <wp:effectExtent l="0" t="0" r="0" b="0"/>
                  <wp:docPr id="248" name="Diagramă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r w:rsidRPr="00934C02">
              <w:rPr>
                <w:rFonts w:ascii="Arial" w:eastAsia="Times New Roman" w:hAnsi="Arial" w:cs="Arial"/>
                <w:noProof/>
                <w:sz w:val="24"/>
                <w:szCs w:val="24"/>
              </w:rPr>
              <w:drawing>
                <wp:inline distT="0" distB="0" distL="0" distR="0" wp14:anchorId="1EE22B65" wp14:editId="65A787AC">
                  <wp:extent cx="5503545" cy="3217545"/>
                  <wp:effectExtent l="0" t="0" r="0" b="0"/>
                  <wp:docPr id="249" name="Diagramă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r w:rsidRPr="00934C02">
              <w:rPr>
                <w:rFonts w:ascii="Arial" w:eastAsia="Times New Roman" w:hAnsi="Arial" w:cs="Arial"/>
                <w:noProof/>
                <w:sz w:val="24"/>
                <w:szCs w:val="24"/>
              </w:rPr>
              <w:drawing>
                <wp:inline distT="0" distB="0" distL="0" distR="0" wp14:anchorId="670CC459" wp14:editId="6FD575A0">
                  <wp:extent cx="5503545" cy="3217545"/>
                  <wp:effectExtent l="0" t="0" r="0" b="0"/>
                  <wp:docPr id="250" name="Diagramă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tc>
        <w:tc>
          <w:tcPr>
            <w:tcW w:w="1548" w:type="dxa"/>
            <w:shd w:val="clear" w:color="auto" w:fill="auto"/>
          </w:tcPr>
          <w:p w:rsidR="00934C02" w:rsidRPr="00934C02" w:rsidRDefault="00934C02" w:rsidP="00934C02">
            <w:pPr>
              <w:spacing w:after="0" w:line="240" w:lineRule="auto"/>
              <w:jc w:val="both"/>
              <w:rPr>
                <w:rFonts w:ascii="Arial" w:eastAsia="Times New Roman" w:hAnsi="Arial" w:cs="Arial"/>
                <w:sz w:val="24"/>
                <w:szCs w:val="24"/>
              </w:rPr>
            </w:pPr>
            <w:r w:rsidRPr="00934C02">
              <w:rPr>
                <w:rFonts w:ascii="Arial" w:eastAsia="Times New Roman" w:hAnsi="Arial" w:cs="Arial"/>
                <w:sz w:val="24"/>
                <w:szCs w:val="24"/>
              </w:rPr>
              <w:t>2010</w:t>
            </w:r>
          </w:p>
        </w:tc>
        <w:tc>
          <w:tcPr>
            <w:tcW w:w="1548" w:type="dxa"/>
            <w:shd w:val="clear" w:color="auto" w:fill="auto"/>
          </w:tcPr>
          <w:p w:rsidR="00934C02" w:rsidRPr="00934C02" w:rsidRDefault="00934C02" w:rsidP="00934C02">
            <w:pPr>
              <w:spacing w:after="0" w:line="240" w:lineRule="auto"/>
              <w:jc w:val="both"/>
              <w:rPr>
                <w:rFonts w:ascii="Arial" w:eastAsia="Times New Roman" w:hAnsi="Arial" w:cs="Arial"/>
                <w:sz w:val="24"/>
                <w:szCs w:val="24"/>
              </w:rPr>
            </w:pPr>
            <w:r w:rsidRPr="00934C02">
              <w:rPr>
                <w:rFonts w:ascii="Arial" w:eastAsia="Times New Roman" w:hAnsi="Arial" w:cs="Arial"/>
                <w:sz w:val="24"/>
                <w:szCs w:val="24"/>
              </w:rPr>
              <w:t>2011</w:t>
            </w:r>
          </w:p>
        </w:tc>
        <w:tc>
          <w:tcPr>
            <w:tcW w:w="1548" w:type="dxa"/>
            <w:shd w:val="clear" w:color="auto" w:fill="auto"/>
          </w:tcPr>
          <w:p w:rsidR="00934C02" w:rsidRPr="00934C02" w:rsidRDefault="00934C02" w:rsidP="00934C02">
            <w:pPr>
              <w:spacing w:after="0" w:line="240" w:lineRule="auto"/>
              <w:jc w:val="both"/>
              <w:rPr>
                <w:rFonts w:ascii="Arial" w:eastAsia="Times New Roman" w:hAnsi="Arial" w:cs="Arial"/>
                <w:sz w:val="24"/>
                <w:szCs w:val="24"/>
              </w:rPr>
            </w:pPr>
            <w:r w:rsidRPr="00934C02">
              <w:rPr>
                <w:rFonts w:ascii="Arial" w:eastAsia="Times New Roman" w:hAnsi="Arial" w:cs="Arial"/>
                <w:sz w:val="24"/>
                <w:szCs w:val="24"/>
              </w:rPr>
              <w:t>2012</w:t>
            </w:r>
          </w:p>
        </w:tc>
        <w:tc>
          <w:tcPr>
            <w:tcW w:w="1548" w:type="dxa"/>
            <w:shd w:val="clear" w:color="auto" w:fill="auto"/>
          </w:tcPr>
          <w:p w:rsidR="00934C02" w:rsidRPr="00934C02" w:rsidRDefault="00934C02" w:rsidP="00934C02">
            <w:pPr>
              <w:spacing w:after="0" w:line="240" w:lineRule="auto"/>
              <w:jc w:val="both"/>
              <w:rPr>
                <w:rFonts w:ascii="Arial" w:eastAsia="Times New Roman" w:hAnsi="Arial" w:cs="Arial"/>
                <w:sz w:val="24"/>
                <w:szCs w:val="24"/>
              </w:rPr>
            </w:pPr>
            <w:r w:rsidRPr="00934C02">
              <w:rPr>
                <w:rFonts w:ascii="Arial" w:eastAsia="Times New Roman" w:hAnsi="Arial" w:cs="Arial"/>
                <w:sz w:val="24"/>
                <w:szCs w:val="24"/>
              </w:rPr>
              <w:t>2013</w:t>
            </w:r>
          </w:p>
        </w:tc>
        <w:tc>
          <w:tcPr>
            <w:tcW w:w="1548" w:type="dxa"/>
            <w:shd w:val="clear" w:color="auto" w:fill="auto"/>
          </w:tcPr>
          <w:p w:rsidR="00934C02" w:rsidRPr="00934C02" w:rsidRDefault="00934C02" w:rsidP="00934C02">
            <w:pPr>
              <w:spacing w:after="0" w:line="240" w:lineRule="auto"/>
              <w:jc w:val="both"/>
              <w:rPr>
                <w:rFonts w:ascii="Arial" w:eastAsia="Times New Roman" w:hAnsi="Arial" w:cs="Arial"/>
                <w:sz w:val="24"/>
                <w:szCs w:val="24"/>
              </w:rPr>
            </w:pPr>
            <w:r w:rsidRPr="00934C02">
              <w:rPr>
                <w:rFonts w:ascii="Arial" w:eastAsia="Times New Roman" w:hAnsi="Arial" w:cs="Arial"/>
                <w:sz w:val="24"/>
                <w:szCs w:val="24"/>
              </w:rPr>
              <w:t>2014</w:t>
            </w:r>
          </w:p>
        </w:tc>
      </w:tr>
      <w:tr w:rsidR="00934C02" w:rsidRPr="00934C02" w:rsidTr="00934C02">
        <w:tc>
          <w:tcPr>
            <w:tcW w:w="1548" w:type="dxa"/>
            <w:shd w:val="clear" w:color="auto" w:fill="auto"/>
          </w:tcPr>
          <w:p w:rsidR="00934C02" w:rsidRPr="00934C02" w:rsidRDefault="00934C02" w:rsidP="00934C02">
            <w:pPr>
              <w:spacing w:after="0" w:line="240" w:lineRule="auto"/>
              <w:jc w:val="both"/>
              <w:rPr>
                <w:rFonts w:ascii="Arial" w:eastAsia="Times New Roman" w:hAnsi="Arial" w:cs="Arial"/>
                <w:sz w:val="24"/>
                <w:szCs w:val="24"/>
              </w:rPr>
            </w:pPr>
            <w:r w:rsidRPr="00934C02">
              <w:rPr>
                <w:rFonts w:ascii="Arial" w:eastAsia="Times New Roman" w:hAnsi="Arial" w:cs="Arial"/>
                <w:sz w:val="24"/>
                <w:szCs w:val="24"/>
              </w:rPr>
              <w:t>Colectate</w:t>
            </w:r>
          </w:p>
        </w:tc>
        <w:tc>
          <w:tcPr>
            <w:tcW w:w="1548" w:type="dxa"/>
            <w:shd w:val="clear" w:color="auto" w:fill="auto"/>
          </w:tcPr>
          <w:p w:rsidR="00934C02" w:rsidRPr="00934C02" w:rsidRDefault="00934C02" w:rsidP="00934C02">
            <w:pPr>
              <w:spacing w:after="0" w:line="240" w:lineRule="auto"/>
              <w:jc w:val="both"/>
              <w:rPr>
                <w:rFonts w:ascii="Arial" w:eastAsia="Times New Roman" w:hAnsi="Arial" w:cs="Arial"/>
                <w:sz w:val="24"/>
                <w:szCs w:val="24"/>
              </w:rPr>
            </w:pPr>
            <w:r w:rsidRPr="00934C02">
              <w:rPr>
                <w:rFonts w:ascii="Arial" w:eastAsia="Times New Roman" w:hAnsi="Arial" w:cs="Arial"/>
                <w:sz w:val="24"/>
                <w:szCs w:val="24"/>
              </w:rPr>
              <w:t>2310</w:t>
            </w:r>
          </w:p>
        </w:tc>
        <w:tc>
          <w:tcPr>
            <w:tcW w:w="1548" w:type="dxa"/>
            <w:shd w:val="clear" w:color="auto" w:fill="auto"/>
          </w:tcPr>
          <w:p w:rsidR="00934C02" w:rsidRPr="00934C02" w:rsidRDefault="00934C02" w:rsidP="00934C02">
            <w:pPr>
              <w:spacing w:after="0" w:line="240" w:lineRule="auto"/>
              <w:jc w:val="both"/>
              <w:rPr>
                <w:rFonts w:ascii="Arial" w:eastAsia="Times New Roman" w:hAnsi="Arial" w:cs="Arial"/>
                <w:sz w:val="24"/>
                <w:szCs w:val="24"/>
              </w:rPr>
            </w:pPr>
            <w:r w:rsidRPr="00934C02">
              <w:rPr>
                <w:rFonts w:ascii="Arial" w:eastAsia="Times New Roman" w:hAnsi="Arial" w:cs="Arial"/>
                <w:sz w:val="24"/>
                <w:szCs w:val="24"/>
              </w:rPr>
              <w:t>898</w:t>
            </w:r>
          </w:p>
        </w:tc>
        <w:tc>
          <w:tcPr>
            <w:tcW w:w="1548" w:type="dxa"/>
            <w:shd w:val="clear" w:color="auto" w:fill="auto"/>
          </w:tcPr>
          <w:p w:rsidR="00934C02" w:rsidRPr="00934C02" w:rsidRDefault="00934C02" w:rsidP="00934C02">
            <w:pPr>
              <w:spacing w:after="0" w:line="240" w:lineRule="auto"/>
              <w:jc w:val="both"/>
              <w:rPr>
                <w:rFonts w:ascii="Arial" w:eastAsia="Times New Roman" w:hAnsi="Arial" w:cs="Arial"/>
                <w:sz w:val="24"/>
                <w:szCs w:val="24"/>
              </w:rPr>
            </w:pPr>
            <w:r w:rsidRPr="00934C02">
              <w:rPr>
                <w:rFonts w:ascii="Arial" w:eastAsia="Times New Roman" w:hAnsi="Arial" w:cs="Arial"/>
                <w:sz w:val="24"/>
                <w:szCs w:val="24"/>
              </w:rPr>
              <w:t>643</w:t>
            </w:r>
          </w:p>
        </w:tc>
        <w:tc>
          <w:tcPr>
            <w:tcW w:w="1548" w:type="dxa"/>
            <w:shd w:val="clear" w:color="auto" w:fill="auto"/>
          </w:tcPr>
          <w:p w:rsidR="00934C02" w:rsidRPr="00934C02" w:rsidRDefault="00934C02" w:rsidP="00934C02">
            <w:pPr>
              <w:spacing w:after="0" w:line="240" w:lineRule="auto"/>
              <w:jc w:val="both"/>
              <w:rPr>
                <w:rFonts w:ascii="Arial" w:eastAsia="Times New Roman" w:hAnsi="Arial" w:cs="Arial"/>
                <w:sz w:val="24"/>
                <w:szCs w:val="24"/>
              </w:rPr>
            </w:pPr>
            <w:r w:rsidRPr="00934C02">
              <w:rPr>
                <w:rFonts w:ascii="Arial" w:eastAsia="Times New Roman" w:hAnsi="Arial" w:cs="Arial"/>
                <w:sz w:val="24"/>
                <w:szCs w:val="24"/>
              </w:rPr>
              <w:t>141</w:t>
            </w:r>
          </w:p>
        </w:tc>
        <w:tc>
          <w:tcPr>
            <w:tcW w:w="1548" w:type="dxa"/>
            <w:shd w:val="clear" w:color="auto" w:fill="auto"/>
          </w:tcPr>
          <w:p w:rsidR="00934C02" w:rsidRPr="00934C02" w:rsidRDefault="00934C02" w:rsidP="00934C02">
            <w:pPr>
              <w:spacing w:after="0" w:line="240" w:lineRule="auto"/>
              <w:jc w:val="both"/>
              <w:rPr>
                <w:rFonts w:ascii="Arial" w:eastAsia="Times New Roman" w:hAnsi="Arial" w:cs="Arial"/>
                <w:sz w:val="24"/>
                <w:szCs w:val="24"/>
              </w:rPr>
            </w:pPr>
            <w:r w:rsidRPr="00934C02">
              <w:rPr>
                <w:rFonts w:ascii="Arial" w:eastAsia="Times New Roman" w:hAnsi="Arial" w:cs="Arial"/>
                <w:sz w:val="24"/>
                <w:szCs w:val="24"/>
              </w:rPr>
              <w:t>231</w:t>
            </w:r>
          </w:p>
        </w:tc>
      </w:tr>
      <w:tr w:rsidR="00934C02" w:rsidRPr="00934C02" w:rsidTr="00934C02">
        <w:tc>
          <w:tcPr>
            <w:tcW w:w="1548" w:type="dxa"/>
            <w:shd w:val="clear" w:color="auto" w:fill="auto"/>
          </w:tcPr>
          <w:p w:rsidR="00934C02" w:rsidRPr="00934C02" w:rsidRDefault="00934C02" w:rsidP="00934C02">
            <w:pPr>
              <w:spacing w:after="0" w:line="240" w:lineRule="auto"/>
              <w:jc w:val="both"/>
              <w:rPr>
                <w:rFonts w:ascii="Arial" w:eastAsia="Times New Roman" w:hAnsi="Arial" w:cs="Arial"/>
                <w:sz w:val="24"/>
                <w:szCs w:val="24"/>
              </w:rPr>
            </w:pPr>
            <w:r w:rsidRPr="00934C02">
              <w:rPr>
                <w:rFonts w:ascii="Arial" w:eastAsia="Times New Roman" w:hAnsi="Arial" w:cs="Arial"/>
                <w:sz w:val="24"/>
                <w:szCs w:val="24"/>
              </w:rPr>
              <w:t>Tratate</w:t>
            </w:r>
          </w:p>
        </w:tc>
        <w:tc>
          <w:tcPr>
            <w:tcW w:w="1548" w:type="dxa"/>
            <w:shd w:val="clear" w:color="auto" w:fill="auto"/>
          </w:tcPr>
          <w:p w:rsidR="00934C02" w:rsidRPr="00934C02" w:rsidRDefault="00934C02" w:rsidP="00934C02">
            <w:pPr>
              <w:spacing w:after="0" w:line="240" w:lineRule="auto"/>
              <w:jc w:val="both"/>
              <w:rPr>
                <w:rFonts w:ascii="Arial" w:eastAsia="Times New Roman" w:hAnsi="Arial" w:cs="Arial"/>
                <w:sz w:val="24"/>
                <w:szCs w:val="24"/>
              </w:rPr>
            </w:pPr>
            <w:r w:rsidRPr="00934C02">
              <w:rPr>
                <w:rFonts w:ascii="Arial" w:eastAsia="Times New Roman" w:hAnsi="Arial" w:cs="Arial"/>
                <w:sz w:val="24"/>
                <w:szCs w:val="24"/>
              </w:rPr>
              <w:t>2482</w:t>
            </w:r>
          </w:p>
        </w:tc>
        <w:tc>
          <w:tcPr>
            <w:tcW w:w="1548" w:type="dxa"/>
            <w:shd w:val="clear" w:color="auto" w:fill="auto"/>
          </w:tcPr>
          <w:p w:rsidR="00934C02" w:rsidRPr="00934C02" w:rsidRDefault="00934C02" w:rsidP="00934C02">
            <w:pPr>
              <w:spacing w:after="0" w:line="240" w:lineRule="auto"/>
              <w:jc w:val="both"/>
              <w:rPr>
                <w:rFonts w:ascii="Arial" w:eastAsia="Times New Roman" w:hAnsi="Arial" w:cs="Arial"/>
                <w:sz w:val="24"/>
                <w:szCs w:val="24"/>
              </w:rPr>
            </w:pPr>
            <w:r w:rsidRPr="00934C02">
              <w:rPr>
                <w:rFonts w:ascii="Arial" w:eastAsia="Times New Roman" w:hAnsi="Arial" w:cs="Arial"/>
                <w:sz w:val="24"/>
                <w:szCs w:val="24"/>
              </w:rPr>
              <w:t>1021</w:t>
            </w:r>
          </w:p>
        </w:tc>
        <w:tc>
          <w:tcPr>
            <w:tcW w:w="1548" w:type="dxa"/>
            <w:shd w:val="clear" w:color="auto" w:fill="auto"/>
          </w:tcPr>
          <w:p w:rsidR="00934C02" w:rsidRPr="00934C02" w:rsidRDefault="00934C02" w:rsidP="00934C02">
            <w:pPr>
              <w:spacing w:after="0" w:line="240" w:lineRule="auto"/>
              <w:jc w:val="both"/>
              <w:rPr>
                <w:rFonts w:ascii="Arial" w:eastAsia="Times New Roman" w:hAnsi="Arial" w:cs="Arial"/>
                <w:sz w:val="24"/>
                <w:szCs w:val="24"/>
              </w:rPr>
            </w:pPr>
            <w:r w:rsidRPr="00934C02">
              <w:rPr>
                <w:rFonts w:ascii="Arial" w:eastAsia="Times New Roman" w:hAnsi="Arial" w:cs="Arial"/>
                <w:sz w:val="24"/>
                <w:szCs w:val="24"/>
              </w:rPr>
              <w:t>624</w:t>
            </w:r>
          </w:p>
        </w:tc>
        <w:tc>
          <w:tcPr>
            <w:tcW w:w="1548" w:type="dxa"/>
            <w:shd w:val="clear" w:color="auto" w:fill="auto"/>
          </w:tcPr>
          <w:p w:rsidR="00934C02" w:rsidRPr="00934C02" w:rsidRDefault="00934C02" w:rsidP="00934C02">
            <w:pPr>
              <w:spacing w:after="0" w:line="240" w:lineRule="auto"/>
              <w:jc w:val="both"/>
              <w:rPr>
                <w:rFonts w:ascii="Arial" w:eastAsia="Times New Roman" w:hAnsi="Arial" w:cs="Arial"/>
                <w:sz w:val="24"/>
                <w:szCs w:val="24"/>
              </w:rPr>
            </w:pPr>
            <w:r w:rsidRPr="00934C02">
              <w:rPr>
                <w:rFonts w:ascii="Arial" w:eastAsia="Times New Roman" w:hAnsi="Arial" w:cs="Arial"/>
                <w:sz w:val="24"/>
                <w:szCs w:val="24"/>
              </w:rPr>
              <w:t>160</w:t>
            </w:r>
          </w:p>
        </w:tc>
        <w:tc>
          <w:tcPr>
            <w:tcW w:w="1548" w:type="dxa"/>
            <w:shd w:val="clear" w:color="auto" w:fill="auto"/>
          </w:tcPr>
          <w:p w:rsidR="00934C02" w:rsidRPr="00934C02" w:rsidRDefault="00934C02" w:rsidP="00934C02">
            <w:pPr>
              <w:spacing w:after="0" w:line="240" w:lineRule="auto"/>
              <w:jc w:val="both"/>
              <w:rPr>
                <w:rFonts w:ascii="Arial" w:eastAsia="Times New Roman" w:hAnsi="Arial" w:cs="Arial"/>
                <w:sz w:val="24"/>
                <w:szCs w:val="24"/>
              </w:rPr>
            </w:pPr>
            <w:r w:rsidRPr="00934C02">
              <w:rPr>
                <w:rFonts w:ascii="Arial" w:eastAsia="Times New Roman" w:hAnsi="Arial" w:cs="Arial"/>
                <w:sz w:val="24"/>
                <w:szCs w:val="24"/>
              </w:rPr>
              <w:t>208</w:t>
            </w:r>
          </w:p>
        </w:tc>
      </w:tr>
    </w:tbl>
    <w:p w:rsidR="00934C02" w:rsidRPr="00934C02" w:rsidRDefault="00934C02" w:rsidP="00934C02">
      <w:pPr>
        <w:autoSpaceDE w:val="0"/>
        <w:autoSpaceDN w:val="0"/>
        <w:adjustRightInd w:val="0"/>
        <w:rPr>
          <w:rFonts w:ascii="Arial" w:hAnsi="Arial" w:cs="Arial"/>
          <w:sz w:val="24"/>
          <w:szCs w:val="24"/>
        </w:rPr>
      </w:pPr>
      <w:r w:rsidRPr="00934C02">
        <w:rPr>
          <w:rFonts w:ascii="Arial" w:hAnsi="Arial" w:cs="Arial"/>
          <w:noProof/>
          <w:color w:val="000000"/>
          <w:sz w:val="24"/>
          <w:szCs w:val="24"/>
        </w:rPr>
        <w:lastRenderedPageBreak/>
        <w:drawing>
          <wp:inline distT="0" distB="0" distL="0" distR="0" wp14:anchorId="6B0E7F85" wp14:editId="263F1006">
            <wp:extent cx="8304904" cy="3238052"/>
            <wp:effectExtent l="0" t="0" r="20320" b="19685"/>
            <wp:docPr id="251" name="Chart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934C02" w:rsidRPr="00934C02" w:rsidRDefault="00934C02" w:rsidP="00934C02">
      <w:pPr>
        <w:spacing w:after="0" w:line="240" w:lineRule="auto"/>
        <w:jc w:val="center"/>
        <w:rPr>
          <w:rFonts w:ascii="Arial" w:eastAsia="Times New Roman" w:hAnsi="Arial" w:cs="Arial"/>
          <w:sz w:val="24"/>
          <w:szCs w:val="24"/>
          <w:lang w:val="pl-PL" w:eastAsia="pl-PL"/>
        </w:rPr>
      </w:pPr>
      <w:r w:rsidRPr="00934C02">
        <w:rPr>
          <w:rFonts w:ascii="Arial" w:eastAsia="Times New Roman" w:hAnsi="Arial" w:cs="Arial"/>
          <w:sz w:val="24"/>
          <w:szCs w:val="24"/>
          <w:lang w:val="pl-PL" w:eastAsia="pl-PL"/>
        </w:rPr>
        <w:t>Figura VII.15. Evoluţia cantităţii de VSU colectate/tratate, în judeţul Vaslui, în perioada 2010-2014</w:t>
      </w:r>
    </w:p>
    <w:p w:rsidR="00934C02" w:rsidRPr="00934C02" w:rsidRDefault="00934C02" w:rsidP="00934C02">
      <w:pPr>
        <w:spacing w:after="0" w:line="240" w:lineRule="auto"/>
        <w:jc w:val="both"/>
        <w:rPr>
          <w:rFonts w:ascii="Arial" w:hAnsi="Arial" w:cs="Arial"/>
          <w:sz w:val="24"/>
          <w:szCs w:val="24"/>
        </w:rPr>
      </w:pPr>
    </w:p>
    <w:p w:rsidR="00934C02" w:rsidRPr="00934C02" w:rsidRDefault="00934C02" w:rsidP="00934C02">
      <w:pPr>
        <w:spacing w:after="0" w:line="240" w:lineRule="auto"/>
        <w:jc w:val="both"/>
        <w:rPr>
          <w:rFonts w:ascii="Arial" w:hAnsi="Arial" w:cs="Arial"/>
          <w:sz w:val="24"/>
          <w:szCs w:val="24"/>
        </w:rPr>
      </w:pPr>
    </w:p>
    <w:p w:rsidR="00934C02" w:rsidRPr="00934C02" w:rsidRDefault="00934C02" w:rsidP="00934C02">
      <w:pPr>
        <w:spacing w:after="0" w:line="240" w:lineRule="auto"/>
        <w:jc w:val="both"/>
        <w:rPr>
          <w:rFonts w:ascii="Arial" w:eastAsia="Calibri" w:hAnsi="Arial" w:cs="Arial"/>
          <w:color w:val="000000"/>
          <w:sz w:val="24"/>
          <w:szCs w:val="24"/>
        </w:rPr>
      </w:pPr>
    </w:p>
    <w:p w:rsidR="00934C02" w:rsidRPr="00934C02" w:rsidRDefault="00934C02" w:rsidP="00934C02">
      <w:pPr>
        <w:spacing w:after="0" w:line="240" w:lineRule="auto"/>
        <w:jc w:val="both"/>
        <w:rPr>
          <w:rFonts w:ascii="Arial" w:eastAsia="Calibri" w:hAnsi="Arial" w:cs="Arial"/>
          <w:color w:val="000000"/>
          <w:sz w:val="24"/>
          <w:szCs w:val="24"/>
        </w:rPr>
      </w:pPr>
      <w:r w:rsidRPr="00934C02">
        <w:rPr>
          <w:rFonts w:ascii="Arial" w:eastAsia="Calibri" w:hAnsi="Arial" w:cs="Arial"/>
          <w:color w:val="000000"/>
          <w:sz w:val="24"/>
          <w:szCs w:val="24"/>
        </w:rPr>
        <w:t xml:space="preserve">Au fost indeplinite ţintele conform tabelului de mai jos. </w:t>
      </w:r>
    </w:p>
    <w:p w:rsidR="00934C02" w:rsidRPr="00934C02" w:rsidRDefault="00934C02" w:rsidP="00934C02">
      <w:pPr>
        <w:spacing w:after="0" w:line="240" w:lineRule="auto"/>
        <w:jc w:val="both"/>
        <w:rPr>
          <w:rFonts w:ascii="Arial" w:eastAsia="Calibri" w:hAnsi="Arial" w:cs="Arial"/>
          <w:color w:val="000000"/>
          <w:sz w:val="24"/>
          <w:szCs w:val="24"/>
        </w:rPr>
      </w:pPr>
    </w:p>
    <w:p w:rsidR="00934C02" w:rsidRPr="00934C02" w:rsidRDefault="00934C02" w:rsidP="00934C02">
      <w:pPr>
        <w:rPr>
          <w:rFonts w:ascii="Arial" w:eastAsia="SimSun" w:hAnsi="Arial" w:cs="Arial"/>
          <w:sz w:val="24"/>
          <w:szCs w:val="24"/>
        </w:rPr>
        <w:sectPr w:rsidR="00934C02" w:rsidRPr="00934C02" w:rsidSect="00934C02">
          <w:pgSz w:w="15840" w:h="12240" w:orient="landscape"/>
          <w:pgMar w:top="1440" w:right="1440" w:bottom="1440" w:left="1440" w:header="720" w:footer="720" w:gutter="0"/>
          <w:cols w:space="720"/>
          <w:docGrid w:linePitch="360"/>
        </w:sectPr>
      </w:pPr>
    </w:p>
    <w:p w:rsidR="00934C02" w:rsidRPr="00934C02" w:rsidRDefault="00934C02" w:rsidP="00934C02">
      <w:pPr>
        <w:rPr>
          <w:rFonts w:ascii="Arial" w:hAnsi="Arial" w:cs="Arial"/>
          <w:color w:val="000000"/>
          <w:sz w:val="24"/>
          <w:szCs w:val="24"/>
        </w:rPr>
      </w:pPr>
      <w:r w:rsidRPr="00934C02">
        <w:rPr>
          <w:rFonts w:ascii="Arial" w:eastAsia="SimSun" w:hAnsi="Arial" w:cs="Arial"/>
          <w:sz w:val="24"/>
          <w:szCs w:val="24"/>
        </w:rPr>
        <w:lastRenderedPageBreak/>
        <w:t>Tabelul VII.23. Îndeplinirea obiectivelor de reutilizare, reciclare şi valorificare, la nivelul judeţului Vaslui, în perioada 2010-2014</w:t>
      </w:r>
    </w:p>
    <w:tbl>
      <w:tblPr>
        <w:tblW w:w="10227" w:type="dxa"/>
        <w:tblInd w:w="-15" w:type="dxa"/>
        <w:tblCellMar>
          <w:left w:w="0" w:type="dxa"/>
          <w:right w:w="0" w:type="dxa"/>
        </w:tblCellMar>
        <w:tblLook w:val="04A0" w:firstRow="1" w:lastRow="0" w:firstColumn="1" w:lastColumn="0" w:noHBand="0" w:noVBand="1"/>
      </w:tblPr>
      <w:tblGrid>
        <w:gridCol w:w="2108"/>
        <w:gridCol w:w="1160"/>
        <w:gridCol w:w="683"/>
        <w:gridCol w:w="1347"/>
        <w:gridCol w:w="354"/>
        <w:gridCol w:w="1565"/>
        <w:gridCol w:w="222"/>
        <w:gridCol w:w="1467"/>
        <w:gridCol w:w="1321"/>
      </w:tblGrid>
      <w:tr w:rsidR="00934C02" w:rsidRPr="00934C02" w:rsidTr="0084419D">
        <w:trPr>
          <w:trHeight w:val="573"/>
        </w:trPr>
        <w:tc>
          <w:tcPr>
            <w:tcW w:w="210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34C02" w:rsidRPr="00934C02" w:rsidRDefault="0084419D" w:rsidP="0084419D">
            <w:pPr>
              <w:spacing w:after="0" w:line="240" w:lineRule="auto"/>
              <w:jc w:val="center"/>
              <w:rPr>
                <w:rFonts w:ascii="Arial" w:eastAsia="Calibri" w:hAnsi="Arial" w:cs="Arial"/>
                <w:sz w:val="24"/>
                <w:szCs w:val="24"/>
              </w:rPr>
            </w:pPr>
            <w:r>
              <w:rPr>
                <w:rFonts w:ascii="Arial" w:eastAsia="Calibri" w:hAnsi="Arial" w:cs="Arial"/>
                <w:color w:val="000000"/>
                <w:sz w:val="24"/>
                <w:szCs w:val="24"/>
              </w:rPr>
              <w:t>An</w:t>
            </w:r>
            <w:r w:rsidR="00934C02" w:rsidRPr="00934C02">
              <w:rPr>
                <w:rFonts w:ascii="Arial" w:eastAsia="Calibri" w:hAnsi="Arial" w:cs="Arial"/>
                <w:color w:val="000000"/>
                <w:sz w:val="24"/>
                <w:szCs w:val="24"/>
              </w:rPr>
              <w:t> </w:t>
            </w:r>
          </w:p>
        </w:tc>
        <w:tc>
          <w:tcPr>
            <w:tcW w:w="1160" w:type="dxa"/>
            <w:tcBorders>
              <w:top w:val="single" w:sz="8" w:space="0" w:color="auto"/>
              <w:left w:val="nil"/>
              <w:bottom w:val="single" w:sz="8" w:space="0" w:color="auto"/>
              <w:right w:val="nil"/>
            </w:tcBorders>
            <w:tcMar>
              <w:top w:w="0" w:type="dxa"/>
              <w:left w:w="108" w:type="dxa"/>
              <w:bottom w:w="0" w:type="dxa"/>
              <w:right w:w="108" w:type="dxa"/>
            </w:tcMar>
          </w:tcPr>
          <w:p w:rsidR="00934C02" w:rsidRPr="00934C02" w:rsidRDefault="00934C02" w:rsidP="0084419D">
            <w:pPr>
              <w:spacing w:after="0" w:line="240" w:lineRule="auto"/>
              <w:jc w:val="center"/>
              <w:rPr>
                <w:rFonts w:ascii="Arial" w:eastAsia="Calibri" w:hAnsi="Arial" w:cs="Arial"/>
                <w:sz w:val="24"/>
                <w:szCs w:val="24"/>
              </w:rPr>
            </w:pPr>
            <w:r w:rsidRPr="00934C02">
              <w:rPr>
                <w:rFonts w:ascii="Arial" w:eastAsia="Calibri" w:hAnsi="Arial" w:cs="Arial"/>
                <w:color w:val="000000"/>
                <w:sz w:val="24"/>
                <w:szCs w:val="24"/>
              </w:rPr>
              <w:t>2010</w:t>
            </w:r>
          </w:p>
        </w:tc>
        <w:tc>
          <w:tcPr>
            <w:tcW w:w="683"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934C02" w:rsidRPr="00934C02" w:rsidRDefault="00934C02" w:rsidP="0084419D">
            <w:pPr>
              <w:spacing w:after="0" w:line="240" w:lineRule="auto"/>
              <w:jc w:val="center"/>
              <w:rPr>
                <w:rFonts w:ascii="Arial" w:eastAsia="Calibri" w:hAnsi="Arial" w:cs="Arial"/>
                <w:sz w:val="24"/>
                <w:szCs w:val="24"/>
              </w:rPr>
            </w:pPr>
          </w:p>
        </w:tc>
        <w:tc>
          <w:tcPr>
            <w:tcW w:w="1347" w:type="dxa"/>
            <w:tcBorders>
              <w:top w:val="single" w:sz="8" w:space="0" w:color="auto"/>
              <w:left w:val="nil"/>
              <w:bottom w:val="single" w:sz="8" w:space="0" w:color="auto"/>
              <w:right w:val="nil"/>
            </w:tcBorders>
            <w:tcMar>
              <w:top w:w="0" w:type="dxa"/>
              <w:left w:w="108" w:type="dxa"/>
              <w:bottom w:w="0" w:type="dxa"/>
              <w:right w:w="108" w:type="dxa"/>
            </w:tcMar>
          </w:tcPr>
          <w:p w:rsidR="00934C02" w:rsidRPr="00934C02" w:rsidRDefault="00934C02" w:rsidP="0084419D">
            <w:pPr>
              <w:spacing w:after="0" w:line="240" w:lineRule="auto"/>
              <w:jc w:val="center"/>
              <w:rPr>
                <w:rFonts w:ascii="Arial" w:eastAsia="Calibri" w:hAnsi="Arial" w:cs="Arial"/>
                <w:sz w:val="24"/>
                <w:szCs w:val="24"/>
              </w:rPr>
            </w:pPr>
            <w:r w:rsidRPr="00934C02">
              <w:rPr>
                <w:rFonts w:ascii="Arial" w:eastAsia="Calibri" w:hAnsi="Arial" w:cs="Arial"/>
                <w:color w:val="000000"/>
                <w:sz w:val="24"/>
                <w:szCs w:val="24"/>
              </w:rPr>
              <w:t>2011</w:t>
            </w:r>
          </w:p>
        </w:tc>
        <w:tc>
          <w:tcPr>
            <w:tcW w:w="35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934C02" w:rsidRPr="00934C02" w:rsidRDefault="00934C02" w:rsidP="0084419D">
            <w:pPr>
              <w:spacing w:after="0" w:line="240" w:lineRule="auto"/>
              <w:jc w:val="center"/>
              <w:rPr>
                <w:rFonts w:ascii="Arial" w:eastAsia="Calibri" w:hAnsi="Arial" w:cs="Arial"/>
                <w:sz w:val="24"/>
                <w:szCs w:val="24"/>
              </w:rPr>
            </w:pPr>
          </w:p>
        </w:tc>
        <w:tc>
          <w:tcPr>
            <w:tcW w:w="1565" w:type="dxa"/>
            <w:tcBorders>
              <w:top w:val="single" w:sz="8" w:space="0" w:color="auto"/>
              <w:left w:val="nil"/>
              <w:bottom w:val="single" w:sz="8" w:space="0" w:color="auto"/>
              <w:right w:val="nil"/>
            </w:tcBorders>
            <w:tcMar>
              <w:top w:w="0" w:type="dxa"/>
              <w:left w:w="108" w:type="dxa"/>
              <w:bottom w:w="0" w:type="dxa"/>
              <w:right w:w="108" w:type="dxa"/>
            </w:tcMar>
          </w:tcPr>
          <w:p w:rsidR="00934C02" w:rsidRPr="00934C02" w:rsidRDefault="00934C02" w:rsidP="0084419D">
            <w:pPr>
              <w:spacing w:after="0" w:line="240" w:lineRule="auto"/>
              <w:jc w:val="center"/>
              <w:rPr>
                <w:rFonts w:ascii="Arial" w:eastAsia="Calibri" w:hAnsi="Arial" w:cs="Arial"/>
                <w:sz w:val="24"/>
                <w:szCs w:val="24"/>
              </w:rPr>
            </w:pPr>
            <w:r w:rsidRPr="00934C02">
              <w:rPr>
                <w:rFonts w:ascii="Arial" w:eastAsia="Calibri" w:hAnsi="Arial" w:cs="Arial"/>
                <w:color w:val="000000"/>
                <w:sz w:val="24"/>
                <w:szCs w:val="24"/>
              </w:rPr>
              <w:t>2012</w:t>
            </w:r>
          </w:p>
        </w:tc>
        <w:tc>
          <w:tcPr>
            <w:tcW w:w="222"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934C02" w:rsidRPr="00934C02" w:rsidRDefault="00934C02" w:rsidP="0084419D">
            <w:pPr>
              <w:spacing w:after="0" w:line="240" w:lineRule="auto"/>
              <w:jc w:val="center"/>
              <w:rPr>
                <w:rFonts w:ascii="Arial" w:eastAsia="Calibri" w:hAnsi="Arial" w:cs="Arial"/>
                <w:sz w:val="24"/>
                <w:szCs w:val="24"/>
              </w:rPr>
            </w:pPr>
          </w:p>
        </w:tc>
        <w:tc>
          <w:tcPr>
            <w:tcW w:w="146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934C02" w:rsidRPr="00934C02" w:rsidRDefault="00934C02" w:rsidP="0084419D">
            <w:pPr>
              <w:spacing w:after="0" w:line="240" w:lineRule="auto"/>
              <w:jc w:val="center"/>
              <w:rPr>
                <w:rFonts w:ascii="Arial" w:eastAsia="Calibri" w:hAnsi="Arial" w:cs="Arial"/>
                <w:sz w:val="24"/>
                <w:szCs w:val="24"/>
              </w:rPr>
            </w:pPr>
            <w:r w:rsidRPr="00934C02">
              <w:rPr>
                <w:rFonts w:ascii="Arial" w:eastAsia="Calibri" w:hAnsi="Arial" w:cs="Arial"/>
                <w:sz w:val="24"/>
                <w:szCs w:val="24"/>
              </w:rPr>
              <w:t>2013</w:t>
            </w:r>
          </w:p>
        </w:tc>
        <w:tc>
          <w:tcPr>
            <w:tcW w:w="132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934C02" w:rsidRPr="00934C02" w:rsidRDefault="00934C02" w:rsidP="0084419D">
            <w:pPr>
              <w:spacing w:after="0" w:line="240" w:lineRule="auto"/>
              <w:jc w:val="center"/>
              <w:rPr>
                <w:rFonts w:ascii="Arial" w:eastAsia="Calibri" w:hAnsi="Arial" w:cs="Arial"/>
                <w:sz w:val="24"/>
                <w:szCs w:val="24"/>
              </w:rPr>
            </w:pPr>
            <w:r w:rsidRPr="00934C02">
              <w:rPr>
                <w:rFonts w:ascii="Arial" w:eastAsia="Calibri" w:hAnsi="Arial" w:cs="Arial"/>
                <w:sz w:val="24"/>
                <w:szCs w:val="24"/>
              </w:rPr>
              <w:t>2014</w:t>
            </w:r>
          </w:p>
        </w:tc>
      </w:tr>
      <w:tr w:rsidR="00934C02" w:rsidRPr="00934C02" w:rsidTr="0084419D">
        <w:trPr>
          <w:trHeight w:val="255"/>
        </w:trPr>
        <w:tc>
          <w:tcPr>
            <w:tcW w:w="2108" w:type="dxa"/>
            <w:vMerge/>
            <w:tcBorders>
              <w:top w:val="single" w:sz="8" w:space="0" w:color="auto"/>
              <w:left w:val="single" w:sz="8" w:space="0" w:color="auto"/>
              <w:bottom w:val="single" w:sz="8" w:space="0" w:color="auto"/>
              <w:right w:val="single" w:sz="8" w:space="0" w:color="auto"/>
            </w:tcBorders>
            <w:vAlign w:val="center"/>
            <w:hideMark/>
          </w:tcPr>
          <w:p w:rsidR="00934C02" w:rsidRPr="00934C02" w:rsidRDefault="00934C02" w:rsidP="0084419D">
            <w:pPr>
              <w:spacing w:after="0" w:line="240" w:lineRule="auto"/>
              <w:jc w:val="both"/>
              <w:rPr>
                <w:rFonts w:ascii="Arial" w:eastAsia="Calibri" w:hAnsi="Arial" w:cs="Arial"/>
                <w:sz w:val="24"/>
                <w:szCs w:val="24"/>
              </w:rPr>
            </w:pPr>
          </w:p>
        </w:tc>
        <w:tc>
          <w:tcPr>
            <w:tcW w:w="1160" w:type="dxa"/>
            <w:tcBorders>
              <w:top w:val="nil"/>
              <w:left w:val="nil"/>
              <w:bottom w:val="single" w:sz="8" w:space="0" w:color="auto"/>
              <w:right w:val="nil"/>
            </w:tcBorders>
            <w:vAlign w:val="center"/>
          </w:tcPr>
          <w:p w:rsidR="00934C02" w:rsidRPr="00934C02" w:rsidRDefault="00934C02" w:rsidP="0084419D">
            <w:pPr>
              <w:spacing w:after="0" w:line="240" w:lineRule="auto"/>
              <w:jc w:val="both"/>
              <w:rPr>
                <w:rFonts w:ascii="Arial" w:eastAsia="Calibri" w:hAnsi="Arial" w:cs="Arial"/>
                <w:sz w:val="24"/>
                <w:szCs w:val="24"/>
              </w:rPr>
            </w:pPr>
            <w:r w:rsidRPr="00934C02">
              <w:rPr>
                <w:rFonts w:ascii="Arial" w:eastAsia="Calibri" w:hAnsi="Arial" w:cs="Arial"/>
                <w:color w:val="000000"/>
                <w:sz w:val="24"/>
                <w:szCs w:val="24"/>
              </w:rPr>
              <w:t>Total</w:t>
            </w:r>
          </w:p>
        </w:tc>
        <w:tc>
          <w:tcPr>
            <w:tcW w:w="68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34C02" w:rsidRPr="00934C02" w:rsidRDefault="00934C02" w:rsidP="0084419D">
            <w:pPr>
              <w:spacing w:after="0" w:line="240" w:lineRule="auto"/>
              <w:jc w:val="both"/>
              <w:rPr>
                <w:rFonts w:ascii="Arial" w:eastAsia="Calibri" w:hAnsi="Arial" w:cs="Arial"/>
                <w:sz w:val="24"/>
                <w:szCs w:val="24"/>
              </w:rPr>
            </w:pPr>
          </w:p>
        </w:tc>
        <w:tc>
          <w:tcPr>
            <w:tcW w:w="1347" w:type="dxa"/>
            <w:tcBorders>
              <w:top w:val="nil"/>
              <w:left w:val="nil"/>
              <w:bottom w:val="single" w:sz="8" w:space="0" w:color="auto"/>
              <w:right w:val="nil"/>
            </w:tcBorders>
            <w:tcMar>
              <w:top w:w="0" w:type="dxa"/>
              <w:left w:w="108" w:type="dxa"/>
              <w:bottom w:w="0" w:type="dxa"/>
              <w:right w:w="108" w:type="dxa"/>
            </w:tcMar>
            <w:vAlign w:val="center"/>
          </w:tcPr>
          <w:p w:rsidR="00934C02" w:rsidRPr="00934C02" w:rsidRDefault="00934C02" w:rsidP="0084419D">
            <w:pPr>
              <w:spacing w:after="0" w:line="240" w:lineRule="auto"/>
              <w:jc w:val="both"/>
              <w:rPr>
                <w:rFonts w:ascii="Arial" w:eastAsia="Calibri" w:hAnsi="Arial" w:cs="Arial"/>
                <w:sz w:val="24"/>
                <w:szCs w:val="24"/>
              </w:rPr>
            </w:pPr>
            <w:r w:rsidRPr="00934C02">
              <w:rPr>
                <w:rFonts w:ascii="Arial" w:eastAsia="Calibri" w:hAnsi="Arial" w:cs="Arial"/>
                <w:color w:val="000000"/>
                <w:sz w:val="24"/>
                <w:szCs w:val="24"/>
              </w:rPr>
              <w:t>Total</w:t>
            </w:r>
          </w:p>
        </w:tc>
        <w:tc>
          <w:tcPr>
            <w:tcW w:w="35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34C02" w:rsidRPr="00934C02" w:rsidRDefault="00934C02" w:rsidP="0084419D">
            <w:pPr>
              <w:spacing w:after="0" w:line="240" w:lineRule="auto"/>
              <w:jc w:val="both"/>
              <w:rPr>
                <w:rFonts w:ascii="Arial" w:eastAsia="Calibri" w:hAnsi="Arial" w:cs="Arial"/>
                <w:sz w:val="24"/>
                <w:szCs w:val="24"/>
              </w:rPr>
            </w:pPr>
          </w:p>
        </w:tc>
        <w:tc>
          <w:tcPr>
            <w:tcW w:w="1565" w:type="dxa"/>
            <w:tcBorders>
              <w:top w:val="nil"/>
              <w:left w:val="nil"/>
              <w:bottom w:val="single" w:sz="8" w:space="0" w:color="auto"/>
              <w:right w:val="nil"/>
            </w:tcBorders>
            <w:tcMar>
              <w:top w:w="0" w:type="dxa"/>
              <w:left w:w="108" w:type="dxa"/>
              <w:bottom w:w="0" w:type="dxa"/>
              <w:right w:w="108" w:type="dxa"/>
            </w:tcMar>
            <w:vAlign w:val="center"/>
          </w:tcPr>
          <w:p w:rsidR="00934C02" w:rsidRPr="00934C02" w:rsidRDefault="00934C02" w:rsidP="0084419D">
            <w:pPr>
              <w:spacing w:after="0" w:line="240" w:lineRule="auto"/>
              <w:jc w:val="both"/>
              <w:rPr>
                <w:rFonts w:ascii="Arial" w:eastAsia="Calibri" w:hAnsi="Arial" w:cs="Arial"/>
                <w:sz w:val="24"/>
                <w:szCs w:val="24"/>
              </w:rPr>
            </w:pPr>
            <w:r w:rsidRPr="00934C02">
              <w:rPr>
                <w:rFonts w:ascii="Arial" w:eastAsia="Calibri" w:hAnsi="Arial" w:cs="Arial"/>
                <w:color w:val="000000"/>
                <w:sz w:val="24"/>
                <w:szCs w:val="24"/>
              </w:rPr>
              <w:t>Total</w:t>
            </w:r>
          </w:p>
        </w:tc>
        <w:tc>
          <w:tcPr>
            <w:tcW w:w="2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34C02" w:rsidRPr="00934C02" w:rsidRDefault="00934C02" w:rsidP="0084419D">
            <w:pPr>
              <w:spacing w:after="0" w:line="240" w:lineRule="auto"/>
              <w:jc w:val="both"/>
              <w:rPr>
                <w:rFonts w:ascii="Arial" w:eastAsia="Calibri" w:hAnsi="Arial" w:cs="Arial"/>
                <w:sz w:val="24"/>
                <w:szCs w:val="24"/>
              </w:rPr>
            </w:pPr>
          </w:p>
        </w:tc>
        <w:tc>
          <w:tcPr>
            <w:tcW w:w="14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34C02" w:rsidRPr="00934C02" w:rsidRDefault="00934C02" w:rsidP="0084419D">
            <w:pPr>
              <w:spacing w:after="0" w:line="240" w:lineRule="auto"/>
              <w:jc w:val="both"/>
              <w:rPr>
                <w:rFonts w:ascii="Arial" w:eastAsia="Calibri" w:hAnsi="Arial" w:cs="Arial"/>
                <w:sz w:val="24"/>
                <w:szCs w:val="24"/>
              </w:rPr>
            </w:pPr>
            <w:r w:rsidRPr="00934C02">
              <w:rPr>
                <w:rFonts w:ascii="Arial" w:eastAsia="Calibri" w:hAnsi="Arial" w:cs="Arial"/>
                <w:color w:val="000000"/>
                <w:sz w:val="24"/>
                <w:szCs w:val="24"/>
              </w:rPr>
              <w:t>Total</w:t>
            </w:r>
          </w:p>
        </w:tc>
        <w:tc>
          <w:tcPr>
            <w:tcW w:w="13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34C02" w:rsidRPr="00934C02" w:rsidRDefault="00934C02" w:rsidP="0084419D">
            <w:pPr>
              <w:spacing w:after="0" w:line="240" w:lineRule="auto"/>
              <w:jc w:val="both"/>
              <w:rPr>
                <w:rFonts w:ascii="Arial" w:eastAsia="Calibri" w:hAnsi="Arial" w:cs="Arial"/>
                <w:sz w:val="24"/>
                <w:szCs w:val="24"/>
              </w:rPr>
            </w:pPr>
            <w:r w:rsidRPr="00934C02">
              <w:rPr>
                <w:rFonts w:ascii="Arial" w:eastAsia="Calibri" w:hAnsi="Arial" w:cs="Arial"/>
                <w:color w:val="000000"/>
                <w:sz w:val="24"/>
                <w:szCs w:val="24"/>
              </w:rPr>
              <w:t>Total</w:t>
            </w:r>
          </w:p>
        </w:tc>
      </w:tr>
      <w:tr w:rsidR="00934C02" w:rsidRPr="00934C02" w:rsidTr="0084419D">
        <w:trPr>
          <w:trHeight w:val="1237"/>
        </w:trPr>
        <w:tc>
          <w:tcPr>
            <w:tcW w:w="21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34C02" w:rsidRPr="00934C02" w:rsidRDefault="00934C02" w:rsidP="0084419D">
            <w:pPr>
              <w:spacing w:after="0" w:line="240" w:lineRule="auto"/>
              <w:rPr>
                <w:rFonts w:ascii="Arial" w:eastAsia="Calibri" w:hAnsi="Arial" w:cs="Arial"/>
                <w:sz w:val="24"/>
                <w:szCs w:val="24"/>
              </w:rPr>
            </w:pPr>
            <w:r w:rsidRPr="00934C02">
              <w:rPr>
                <w:rFonts w:ascii="Arial" w:eastAsia="Calibri" w:hAnsi="Arial" w:cs="Arial"/>
                <w:color w:val="000000"/>
                <w:sz w:val="24"/>
                <w:szCs w:val="24"/>
              </w:rPr>
              <w:t>Obiectiv de reutilizare si reciclare (X1/W1) %</w:t>
            </w:r>
          </w:p>
        </w:tc>
        <w:tc>
          <w:tcPr>
            <w:tcW w:w="1160" w:type="dxa"/>
            <w:tcBorders>
              <w:top w:val="nil"/>
              <w:left w:val="nil"/>
              <w:bottom w:val="single" w:sz="8" w:space="0" w:color="auto"/>
              <w:right w:val="nil"/>
            </w:tcBorders>
            <w:tcMar>
              <w:top w:w="0" w:type="dxa"/>
              <w:left w:w="108" w:type="dxa"/>
              <w:bottom w:w="0" w:type="dxa"/>
              <w:right w:w="108" w:type="dxa"/>
            </w:tcMar>
            <w:vAlign w:val="center"/>
          </w:tcPr>
          <w:p w:rsidR="00934C02" w:rsidRPr="00934C02" w:rsidRDefault="00934C02" w:rsidP="0084419D">
            <w:pPr>
              <w:spacing w:after="0" w:line="240" w:lineRule="auto"/>
              <w:jc w:val="both"/>
              <w:rPr>
                <w:rFonts w:ascii="Arial" w:eastAsia="Calibri" w:hAnsi="Arial" w:cs="Arial"/>
                <w:sz w:val="24"/>
                <w:szCs w:val="24"/>
              </w:rPr>
            </w:pPr>
            <w:r w:rsidRPr="00934C02">
              <w:rPr>
                <w:rFonts w:ascii="Arial" w:eastAsia="Calibri" w:hAnsi="Arial" w:cs="Arial"/>
                <w:color w:val="000000"/>
                <w:sz w:val="24"/>
                <w:szCs w:val="24"/>
              </w:rPr>
              <w:t>80,9</w:t>
            </w:r>
          </w:p>
        </w:tc>
        <w:tc>
          <w:tcPr>
            <w:tcW w:w="6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34C02" w:rsidRPr="00934C02" w:rsidRDefault="00934C02" w:rsidP="0084419D">
            <w:pPr>
              <w:spacing w:after="0" w:line="240" w:lineRule="auto"/>
              <w:jc w:val="right"/>
              <w:rPr>
                <w:rFonts w:ascii="Arial" w:eastAsia="Calibri" w:hAnsi="Arial" w:cs="Arial"/>
                <w:sz w:val="24"/>
                <w:szCs w:val="24"/>
              </w:rPr>
            </w:pPr>
          </w:p>
        </w:tc>
        <w:tc>
          <w:tcPr>
            <w:tcW w:w="1347" w:type="dxa"/>
            <w:tcBorders>
              <w:top w:val="nil"/>
              <w:left w:val="nil"/>
              <w:bottom w:val="single" w:sz="8" w:space="0" w:color="auto"/>
              <w:right w:val="nil"/>
            </w:tcBorders>
            <w:tcMar>
              <w:top w:w="0" w:type="dxa"/>
              <w:left w:w="108" w:type="dxa"/>
              <w:bottom w:w="0" w:type="dxa"/>
              <w:right w:w="108" w:type="dxa"/>
            </w:tcMar>
            <w:vAlign w:val="center"/>
          </w:tcPr>
          <w:p w:rsidR="00934C02" w:rsidRPr="00934C02" w:rsidRDefault="00934C02" w:rsidP="0084419D">
            <w:pPr>
              <w:spacing w:after="0" w:line="240" w:lineRule="auto"/>
              <w:jc w:val="both"/>
              <w:rPr>
                <w:rFonts w:ascii="Arial" w:eastAsia="Calibri" w:hAnsi="Arial" w:cs="Arial"/>
                <w:sz w:val="24"/>
                <w:szCs w:val="24"/>
              </w:rPr>
            </w:pPr>
            <w:r w:rsidRPr="00934C02">
              <w:rPr>
                <w:rFonts w:ascii="Arial" w:eastAsia="Calibri" w:hAnsi="Arial" w:cs="Arial"/>
                <w:color w:val="000000"/>
                <w:sz w:val="24"/>
                <w:szCs w:val="24"/>
              </w:rPr>
              <w:t>82,9</w:t>
            </w:r>
          </w:p>
        </w:tc>
        <w:tc>
          <w:tcPr>
            <w:tcW w:w="35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34C02" w:rsidRPr="00934C02" w:rsidRDefault="00934C02" w:rsidP="0084419D">
            <w:pPr>
              <w:spacing w:after="0" w:line="240" w:lineRule="auto"/>
              <w:jc w:val="right"/>
              <w:rPr>
                <w:rFonts w:ascii="Arial" w:eastAsia="Calibri" w:hAnsi="Arial" w:cs="Arial"/>
                <w:sz w:val="24"/>
                <w:szCs w:val="24"/>
              </w:rPr>
            </w:pPr>
          </w:p>
        </w:tc>
        <w:tc>
          <w:tcPr>
            <w:tcW w:w="1565" w:type="dxa"/>
            <w:tcBorders>
              <w:top w:val="nil"/>
              <w:left w:val="nil"/>
              <w:bottom w:val="single" w:sz="8" w:space="0" w:color="auto"/>
              <w:right w:val="nil"/>
            </w:tcBorders>
            <w:tcMar>
              <w:top w:w="0" w:type="dxa"/>
              <w:left w:w="108" w:type="dxa"/>
              <w:bottom w:w="0" w:type="dxa"/>
              <w:right w:w="108" w:type="dxa"/>
            </w:tcMar>
            <w:vAlign w:val="center"/>
          </w:tcPr>
          <w:p w:rsidR="00934C02" w:rsidRPr="00934C02" w:rsidRDefault="00934C02" w:rsidP="0084419D">
            <w:pPr>
              <w:spacing w:after="0" w:line="240" w:lineRule="auto"/>
              <w:jc w:val="both"/>
              <w:rPr>
                <w:rFonts w:ascii="Arial" w:eastAsia="Calibri" w:hAnsi="Arial" w:cs="Arial"/>
                <w:sz w:val="24"/>
                <w:szCs w:val="24"/>
              </w:rPr>
            </w:pPr>
            <w:r w:rsidRPr="00934C02">
              <w:rPr>
                <w:rFonts w:ascii="Arial" w:eastAsia="Calibri" w:hAnsi="Arial" w:cs="Arial"/>
                <w:color w:val="000000"/>
                <w:sz w:val="24"/>
                <w:szCs w:val="24"/>
              </w:rPr>
              <w:t>83,81</w:t>
            </w:r>
          </w:p>
        </w:tc>
        <w:tc>
          <w:tcPr>
            <w:tcW w:w="2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34C02" w:rsidRPr="00934C02" w:rsidRDefault="00934C02" w:rsidP="0084419D">
            <w:pPr>
              <w:spacing w:after="0" w:line="240" w:lineRule="auto"/>
              <w:jc w:val="right"/>
              <w:rPr>
                <w:rFonts w:ascii="Arial" w:eastAsia="Calibri" w:hAnsi="Arial" w:cs="Arial"/>
                <w:sz w:val="24"/>
                <w:szCs w:val="24"/>
              </w:rPr>
            </w:pPr>
          </w:p>
        </w:tc>
        <w:tc>
          <w:tcPr>
            <w:tcW w:w="14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34C02" w:rsidRPr="00934C02" w:rsidRDefault="00934C02" w:rsidP="0084419D">
            <w:pPr>
              <w:spacing w:after="0" w:line="240" w:lineRule="auto"/>
              <w:jc w:val="both"/>
              <w:rPr>
                <w:rFonts w:ascii="Arial" w:eastAsia="Calibri" w:hAnsi="Arial" w:cs="Arial"/>
                <w:sz w:val="24"/>
                <w:szCs w:val="24"/>
              </w:rPr>
            </w:pPr>
            <w:r w:rsidRPr="00934C02">
              <w:rPr>
                <w:rFonts w:ascii="Arial" w:eastAsia="Calibri" w:hAnsi="Arial" w:cs="Arial"/>
                <w:sz w:val="24"/>
                <w:szCs w:val="24"/>
              </w:rPr>
              <w:t>83,76</w:t>
            </w:r>
          </w:p>
        </w:tc>
        <w:tc>
          <w:tcPr>
            <w:tcW w:w="13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34C02" w:rsidRPr="00934C02" w:rsidRDefault="00934C02" w:rsidP="0084419D">
            <w:pPr>
              <w:spacing w:after="0" w:line="240" w:lineRule="auto"/>
              <w:jc w:val="both"/>
              <w:rPr>
                <w:rFonts w:ascii="Arial" w:eastAsia="Calibri" w:hAnsi="Arial" w:cs="Arial"/>
                <w:sz w:val="24"/>
                <w:szCs w:val="24"/>
              </w:rPr>
            </w:pPr>
            <w:r w:rsidRPr="00934C02">
              <w:rPr>
                <w:rFonts w:ascii="Arial" w:eastAsia="Calibri" w:hAnsi="Arial" w:cs="Arial"/>
                <w:sz w:val="24"/>
                <w:szCs w:val="24"/>
              </w:rPr>
              <w:t>84,07</w:t>
            </w:r>
          </w:p>
        </w:tc>
      </w:tr>
      <w:tr w:rsidR="00934C02" w:rsidRPr="00934C02" w:rsidTr="0084419D">
        <w:trPr>
          <w:trHeight w:val="1043"/>
        </w:trPr>
        <w:tc>
          <w:tcPr>
            <w:tcW w:w="21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34C02" w:rsidRPr="00934C02" w:rsidRDefault="00934C02" w:rsidP="0084419D">
            <w:pPr>
              <w:spacing w:after="0" w:line="240" w:lineRule="auto"/>
              <w:rPr>
                <w:rFonts w:ascii="Arial" w:eastAsia="Calibri" w:hAnsi="Arial" w:cs="Arial"/>
                <w:sz w:val="24"/>
                <w:szCs w:val="24"/>
              </w:rPr>
            </w:pPr>
            <w:r w:rsidRPr="00934C02">
              <w:rPr>
                <w:rFonts w:ascii="Arial" w:eastAsia="Calibri" w:hAnsi="Arial" w:cs="Arial"/>
                <w:color w:val="000000"/>
                <w:sz w:val="24"/>
                <w:szCs w:val="24"/>
              </w:rPr>
              <w:t xml:space="preserve">Obiectiv de reutilizare si valorificare (X2/W1) % </w:t>
            </w:r>
          </w:p>
        </w:tc>
        <w:tc>
          <w:tcPr>
            <w:tcW w:w="1160" w:type="dxa"/>
            <w:tcBorders>
              <w:top w:val="nil"/>
              <w:left w:val="nil"/>
              <w:bottom w:val="single" w:sz="8" w:space="0" w:color="auto"/>
              <w:right w:val="nil"/>
            </w:tcBorders>
            <w:tcMar>
              <w:top w:w="0" w:type="dxa"/>
              <w:left w:w="108" w:type="dxa"/>
              <w:bottom w:w="0" w:type="dxa"/>
              <w:right w:w="108" w:type="dxa"/>
            </w:tcMar>
            <w:vAlign w:val="center"/>
          </w:tcPr>
          <w:p w:rsidR="00934C02" w:rsidRPr="00934C02" w:rsidRDefault="00934C02" w:rsidP="0084419D">
            <w:pPr>
              <w:spacing w:after="0" w:line="240" w:lineRule="auto"/>
              <w:jc w:val="both"/>
              <w:rPr>
                <w:rFonts w:ascii="Arial" w:eastAsia="Calibri" w:hAnsi="Arial" w:cs="Arial"/>
                <w:sz w:val="24"/>
                <w:szCs w:val="24"/>
              </w:rPr>
            </w:pPr>
            <w:r w:rsidRPr="00934C02">
              <w:rPr>
                <w:rFonts w:ascii="Arial" w:eastAsia="Calibri" w:hAnsi="Arial" w:cs="Arial"/>
                <w:color w:val="000000"/>
                <w:sz w:val="24"/>
                <w:szCs w:val="24"/>
              </w:rPr>
              <w:t>85,5</w:t>
            </w:r>
          </w:p>
        </w:tc>
        <w:tc>
          <w:tcPr>
            <w:tcW w:w="6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34C02" w:rsidRPr="00934C02" w:rsidRDefault="00934C02" w:rsidP="0084419D">
            <w:pPr>
              <w:spacing w:after="0" w:line="240" w:lineRule="auto"/>
              <w:jc w:val="right"/>
              <w:rPr>
                <w:rFonts w:ascii="Arial" w:eastAsia="Calibri" w:hAnsi="Arial" w:cs="Arial"/>
                <w:sz w:val="24"/>
                <w:szCs w:val="24"/>
              </w:rPr>
            </w:pPr>
          </w:p>
        </w:tc>
        <w:tc>
          <w:tcPr>
            <w:tcW w:w="1347" w:type="dxa"/>
            <w:tcBorders>
              <w:top w:val="nil"/>
              <w:left w:val="nil"/>
              <w:bottom w:val="single" w:sz="8" w:space="0" w:color="auto"/>
              <w:right w:val="nil"/>
            </w:tcBorders>
            <w:tcMar>
              <w:top w:w="0" w:type="dxa"/>
              <w:left w:w="108" w:type="dxa"/>
              <w:bottom w:w="0" w:type="dxa"/>
              <w:right w:w="108" w:type="dxa"/>
            </w:tcMar>
            <w:vAlign w:val="center"/>
          </w:tcPr>
          <w:p w:rsidR="00934C02" w:rsidRPr="00934C02" w:rsidRDefault="00934C02" w:rsidP="0084419D">
            <w:pPr>
              <w:spacing w:after="0" w:line="240" w:lineRule="auto"/>
              <w:jc w:val="both"/>
              <w:rPr>
                <w:rFonts w:ascii="Arial" w:eastAsia="Calibri" w:hAnsi="Arial" w:cs="Arial"/>
                <w:sz w:val="24"/>
                <w:szCs w:val="24"/>
              </w:rPr>
            </w:pPr>
            <w:r w:rsidRPr="00934C02">
              <w:rPr>
                <w:rFonts w:ascii="Arial" w:eastAsia="Calibri" w:hAnsi="Arial" w:cs="Arial"/>
                <w:color w:val="000000"/>
                <w:sz w:val="24"/>
                <w:szCs w:val="24"/>
              </w:rPr>
              <w:t>86,8</w:t>
            </w:r>
          </w:p>
        </w:tc>
        <w:tc>
          <w:tcPr>
            <w:tcW w:w="35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34C02" w:rsidRPr="00934C02" w:rsidRDefault="00934C02" w:rsidP="0084419D">
            <w:pPr>
              <w:spacing w:after="0" w:line="240" w:lineRule="auto"/>
              <w:jc w:val="right"/>
              <w:rPr>
                <w:rFonts w:ascii="Arial" w:eastAsia="Calibri" w:hAnsi="Arial" w:cs="Arial"/>
                <w:sz w:val="24"/>
                <w:szCs w:val="24"/>
              </w:rPr>
            </w:pPr>
          </w:p>
        </w:tc>
        <w:tc>
          <w:tcPr>
            <w:tcW w:w="1565" w:type="dxa"/>
            <w:tcBorders>
              <w:top w:val="nil"/>
              <w:left w:val="nil"/>
              <w:bottom w:val="single" w:sz="8" w:space="0" w:color="auto"/>
              <w:right w:val="nil"/>
            </w:tcBorders>
            <w:tcMar>
              <w:top w:w="0" w:type="dxa"/>
              <w:left w:w="108" w:type="dxa"/>
              <w:bottom w:w="0" w:type="dxa"/>
              <w:right w:w="108" w:type="dxa"/>
            </w:tcMar>
            <w:vAlign w:val="center"/>
          </w:tcPr>
          <w:p w:rsidR="00934C02" w:rsidRPr="00934C02" w:rsidRDefault="00934C02" w:rsidP="0084419D">
            <w:pPr>
              <w:spacing w:after="0" w:line="240" w:lineRule="auto"/>
              <w:jc w:val="both"/>
              <w:rPr>
                <w:rFonts w:ascii="Arial" w:eastAsia="Calibri" w:hAnsi="Arial" w:cs="Arial"/>
                <w:sz w:val="24"/>
                <w:szCs w:val="24"/>
              </w:rPr>
            </w:pPr>
            <w:r w:rsidRPr="00934C02">
              <w:rPr>
                <w:rFonts w:ascii="Arial" w:eastAsia="Calibri" w:hAnsi="Arial" w:cs="Arial"/>
                <w:color w:val="000000"/>
                <w:sz w:val="24"/>
                <w:szCs w:val="24"/>
              </w:rPr>
              <w:t>86,26</w:t>
            </w:r>
          </w:p>
        </w:tc>
        <w:tc>
          <w:tcPr>
            <w:tcW w:w="2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34C02" w:rsidRPr="00934C02" w:rsidRDefault="00934C02" w:rsidP="0084419D">
            <w:pPr>
              <w:spacing w:after="0" w:line="240" w:lineRule="auto"/>
              <w:jc w:val="right"/>
              <w:rPr>
                <w:rFonts w:ascii="Arial" w:eastAsia="Calibri" w:hAnsi="Arial" w:cs="Arial"/>
                <w:sz w:val="24"/>
                <w:szCs w:val="24"/>
              </w:rPr>
            </w:pPr>
          </w:p>
        </w:tc>
        <w:tc>
          <w:tcPr>
            <w:tcW w:w="14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34C02" w:rsidRPr="00934C02" w:rsidRDefault="00934C02" w:rsidP="0084419D">
            <w:pPr>
              <w:spacing w:after="0" w:line="240" w:lineRule="auto"/>
              <w:jc w:val="both"/>
              <w:rPr>
                <w:rFonts w:ascii="Arial" w:eastAsia="Calibri" w:hAnsi="Arial" w:cs="Arial"/>
                <w:sz w:val="24"/>
                <w:szCs w:val="24"/>
              </w:rPr>
            </w:pPr>
            <w:r w:rsidRPr="00934C02">
              <w:rPr>
                <w:rFonts w:ascii="Arial" w:eastAsia="Calibri" w:hAnsi="Arial" w:cs="Arial"/>
                <w:sz w:val="24"/>
                <w:szCs w:val="24"/>
              </w:rPr>
              <w:t>87,39</w:t>
            </w:r>
          </w:p>
        </w:tc>
        <w:tc>
          <w:tcPr>
            <w:tcW w:w="13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34C02" w:rsidRPr="00934C02" w:rsidRDefault="00934C02" w:rsidP="0084419D">
            <w:pPr>
              <w:spacing w:after="0" w:line="240" w:lineRule="auto"/>
              <w:jc w:val="both"/>
              <w:rPr>
                <w:rFonts w:ascii="Arial" w:eastAsia="Calibri" w:hAnsi="Arial" w:cs="Arial"/>
                <w:sz w:val="24"/>
                <w:szCs w:val="24"/>
              </w:rPr>
            </w:pPr>
            <w:r w:rsidRPr="00934C02">
              <w:rPr>
                <w:rFonts w:ascii="Arial" w:eastAsia="Calibri" w:hAnsi="Arial" w:cs="Arial"/>
                <w:sz w:val="24"/>
                <w:szCs w:val="24"/>
              </w:rPr>
              <w:t>88,49</w:t>
            </w:r>
          </w:p>
        </w:tc>
      </w:tr>
    </w:tbl>
    <w:p w:rsidR="00934C02" w:rsidRPr="00934C02" w:rsidRDefault="00934C02" w:rsidP="00934C02">
      <w:pPr>
        <w:spacing w:after="0" w:line="240" w:lineRule="auto"/>
        <w:jc w:val="both"/>
        <w:rPr>
          <w:rFonts w:ascii="Arial" w:eastAsia="Calibri" w:hAnsi="Arial" w:cs="Arial"/>
          <w:color w:val="000000"/>
          <w:sz w:val="24"/>
          <w:szCs w:val="24"/>
          <w:lang w:val="ro-RO"/>
        </w:rPr>
      </w:pPr>
      <w:r w:rsidRPr="00934C02">
        <w:rPr>
          <w:rFonts w:ascii="Arial" w:eastAsia="Calibri" w:hAnsi="Arial" w:cs="Arial"/>
          <w:color w:val="000000"/>
          <w:sz w:val="24"/>
          <w:szCs w:val="24"/>
        </w:rPr>
        <w:t> </w:t>
      </w:r>
    </w:p>
    <w:p w:rsidR="00934C02" w:rsidRPr="00934C02" w:rsidRDefault="00934C02" w:rsidP="004F131A">
      <w:pPr>
        <w:spacing w:after="0" w:line="240" w:lineRule="auto"/>
        <w:rPr>
          <w:rFonts w:ascii="Arial" w:hAnsi="Arial" w:cs="Arial"/>
          <w:b/>
          <w:i/>
          <w:sz w:val="24"/>
          <w:szCs w:val="24"/>
          <w:lang w:val="ro-RO" w:eastAsia="pl-PL"/>
        </w:rPr>
      </w:pPr>
      <w:r w:rsidRPr="00934C02">
        <w:t xml:space="preserve">   </w:t>
      </w:r>
      <w:r w:rsidRPr="00934C02">
        <w:rPr>
          <w:rFonts w:ascii="Arial" w:hAnsi="Arial" w:cs="Arial"/>
          <w:b/>
          <w:i/>
          <w:sz w:val="24"/>
          <w:szCs w:val="24"/>
          <w:lang w:val="ro-RO" w:eastAsia="pl-PL"/>
        </w:rPr>
        <w:t xml:space="preserve"> VII.1.4. Impacturi şi presiuni privind deşeurile</w:t>
      </w:r>
    </w:p>
    <w:p w:rsidR="00934C02" w:rsidRPr="00934C02" w:rsidRDefault="00934C02" w:rsidP="00934C02">
      <w:pPr>
        <w:spacing w:after="0" w:line="240" w:lineRule="auto"/>
        <w:rPr>
          <w:rFonts w:ascii="Arial" w:hAnsi="Arial" w:cs="Arial"/>
          <w:b/>
          <w:i/>
          <w:sz w:val="24"/>
          <w:szCs w:val="24"/>
          <w:lang w:val="ro-RO" w:eastAsia="pl-PL"/>
        </w:rPr>
      </w:pPr>
    </w:p>
    <w:p w:rsidR="00934C02" w:rsidRPr="00934C02" w:rsidRDefault="00934C02" w:rsidP="00934C02">
      <w:pPr>
        <w:spacing w:after="0" w:line="240" w:lineRule="auto"/>
        <w:jc w:val="both"/>
        <w:rPr>
          <w:rFonts w:ascii="Arial" w:hAnsi="Arial" w:cs="Arial"/>
          <w:sz w:val="24"/>
          <w:szCs w:val="24"/>
        </w:rPr>
      </w:pPr>
      <w:r w:rsidRPr="00934C02">
        <w:rPr>
          <w:rFonts w:ascii="Arial" w:hAnsi="Arial" w:cs="Arial"/>
          <w:sz w:val="24"/>
          <w:szCs w:val="24"/>
        </w:rPr>
        <w:t xml:space="preserve">        Impactul semnificativ al deşeurilor se manifestă sub forma modificărilor de peisaj, a poluării aerului prin suspensiile antrenate de vânt, a apelor de suprafaţă care devin bogate în nitriţi, nitraţi, substanţe periculoase şi a solului care devine infertil şi inapt de a susţine formele specifice de viaţă. </w:t>
      </w:r>
    </w:p>
    <w:p w:rsidR="00934C02" w:rsidRPr="00934C02" w:rsidRDefault="00934C02" w:rsidP="00934C02">
      <w:pPr>
        <w:spacing w:after="0" w:line="240" w:lineRule="auto"/>
        <w:jc w:val="both"/>
        <w:rPr>
          <w:rFonts w:ascii="Arial" w:hAnsi="Arial" w:cs="Arial"/>
          <w:sz w:val="24"/>
          <w:szCs w:val="24"/>
        </w:rPr>
      </w:pPr>
      <w:r w:rsidRPr="00934C02">
        <w:rPr>
          <w:rFonts w:ascii="Arial" w:hAnsi="Arial" w:cs="Arial"/>
          <w:sz w:val="24"/>
          <w:szCs w:val="24"/>
        </w:rPr>
        <w:t xml:space="preserve">         O importanţă deosebită trebuie acordată resturilor industriale care în anumite amestecuri pot genera de</w:t>
      </w:r>
      <w:r w:rsidRPr="00934C02">
        <w:rPr>
          <w:rFonts w:ascii="Arial" w:hAnsi="Arial" w:cs="Arial"/>
          <w:sz w:val="24"/>
          <w:szCs w:val="24"/>
          <w:lang w:val="ro-RO"/>
        </w:rPr>
        <w:t>ş</w:t>
      </w:r>
      <w:r w:rsidRPr="00934C02">
        <w:rPr>
          <w:rFonts w:ascii="Arial" w:hAnsi="Arial" w:cs="Arial"/>
          <w:sz w:val="24"/>
          <w:szCs w:val="24"/>
        </w:rPr>
        <w:t xml:space="preserve">euri inflamabile, corozive sau chiar explozive care să pună în pericol aşezările umane. </w:t>
      </w:r>
    </w:p>
    <w:p w:rsidR="00934C02" w:rsidRPr="00934C02" w:rsidRDefault="00934C02" w:rsidP="00934C02">
      <w:pPr>
        <w:spacing w:after="0" w:line="240" w:lineRule="auto"/>
        <w:jc w:val="both"/>
        <w:rPr>
          <w:rFonts w:ascii="Arial" w:hAnsi="Arial" w:cs="Arial"/>
          <w:sz w:val="24"/>
          <w:szCs w:val="24"/>
        </w:rPr>
      </w:pPr>
      <w:r w:rsidRPr="00934C02">
        <w:rPr>
          <w:rFonts w:ascii="Arial" w:hAnsi="Arial" w:cs="Arial"/>
          <w:sz w:val="24"/>
          <w:szCs w:val="24"/>
        </w:rPr>
        <w:t xml:space="preserve">         Depozitarea deşeurilor, pe lângă faptul ca este un proces tehnologic scump, poluează mediul, iar singura soluţie pentru această problemă este colectarea selectivă şi reciclarea lor.  </w:t>
      </w:r>
    </w:p>
    <w:p w:rsidR="00934C02" w:rsidRPr="00934C02" w:rsidRDefault="00934C02" w:rsidP="00934C02">
      <w:pPr>
        <w:spacing w:after="0" w:line="240" w:lineRule="auto"/>
        <w:jc w:val="both"/>
        <w:rPr>
          <w:rFonts w:ascii="Arial" w:hAnsi="Arial" w:cs="Arial"/>
          <w:sz w:val="24"/>
          <w:szCs w:val="24"/>
          <w:lang w:val="ro-RO"/>
        </w:rPr>
      </w:pPr>
      <w:r w:rsidRPr="00934C02">
        <w:rPr>
          <w:rFonts w:ascii="Arial" w:hAnsi="Arial" w:cs="Arial"/>
          <w:sz w:val="24"/>
          <w:szCs w:val="24"/>
        </w:rPr>
        <w:t xml:space="preserve">          Măsuri concrete sunt necesare pentru reciclarea deşeurilor deoarece cantitatea de materii prime secundare potenţial utilizabile şi în acelaşi timp eliminate, este foarte importantă, antrenând o risipă de materii prime şi resurse energetice. De asemenea ar trebui reduse substanţele periculoase din deşeurile menajere care împiedică buna funcţionare a instalaţiilor de eliminare a deşeurilor şi respectate condiţiile de colectare separată care asigură costuri avantajoase de reciclare.</w:t>
      </w:r>
    </w:p>
    <w:p w:rsidR="00934C02" w:rsidRPr="00934C02" w:rsidRDefault="00934C02" w:rsidP="00934C02">
      <w:pPr>
        <w:spacing w:after="0" w:line="240" w:lineRule="auto"/>
        <w:jc w:val="both"/>
        <w:rPr>
          <w:rFonts w:ascii="Arial" w:hAnsi="Arial" w:cs="Arial"/>
          <w:sz w:val="24"/>
          <w:szCs w:val="24"/>
          <w:lang w:val="ro-RO"/>
        </w:rPr>
      </w:pPr>
      <w:r w:rsidRPr="00934C02">
        <w:rPr>
          <w:rFonts w:ascii="Arial" w:hAnsi="Arial" w:cs="Arial"/>
          <w:sz w:val="24"/>
          <w:szCs w:val="24"/>
        </w:rPr>
        <w:t xml:space="preserve"> Cu toţii avem responsabilitatea de a menaja resursele limitate şi de a reduce cantităţile de deşeuri deoarece în momentul de faţă producem mult prea multe resturi care conţin materii valorificabile sau substanţe problematice. Din păcate consumatorii neglijenţi nu risipesc numai resursele limitate, dar contribuie şi la agravarea problemelor mediului, iar oamenii nu pot fi separaţi de mediul lor de viaţă, deteriorarea acestuia având în cele din urmă efect  şi asupra lor.</w:t>
      </w:r>
    </w:p>
    <w:p w:rsidR="00934C02" w:rsidRPr="00934C02" w:rsidRDefault="00934C02" w:rsidP="00934C02">
      <w:pPr>
        <w:spacing w:after="0" w:line="240" w:lineRule="auto"/>
        <w:jc w:val="both"/>
        <w:rPr>
          <w:rFonts w:ascii="Arial" w:hAnsi="Arial" w:cs="Arial"/>
          <w:sz w:val="24"/>
          <w:szCs w:val="24"/>
        </w:rPr>
      </w:pPr>
      <w:r w:rsidRPr="00934C02">
        <w:rPr>
          <w:rFonts w:ascii="Arial" w:hAnsi="Arial" w:cs="Arial"/>
          <w:sz w:val="24"/>
          <w:szCs w:val="24"/>
        </w:rPr>
        <w:t xml:space="preserve">           Toate aceste considerente conduc la concluzia că gestiunea deşeurilor necesită adoptarea unor măsuri specifice, adecvate fiecărei faze de eliminare a deşeurilor în mediu.</w:t>
      </w:r>
    </w:p>
    <w:p w:rsidR="00934C02" w:rsidRPr="00934C02" w:rsidRDefault="00934C02" w:rsidP="00934C02">
      <w:pPr>
        <w:spacing w:after="0" w:line="240" w:lineRule="auto"/>
        <w:jc w:val="both"/>
        <w:rPr>
          <w:rFonts w:ascii="Arial" w:hAnsi="Arial" w:cs="Arial"/>
          <w:sz w:val="24"/>
          <w:szCs w:val="24"/>
        </w:rPr>
      </w:pPr>
      <w:r w:rsidRPr="00934C02">
        <w:rPr>
          <w:rFonts w:ascii="Arial" w:hAnsi="Arial" w:cs="Arial"/>
          <w:sz w:val="24"/>
          <w:szCs w:val="24"/>
        </w:rPr>
        <w:t xml:space="preserve">         Respectarea acestor măsuri trebuie să facă obiectul activităţii de monitoring a factorilor de mediu afectaţi de prezenţa deşeurilor.</w:t>
      </w:r>
    </w:p>
    <w:p w:rsidR="00934C02" w:rsidRPr="00934C02" w:rsidRDefault="00934C02" w:rsidP="00934C02">
      <w:pPr>
        <w:spacing w:after="0" w:line="240" w:lineRule="auto"/>
        <w:jc w:val="both"/>
        <w:rPr>
          <w:rFonts w:ascii="Arial" w:eastAsia="Arial Unicode MS" w:hAnsi="Arial" w:cs="Arial"/>
          <w:sz w:val="24"/>
          <w:szCs w:val="24"/>
          <w:lang w:val="ro-RO" w:eastAsia="ro-RO"/>
        </w:rPr>
      </w:pPr>
      <w:r w:rsidRPr="00934C02">
        <w:rPr>
          <w:rFonts w:ascii="Arial" w:hAnsi="Arial" w:cs="Arial"/>
          <w:b/>
          <w:lang w:val="it-IT"/>
        </w:rPr>
        <w:lastRenderedPageBreak/>
        <w:t xml:space="preserve">          </w:t>
      </w:r>
      <w:r w:rsidRPr="00934C02">
        <w:rPr>
          <w:rFonts w:ascii="Arial" w:eastAsia="Arial Unicode MS" w:hAnsi="Arial" w:cs="Arial"/>
          <w:sz w:val="24"/>
          <w:szCs w:val="24"/>
          <w:lang w:val="ro-RO" w:eastAsia="ro-RO"/>
        </w:rPr>
        <w:t xml:space="preserve">Consumul ridicat de resurse creează presiuni asupra mediului în toate regiunile din lume.        </w:t>
      </w:r>
    </w:p>
    <w:p w:rsidR="00934C02" w:rsidRPr="00934C02" w:rsidRDefault="00934C02" w:rsidP="00934C02">
      <w:pPr>
        <w:spacing w:after="0" w:line="240" w:lineRule="auto"/>
        <w:jc w:val="both"/>
        <w:rPr>
          <w:rFonts w:ascii="Arial" w:eastAsia="Arial Unicode MS" w:hAnsi="Arial" w:cs="Arial"/>
          <w:sz w:val="24"/>
          <w:szCs w:val="24"/>
          <w:lang w:val="ro-RO" w:eastAsia="ro-RO"/>
        </w:rPr>
      </w:pPr>
      <w:r w:rsidRPr="00934C02">
        <w:rPr>
          <w:rFonts w:ascii="Arial" w:eastAsia="Arial Unicode MS" w:hAnsi="Arial" w:cs="Arial"/>
          <w:sz w:val="24"/>
          <w:szCs w:val="24"/>
          <w:lang w:val="ro-RO" w:eastAsia="ro-RO"/>
        </w:rPr>
        <w:t xml:space="preserve">          Aceste presiuni includ epuizarea resurselor neregenerabile, utilizarea intensivă a resurselor regenerabile, transporturile, emisii mari în apă, aer şi sol provenite din activităţi miniere, precum şi producţia, consumul şi producerea de deşeuri. Se acceptă în general că există limite fizice pentru creşterea continuă a utilizării resurselor. Locuinţele, alimentele şi mobilitatea justifică cea mai mare cotă de utilizare a resurselor şi de exercitare a presiunii asupra mediului.     </w:t>
      </w:r>
    </w:p>
    <w:p w:rsidR="00934C02" w:rsidRPr="00934C02" w:rsidRDefault="00934C02" w:rsidP="00934C02">
      <w:pPr>
        <w:spacing w:after="0" w:line="240" w:lineRule="auto"/>
        <w:jc w:val="both"/>
        <w:rPr>
          <w:rFonts w:ascii="Arial" w:hAnsi="Arial" w:cs="Arial"/>
          <w:b/>
          <w:sz w:val="24"/>
          <w:szCs w:val="24"/>
          <w:u w:val="single"/>
          <w:lang w:val="it-IT"/>
        </w:rPr>
      </w:pPr>
      <w:r w:rsidRPr="00934C02">
        <w:rPr>
          <w:rFonts w:ascii="Arial" w:hAnsi="Arial" w:cs="Arial"/>
          <w:sz w:val="24"/>
          <w:szCs w:val="24"/>
        </w:rPr>
        <w:t xml:space="preserve">           Eliminarea deşeurilor poate cauza o serie de </w:t>
      </w:r>
      <w:r w:rsidRPr="00934C02">
        <w:rPr>
          <w:rFonts w:ascii="Arial" w:hAnsi="Arial" w:cs="Arial"/>
          <w:i/>
          <w:sz w:val="24"/>
          <w:szCs w:val="24"/>
        </w:rPr>
        <w:t>impacturi</w:t>
      </w:r>
      <w:r w:rsidRPr="00934C02">
        <w:rPr>
          <w:rFonts w:ascii="Arial" w:hAnsi="Arial" w:cs="Arial"/>
          <w:sz w:val="24"/>
          <w:szCs w:val="24"/>
        </w:rPr>
        <w:t xml:space="preserve"> asupra sănătăţii şi a mediului, inclusiv emisiile în aer, apa de suprafaţă şi pânza freatică, în funcţie de modul în care acestea sunt gestionate. Deşeurile reprezintă, de asemenea, o pierdere de resurse naturale (cum ar fi metalele sau alte materiale reciclabile pe care le conţin sau potenţialul acestora ca sursă de energie). Prin urmare, buna gestionare a deşeurilor poate proteja sănătatea publică şi calitatea mediului, în acelaşi timp susţinând conservarea resurselor.</w:t>
      </w:r>
    </w:p>
    <w:p w:rsidR="00934C02" w:rsidRPr="00934C02" w:rsidRDefault="00934C02" w:rsidP="00934C02">
      <w:pPr>
        <w:widowControl w:val="0"/>
        <w:autoSpaceDE w:val="0"/>
        <w:autoSpaceDN w:val="0"/>
        <w:adjustRightInd w:val="0"/>
        <w:spacing w:after="0" w:line="240" w:lineRule="auto"/>
        <w:jc w:val="both"/>
        <w:rPr>
          <w:rFonts w:ascii="Arial" w:eastAsia="SimSun" w:hAnsi="Arial" w:cs="Arial"/>
          <w:b/>
          <w:i/>
          <w:sz w:val="24"/>
          <w:szCs w:val="24"/>
        </w:rPr>
      </w:pPr>
    </w:p>
    <w:p w:rsidR="00934C02" w:rsidRPr="00934C02" w:rsidRDefault="00934C02" w:rsidP="00934C02">
      <w:pPr>
        <w:widowControl w:val="0"/>
        <w:autoSpaceDE w:val="0"/>
        <w:autoSpaceDN w:val="0"/>
        <w:adjustRightInd w:val="0"/>
        <w:spacing w:after="0" w:line="240" w:lineRule="auto"/>
        <w:jc w:val="both"/>
        <w:rPr>
          <w:rFonts w:ascii="Arial" w:eastAsia="SimSun" w:hAnsi="Arial" w:cs="Arial"/>
          <w:b/>
          <w:i/>
          <w:sz w:val="24"/>
          <w:szCs w:val="24"/>
        </w:rPr>
      </w:pPr>
      <w:r w:rsidRPr="00934C02">
        <w:rPr>
          <w:rFonts w:ascii="Arial" w:eastAsia="SimSun" w:hAnsi="Arial" w:cs="Arial"/>
          <w:b/>
          <w:i/>
          <w:sz w:val="24"/>
          <w:szCs w:val="24"/>
        </w:rPr>
        <w:t xml:space="preserve">VII.1.5.Tendinţe şi prognoze privind gestionarea deșeurilor </w:t>
      </w:r>
    </w:p>
    <w:p w:rsidR="00934C02" w:rsidRPr="00934C02" w:rsidRDefault="00934C02" w:rsidP="00934C02">
      <w:pPr>
        <w:spacing w:after="0" w:line="240" w:lineRule="auto"/>
        <w:rPr>
          <w:rFonts w:ascii="Arial" w:hAnsi="Arial" w:cs="Arial"/>
          <w:sz w:val="24"/>
          <w:szCs w:val="24"/>
          <w:lang w:val="ro-RO" w:eastAsia="pl-PL"/>
        </w:rPr>
      </w:pPr>
    </w:p>
    <w:p w:rsidR="00934C02" w:rsidRPr="00934C02" w:rsidRDefault="00934C02" w:rsidP="00934C02">
      <w:pPr>
        <w:shd w:val="clear" w:color="auto" w:fill="FFFFFF"/>
        <w:spacing w:after="0" w:line="240" w:lineRule="auto"/>
        <w:ind w:right="20" w:firstLine="540"/>
        <w:jc w:val="both"/>
        <w:rPr>
          <w:rFonts w:ascii="Arial" w:eastAsia="SimSun" w:hAnsi="Arial" w:cs="Arial"/>
          <w:sz w:val="24"/>
          <w:szCs w:val="24"/>
        </w:rPr>
      </w:pPr>
      <w:r w:rsidRPr="00934C02">
        <w:rPr>
          <w:rFonts w:ascii="Arial" w:eastAsia="SimSun" w:hAnsi="Arial" w:cs="Arial"/>
          <w:sz w:val="24"/>
          <w:szCs w:val="24"/>
        </w:rPr>
        <w:t>Creşterea volumului de deşeuri a fost determinată în principal de consumul casnic şi creşterea numărului de gospodării.</w:t>
      </w:r>
    </w:p>
    <w:p w:rsidR="00934C02" w:rsidRPr="00934C02" w:rsidRDefault="00934C02" w:rsidP="00934C02">
      <w:pPr>
        <w:shd w:val="clear" w:color="auto" w:fill="FFFFFF"/>
        <w:spacing w:after="0" w:line="240" w:lineRule="auto"/>
        <w:ind w:firstLine="540"/>
        <w:jc w:val="both"/>
        <w:rPr>
          <w:rFonts w:ascii="Arial" w:eastAsia="SimSun" w:hAnsi="Arial" w:cs="Arial"/>
          <w:sz w:val="24"/>
          <w:szCs w:val="24"/>
        </w:rPr>
      </w:pPr>
      <w:r w:rsidRPr="00934C02">
        <w:rPr>
          <w:rFonts w:ascii="Arial" w:eastAsia="SimSun" w:hAnsi="Arial" w:cs="Arial"/>
          <w:sz w:val="24"/>
          <w:szCs w:val="24"/>
        </w:rPr>
        <w:t xml:space="preserve">Producerea de deşeuri provenite din construcţii şi activităţi de demolare a crescut, ca şi deşeurile din ambalaje. </w:t>
      </w:r>
    </w:p>
    <w:p w:rsidR="00934C02" w:rsidRPr="00934C02" w:rsidRDefault="00934C02" w:rsidP="00934C02">
      <w:pPr>
        <w:shd w:val="clear" w:color="auto" w:fill="FFFFFF"/>
        <w:spacing w:after="0" w:line="240" w:lineRule="auto"/>
        <w:ind w:left="5" w:firstLine="535"/>
        <w:jc w:val="both"/>
        <w:rPr>
          <w:rFonts w:ascii="Arial" w:eastAsia="SimSun" w:hAnsi="Arial" w:cs="Arial"/>
          <w:sz w:val="24"/>
          <w:szCs w:val="24"/>
        </w:rPr>
      </w:pPr>
      <w:r w:rsidRPr="00934C02">
        <w:rPr>
          <w:rFonts w:ascii="Arial" w:eastAsia="SimSun" w:hAnsi="Arial" w:cs="Arial"/>
          <w:sz w:val="24"/>
          <w:szCs w:val="24"/>
        </w:rPr>
        <w:t xml:space="preserve">Gestionarea deşeurilor s-a îmbunătăţit, astfel încât mai multe deşeuri au început a fi reciclate şi mai puţin depozitate. </w:t>
      </w:r>
    </w:p>
    <w:p w:rsidR="00934C02" w:rsidRPr="00934C02" w:rsidRDefault="00934C02" w:rsidP="00934C02">
      <w:pPr>
        <w:tabs>
          <w:tab w:val="left" w:pos="1320"/>
        </w:tabs>
        <w:spacing w:after="0" w:line="240" w:lineRule="auto"/>
        <w:jc w:val="both"/>
        <w:rPr>
          <w:rFonts w:ascii="Arial" w:hAnsi="Arial" w:cs="Arial"/>
          <w:sz w:val="24"/>
          <w:szCs w:val="24"/>
        </w:rPr>
      </w:pPr>
      <w:r w:rsidRPr="00934C02">
        <w:rPr>
          <w:rFonts w:ascii="Arial" w:hAnsi="Arial" w:cs="Arial"/>
          <w:sz w:val="24"/>
          <w:szCs w:val="24"/>
        </w:rPr>
        <w:t xml:space="preserve">         Gestionarea deşeurilor reprezintă una din problemele importante cu care se confruntă România în ceea ce priveşte protecţia mediului. Aceast se refera la activităţile de de colectare, transport, tratare, valorificare şi eliminare a deşeurilor. Un obiectiv prioritar în gestionarea deşeurilor este prevenirea sau reducerea generării lor.</w:t>
      </w:r>
    </w:p>
    <w:p w:rsidR="00934C02" w:rsidRPr="00934C02" w:rsidRDefault="00934C02" w:rsidP="00934C02">
      <w:pPr>
        <w:tabs>
          <w:tab w:val="left" w:pos="1320"/>
        </w:tabs>
        <w:spacing w:after="0" w:line="240" w:lineRule="auto"/>
        <w:jc w:val="both"/>
        <w:rPr>
          <w:rFonts w:ascii="Arial" w:hAnsi="Arial" w:cs="Arial"/>
          <w:sz w:val="24"/>
          <w:szCs w:val="24"/>
        </w:rPr>
      </w:pPr>
    </w:p>
    <w:p w:rsidR="00934C02" w:rsidRPr="00934C02" w:rsidRDefault="00934C02" w:rsidP="00934C02">
      <w:pPr>
        <w:tabs>
          <w:tab w:val="left" w:pos="1320"/>
        </w:tabs>
        <w:spacing w:after="0" w:line="240" w:lineRule="auto"/>
        <w:rPr>
          <w:rFonts w:ascii="Arial" w:hAnsi="Arial" w:cs="Arial"/>
          <w:sz w:val="24"/>
          <w:szCs w:val="24"/>
        </w:rPr>
      </w:pPr>
      <w:r w:rsidRPr="00934C02">
        <w:rPr>
          <w:rFonts w:ascii="Arial" w:hAnsi="Arial" w:cs="Arial"/>
          <w:sz w:val="24"/>
          <w:szCs w:val="24"/>
        </w:rPr>
        <w:t>Tabelul VII.24. Evoluţia indicatorului de generare a deşeurilor municipale(Kg/loc x an)</w:t>
      </w:r>
    </w:p>
    <w:tbl>
      <w:tblPr>
        <w:tblStyle w:val="TableGrid"/>
        <w:tblW w:w="0" w:type="auto"/>
        <w:tblInd w:w="1101" w:type="dxa"/>
        <w:tblLook w:val="04A0" w:firstRow="1" w:lastRow="0" w:firstColumn="1" w:lastColumn="0" w:noHBand="0" w:noVBand="1"/>
      </w:tblPr>
      <w:tblGrid>
        <w:gridCol w:w="2835"/>
        <w:gridCol w:w="992"/>
        <w:gridCol w:w="992"/>
        <w:gridCol w:w="1134"/>
        <w:gridCol w:w="992"/>
        <w:gridCol w:w="1134"/>
      </w:tblGrid>
      <w:tr w:rsidR="00934C02" w:rsidRPr="00934C02" w:rsidTr="00934C02">
        <w:tc>
          <w:tcPr>
            <w:tcW w:w="2835" w:type="dxa"/>
            <w:tcBorders>
              <w:top w:val="double" w:sz="4" w:space="0" w:color="auto"/>
              <w:left w:val="double" w:sz="4" w:space="0" w:color="auto"/>
              <w:bottom w:val="double" w:sz="4" w:space="0" w:color="auto"/>
              <w:right w:val="double" w:sz="4" w:space="0" w:color="auto"/>
            </w:tcBorders>
            <w:hideMark/>
          </w:tcPr>
          <w:p w:rsidR="00934C02" w:rsidRPr="00934C02" w:rsidRDefault="00934C02" w:rsidP="00934C02">
            <w:pPr>
              <w:tabs>
                <w:tab w:val="left" w:pos="611"/>
                <w:tab w:val="left" w:pos="1320"/>
              </w:tabs>
              <w:rPr>
                <w:rFonts w:ascii="Arial" w:hAnsi="Arial" w:cs="Arial"/>
                <w:sz w:val="24"/>
                <w:szCs w:val="24"/>
              </w:rPr>
            </w:pPr>
            <w:r w:rsidRPr="00934C02">
              <w:rPr>
                <w:rFonts w:ascii="Arial" w:hAnsi="Arial" w:cs="Arial"/>
                <w:sz w:val="24"/>
                <w:szCs w:val="24"/>
              </w:rPr>
              <w:t xml:space="preserve">                 Anul</w:t>
            </w:r>
          </w:p>
        </w:tc>
        <w:tc>
          <w:tcPr>
            <w:tcW w:w="992" w:type="dxa"/>
            <w:tcBorders>
              <w:top w:val="double" w:sz="4" w:space="0" w:color="auto"/>
              <w:left w:val="double" w:sz="4" w:space="0" w:color="auto"/>
              <w:bottom w:val="double" w:sz="4" w:space="0" w:color="auto"/>
              <w:right w:val="double" w:sz="4" w:space="0" w:color="auto"/>
            </w:tcBorders>
            <w:hideMark/>
          </w:tcPr>
          <w:p w:rsidR="00934C02" w:rsidRPr="00934C02" w:rsidRDefault="00934C02" w:rsidP="00934C02">
            <w:pPr>
              <w:tabs>
                <w:tab w:val="left" w:pos="611"/>
                <w:tab w:val="left" w:pos="1320"/>
              </w:tabs>
              <w:rPr>
                <w:rFonts w:ascii="Arial" w:hAnsi="Arial" w:cs="Arial"/>
                <w:sz w:val="24"/>
                <w:szCs w:val="24"/>
              </w:rPr>
            </w:pPr>
            <w:r w:rsidRPr="00934C02">
              <w:rPr>
                <w:rFonts w:ascii="Arial" w:hAnsi="Arial" w:cs="Arial"/>
                <w:sz w:val="24"/>
                <w:szCs w:val="24"/>
              </w:rPr>
              <w:t>2010</w:t>
            </w:r>
          </w:p>
        </w:tc>
        <w:tc>
          <w:tcPr>
            <w:tcW w:w="992" w:type="dxa"/>
            <w:tcBorders>
              <w:top w:val="double" w:sz="4" w:space="0" w:color="auto"/>
              <w:left w:val="double" w:sz="4" w:space="0" w:color="auto"/>
              <w:bottom w:val="double" w:sz="4" w:space="0" w:color="auto"/>
              <w:right w:val="double" w:sz="4" w:space="0" w:color="auto"/>
            </w:tcBorders>
            <w:hideMark/>
          </w:tcPr>
          <w:p w:rsidR="00934C02" w:rsidRPr="00934C02" w:rsidRDefault="00934C02" w:rsidP="00934C02">
            <w:pPr>
              <w:tabs>
                <w:tab w:val="left" w:pos="611"/>
                <w:tab w:val="left" w:pos="1320"/>
              </w:tabs>
              <w:rPr>
                <w:rFonts w:ascii="Arial" w:hAnsi="Arial" w:cs="Arial"/>
                <w:sz w:val="24"/>
                <w:szCs w:val="24"/>
              </w:rPr>
            </w:pPr>
            <w:r w:rsidRPr="00934C02">
              <w:rPr>
                <w:rFonts w:ascii="Arial" w:hAnsi="Arial" w:cs="Arial"/>
                <w:sz w:val="24"/>
                <w:szCs w:val="24"/>
              </w:rPr>
              <w:t>2011</w:t>
            </w:r>
          </w:p>
        </w:tc>
        <w:tc>
          <w:tcPr>
            <w:tcW w:w="1134" w:type="dxa"/>
            <w:tcBorders>
              <w:top w:val="double" w:sz="4" w:space="0" w:color="auto"/>
              <w:left w:val="double" w:sz="4" w:space="0" w:color="auto"/>
              <w:bottom w:val="double" w:sz="4" w:space="0" w:color="auto"/>
              <w:right w:val="double" w:sz="4" w:space="0" w:color="auto"/>
            </w:tcBorders>
            <w:hideMark/>
          </w:tcPr>
          <w:p w:rsidR="00934C02" w:rsidRPr="00934C02" w:rsidRDefault="00934C02" w:rsidP="00934C02">
            <w:pPr>
              <w:tabs>
                <w:tab w:val="left" w:pos="611"/>
                <w:tab w:val="left" w:pos="1320"/>
              </w:tabs>
              <w:rPr>
                <w:rFonts w:ascii="Arial" w:hAnsi="Arial" w:cs="Arial"/>
                <w:sz w:val="24"/>
                <w:szCs w:val="24"/>
              </w:rPr>
            </w:pPr>
            <w:r w:rsidRPr="00934C02">
              <w:rPr>
                <w:rFonts w:ascii="Arial" w:hAnsi="Arial" w:cs="Arial"/>
                <w:sz w:val="24"/>
                <w:szCs w:val="24"/>
              </w:rPr>
              <w:t>2012</w:t>
            </w:r>
          </w:p>
        </w:tc>
        <w:tc>
          <w:tcPr>
            <w:tcW w:w="992" w:type="dxa"/>
            <w:tcBorders>
              <w:top w:val="double" w:sz="4" w:space="0" w:color="auto"/>
              <w:left w:val="double" w:sz="4" w:space="0" w:color="auto"/>
              <w:bottom w:val="double" w:sz="4" w:space="0" w:color="auto"/>
              <w:right w:val="double" w:sz="4" w:space="0" w:color="auto"/>
            </w:tcBorders>
            <w:hideMark/>
          </w:tcPr>
          <w:p w:rsidR="00934C02" w:rsidRPr="00934C02" w:rsidRDefault="00934C02" w:rsidP="00934C02">
            <w:pPr>
              <w:tabs>
                <w:tab w:val="left" w:pos="611"/>
                <w:tab w:val="left" w:pos="1320"/>
              </w:tabs>
              <w:rPr>
                <w:rFonts w:ascii="Arial" w:hAnsi="Arial" w:cs="Arial"/>
                <w:sz w:val="24"/>
                <w:szCs w:val="24"/>
              </w:rPr>
            </w:pPr>
            <w:r w:rsidRPr="00934C02">
              <w:rPr>
                <w:rFonts w:ascii="Arial" w:hAnsi="Arial" w:cs="Arial"/>
                <w:sz w:val="24"/>
                <w:szCs w:val="24"/>
              </w:rPr>
              <w:t>2013</w:t>
            </w:r>
          </w:p>
        </w:tc>
        <w:tc>
          <w:tcPr>
            <w:tcW w:w="1134" w:type="dxa"/>
            <w:tcBorders>
              <w:top w:val="double" w:sz="4" w:space="0" w:color="auto"/>
              <w:left w:val="double" w:sz="4" w:space="0" w:color="auto"/>
              <w:bottom w:val="double" w:sz="4" w:space="0" w:color="auto"/>
              <w:right w:val="double" w:sz="4" w:space="0" w:color="auto"/>
            </w:tcBorders>
            <w:hideMark/>
          </w:tcPr>
          <w:p w:rsidR="00934C02" w:rsidRPr="00934C02" w:rsidRDefault="00934C02" w:rsidP="00934C02">
            <w:pPr>
              <w:tabs>
                <w:tab w:val="left" w:pos="611"/>
                <w:tab w:val="left" w:pos="1320"/>
              </w:tabs>
              <w:rPr>
                <w:rFonts w:ascii="Arial" w:hAnsi="Arial" w:cs="Arial"/>
                <w:sz w:val="24"/>
                <w:szCs w:val="24"/>
              </w:rPr>
            </w:pPr>
            <w:r w:rsidRPr="00934C02">
              <w:rPr>
                <w:rFonts w:ascii="Arial" w:hAnsi="Arial" w:cs="Arial"/>
                <w:sz w:val="24"/>
                <w:szCs w:val="24"/>
              </w:rPr>
              <w:t>2014</w:t>
            </w:r>
          </w:p>
        </w:tc>
      </w:tr>
      <w:tr w:rsidR="00934C02" w:rsidRPr="00934C02" w:rsidTr="00934C02">
        <w:trPr>
          <w:trHeight w:val="563"/>
        </w:trPr>
        <w:tc>
          <w:tcPr>
            <w:tcW w:w="2835" w:type="dxa"/>
            <w:tcBorders>
              <w:top w:val="double" w:sz="4" w:space="0" w:color="auto"/>
              <w:left w:val="double" w:sz="4" w:space="0" w:color="auto"/>
              <w:bottom w:val="double" w:sz="4" w:space="0" w:color="auto"/>
              <w:right w:val="double" w:sz="4" w:space="0" w:color="auto"/>
            </w:tcBorders>
            <w:hideMark/>
          </w:tcPr>
          <w:p w:rsidR="00934C02" w:rsidRPr="00934C02" w:rsidRDefault="00934C02" w:rsidP="00934C02">
            <w:pPr>
              <w:jc w:val="center"/>
              <w:rPr>
                <w:rFonts w:ascii="Arial" w:hAnsi="Arial" w:cs="Arial"/>
              </w:rPr>
            </w:pPr>
            <w:r w:rsidRPr="00934C02">
              <w:rPr>
                <w:rFonts w:ascii="Arial" w:hAnsi="Arial" w:cs="Arial"/>
              </w:rPr>
              <w:t>Indicatorul de generare</w:t>
            </w:r>
          </w:p>
          <w:p w:rsidR="00934C02" w:rsidRPr="00934C02" w:rsidRDefault="00934C02" w:rsidP="00934C02">
            <w:pPr>
              <w:tabs>
                <w:tab w:val="left" w:pos="611"/>
                <w:tab w:val="left" w:pos="1320"/>
              </w:tabs>
              <w:rPr>
                <w:rFonts w:ascii="Arial" w:hAnsi="Arial" w:cs="Arial"/>
                <w:sz w:val="24"/>
                <w:szCs w:val="24"/>
              </w:rPr>
            </w:pPr>
            <w:r w:rsidRPr="00934C02">
              <w:rPr>
                <w:rFonts w:ascii="Arial" w:hAnsi="Arial" w:cs="Arial"/>
              </w:rPr>
              <w:t>[Kg pe cap de locuitor şi an]</w:t>
            </w:r>
          </w:p>
        </w:tc>
        <w:tc>
          <w:tcPr>
            <w:tcW w:w="992" w:type="dxa"/>
            <w:tcBorders>
              <w:top w:val="double" w:sz="4" w:space="0" w:color="auto"/>
              <w:left w:val="double" w:sz="4" w:space="0" w:color="auto"/>
              <w:bottom w:val="double" w:sz="4" w:space="0" w:color="auto"/>
              <w:right w:val="double" w:sz="4" w:space="0" w:color="auto"/>
            </w:tcBorders>
            <w:vAlign w:val="center"/>
            <w:hideMark/>
          </w:tcPr>
          <w:p w:rsidR="00934C02" w:rsidRPr="00934C02" w:rsidRDefault="00934C02" w:rsidP="00934C02">
            <w:pPr>
              <w:jc w:val="center"/>
              <w:rPr>
                <w:rFonts w:ascii="Arial" w:hAnsi="Arial" w:cs="Arial"/>
              </w:rPr>
            </w:pPr>
            <w:r w:rsidRPr="00934C02">
              <w:rPr>
                <w:rFonts w:ascii="Arial" w:hAnsi="Arial" w:cs="Arial"/>
              </w:rPr>
              <w:t>301</w:t>
            </w:r>
          </w:p>
        </w:tc>
        <w:tc>
          <w:tcPr>
            <w:tcW w:w="992" w:type="dxa"/>
            <w:tcBorders>
              <w:top w:val="double" w:sz="4" w:space="0" w:color="auto"/>
              <w:left w:val="double" w:sz="4" w:space="0" w:color="auto"/>
              <w:bottom w:val="double" w:sz="4" w:space="0" w:color="auto"/>
              <w:right w:val="double" w:sz="4" w:space="0" w:color="auto"/>
            </w:tcBorders>
            <w:vAlign w:val="center"/>
            <w:hideMark/>
          </w:tcPr>
          <w:p w:rsidR="00934C02" w:rsidRPr="00934C02" w:rsidRDefault="00934C02" w:rsidP="00934C02">
            <w:pPr>
              <w:jc w:val="center"/>
              <w:rPr>
                <w:rFonts w:ascii="Arial" w:hAnsi="Arial" w:cs="Arial"/>
              </w:rPr>
            </w:pPr>
            <w:r w:rsidRPr="00934C02">
              <w:rPr>
                <w:rFonts w:ascii="Arial" w:hAnsi="Arial" w:cs="Arial"/>
              </w:rPr>
              <w:t>265</w:t>
            </w:r>
          </w:p>
        </w:tc>
        <w:tc>
          <w:tcPr>
            <w:tcW w:w="1134" w:type="dxa"/>
            <w:tcBorders>
              <w:top w:val="double" w:sz="4" w:space="0" w:color="auto"/>
              <w:left w:val="double" w:sz="4" w:space="0" w:color="auto"/>
              <w:bottom w:val="double" w:sz="4" w:space="0" w:color="auto"/>
              <w:right w:val="double" w:sz="4" w:space="0" w:color="auto"/>
            </w:tcBorders>
            <w:vAlign w:val="center"/>
            <w:hideMark/>
          </w:tcPr>
          <w:p w:rsidR="00934C02" w:rsidRPr="00934C02" w:rsidRDefault="00934C02" w:rsidP="00934C02">
            <w:pPr>
              <w:jc w:val="center"/>
              <w:rPr>
                <w:rFonts w:ascii="Arial" w:hAnsi="Arial" w:cs="Arial"/>
              </w:rPr>
            </w:pPr>
            <w:r w:rsidRPr="00934C02">
              <w:rPr>
                <w:rFonts w:ascii="Arial" w:hAnsi="Arial" w:cs="Arial"/>
              </w:rPr>
              <w:t>226.8</w:t>
            </w:r>
          </w:p>
        </w:tc>
        <w:tc>
          <w:tcPr>
            <w:tcW w:w="992" w:type="dxa"/>
            <w:tcBorders>
              <w:top w:val="double" w:sz="4" w:space="0" w:color="auto"/>
              <w:left w:val="double" w:sz="4" w:space="0" w:color="auto"/>
              <w:bottom w:val="double" w:sz="4" w:space="0" w:color="auto"/>
              <w:right w:val="double" w:sz="4" w:space="0" w:color="auto"/>
            </w:tcBorders>
            <w:vAlign w:val="center"/>
            <w:hideMark/>
          </w:tcPr>
          <w:p w:rsidR="00934C02" w:rsidRPr="00934C02" w:rsidRDefault="00934C02" w:rsidP="00934C02">
            <w:pPr>
              <w:jc w:val="center"/>
              <w:rPr>
                <w:rFonts w:ascii="Arial" w:hAnsi="Arial" w:cs="Arial"/>
              </w:rPr>
            </w:pPr>
            <w:r w:rsidRPr="00934C02">
              <w:rPr>
                <w:rFonts w:ascii="Arial" w:hAnsi="Arial" w:cs="Arial"/>
              </w:rPr>
              <w:t>215.7</w:t>
            </w:r>
          </w:p>
        </w:tc>
        <w:tc>
          <w:tcPr>
            <w:tcW w:w="1134" w:type="dxa"/>
            <w:tcBorders>
              <w:top w:val="double" w:sz="4" w:space="0" w:color="auto"/>
              <w:left w:val="double" w:sz="4" w:space="0" w:color="auto"/>
              <w:bottom w:val="double" w:sz="4" w:space="0" w:color="auto"/>
              <w:right w:val="double" w:sz="4" w:space="0" w:color="auto"/>
            </w:tcBorders>
            <w:vAlign w:val="center"/>
            <w:hideMark/>
          </w:tcPr>
          <w:p w:rsidR="00934C02" w:rsidRPr="00934C02" w:rsidRDefault="00934C02" w:rsidP="00934C02">
            <w:pPr>
              <w:jc w:val="center"/>
              <w:rPr>
                <w:rFonts w:ascii="Arial" w:hAnsi="Arial" w:cs="Arial"/>
              </w:rPr>
            </w:pPr>
            <w:r w:rsidRPr="00934C02">
              <w:rPr>
                <w:rFonts w:ascii="Arial" w:hAnsi="Arial" w:cs="Arial"/>
              </w:rPr>
              <w:t>203.3</w:t>
            </w:r>
          </w:p>
        </w:tc>
      </w:tr>
    </w:tbl>
    <w:p w:rsidR="00934C02" w:rsidRPr="00934C02" w:rsidRDefault="00934C02" w:rsidP="00934C02">
      <w:pPr>
        <w:tabs>
          <w:tab w:val="left" w:pos="611"/>
          <w:tab w:val="left" w:pos="1320"/>
        </w:tabs>
        <w:rPr>
          <w:rFonts w:ascii="Arial" w:hAnsi="Arial" w:cs="Arial"/>
          <w:sz w:val="24"/>
          <w:szCs w:val="24"/>
        </w:rPr>
      </w:pPr>
      <w:r w:rsidRPr="00934C02">
        <w:rPr>
          <w:rFonts w:ascii="Arial" w:hAnsi="Arial" w:cs="Arial"/>
          <w:sz w:val="24"/>
          <w:szCs w:val="24"/>
        </w:rPr>
        <w:tab/>
      </w:r>
      <w:r w:rsidRPr="00934C02">
        <w:rPr>
          <w:noProof/>
        </w:rPr>
        <w:drawing>
          <wp:inline distT="0" distB="0" distL="0" distR="0" wp14:anchorId="5C566FA6" wp14:editId="7B06195B">
            <wp:extent cx="5796951" cy="1207698"/>
            <wp:effectExtent l="0" t="0" r="0" b="0"/>
            <wp:docPr id="252" name="Chart 2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r w:rsidRPr="00934C02">
        <w:rPr>
          <w:rFonts w:ascii="Arial" w:hAnsi="Arial" w:cs="Arial"/>
          <w:sz w:val="24"/>
          <w:szCs w:val="24"/>
          <w:lang w:val="ro-RO" w:eastAsia="pl-PL"/>
        </w:rPr>
        <w:t xml:space="preserve">                           </w:t>
      </w:r>
    </w:p>
    <w:p w:rsidR="00934C02" w:rsidRPr="00934C02" w:rsidRDefault="00934C02" w:rsidP="00934C02">
      <w:pPr>
        <w:spacing w:after="0" w:line="240" w:lineRule="auto"/>
        <w:ind w:firstLine="567"/>
        <w:jc w:val="center"/>
        <w:rPr>
          <w:rFonts w:ascii="Arial" w:eastAsia="Times New Roman" w:hAnsi="Arial" w:cs="Arial"/>
          <w:sz w:val="24"/>
          <w:szCs w:val="24"/>
          <w:lang w:val="ro-RO"/>
        </w:rPr>
      </w:pPr>
      <w:r w:rsidRPr="00934C02">
        <w:rPr>
          <w:rFonts w:ascii="Arial" w:eastAsia="Times New Roman" w:hAnsi="Arial" w:cs="Arial"/>
          <w:sz w:val="24"/>
          <w:szCs w:val="24"/>
        </w:rPr>
        <w:t>Figura VII.16.Tedinţa indicatorului de generare a deşeurilor în perioada 2010-2014</w:t>
      </w:r>
    </w:p>
    <w:p w:rsidR="0084419D" w:rsidRDefault="0084419D" w:rsidP="00934C02">
      <w:pPr>
        <w:widowControl w:val="0"/>
        <w:autoSpaceDE w:val="0"/>
        <w:autoSpaceDN w:val="0"/>
        <w:adjustRightInd w:val="0"/>
        <w:spacing w:after="0" w:line="240" w:lineRule="auto"/>
        <w:jc w:val="both"/>
        <w:rPr>
          <w:rFonts w:ascii="Arial" w:eastAsia="SimSun" w:hAnsi="Arial" w:cs="Arial"/>
          <w:sz w:val="24"/>
          <w:szCs w:val="24"/>
        </w:rPr>
      </w:pPr>
    </w:p>
    <w:p w:rsidR="0084419D" w:rsidRDefault="0084419D" w:rsidP="00934C02">
      <w:pPr>
        <w:widowControl w:val="0"/>
        <w:autoSpaceDE w:val="0"/>
        <w:autoSpaceDN w:val="0"/>
        <w:adjustRightInd w:val="0"/>
        <w:spacing w:after="0" w:line="240" w:lineRule="auto"/>
        <w:jc w:val="both"/>
        <w:rPr>
          <w:rFonts w:ascii="Arial" w:eastAsia="SimSun" w:hAnsi="Arial" w:cs="Arial"/>
          <w:sz w:val="24"/>
          <w:szCs w:val="24"/>
        </w:rPr>
      </w:pPr>
    </w:p>
    <w:p w:rsidR="0084419D" w:rsidRDefault="0084419D" w:rsidP="00934C02">
      <w:pPr>
        <w:widowControl w:val="0"/>
        <w:autoSpaceDE w:val="0"/>
        <w:autoSpaceDN w:val="0"/>
        <w:adjustRightInd w:val="0"/>
        <w:spacing w:after="0" w:line="240" w:lineRule="auto"/>
        <w:jc w:val="both"/>
        <w:rPr>
          <w:rFonts w:ascii="Arial" w:eastAsia="SimSun" w:hAnsi="Arial" w:cs="Arial"/>
          <w:sz w:val="24"/>
          <w:szCs w:val="24"/>
        </w:rPr>
      </w:pPr>
    </w:p>
    <w:p w:rsidR="00934C02" w:rsidRPr="00934C02" w:rsidRDefault="00934C02" w:rsidP="00934C02">
      <w:pPr>
        <w:widowControl w:val="0"/>
        <w:autoSpaceDE w:val="0"/>
        <w:autoSpaceDN w:val="0"/>
        <w:adjustRightInd w:val="0"/>
        <w:spacing w:after="0" w:line="240" w:lineRule="auto"/>
        <w:jc w:val="both"/>
        <w:rPr>
          <w:rFonts w:ascii="Arial" w:eastAsia="SimSun" w:hAnsi="Arial" w:cs="Arial"/>
          <w:sz w:val="24"/>
          <w:szCs w:val="24"/>
        </w:rPr>
      </w:pPr>
      <w:r w:rsidRPr="00934C02">
        <w:rPr>
          <w:rFonts w:ascii="Arial" w:eastAsia="SimSun" w:hAnsi="Arial" w:cs="Arial"/>
          <w:sz w:val="24"/>
          <w:szCs w:val="24"/>
        </w:rPr>
        <w:lastRenderedPageBreak/>
        <w:t>Tabelul VII.25. Gradul de acoperire cu servicii de salubritate</w:t>
      </w:r>
    </w:p>
    <w:tbl>
      <w:tblPr>
        <w:tblpPr w:leftFromText="180" w:rightFromText="180" w:bottomFromText="200" w:vertAnchor="text" w:horzAnchor="margin" w:tblpY="1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0"/>
        <w:gridCol w:w="1076"/>
        <w:gridCol w:w="1215"/>
        <w:gridCol w:w="1173"/>
        <w:gridCol w:w="1173"/>
        <w:gridCol w:w="1269"/>
      </w:tblGrid>
      <w:tr w:rsidR="00934C02" w:rsidRPr="00934C02" w:rsidTr="00934C02">
        <w:tc>
          <w:tcPr>
            <w:tcW w:w="3670"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b/>
                <w:sz w:val="20"/>
                <w:szCs w:val="20"/>
              </w:rPr>
            </w:pPr>
          </w:p>
        </w:tc>
        <w:tc>
          <w:tcPr>
            <w:tcW w:w="1076"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b/>
                <w:sz w:val="24"/>
                <w:szCs w:val="24"/>
              </w:rPr>
            </w:pPr>
            <w:r w:rsidRPr="00934C02">
              <w:rPr>
                <w:rFonts w:ascii="Arial" w:hAnsi="Arial" w:cs="Arial"/>
                <w:b/>
                <w:sz w:val="24"/>
                <w:szCs w:val="24"/>
              </w:rPr>
              <w:t>2010</w:t>
            </w:r>
          </w:p>
        </w:tc>
        <w:tc>
          <w:tcPr>
            <w:tcW w:w="1215"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b/>
                <w:sz w:val="24"/>
                <w:szCs w:val="24"/>
              </w:rPr>
            </w:pPr>
            <w:r w:rsidRPr="00934C02">
              <w:rPr>
                <w:rFonts w:ascii="Arial" w:hAnsi="Arial" w:cs="Arial"/>
                <w:b/>
                <w:sz w:val="24"/>
                <w:szCs w:val="24"/>
              </w:rPr>
              <w:t>2011</w:t>
            </w:r>
          </w:p>
        </w:tc>
        <w:tc>
          <w:tcPr>
            <w:tcW w:w="1173"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b/>
                <w:sz w:val="24"/>
                <w:szCs w:val="24"/>
              </w:rPr>
            </w:pPr>
            <w:r w:rsidRPr="00934C02">
              <w:rPr>
                <w:rFonts w:ascii="Arial" w:hAnsi="Arial" w:cs="Arial"/>
                <w:b/>
                <w:sz w:val="24"/>
                <w:szCs w:val="24"/>
              </w:rPr>
              <w:t>2012</w:t>
            </w:r>
          </w:p>
        </w:tc>
        <w:tc>
          <w:tcPr>
            <w:tcW w:w="1173"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b/>
                <w:sz w:val="24"/>
                <w:szCs w:val="24"/>
              </w:rPr>
            </w:pPr>
            <w:r w:rsidRPr="00934C02">
              <w:rPr>
                <w:rFonts w:ascii="Arial" w:hAnsi="Arial" w:cs="Arial"/>
                <w:b/>
                <w:sz w:val="24"/>
                <w:szCs w:val="24"/>
              </w:rPr>
              <w:t>2013</w:t>
            </w:r>
          </w:p>
        </w:tc>
        <w:tc>
          <w:tcPr>
            <w:tcW w:w="126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b/>
                <w:sz w:val="24"/>
                <w:szCs w:val="24"/>
              </w:rPr>
            </w:pPr>
            <w:r w:rsidRPr="00934C02">
              <w:rPr>
                <w:rFonts w:ascii="Arial" w:hAnsi="Arial" w:cs="Arial"/>
                <w:b/>
                <w:sz w:val="24"/>
                <w:szCs w:val="24"/>
              </w:rPr>
              <w:t>2014</w:t>
            </w:r>
          </w:p>
        </w:tc>
      </w:tr>
      <w:tr w:rsidR="00934C02" w:rsidRPr="00934C02" w:rsidTr="00934C02">
        <w:tc>
          <w:tcPr>
            <w:tcW w:w="367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Gradul de conectare la serviciul de salubritate (%)</w:t>
            </w:r>
          </w:p>
        </w:tc>
        <w:tc>
          <w:tcPr>
            <w:tcW w:w="1076"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napToGrid w:val="0"/>
                <w:sz w:val="24"/>
                <w:szCs w:val="24"/>
              </w:rPr>
            </w:pPr>
            <w:r w:rsidRPr="00934C02">
              <w:rPr>
                <w:rFonts w:ascii="Arial" w:hAnsi="Arial" w:cs="Arial"/>
                <w:snapToGrid w:val="0"/>
                <w:sz w:val="24"/>
                <w:szCs w:val="24"/>
              </w:rPr>
              <w:t>23,85</w:t>
            </w:r>
          </w:p>
        </w:tc>
        <w:tc>
          <w:tcPr>
            <w:tcW w:w="1215"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napToGrid w:val="0"/>
                <w:sz w:val="24"/>
                <w:szCs w:val="24"/>
              </w:rPr>
            </w:pPr>
            <w:r w:rsidRPr="00934C02">
              <w:rPr>
                <w:rFonts w:ascii="Arial" w:hAnsi="Arial" w:cs="Arial"/>
                <w:snapToGrid w:val="0"/>
                <w:sz w:val="24"/>
                <w:szCs w:val="24"/>
              </w:rPr>
              <w:t>26,55</w:t>
            </w:r>
          </w:p>
        </w:tc>
        <w:tc>
          <w:tcPr>
            <w:tcW w:w="1173"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napToGrid w:val="0"/>
                <w:sz w:val="24"/>
                <w:szCs w:val="24"/>
              </w:rPr>
            </w:pPr>
            <w:r w:rsidRPr="00934C02">
              <w:rPr>
                <w:rFonts w:ascii="Arial" w:hAnsi="Arial" w:cs="Arial"/>
                <w:snapToGrid w:val="0"/>
                <w:sz w:val="24"/>
                <w:szCs w:val="24"/>
              </w:rPr>
              <w:t>27,60</w:t>
            </w:r>
          </w:p>
        </w:tc>
        <w:tc>
          <w:tcPr>
            <w:tcW w:w="1173"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snapToGrid w:val="0"/>
                <w:sz w:val="24"/>
                <w:szCs w:val="24"/>
              </w:rPr>
            </w:pPr>
            <w:r w:rsidRPr="00934C02">
              <w:rPr>
                <w:rFonts w:ascii="Arial" w:hAnsi="Arial" w:cs="Arial"/>
                <w:snapToGrid w:val="0"/>
                <w:sz w:val="24"/>
                <w:szCs w:val="24"/>
              </w:rPr>
              <w:t>38,91</w:t>
            </w:r>
          </w:p>
        </w:tc>
        <w:tc>
          <w:tcPr>
            <w:tcW w:w="1269"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snapToGrid w:val="0"/>
                <w:sz w:val="24"/>
                <w:szCs w:val="24"/>
              </w:rPr>
            </w:pPr>
            <w:r w:rsidRPr="00934C02">
              <w:rPr>
                <w:rFonts w:ascii="Arial" w:hAnsi="Arial" w:cs="Arial"/>
                <w:snapToGrid w:val="0"/>
                <w:sz w:val="24"/>
                <w:szCs w:val="24"/>
              </w:rPr>
              <w:t>39,88</w:t>
            </w:r>
          </w:p>
        </w:tc>
      </w:tr>
      <w:tr w:rsidR="00934C02" w:rsidRPr="00934C02" w:rsidTr="00934C02">
        <w:tc>
          <w:tcPr>
            <w:tcW w:w="367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-Mediul urban</w:t>
            </w:r>
          </w:p>
        </w:tc>
        <w:tc>
          <w:tcPr>
            <w:tcW w:w="1076"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napToGrid w:val="0"/>
                <w:sz w:val="24"/>
                <w:szCs w:val="24"/>
              </w:rPr>
            </w:pPr>
            <w:r w:rsidRPr="00934C02">
              <w:rPr>
                <w:rFonts w:ascii="Arial" w:hAnsi="Arial" w:cs="Arial"/>
                <w:snapToGrid w:val="0"/>
                <w:sz w:val="24"/>
                <w:szCs w:val="24"/>
              </w:rPr>
              <w:t>57,58</w:t>
            </w:r>
          </w:p>
        </w:tc>
        <w:tc>
          <w:tcPr>
            <w:tcW w:w="1215"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napToGrid w:val="0"/>
                <w:sz w:val="24"/>
                <w:szCs w:val="24"/>
              </w:rPr>
            </w:pPr>
            <w:r w:rsidRPr="00934C02">
              <w:rPr>
                <w:rFonts w:ascii="Arial" w:hAnsi="Arial" w:cs="Arial"/>
                <w:snapToGrid w:val="0"/>
                <w:sz w:val="24"/>
                <w:szCs w:val="24"/>
              </w:rPr>
              <w:t>70,89</w:t>
            </w:r>
          </w:p>
        </w:tc>
        <w:tc>
          <w:tcPr>
            <w:tcW w:w="1173"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napToGrid w:val="0"/>
                <w:sz w:val="24"/>
                <w:szCs w:val="24"/>
              </w:rPr>
            </w:pPr>
            <w:r w:rsidRPr="00934C02">
              <w:rPr>
                <w:rFonts w:ascii="Arial" w:hAnsi="Arial" w:cs="Arial"/>
                <w:snapToGrid w:val="0"/>
                <w:sz w:val="24"/>
                <w:szCs w:val="24"/>
              </w:rPr>
              <w:t>62,37</w:t>
            </w:r>
          </w:p>
        </w:tc>
        <w:tc>
          <w:tcPr>
            <w:tcW w:w="1173"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snapToGrid w:val="0"/>
                <w:sz w:val="24"/>
                <w:szCs w:val="24"/>
              </w:rPr>
            </w:pPr>
            <w:r w:rsidRPr="00934C02">
              <w:rPr>
                <w:rFonts w:ascii="Arial" w:hAnsi="Arial" w:cs="Arial"/>
                <w:snapToGrid w:val="0"/>
                <w:sz w:val="24"/>
                <w:szCs w:val="24"/>
              </w:rPr>
              <w:t>72,65</w:t>
            </w:r>
          </w:p>
        </w:tc>
        <w:tc>
          <w:tcPr>
            <w:tcW w:w="1269"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snapToGrid w:val="0"/>
                <w:sz w:val="24"/>
                <w:szCs w:val="24"/>
              </w:rPr>
            </w:pPr>
            <w:r w:rsidRPr="00934C02">
              <w:rPr>
                <w:rFonts w:ascii="Arial" w:hAnsi="Arial" w:cs="Arial"/>
                <w:snapToGrid w:val="0"/>
                <w:sz w:val="24"/>
                <w:szCs w:val="24"/>
              </w:rPr>
              <w:t>85,79</w:t>
            </w:r>
          </w:p>
        </w:tc>
      </w:tr>
      <w:tr w:rsidR="00934C02" w:rsidRPr="00934C02" w:rsidTr="00934C02">
        <w:tc>
          <w:tcPr>
            <w:tcW w:w="367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-Mediul rural</w:t>
            </w:r>
          </w:p>
        </w:tc>
        <w:tc>
          <w:tcPr>
            <w:tcW w:w="1076"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napToGrid w:val="0"/>
                <w:sz w:val="24"/>
                <w:szCs w:val="24"/>
              </w:rPr>
            </w:pPr>
            <w:r w:rsidRPr="00934C02">
              <w:rPr>
                <w:rFonts w:ascii="Arial" w:hAnsi="Arial" w:cs="Arial"/>
                <w:snapToGrid w:val="0"/>
                <w:sz w:val="24"/>
                <w:szCs w:val="24"/>
              </w:rPr>
              <w:t>0,078</w:t>
            </w:r>
          </w:p>
        </w:tc>
        <w:tc>
          <w:tcPr>
            <w:tcW w:w="1215"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napToGrid w:val="0"/>
                <w:sz w:val="24"/>
                <w:szCs w:val="24"/>
              </w:rPr>
            </w:pPr>
            <w:r w:rsidRPr="00934C02">
              <w:rPr>
                <w:rFonts w:ascii="Arial" w:hAnsi="Arial" w:cs="Arial"/>
                <w:snapToGrid w:val="0"/>
                <w:sz w:val="24"/>
                <w:szCs w:val="24"/>
              </w:rPr>
              <w:t>0,0868</w:t>
            </w:r>
          </w:p>
        </w:tc>
        <w:tc>
          <w:tcPr>
            <w:tcW w:w="1173"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napToGrid w:val="0"/>
                <w:sz w:val="24"/>
                <w:szCs w:val="24"/>
              </w:rPr>
            </w:pPr>
            <w:r w:rsidRPr="00934C02">
              <w:rPr>
                <w:rFonts w:ascii="Arial" w:hAnsi="Arial" w:cs="Arial"/>
                <w:snapToGrid w:val="0"/>
                <w:sz w:val="24"/>
                <w:szCs w:val="24"/>
              </w:rPr>
              <w:t>3,07</w:t>
            </w:r>
          </w:p>
        </w:tc>
        <w:tc>
          <w:tcPr>
            <w:tcW w:w="1173"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snapToGrid w:val="0"/>
                <w:sz w:val="24"/>
                <w:szCs w:val="24"/>
              </w:rPr>
            </w:pPr>
            <w:r w:rsidRPr="00934C02">
              <w:rPr>
                <w:rFonts w:ascii="Arial" w:hAnsi="Arial" w:cs="Arial"/>
                <w:snapToGrid w:val="0"/>
                <w:sz w:val="24"/>
                <w:szCs w:val="24"/>
              </w:rPr>
              <w:t>7,61</w:t>
            </w:r>
          </w:p>
        </w:tc>
        <w:tc>
          <w:tcPr>
            <w:tcW w:w="1269"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snapToGrid w:val="0"/>
                <w:sz w:val="24"/>
                <w:szCs w:val="24"/>
              </w:rPr>
            </w:pPr>
            <w:r w:rsidRPr="00934C02">
              <w:rPr>
                <w:rFonts w:ascii="Arial" w:hAnsi="Arial" w:cs="Arial"/>
                <w:snapToGrid w:val="0"/>
                <w:sz w:val="24"/>
                <w:szCs w:val="24"/>
              </w:rPr>
              <w:t>10,16</w:t>
            </w:r>
          </w:p>
        </w:tc>
      </w:tr>
      <w:tr w:rsidR="00934C02" w:rsidRPr="00934C02" w:rsidTr="00934C02">
        <w:tc>
          <w:tcPr>
            <w:tcW w:w="367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Cantitatea de deşeuri municipale colectate selectiv(To)</w:t>
            </w:r>
          </w:p>
        </w:tc>
        <w:tc>
          <w:tcPr>
            <w:tcW w:w="1076"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lang w:val="it-IT"/>
              </w:rPr>
            </w:pPr>
            <w:r w:rsidRPr="00934C02">
              <w:rPr>
                <w:rFonts w:ascii="Arial" w:hAnsi="Arial" w:cs="Arial"/>
                <w:sz w:val="24"/>
                <w:szCs w:val="24"/>
                <w:lang w:val="it-IT"/>
              </w:rPr>
              <w:t>312</w:t>
            </w:r>
          </w:p>
        </w:tc>
        <w:tc>
          <w:tcPr>
            <w:tcW w:w="1215"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lang w:val="it-IT"/>
              </w:rPr>
            </w:pPr>
            <w:r w:rsidRPr="00934C02">
              <w:rPr>
                <w:rFonts w:ascii="Arial" w:hAnsi="Arial" w:cs="Arial"/>
                <w:sz w:val="24"/>
                <w:szCs w:val="24"/>
                <w:lang w:val="it-IT"/>
              </w:rPr>
              <w:t>867.6</w:t>
            </w:r>
          </w:p>
        </w:tc>
        <w:tc>
          <w:tcPr>
            <w:tcW w:w="1173"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lang w:val="it-IT"/>
              </w:rPr>
            </w:pPr>
            <w:r w:rsidRPr="00934C02">
              <w:rPr>
                <w:rFonts w:ascii="Arial" w:hAnsi="Arial" w:cs="Arial"/>
                <w:sz w:val="24"/>
                <w:szCs w:val="24"/>
                <w:lang w:val="it-IT"/>
              </w:rPr>
              <w:t>822</w:t>
            </w:r>
          </w:p>
        </w:tc>
        <w:tc>
          <w:tcPr>
            <w:tcW w:w="1173"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sz w:val="24"/>
                <w:szCs w:val="24"/>
                <w:lang w:val="it-IT"/>
              </w:rPr>
            </w:pPr>
            <w:r w:rsidRPr="00934C02">
              <w:rPr>
                <w:rFonts w:ascii="Arial" w:hAnsi="Arial" w:cs="Arial"/>
                <w:sz w:val="24"/>
                <w:szCs w:val="24"/>
                <w:lang w:val="it-IT"/>
              </w:rPr>
              <w:t>665</w:t>
            </w:r>
          </w:p>
        </w:tc>
        <w:tc>
          <w:tcPr>
            <w:tcW w:w="1269"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sz w:val="24"/>
                <w:szCs w:val="24"/>
                <w:lang w:val="it-IT"/>
              </w:rPr>
            </w:pPr>
            <w:r w:rsidRPr="00934C02">
              <w:rPr>
                <w:rFonts w:ascii="Arial" w:hAnsi="Arial" w:cs="Arial"/>
                <w:sz w:val="24"/>
                <w:szCs w:val="24"/>
                <w:lang w:val="it-IT"/>
              </w:rPr>
              <w:t>623</w:t>
            </w:r>
          </w:p>
        </w:tc>
      </w:tr>
      <w:tr w:rsidR="00934C02" w:rsidRPr="00934C02" w:rsidTr="00934C02">
        <w:tc>
          <w:tcPr>
            <w:tcW w:w="367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Cantitatea de deşeuri mun. reciclate (To)</w:t>
            </w:r>
          </w:p>
        </w:tc>
        <w:tc>
          <w:tcPr>
            <w:tcW w:w="1076"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color w:val="000000" w:themeColor="text1"/>
                <w:sz w:val="24"/>
                <w:szCs w:val="24"/>
              </w:rPr>
            </w:pPr>
            <w:r w:rsidRPr="00934C02">
              <w:rPr>
                <w:rFonts w:ascii="Arial" w:hAnsi="Arial" w:cs="Arial"/>
                <w:color w:val="000000" w:themeColor="text1"/>
                <w:sz w:val="24"/>
                <w:szCs w:val="24"/>
              </w:rPr>
              <w:t>296.4</w:t>
            </w:r>
          </w:p>
        </w:tc>
        <w:tc>
          <w:tcPr>
            <w:tcW w:w="1215"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color w:val="000000" w:themeColor="text1"/>
                <w:sz w:val="24"/>
                <w:szCs w:val="24"/>
              </w:rPr>
            </w:pPr>
            <w:r w:rsidRPr="00934C02">
              <w:rPr>
                <w:rFonts w:ascii="Arial" w:hAnsi="Arial" w:cs="Arial"/>
                <w:color w:val="000000" w:themeColor="text1"/>
                <w:sz w:val="24"/>
                <w:szCs w:val="24"/>
              </w:rPr>
              <w:t>824.22</w:t>
            </w:r>
          </w:p>
        </w:tc>
        <w:tc>
          <w:tcPr>
            <w:tcW w:w="1173"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780.9</w:t>
            </w:r>
          </w:p>
        </w:tc>
        <w:tc>
          <w:tcPr>
            <w:tcW w:w="1173"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color w:val="000000" w:themeColor="text1"/>
                <w:sz w:val="24"/>
                <w:szCs w:val="24"/>
              </w:rPr>
            </w:pPr>
            <w:r w:rsidRPr="00934C02">
              <w:rPr>
                <w:rFonts w:ascii="Arial" w:hAnsi="Arial" w:cs="Arial"/>
                <w:color w:val="000000" w:themeColor="text1"/>
                <w:sz w:val="24"/>
                <w:szCs w:val="24"/>
              </w:rPr>
              <w:t>592</w:t>
            </w:r>
          </w:p>
        </w:tc>
        <w:tc>
          <w:tcPr>
            <w:tcW w:w="1269"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575</w:t>
            </w:r>
          </w:p>
        </w:tc>
      </w:tr>
      <w:tr w:rsidR="00934C02" w:rsidRPr="00934C02" w:rsidTr="00934C02">
        <w:tc>
          <w:tcPr>
            <w:tcW w:w="367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Cant. de des.biodegradabil.din des. mun. depozitate(to)</w:t>
            </w:r>
          </w:p>
        </w:tc>
        <w:tc>
          <w:tcPr>
            <w:tcW w:w="1076"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34692</w:t>
            </w:r>
          </w:p>
        </w:tc>
        <w:tc>
          <w:tcPr>
            <w:tcW w:w="1215"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26303</w:t>
            </w:r>
          </w:p>
        </w:tc>
        <w:tc>
          <w:tcPr>
            <w:tcW w:w="1173"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21289</w:t>
            </w:r>
          </w:p>
        </w:tc>
        <w:tc>
          <w:tcPr>
            <w:tcW w:w="1173"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20197</w:t>
            </w:r>
          </w:p>
        </w:tc>
        <w:tc>
          <w:tcPr>
            <w:tcW w:w="1269"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23734</w:t>
            </w:r>
          </w:p>
        </w:tc>
      </w:tr>
      <w:tr w:rsidR="00934C02" w:rsidRPr="00934C02" w:rsidTr="00934C02">
        <w:trPr>
          <w:trHeight w:val="377"/>
        </w:trPr>
        <w:tc>
          <w:tcPr>
            <w:tcW w:w="367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Nr.depoz.mun.conforme în operare</w:t>
            </w:r>
          </w:p>
        </w:tc>
        <w:tc>
          <w:tcPr>
            <w:tcW w:w="1076"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0</w:t>
            </w:r>
          </w:p>
        </w:tc>
        <w:tc>
          <w:tcPr>
            <w:tcW w:w="1215"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0</w:t>
            </w:r>
          </w:p>
        </w:tc>
        <w:tc>
          <w:tcPr>
            <w:tcW w:w="1173"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0</w:t>
            </w:r>
          </w:p>
        </w:tc>
        <w:tc>
          <w:tcPr>
            <w:tcW w:w="1173"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0</w:t>
            </w:r>
          </w:p>
        </w:tc>
        <w:tc>
          <w:tcPr>
            <w:tcW w:w="1269"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0</w:t>
            </w:r>
          </w:p>
        </w:tc>
      </w:tr>
      <w:tr w:rsidR="00934C02" w:rsidRPr="00934C02" w:rsidTr="00934C02">
        <w:tc>
          <w:tcPr>
            <w:tcW w:w="367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Nr. staţiilor de transfer şi/sau</w:t>
            </w:r>
          </w:p>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sortare existente</w:t>
            </w:r>
          </w:p>
        </w:tc>
        <w:tc>
          <w:tcPr>
            <w:tcW w:w="1076"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0/0</w:t>
            </w:r>
          </w:p>
        </w:tc>
        <w:tc>
          <w:tcPr>
            <w:tcW w:w="1215"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0/0</w:t>
            </w:r>
          </w:p>
        </w:tc>
        <w:tc>
          <w:tcPr>
            <w:tcW w:w="1173"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0/0</w:t>
            </w:r>
          </w:p>
        </w:tc>
        <w:tc>
          <w:tcPr>
            <w:tcW w:w="1173"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0/0</w:t>
            </w:r>
          </w:p>
        </w:tc>
        <w:tc>
          <w:tcPr>
            <w:tcW w:w="1269"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0/0</w:t>
            </w:r>
          </w:p>
        </w:tc>
      </w:tr>
    </w:tbl>
    <w:p w:rsidR="00934C02" w:rsidRDefault="00934C02" w:rsidP="00934C02">
      <w:pPr>
        <w:spacing w:after="0" w:line="240" w:lineRule="auto"/>
        <w:jc w:val="both"/>
        <w:rPr>
          <w:rFonts w:ascii="Arial" w:eastAsia="Times New Roman" w:hAnsi="Arial" w:cs="Arial"/>
          <w:i/>
          <w:sz w:val="20"/>
          <w:szCs w:val="20"/>
        </w:rPr>
      </w:pPr>
      <w:r w:rsidRPr="00934C02">
        <w:rPr>
          <w:rFonts w:ascii="Arial" w:eastAsia="Times New Roman" w:hAnsi="Arial" w:cs="Arial"/>
          <w:i/>
          <w:sz w:val="20"/>
          <w:szCs w:val="20"/>
        </w:rPr>
        <w:t>Sursa: APM Vaslui – aplicaţiile: MEDIUS şi SD (din SIM),cu date validate de ANPM</w:t>
      </w:r>
    </w:p>
    <w:p w:rsidR="0084419D" w:rsidRPr="00934C02" w:rsidRDefault="0084419D" w:rsidP="00934C02">
      <w:pPr>
        <w:spacing w:after="0" w:line="240" w:lineRule="auto"/>
        <w:jc w:val="both"/>
        <w:rPr>
          <w:rFonts w:ascii="Arial" w:eastAsia="Times New Roman" w:hAnsi="Arial" w:cs="Arial"/>
          <w:i/>
          <w:sz w:val="20"/>
          <w:szCs w:val="20"/>
        </w:rPr>
      </w:pPr>
    </w:p>
    <w:p w:rsidR="00934C02" w:rsidRPr="00934C02" w:rsidRDefault="00934C02" w:rsidP="00934C02">
      <w:pPr>
        <w:spacing w:after="0" w:line="240" w:lineRule="auto"/>
        <w:ind w:firstLine="720"/>
        <w:rPr>
          <w:rFonts w:ascii="Arial" w:hAnsi="Arial" w:cs="Arial"/>
          <w:sz w:val="24"/>
          <w:szCs w:val="24"/>
          <w:lang w:val="ro-RO" w:eastAsia="pl-PL"/>
        </w:rPr>
      </w:pPr>
      <w:r w:rsidRPr="00934C02">
        <w:rPr>
          <w:noProof/>
        </w:rPr>
        <w:drawing>
          <wp:inline distT="0" distB="0" distL="0" distR="0" wp14:anchorId="3407A109" wp14:editId="23B99C2E">
            <wp:extent cx="5503653" cy="2277374"/>
            <wp:effectExtent l="0" t="0" r="1905" b="8890"/>
            <wp:docPr id="253" name="Chart 2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934C02" w:rsidRPr="00934C02" w:rsidRDefault="00934C02" w:rsidP="00934C02">
      <w:pPr>
        <w:spacing w:after="0" w:line="240" w:lineRule="auto"/>
        <w:jc w:val="both"/>
        <w:rPr>
          <w:rFonts w:ascii="Arial" w:hAnsi="Arial" w:cs="Arial"/>
          <w:sz w:val="24"/>
          <w:szCs w:val="24"/>
        </w:rPr>
      </w:pPr>
      <w:r w:rsidRPr="00934C02">
        <w:rPr>
          <w:rFonts w:ascii="Arial" w:hAnsi="Arial" w:cs="Arial"/>
          <w:sz w:val="24"/>
          <w:szCs w:val="24"/>
        </w:rPr>
        <w:t xml:space="preserve">           Figura VII.17. Tendinţa gradului de conectare la serviciul de salubritate - (%), pe perioada 2008-2014</w:t>
      </w:r>
    </w:p>
    <w:p w:rsidR="00934C02" w:rsidRPr="00934C02" w:rsidRDefault="00934C02" w:rsidP="00934C02">
      <w:pPr>
        <w:spacing w:after="0" w:line="240" w:lineRule="auto"/>
        <w:jc w:val="both"/>
        <w:rPr>
          <w:rFonts w:ascii="Arial" w:hAnsi="Arial" w:cs="Arial"/>
          <w:sz w:val="24"/>
          <w:szCs w:val="24"/>
        </w:rPr>
      </w:pPr>
    </w:p>
    <w:p w:rsidR="00934C02" w:rsidRPr="00934C02" w:rsidRDefault="00934C02" w:rsidP="00934C02">
      <w:pPr>
        <w:spacing w:after="0" w:line="240" w:lineRule="auto"/>
        <w:jc w:val="both"/>
        <w:rPr>
          <w:rFonts w:ascii="Arial" w:hAnsi="Arial" w:cs="Arial"/>
          <w:sz w:val="24"/>
          <w:szCs w:val="24"/>
          <w:lang w:val="it-IT"/>
        </w:rPr>
      </w:pPr>
      <w:r w:rsidRPr="00934C02">
        <w:rPr>
          <w:rFonts w:ascii="Arial" w:hAnsi="Arial" w:cs="Arial"/>
          <w:sz w:val="24"/>
          <w:szCs w:val="24"/>
        </w:rPr>
        <w:t xml:space="preserve"> Tabelul </w:t>
      </w:r>
      <w:r w:rsidRPr="00934C02">
        <w:rPr>
          <w:rFonts w:ascii="Arial" w:hAnsi="Arial" w:cs="Arial"/>
          <w:sz w:val="24"/>
          <w:szCs w:val="24"/>
          <w:lang w:val="it-IT"/>
        </w:rPr>
        <w:t>VII.26</w:t>
      </w:r>
      <w:r w:rsidRPr="00934C02">
        <w:rPr>
          <w:rFonts w:ascii="Arial" w:hAnsi="Arial" w:cs="Arial"/>
          <w:sz w:val="24"/>
          <w:szCs w:val="24"/>
        </w:rPr>
        <w:t>. Cantităţi de deşeuri colectate selectiv în perioada 2010- 2014</w:t>
      </w:r>
      <w:r w:rsidRPr="00934C02">
        <w:rPr>
          <w:rFonts w:ascii="Arial" w:hAnsi="Arial" w:cs="Arial"/>
          <w:sz w:val="24"/>
          <w:szCs w:val="24"/>
          <w:lang w:val="it-IT"/>
        </w:rPr>
        <w:t xml:space="preserve"> (tone/an)</w:t>
      </w:r>
    </w:p>
    <w:tbl>
      <w:tblPr>
        <w:tblW w:w="9554" w:type="dxa"/>
        <w:jc w:val="center"/>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980"/>
        <w:gridCol w:w="2440"/>
        <w:gridCol w:w="1080"/>
        <w:gridCol w:w="1033"/>
        <w:gridCol w:w="1353"/>
        <w:gridCol w:w="915"/>
        <w:gridCol w:w="896"/>
        <w:gridCol w:w="857"/>
      </w:tblGrid>
      <w:tr w:rsidR="00934C02" w:rsidRPr="00934C02" w:rsidTr="00934C02">
        <w:trPr>
          <w:trHeight w:val="784"/>
          <w:jc w:val="center"/>
        </w:trPr>
        <w:tc>
          <w:tcPr>
            <w:tcW w:w="980" w:type="dxa"/>
            <w:tcBorders>
              <w:top w:val="single" w:sz="6" w:space="0" w:color="auto"/>
              <w:left w:val="single" w:sz="6" w:space="0" w:color="auto"/>
              <w:bottom w:val="single" w:sz="6" w:space="0" w:color="auto"/>
              <w:right w:val="single" w:sz="6" w:space="0" w:color="auto"/>
            </w:tcBorders>
            <w:vAlign w:val="center"/>
            <w:hideMark/>
          </w:tcPr>
          <w:p w:rsidR="00934C02" w:rsidRPr="00934C02" w:rsidRDefault="00934C02" w:rsidP="00934C02">
            <w:pPr>
              <w:spacing w:after="0" w:line="240" w:lineRule="auto"/>
              <w:jc w:val="center"/>
              <w:rPr>
                <w:rFonts w:ascii="Arial" w:hAnsi="Arial" w:cs="Arial"/>
                <w:b/>
                <w:bCs/>
                <w:i/>
              </w:rPr>
            </w:pPr>
            <w:r w:rsidRPr="00934C02">
              <w:rPr>
                <w:rFonts w:ascii="Arial" w:hAnsi="Arial" w:cs="Arial"/>
                <w:b/>
                <w:bCs/>
                <w:i/>
              </w:rPr>
              <w:t>Anul</w:t>
            </w:r>
          </w:p>
        </w:tc>
        <w:tc>
          <w:tcPr>
            <w:tcW w:w="2440" w:type="dxa"/>
            <w:tcBorders>
              <w:top w:val="single" w:sz="6" w:space="0" w:color="auto"/>
              <w:left w:val="single" w:sz="6" w:space="0" w:color="auto"/>
              <w:bottom w:val="single" w:sz="6" w:space="0" w:color="auto"/>
              <w:right w:val="single" w:sz="6" w:space="0" w:color="auto"/>
            </w:tcBorders>
            <w:vAlign w:val="center"/>
            <w:hideMark/>
          </w:tcPr>
          <w:p w:rsidR="00934C02" w:rsidRPr="00934C02" w:rsidRDefault="00934C02" w:rsidP="00934C02">
            <w:pPr>
              <w:spacing w:after="0" w:line="240" w:lineRule="auto"/>
              <w:jc w:val="center"/>
              <w:rPr>
                <w:rFonts w:ascii="Arial" w:hAnsi="Arial" w:cs="Arial"/>
                <w:b/>
                <w:bCs/>
                <w:i/>
              </w:rPr>
            </w:pPr>
            <w:r w:rsidRPr="00934C02">
              <w:rPr>
                <w:rFonts w:ascii="Arial" w:hAnsi="Arial" w:cs="Arial"/>
                <w:b/>
                <w:bCs/>
                <w:i/>
              </w:rPr>
              <w:t xml:space="preserve">Cantitatea totală de deşeuri colectată </w:t>
            </w:r>
          </w:p>
          <w:p w:rsidR="00934C02" w:rsidRPr="00934C02" w:rsidRDefault="00934C02" w:rsidP="00934C02">
            <w:pPr>
              <w:spacing w:after="0" w:line="240" w:lineRule="auto"/>
              <w:jc w:val="center"/>
              <w:rPr>
                <w:rFonts w:ascii="Arial" w:hAnsi="Arial" w:cs="Arial"/>
                <w:b/>
                <w:bCs/>
                <w:i/>
              </w:rPr>
            </w:pPr>
            <w:r w:rsidRPr="00934C02">
              <w:rPr>
                <w:rFonts w:ascii="Arial" w:hAnsi="Arial" w:cs="Arial"/>
                <w:b/>
                <w:bCs/>
                <w:i/>
              </w:rPr>
              <w:t>(tone)</w:t>
            </w:r>
          </w:p>
        </w:tc>
        <w:tc>
          <w:tcPr>
            <w:tcW w:w="1080" w:type="dxa"/>
            <w:tcBorders>
              <w:top w:val="single" w:sz="6" w:space="0" w:color="auto"/>
              <w:left w:val="single" w:sz="6" w:space="0" w:color="auto"/>
              <w:bottom w:val="single" w:sz="6" w:space="0" w:color="auto"/>
              <w:right w:val="single" w:sz="6" w:space="0" w:color="auto"/>
            </w:tcBorders>
            <w:vAlign w:val="center"/>
            <w:hideMark/>
          </w:tcPr>
          <w:p w:rsidR="00934C02" w:rsidRPr="00934C02" w:rsidRDefault="00934C02" w:rsidP="00934C02">
            <w:pPr>
              <w:spacing w:after="0" w:line="240" w:lineRule="auto"/>
              <w:jc w:val="center"/>
              <w:rPr>
                <w:rFonts w:ascii="Arial" w:hAnsi="Arial" w:cs="Arial"/>
                <w:b/>
                <w:bCs/>
                <w:i/>
              </w:rPr>
            </w:pPr>
            <w:r w:rsidRPr="00934C02">
              <w:rPr>
                <w:rFonts w:ascii="Arial" w:hAnsi="Arial" w:cs="Arial"/>
                <w:b/>
                <w:bCs/>
                <w:i/>
              </w:rPr>
              <w:t>PET</w:t>
            </w:r>
          </w:p>
        </w:tc>
        <w:tc>
          <w:tcPr>
            <w:tcW w:w="1033" w:type="dxa"/>
            <w:tcBorders>
              <w:top w:val="single" w:sz="6" w:space="0" w:color="auto"/>
              <w:left w:val="single" w:sz="6" w:space="0" w:color="auto"/>
              <w:bottom w:val="single" w:sz="6" w:space="0" w:color="auto"/>
              <w:right w:val="single" w:sz="6" w:space="0" w:color="auto"/>
            </w:tcBorders>
            <w:vAlign w:val="center"/>
            <w:hideMark/>
          </w:tcPr>
          <w:p w:rsidR="00934C02" w:rsidRPr="00934C02" w:rsidRDefault="00934C02" w:rsidP="00934C02">
            <w:pPr>
              <w:spacing w:after="0" w:line="240" w:lineRule="auto"/>
              <w:jc w:val="center"/>
              <w:rPr>
                <w:rFonts w:ascii="Arial" w:hAnsi="Arial" w:cs="Arial"/>
                <w:b/>
                <w:bCs/>
                <w:i/>
              </w:rPr>
            </w:pPr>
            <w:r w:rsidRPr="00934C02">
              <w:rPr>
                <w:rFonts w:ascii="Arial" w:hAnsi="Arial" w:cs="Arial"/>
                <w:b/>
                <w:bCs/>
                <w:i/>
              </w:rPr>
              <w:t>Plastic</w:t>
            </w:r>
          </w:p>
        </w:tc>
        <w:tc>
          <w:tcPr>
            <w:tcW w:w="1353" w:type="dxa"/>
            <w:tcBorders>
              <w:top w:val="single" w:sz="6" w:space="0" w:color="auto"/>
              <w:left w:val="single" w:sz="6" w:space="0" w:color="auto"/>
              <w:bottom w:val="single" w:sz="6" w:space="0" w:color="auto"/>
              <w:right w:val="single" w:sz="6" w:space="0" w:color="auto"/>
            </w:tcBorders>
            <w:vAlign w:val="center"/>
            <w:hideMark/>
          </w:tcPr>
          <w:p w:rsidR="00934C02" w:rsidRPr="00934C02" w:rsidRDefault="00934C02" w:rsidP="00934C02">
            <w:pPr>
              <w:spacing w:after="0" w:line="240" w:lineRule="auto"/>
              <w:jc w:val="center"/>
              <w:rPr>
                <w:rFonts w:ascii="Arial" w:hAnsi="Arial" w:cs="Arial"/>
                <w:b/>
                <w:bCs/>
                <w:i/>
              </w:rPr>
            </w:pPr>
            <w:r w:rsidRPr="00934C02">
              <w:rPr>
                <w:rFonts w:ascii="Arial" w:hAnsi="Arial" w:cs="Arial"/>
                <w:b/>
                <w:bCs/>
                <w:i/>
              </w:rPr>
              <w:t>Hârtie/</w:t>
            </w:r>
          </w:p>
          <w:p w:rsidR="00934C02" w:rsidRPr="00934C02" w:rsidRDefault="00934C02" w:rsidP="00934C02">
            <w:pPr>
              <w:spacing w:after="0" w:line="240" w:lineRule="auto"/>
              <w:jc w:val="center"/>
              <w:rPr>
                <w:rFonts w:ascii="Arial" w:hAnsi="Arial" w:cs="Arial"/>
                <w:b/>
                <w:bCs/>
                <w:i/>
              </w:rPr>
            </w:pPr>
            <w:r w:rsidRPr="00934C02">
              <w:rPr>
                <w:rFonts w:ascii="Arial" w:hAnsi="Arial" w:cs="Arial"/>
                <w:b/>
                <w:bCs/>
                <w:i/>
              </w:rPr>
              <w:t>Carton</w:t>
            </w:r>
          </w:p>
        </w:tc>
        <w:tc>
          <w:tcPr>
            <w:tcW w:w="915" w:type="dxa"/>
            <w:tcBorders>
              <w:top w:val="single" w:sz="6" w:space="0" w:color="auto"/>
              <w:left w:val="single" w:sz="6" w:space="0" w:color="auto"/>
              <w:bottom w:val="single" w:sz="6" w:space="0" w:color="auto"/>
              <w:right w:val="single" w:sz="6" w:space="0" w:color="auto"/>
            </w:tcBorders>
            <w:vAlign w:val="center"/>
            <w:hideMark/>
          </w:tcPr>
          <w:p w:rsidR="00934C02" w:rsidRPr="00934C02" w:rsidRDefault="00934C02" w:rsidP="00934C02">
            <w:pPr>
              <w:spacing w:after="0" w:line="240" w:lineRule="auto"/>
              <w:jc w:val="center"/>
              <w:rPr>
                <w:rFonts w:ascii="Arial" w:hAnsi="Arial" w:cs="Arial"/>
                <w:b/>
                <w:bCs/>
                <w:i/>
              </w:rPr>
            </w:pPr>
            <w:r w:rsidRPr="00934C02">
              <w:rPr>
                <w:rFonts w:ascii="Arial" w:hAnsi="Arial" w:cs="Arial"/>
                <w:b/>
                <w:bCs/>
                <w:i/>
              </w:rPr>
              <w:t>Sticlă</w:t>
            </w:r>
          </w:p>
        </w:tc>
        <w:tc>
          <w:tcPr>
            <w:tcW w:w="896" w:type="dxa"/>
            <w:tcBorders>
              <w:top w:val="single" w:sz="6" w:space="0" w:color="auto"/>
              <w:left w:val="single" w:sz="6" w:space="0" w:color="auto"/>
              <w:bottom w:val="single" w:sz="6" w:space="0" w:color="auto"/>
              <w:right w:val="single" w:sz="6" w:space="0" w:color="auto"/>
            </w:tcBorders>
            <w:vAlign w:val="center"/>
            <w:hideMark/>
          </w:tcPr>
          <w:p w:rsidR="00934C02" w:rsidRPr="00934C02" w:rsidRDefault="00934C02" w:rsidP="00934C02">
            <w:pPr>
              <w:spacing w:after="0" w:line="240" w:lineRule="auto"/>
              <w:jc w:val="center"/>
              <w:rPr>
                <w:rFonts w:ascii="Arial" w:hAnsi="Arial" w:cs="Arial"/>
                <w:b/>
                <w:bCs/>
                <w:i/>
              </w:rPr>
            </w:pPr>
            <w:r w:rsidRPr="00934C02">
              <w:rPr>
                <w:rFonts w:ascii="Arial" w:hAnsi="Arial" w:cs="Arial"/>
                <w:b/>
                <w:bCs/>
                <w:i/>
              </w:rPr>
              <w:t>Metal</w:t>
            </w:r>
          </w:p>
        </w:tc>
        <w:tc>
          <w:tcPr>
            <w:tcW w:w="857" w:type="dxa"/>
            <w:tcBorders>
              <w:top w:val="single" w:sz="6" w:space="0" w:color="auto"/>
              <w:left w:val="single" w:sz="6" w:space="0" w:color="auto"/>
              <w:bottom w:val="single" w:sz="6" w:space="0" w:color="auto"/>
              <w:right w:val="single" w:sz="6" w:space="0" w:color="auto"/>
            </w:tcBorders>
            <w:vAlign w:val="center"/>
            <w:hideMark/>
          </w:tcPr>
          <w:p w:rsidR="00934C02" w:rsidRPr="00934C02" w:rsidRDefault="00934C02" w:rsidP="00934C02">
            <w:pPr>
              <w:spacing w:after="0" w:line="240" w:lineRule="auto"/>
              <w:jc w:val="center"/>
              <w:rPr>
                <w:rFonts w:ascii="Arial" w:hAnsi="Arial" w:cs="Arial"/>
                <w:b/>
                <w:bCs/>
                <w:i/>
              </w:rPr>
            </w:pPr>
            <w:r w:rsidRPr="00934C02">
              <w:rPr>
                <w:rFonts w:ascii="Arial" w:hAnsi="Arial" w:cs="Arial"/>
                <w:b/>
                <w:bCs/>
                <w:i/>
              </w:rPr>
              <w:t>Lemn</w:t>
            </w:r>
          </w:p>
        </w:tc>
      </w:tr>
      <w:tr w:rsidR="00934C02" w:rsidRPr="00934C02" w:rsidTr="00934C02">
        <w:trPr>
          <w:jc w:val="center"/>
        </w:trPr>
        <w:tc>
          <w:tcPr>
            <w:tcW w:w="980" w:type="dxa"/>
            <w:tcBorders>
              <w:top w:val="single" w:sz="6" w:space="0" w:color="auto"/>
              <w:left w:val="single" w:sz="6" w:space="0" w:color="auto"/>
              <w:bottom w:val="single" w:sz="6" w:space="0" w:color="auto"/>
              <w:right w:val="single" w:sz="6" w:space="0" w:color="auto"/>
            </w:tcBorders>
            <w:hideMark/>
          </w:tcPr>
          <w:p w:rsidR="00934C02" w:rsidRPr="00934C02" w:rsidRDefault="00934C02" w:rsidP="00934C02">
            <w:pPr>
              <w:spacing w:after="0" w:line="240" w:lineRule="auto"/>
              <w:jc w:val="center"/>
              <w:rPr>
                <w:rFonts w:ascii="Arial" w:hAnsi="Arial" w:cs="Arial"/>
                <w:b/>
                <w:i/>
              </w:rPr>
            </w:pPr>
            <w:r w:rsidRPr="00934C02">
              <w:rPr>
                <w:rFonts w:ascii="Arial" w:hAnsi="Arial" w:cs="Arial"/>
                <w:b/>
                <w:i/>
              </w:rPr>
              <w:t>2010</w:t>
            </w:r>
          </w:p>
        </w:tc>
        <w:tc>
          <w:tcPr>
            <w:tcW w:w="2440" w:type="dxa"/>
            <w:tcBorders>
              <w:top w:val="single" w:sz="6" w:space="0" w:color="auto"/>
              <w:left w:val="single" w:sz="6" w:space="0" w:color="auto"/>
              <w:bottom w:val="single" w:sz="6" w:space="0" w:color="auto"/>
              <w:right w:val="single" w:sz="6" w:space="0" w:color="auto"/>
            </w:tcBorders>
            <w:hideMark/>
          </w:tcPr>
          <w:p w:rsidR="00934C02" w:rsidRPr="00934C02" w:rsidRDefault="00934C02" w:rsidP="00934C02">
            <w:pPr>
              <w:spacing w:after="0" w:line="240" w:lineRule="auto"/>
              <w:jc w:val="center"/>
              <w:rPr>
                <w:rFonts w:ascii="Arial" w:hAnsi="Arial" w:cs="Arial"/>
                <w:bCs/>
              </w:rPr>
            </w:pPr>
            <w:r w:rsidRPr="00934C02">
              <w:rPr>
                <w:rFonts w:ascii="Arial" w:hAnsi="Arial" w:cs="Arial"/>
              </w:rPr>
              <w:t>175,593</w:t>
            </w:r>
          </w:p>
        </w:tc>
        <w:tc>
          <w:tcPr>
            <w:tcW w:w="1080" w:type="dxa"/>
            <w:tcBorders>
              <w:top w:val="single" w:sz="6" w:space="0" w:color="auto"/>
              <w:left w:val="single" w:sz="6" w:space="0" w:color="auto"/>
              <w:bottom w:val="single" w:sz="6" w:space="0" w:color="auto"/>
              <w:right w:val="single" w:sz="6" w:space="0" w:color="auto"/>
            </w:tcBorders>
            <w:hideMark/>
          </w:tcPr>
          <w:p w:rsidR="00934C02" w:rsidRPr="00934C02" w:rsidRDefault="00934C02" w:rsidP="00934C02">
            <w:pPr>
              <w:spacing w:after="0" w:line="240" w:lineRule="auto"/>
              <w:jc w:val="center"/>
              <w:rPr>
                <w:rFonts w:ascii="Arial" w:hAnsi="Arial" w:cs="Arial"/>
                <w:bCs/>
              </w:rPr>
            </w:pPr>
            <w:r w:rsidRPr="00934C02">
              <w:rPr>
                <w:rFonts w:ascii="Arial" w:hAnsi="Arial" w:cs="Arial"/>
              </w:rPr>
              <w:t>46,335</w:t>
            </w:r>
          </w:p>
        </w:tc>
        <w:tc>
          <w:tcPr>
            <w:tcW w:w="1033" w:type="dxa"/>
            <w:tcBorders>
              <w:top w:val="single" w:sz="6" w:space="0" w:color="auto"/>
              <w:left w:val="single" w:sz="6" w:space="0" w:color="auto"/>
              <w:bottom w:val="single" w:sz="6" w:space="0" w:color="auto"/>
              <w:right w:val="single" w:sz="6" w:space="0" w:color="auto"/>
            </w:tcBorders>
            <w:hideMark/>
          </w:tcPr>
          <w:p w:rsidR="00934C02" w:rsidRPr="00934C02" w:rsidRDefault="00934C02" w:rsidP="00934C02">
            <w:pPr>
              <w:spacing w:after="0" w:line="240" w:lineRule="auto"/>
              <w:jc w:val="center"/>
              <w:rPr>
                <w:rFonts w:ascii="Arial" w:hAnsi="Arial" w:cs="Arial"/>
                <w:bCs/>
              </w:rPr>
            </w:pPr>
            <w:r w:rsidRPr="00934C02">
              <w:rPr>
                <w:rFonts w:ascii="Arial" w:hAnsi="Arial" w:cs="Arial"/>
              </w:rPr>
              <w:t>7,548</w:t>
            </w:r>
          </w:p>
        </w:tc>
        <w:tc>
          <w:tcPr>
            <w:tcW w:w="1353" w:type="dxa"/>
            <w:tcBorders>
              <w:top w:val="single" w:sz="6" w:space="0" w:color="auto"/>
              <w:left w:val="single" w:sz="6" w:space="0" w:color="auto"/>
              <w:bottom w:val="single" w:sz="6" w:space="0" w:color="auto"/>
              <w:right w:val="single" w:sz="6" w:space="0" w:color="auto"/>
            </w:tcBorders>
            <w:hideMark/>
          </w:tcPr>
          <w:p w:rsidR="00934C02" w:rsidRPr="00934C02" w:rsidRDefault="00934C02" w:rsidP="00934C02">
            <w:pPr>
              <w:spacing w:after="0" w:line="240" w:lineRule="auto"/>
              <w:jc w:val="center"/>
              <w:rPr>
                <w:rFonts w:ascii="Arial" w:hAnsi="Arial" w:cs="Arial"/>
                <w:bCs/>
              </w:rPr>
            </w:pPr>
            <w:r w:rsidRPr="00934C02">
              <w:rPr>
                <w:rFonts w:ascii="Arial" w:hAnsi="Arial" w:cs="Arial"/>
              </w:rPr>
              <w:t>116,114</w:t>
            </w:r>
          </w:p>
        </w:tc>
        <w:tc>
          <w:tcPr>
            <w:tcW w:w="915" w:type="dxa"/>
            <w:tcBorders>
              <w:top w:val="single" w:sz="6" w:space="0" w:color="auto"/>
              <w:left w:val="single" w:sz="6" w:space="0" w:color="auto"/>
              <w:bottom w:val="single" w:sz="6" w:space="0" w:color="auto"/>
              <w:right w:val="single" w:sz="6" w:space="0" w:color="auto"/>
            </w:tcBorders>
            <w:hideMark/>
          </w:tcPr>
          <w:p w:rsidR="00934C02" w:rsidRPr="00934C02" w:rsidRDefault="00934C02" w:rsidP="00934C02">
            <w:pPr>
              <w:spacing w:after="0" w:line="240" w:lineRule="auto"/>
              <w:jc w:val="center"/>
              <w:rPr>
                <w:rFonts w:ascii="Arial" w:hAnsi="Arial" w:cs="Arial"/>
                <w:bCs/>
              </w:rPr>
            </w:pPr>
            <w:r w:rsidRPr="00934C02">
              <w:rPr>
                <w:rFonts w:ascii="Arial" w:hAnsi="Arial" w:cs="Arial"/>
              </w:rPr>
              <w:t>5,466</w:t>
            </w:r>
          </w:p>
        </w:tc>
        <w:tc>
          <w:tcPr>
            <w:tcW w:w="896" w:type="dxa"/>
            <w:tcBorders>
              <w:top w:val="single" w:sz="6" w:space="0" w:color="auto"/>
              <w:left w:val="single" w:sz="6" w:space="0" w:color="auto"/>
              <w:bottom w:val="single" w:sz="6" w:space="0" w:color="auto"/>
              <w:right w:val="single" w:sz="6" w:space="0" w:color="auto"/>
            </w:tcBorders>
            <w:hideMark/>
          </w:tcPr>
          <w:p w:rsidR="00934C02" w:rsidRPr="00934C02" w:rsidRDefault="00934C02" w:rsidP="00934C02">
            <w:pPr>
              <w:spacing w:after="0" w:line="240" w:lineRule="auto"/>
              <w:jc w:val="center"/>
              <w:rPr>
                <w:rFonts w:ascii="Arial" w:hAnsi="Arial" w:cs="Arial"/>
                <w:bCs/>
              </w:rPr>
            </w:pPr>
            <w:r w:rsidRPr="00934C02">
              <w:rPr>
                <w:rFonts w:ascii="Arial" w:hAnsi="Arial" w:cs="Arial"/>
              </w:rPr>
              <w:t>0,130</w:t>
            </w:r>
          </w:p>
        </w:tc>
        <w:tc>
          <w:tcPr>
            <w:tcW w:w="857" w:type="dxa"/>
            <w:tcBorders>
              <w:top w:val="single" w:sz="6" w:space="0" w:color="auto"/>
              <w:left w:val="single" w:sz="6" w:space="0" w:color="auto"/>
              <w:bottom w:val="single" w:sz="6" w:space="0" w:color="auto"/>
              <w:right w:val="single" w:sz="6" w:space="0" w:color="auto"/>
            </w:tcBorders>
            <w:hideMark/>
          </w:tcPr>
          <w:p w:rsidR="00934C02" w:rsidRPr="00934C02" w:rsidRDefault="00934C02" w:rsidP="00934C02">
            <w:pPr>
              <w:spacing w:after="0" w:line="240" w:lineRule="auto"/>
              <w:jc w:val="center"/>
              <w:rPr>
                <w:rFonts w:ascii="Arial" w:hAnsi="Arial" w:cs="Arial"/>
                <w:bCs/>
              </w:rPr>
            </w:pPr>
            <w:r w:rsidRPr="00934C02">
              <w:rPr>
                <w:rFonts w:ascii="Arial" w:hAnsi="Arial" w:cs="Arial"/>
              </w:rPr>
              <w:t>0</w:t>
            </w:r>
          </w:p>
        </w:tc>
      </w:tr>
      <w:tr w:rsidR="00934C02" w:rsidRPr="00934C02" w:rsidTr="00934C02">
        <w:trPr>
          <w:jc w:val="center"/>
        </w:trPr>
        <w:tc>
          <w:tcPr>
            <w:tcW w:w="980" w:type="dxa"/>
            <w:tcBorders>
              <w:top w:val="single" w:sz="6" w:space="0" w:color="auto"/>
              <w:left w:val="single" w:sz="6" w:space="0" w:color="auto"/>
              <w:bottom w:val="single" w:sz="6" w:space="0" w:color="auto"/>
              <w:right w:val="single" w:sz="6" w:space="0" w:color="auto"/>
            </w:tcBorders>
            <w:hideMark/>
          </w:tcPr>
          <w:p w:rsidR="00934C02" w:rsidRPr="00934C02" w:rsidRDefault="00934C02" w:rsidP="00934C02">
            <w:pPr>
              <w:spacing w:after="0" w:line="240" w:lineRule="auto"/>
              <w:jc w:val="center"/>
              <w:rPr>
                <w:rFonts w:ascii="Arial" w:hAnsi="Arial" w:cs="Arial"/>
                <w:b/>
                <w:i/>
              </w:rPr>
            </w:pPr>
            <w:r w:rsidRPr="00934C02">
              <w:rPr>
                <w:rFonts w:ascii="Arial" w:hAnsi="Arial" w:cs="Arial"/>
                <w:b/>
                <w:i/>
              </w:rPr>
              <w:t>2011</w:t>
            </w:r>
          </w:p>
        </w:tc>
        <w:tc>
          <w:tcPr>
            <w:tcW w:w="2440"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410,898</w:t>
            </w:r>
          </w:p>
        </w:tc>
        <w:tc>
          <w:tcPr>
            <w:tcW w:w="1080"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91,770</w:t>
            </w:r>
          </w:p>
        </w:tc>
        <w:tc>
          <w:tcPr>
            <w:tcW w:w="1033"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11,352</w:t>
            </w:r>
          </w:p>
        </w:tc>
        <w:tc>
          <w:tcPr>
            <w:tcW w:w="1353"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301,255</w:t>
            </w:r>
          </w:p>
        </w:tc>
        <w:tc>
          <w:tcPr>
            <w:tcW w:w="915"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0,446</w:t>
            </w:r>
          </w:p>
        </w:tc>
        <w:tc>
          <w:tcPr>
            <w:tcW w:w="896"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6,075</w:t>
            </w:r>
          </w:p>
        </w:tc>
        <w:tc>
          <w:tcPr>
            <w:tcW w:w="857"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0</w:t>
            </w:r>
          </w:p>
        </w:tc>
      </w:tr>
      <w:tr w:rsidR="00934C02" w:rsidRPr="00934C02" w:rsidTr="00934C02">
        <w:trPr>
          <w:jc w:val="center"/>
        </w:trPr>
        <w:tc>
          <w:tcPr>
            <w:tcW w:w="980" w:type="dxa"/>
            <w:tcBorders>
              <w:top w:val="single" w:sz="6" w:space="0" w:color="auto"/>
              <w:left w:val="single" w:sz="6" w:space="0" w:color="auto"/>
              <w:bottom w:val="single" w:sz="6" w:space="0" w:color="auto"/>
              <w:right w:val="single" w:sz="6" w:space="0" w:color="auto"/>
            </w:tcBorders>
            <w:hideMark/>
          </w:tcPr>
          <w:p w:rsidR="00934C02" w:rsidRPr="00934C02" w:rsidRDefault="00934C02" w:rsidP="00934C02">
            <w:pPr>
              <w:spacing w:after="0" w:line="240" w:lineRule="auto"/>
              <w:jc w:val="center"/>
              <w:rPr>
                <w:rFonts w:ascii="Arial" w:hAnsi="Arial" w:cs="Arial"/>
                <w:b/>
                <w:i/>
              </w:rPr>
            </w:pPr>
            <w:r w:rsidRPr="00934C02">
              <w:rPr>
                <w:rFonts w:ascii="Arial" w:hAnsi="Arial" w:cs="Arial"/>
                <w:b/>
                <w:i/>
              </w:rPr>
              <w:t>2012</w:t>
            </w:r>
          </w:p>
        </w:tc>
        <w:tc>
          <w:tcPr>
            <w:tcW w:w="2440"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791,633</w:t>
            </w:r>
          </w:p>
        </w:tc>
        <w:tc>
          <w:tcPr>
            <w:tcW w:w="1080"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237,445</w:t>
            </w:r>
          </w:p>
        </w:tc>
        <w:tc>
          <w:tcPr>
            <w:tcW w:w="1033"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47,450</w:t>
            </w:r>
          </w:p>
        </w:tc>
        <w:tc>
          <w:tcPr>
            <w:tcW w:w="1353"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488,593</w:t>
            </w:r>
          </w:p>
        </w:tc>
        <w:tc>
          <w:tcPr>
            <w:tcW w:w="915"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13,200</w:t>
            </w:r>
          </w:p>
        </w:tc>
        <w:tc>
          <w:tcPr>
            <w:tcW w:w="896"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4,945</w:t>
            </w:r>
          </w:p>
        </w:tc>
        <w:tc>
          <w:tcPr>
            <w:tcW w:w="857"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0</w:t>
            </w:r>
          </w:p>
        </w:tc>
      </w:tr>
      <w:tr w:rsidR="00934C02" w:rsidRPr="00934C02" w:rsidTr="00934C02">
        <w:trPr>
          <w:jc w:val="center"/>
        </w:trPr>
        <w:tc>
          <w:tcPr>
            <w:tcW w:w="980" w:type="dxa"/>
            <w:tcBorders>
              <w:top w:val="single" w:sz="6" w:space="0" w:color="auto"/>
              <w:left w:val="single" w:sz="6" w:space="0" w:color="auto"/>
              <w:bottom w:val="single" w:sz="6" w:space="0" w:color="auto"/>
              <w:right w:val="single" w:sz="6" w:space="0" w:color="auto"/>
            </w:tcBorders>
            <w:hideMark/>
          </w:tcPr>
          <w:p w:rsidR="00934C02" w:rsidRPr="00934C02" w:rsidRDefault="00934C02" w:rsidP="00934C02">
            <w:pPr>
              <w:spacing w:after="0" w:line="240" w:lineRule="auto"/>
              <w:jc w:val="center"/>
              <w:rPr>
                <w:rFonts w:ascii="Arial" w:hAnsi="Arial" w:cs="Arial"/>
                <w:b/>
                <w:i/>
              </w:rPr>
            </w:pPr>
            <w:r w:rsidRPr="00934C02">
              <w:rPr>
                <w:rFonts w:ascii="Arial" w:hAnsi="Arial" w:cs="Arial"/>
                <w:b/>
                <w:i/>
              </w:rPr>
              <w:t>2013</w:t>
            </w:r>
          </w:p>
        </w:tc>
        <w:tc>
          <w:tcPr>
            <w:tcW w:w="2440"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653,661</w:t>
            </w:r>
          </w:p>
        </w:tc>
        <w:tc>
          <w:tcPr>
            <w:tcW w:w="1080"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259,288</w:t>
            </w:r>
          </w:p>
        </w:tc>
        <w:tc>
          <w:tcPr>
            <w:tcW w:w="1033"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10,230</w:t>
            </w:r>
          </w:p>
        </w:tc>
        <w:tc>
          <w:tcPr>
            <w:tcW w:w="1353"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345,568</w:t>
            </w:r>
          </w:p>
        </w:tc>
        <w:tc>
          <w:tcPr>
            <w:tcW w:w="915"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25,805</w:t>
            </w:r>
          </w:p>
        </w:tc>
        <w:tc>
          <w:tcPr>
            <w:tcW w:w="896"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12.770</w:t>
            </w:r>
          </w:p>
        </w:tc>
        <w:tc>
          <w:tcPr>
            <w:tcW w:w="857"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0</w:t>
            </w:r>
          </w:p>
        </w:tc>
      </w:tr>
      <w:tr w:rsidR="00934C02" w:rsidRPr="00934C02" w:rsidTr="00934C02">
        <w:trPr>
          <w:trHeight w:val="331"/>
          <w:jc w:val="center"/>
        </w:trPr>
        <w:tc>
          <w:tcPr>
            <w:tcW w:w="980" w:type="dxa"/>
            <w:tcBorders>
              <w:top w:val="single" w:sz="6" w:space="0" w:color="auto"/>
              <w:left w:val="single" w:sz="6" w:space="0" w:color="auto"/>
              <w:bottom w:val="single" w:sz="6" w:space="0" w:color="auto"/>
              <w:right w:val="single" w:sz="6" w:space="0" w:color="auto"/>
            </w:tcBorders>
            <w:hideMark/>
          </w:tcPr>
          <w:p w:rsidR="00934C02" w:rsidRPr="00934C02" w:rsidRDefault="00934C02" w:rsidP="00934C02">
            <w:pPr>
              <w:spacing w:after="0" w:line="240" w:lineRule="auto"/>
              <w:jc w:val="center"/>
              <w:rPr>
                <w:rFonts w:ascii="Arial" w:hAnsi="Arial" w:cs="Arial"/>
                <w:b/>
                <w:i/>
              </w:rPr>
            </w:pPr>
            <w:r w:rsidRPr="00934C02">
              <w:rPr>
                <w:rFonts w:ascii="Arial" w:hAnsi="Arial" w:cs="Arial"/>
                <w:b/>
                <w:i/>
              </w:rPr>
              <w:t>2014</w:t>
            </w:r>
          </w:p>
        </w:tc>
        <w:tc>
          <w:tcPr>
            <w:tcW w:w="2440"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606,061</w:t>
            </w:r>
          </w:p>
        </w:tc>
        <w:tc>
          <w:tcPr>
            <w:tcW w:w="1080"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197,622</w:t>
            </w:r>
          </w:p>
        </w:tc>
        <w:tc>
          <w:tcPr>
            <w:tcW w:w="1033"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16,000</w:t>
            </w:r>
          </w:p>
        </w:tc>
        <w:tc>
          <w:tcPr>
            <w:tcW w:w="1353"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315,279</w:t>
            </w:r>
          </w:p>
        </w:tc>
        <w:tc>
          <w:tcPr>
            <w:tcW w:w="915"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46,500</w:t>
            </w:r>
          </w:p>
        </w:tc>
        <w:tc>
          <w:tcPr>
            <w:tcW w:w="896"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30,660</w:t>
            </w:r>
          </w:p>
        </w:tc>
        <w:tc>
          <w:tcPr>
            <w:tcW w:w="857" w:type="dxa"/>
            <w:tcBorders>
              <w:top w:val="single" w:sz="6" w:space="0" w:color="auto"/>
              <w:left w:val="single" w:sz="6" w:space="0" w:color="auto"/>
              <w:bottom w:val="single" w:sz="6" w:space="0" w:color="auto"/>
              <w:right w:val="single" w:sz="6" w:space="0" w:color="auto"/>
            </w:tcBorders>
            <w:vAlign w:val="bottom"/>
          </w:tcPr>
          <w:p w:rsidR="00934C02" w:rsidRPr="00934C02" w:rsidRDefault="00934C02" w:rsidP="00934C02">
            <w:pPr>
              <w:spacing w:after="0" w:line="240" w:lineRule="auto"/>
              <w:jc w:val="center"/>
              <w:rPr>
                <w:rFonts w:ascii="Arial" w:hAnsi="Arial" w:cs="Arial"/>
              </w:rPr>
            </w:pPr>
            <w:r w:rsidRPr="00934C02">
              <w:rPr>
                <w:rFonts w:ascii="Arial" w:hAnsi="Arial" w:cs="Arial"/>
              </w:rPr>
              <w:t>0</w:t>
            </w:r>
          </w:p>
        </w:tc>
      </w:tr>
    </w:tbl>
    <w:p w:rsidR="00934C02" w:rsidRPr="00934C02" w:rsidRDefault="00934C02" w:rsidP="00934C02">
      <w:pPr>
        <w:spacing w:after="0" w:line="240" w:lineRule="auto"/>
        <w:jc w:val="center"/>
        <w:rPr>
          <w:rFonts w:ascii="Times New Roman" w:eastAsia="Times New Roman" w:hAnsi="Times New Roman" w:cs="Arial"/>
          <w:i/>
          <w:sz w:val="20"/>
          <w:szCs w:val="20"/>
          <w:lang w:val="pl-PL" w:eastAsia="pl-PL"/>
        </w:rPr>
      </w:pPr>
      <w:r w:rsidRPr="00934C02">
        <w:rPr>
          <w:rFonts w:ascii="Times New Roman" w:eastAsia="Times New Roman" w:hAnsi="Times New Roman" w:cs="Arial"/>
          <w:i/>
          <w:sz w:val="20"/>
          <w:szCs w:val="20"/>
          <w:lang w:val="pl-PL" w:eastAsia="pl-PL"/>
        </w:rPr>
        <w:t>Sursa: APM Vaslui – aplicaţiile: MEDIUS şi SD (din SIM),cu date validate de ANPM</w:t>
      </w:r>
    </w:p>
    <w:p w:rsidR="00934C02" w:rsidRPr="00934C02" w:rsidRDefault="00934C02" w:rsidP="00934C02">
      <w:pPr>
        <w:spacing w:after="0" w:line="240" w:lineRule="auto"/>
        <w:jc w:val="center"/>
        <w:rPr>
          <w:rFonts w:ascii="Times New Roman" w:eastAsia="Times New Roman" w:hAnsi="Times New Roman" w:cs="Arial"/>
          <w:i/>
          <w:sz w:val="20"/>
          <w:szCs w:val="20"/>
          <w:lang w:val="pl-PL" w:eastAsia="pl-PL"/>
        </w:rPr>
      </w:pPr>
    </w:p>
    <w:p w:rsidR="00934C02" w:rsidRPr="00934C02" w:rsidRDefault="00934C02" w:rsidP="00934C02">
      <w:pPr>
        <w:spacing w:after="0" w:line="240" w:lineRule="auto"/>
        <w:jc w:val="center"/>
        <w:rPr>
          <w:rFonts w:ascii="Times New Roman" w:eastAsia="Times New Roman" w:hAnsi="Times New Roman" w:cs="Arial"/>
          <w:i/>
          <w:sz w:val="20"/>
          <w:szCs w:val="20"/>
          <w:lang w:val="pl-PL" w:eastAsia="pl-PL"/>
        </w:rPr>
      </w:pPr>
      <w:r w:rsidRPr="00934C02">
        <w:rPr>
          <w:rFonts w:ascii="Times New Roman" w:eastAsia="Times New Roman" w:hAnsi="Times New Roman" w:cs="Times New Roman"/>
          <w:i/>
          <w:noProof/>
          <w:sz w:val="24"/>
          <w:szCs w:val="24"/>
        </w:rPr>
        <w:drawing>
          <wp:inline distT="0" distB="0" distL="0" distR="0" wp14:anchorId="22A9563F" wp14:editId="555E77F1">
            <wp:extent cx="5604734" cy="1796527"/>
            <wp:effectExtent l="0" t="0" r="15240" b="13335"/>
            <wp:docPr id="254" name="Chart 2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934C02" w:rsidRPr="00934C02" w:rsidRDefault="00934C02" w:rsidP="00934C02">
      <w:pPr>
        <w:rPr>
          <w:rFonts w:ascii="Arial" w:hAnsi="Arial" w:cs="Arial"/>
          <w:sz w:val="24"/>
          <w:szCs w:val="24"/>
        </w:rPr>
      </w:pPr>
      <w:r w:rsidRPr="00934C02">
        <w:rPr>
          <w:rFonts w:ascii="Arial" w:hAnsi="Arial" w:cs="Arial"/>
          <w:sz w:val="24"/>
          <w:szCs w:val="24"/>
        </w:rPr>
        <w:t xml:space="preserve">   Figura  VII.18. Variaţ</w:t>
      </w:r>
      <w:r w:rsidRPr="00934C02">
        <w:rPr>
          <w:rFonts w:ascii="Arial" w:hAnsi="Arial" w:cs="Arial"/>
          <w:sz w:val="24"/>
          <w:szCs w:val="24"/>
          <w:lang w:val="ro-RO"/>
        </w:rPr>
        <w:t xml:space="preserve">ia </w:t>
      </w:r>
      <w:r w:rsidRPr="00934C02">
        <w:rPr>
          <w:rFonts w:ascii="Arial" w:hAnsi="Arial" w:cs="Arial"/>
          <w:sz w:val="24"/>
          <w:szCs w:val="24"/>
        </w:rPr>
        <w:t>cantităţi de deşeuri colectate selectiv în perioada: 2010-2014.</w:t>
      </w:r>
    </w:p>
    <w:p w:rsidR="00934C02" w:rsidRPr="00934C02" w:rsidRDefault="00934C02" w:rsidP="00934C02">
      <w:pPr>
        <w:autoSpaceDE w:val="0"/>
        <w:autoSpaceDN w:val="0"/>
        <w:adjustRightInd w:val="0"/>
        <w:spacing w:after="0" w:line="240" w:lineRule="auto"/>
        <w:rPr>
          <w:rFonts w:ascii="Arial" w:hAnsi="Arial" w:cs="Arial"/>
          <w:sz w:val="24"/>
          <w:szCs w:val="24"/>
        </w:rPr>
      </w:pPr>
      <w:r w:rsidRPr="00934C02">
        <w:rPr>
          <w:rFonts w:ascii="Arial" w:hAnsi="Arial" w:cs="Arial"/>
          <w:sz w:val="24"/>
          <w:szCs w:val="24"/>
        </w:rPr>
        <w:t xml:space="preserve">Tabelul </w:t>
      </w:r>
      <w:r w:rsidRPr="00934C02">
        <w:rPr>
          <w:rFonts w:ascii="Arial" w:hAnsi="Arial" w:cs="Arial"/>
          <w:sz w:val="24"/>
          <w:szCs w:val="24"/>
          <w:lang w:val="it-IT"/>
        </w:rPr>
        <w:t>VII.27</w:t>
      </w:r>
      <w:r w:rsidRPr="00934C02">
        <w:rPr>
          <w:rFonts w:ascii="Arial" w:hAnsi="Arial" w:cs="Arial"/>
          <w:sz w:val="24"/>
          <w:szCs w:val="24"/>
        </w:rPr>
        <w:t>. Evoluţia cantităţilor de deşeuri reciclabile valorificate în perioada 2010-2014.</w:t>
      </w:r>
    </w:p>
    <w:tbl>
      <w:tblPr>
        <w:tblW w:w="96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71"/>
        <w:gridCol w:w="2523"/>
        <w:gridCol w:w="2480"/>
        <w:gridCol w:w="1170"/>
        <w:gridCol w:w="2162"/>
      </w:tblGrid>
      <w:tr w:rsidR="00934C02" w:rsidRPr="00934C02" w:rsidTr="00934C02">
        <w:trPr>
          <w:trHeight w:val="336"/>
        </w:trPr>
        <w:tc>
          <w:tcPr>
            <w:tcW w:w="1271" w:type="dxa"/>
            <w:vMerge w:val="restart"/>
            <w:tcBorders>
              <w:top w:val="single" w:sz="6" w:space="0" w:color="auto"/>
              <w:left w:val="single" w:sz="4" w:space="0" w:color="auto"/>
              <w:bottom w:val="double" w:sz="4" w:space="0" w:color="auto"/>
              <w:right w:val="single" w:sz="6" w:space="0" w:color="auto"/>
            </w:tcBorders>
          </w:tcPr>
          <w:p w:rsidR="00934C02" w:rsidRPr="00934C02" w:rsidRDefault="00934C02" w:rsidP="00934C02">
            <w:pPr>
              <w:spacing w:after="0" w:line="240" w:lineRule="auto"/>
              <w:rPr>
                <w:rFonts w:ascii="Arial" w:hAnsi="Arial"/>
              </w:rPr>
            </w:pPr>
          </w:p>
          <w:p w:rsidR="00934C02" w:rsidRPr="00934C02" w:rsidRDefault="00934C02" w:rsidP="00934C02">
            <w:pPr>
              <w:spacing w:after="0" w:line="240" w:lineRule="auto"/>
              <w:ind w:left="392"/>
              <w:jc w:val="center"/>
              <w:rPr>
                <w:rFonts w:ascii="Arial" w:hAnsi="Arial"/>
                <w:b/>
                <w:i/>
              </w:rPr>
            </w:pPr>
            <w:r w:rsidRPr="00934C02">
              <w:rPr>
                <w:rFonts w:ascii="Arial" w:hAnsi="Arial"/>
                <w:b/>
                <w:i/>
              </w:rPr>
              <w:t>Anul</w:t>
            </w:r>
          </w:p>
          <w:p w:rsidR="00934C02" w:rsidRPr="00934C02" w:rsidRDefault="00934C02" w:rsidP="00934C02">
            <w:pPr>
              <w:spacing w:after="0" w:line="240" w:lineRule="auto"/>
              <w:rPr>
                <w:rFonts w:ascii="Arial" w:hAnsi="Arial"/>
              </w:rPr>
            </w:pPr>
          </w:p>
        </w:tc>
        <w:tc>
          <w:tcPr>
            <w:tcW w:w="5003" w:type="dxa"/>
            <w:gridSpan w:val="2"/>
            <w:tcBorders>
              <w:top w:val="single" w:sz="6" w:space="0" w:color="auto"/>
              <w:left w:val="single" w:sz="6" w:space="0" w:color="auto"/>
              <w:bottom w:val="single" w:sz="6" w:space="0" w:color="auto"/>
              <w:right w:val="single" w:sz="6" w:space="0" w:color="auto"/>
            </w:tcBorders>
            <w:hideMark/>
          </w:tcPr>
          <w:p w:rsidR="00934C02" w:rsidRPr="00934C02" w:rsidRDefault="00934C02" w:rsidP="00934C02">
            <w:pPr>
              <w:spacing w:after="0" w:line="240" w:lineRule="auto"/>
              <w:rPr>
                <w:rFonts w:ascii="Arial" w:hAnsi="Arial"/>
                <w:b/>
                <w:i/>
                <w:lang w:val="fr-FR"/>
              </w:rPr>
            </w:pPr>
            <w:r w:rsidRPr="00934C02">
              <w:rPr>
                <w:rFonts w:ascii="Arial" w:hAnsi="Arial"/>
                <w:b/>
                <w:i/>
                <w:lang w:val="fr-FR"/>
              </w:rPr>
              <w:t>Deşeuri de hârtie şi carton</w:t>
            </w:r>
          </w:p>
        </w:tc>
        <w:tc>
          <w:tcPr>
            <w:tcW w:w="3332" w:type="dxa"/>
            <w:gridSpan w:val="2"/>
            <w:tcBorders>
              <w:top w:val="single" w:sz="6" w:space="0" w:color="auto"/>
              <w:left w:val="single" w:sz="6" w:space="0" w:color="auto"/>
              <w:bottom w:val="single" w:sz="6" w:space="0" w:color="auto"/>
              <w:right w:val="single" w:sz="6" w:space="0" w:color="auto"/>
            </w:tcBorders>
            <w:hideMark/>
          </w:tcPr>
          <w:p w:rsidR="00934C02" w:rsidRPr="00934C02" w:rsidRDefault="00934C02" w:rsidP="00934C02">
            <w:pPr>
              <w:spacing w:after="0" w:line="240" w:lineRule="auto"/>
              <w:rPr>
                <w:rFonts w:ascii="Arial" w:hAnsi="Arial"/>
                <w:b/>
                <w:i/>
              </w:rPr>
            </w:pPr>
            <w:r w:rsidRPr="00934C02">
              <w:rPr>
                <w:rFonts w:ascii="Arial" w:hAnsi="Arial"/>
                <w:b/>
                <w:i/>
              </w:rPr>
              <w:t>Deşeuri de materiale plastice</w:t>
            </w:r>
          </w:p>
        </w:tc>
      </w:tr>
      <w:tr w:rsidR="00934C02" w:rsidRPr="00934C02" w:rsidTr="00934C02">
        <w:trPr>
          <w:trHeight w:val="502"/>
        </w:trPr>
        <w:tc>
          <w:tcPr>
            <w:tcW w:w="0" w:type="auto"/>
            <w:vMerge/>
            <w:tcBorders>
              <w:top w:val="single" w:sz="6" w:space="0" w:color="auto"/>
              <w:left w:val="single" w:sz="4" w:space="0" w:color="auto"/>
              <w:bottom w:val="double" w:sz="4" w:space="0" w:color="auto"/>
              <w:right w:val="single" w:sz="6" w:space="0" w:color="auto"/>
            </w:tcBorders>
            <w:vAlign w:val="center"/>
            <w:hideMark/>
          </w:tcPr>
          <w:p w:rsidR="00934C02" w:rsidRPr="00934C02" w:rsidRDefault="00934C02" w:rsidP="00934C02">
            <w:pPr>
              <w:spacing w:after="0" w:line="240" w:lineRule="auto"/>
              <w:rPr>
                <w:rFonts w:ascii="Arial" w:hAnsi="Arial"/>
              </w:rPr>
            </w:pPr>
          </w:p>
        </w:tc>
        <w:tc>
          <w:tcPr>
            <w:tcW w:w="2523" w:type="dxa"/>
            <w:tcBorders>
              <w:top w:val="single" w:sz="6" w:space="0" w:color="auto"/>
              <w:left w:val="single" w:sz="6" w:space="0" w:color="auto"/>
              <w:bottom w:val="double" w:sz="4" w:space="0" w:color="auto"/>
              <w:right w:val="single" w:sz="6" w:space="0" w:color="auto"/>
            </w:tcBorders>
            <w:hideMark/>
          </w:tcPr>
          <w:p w:rsidR="00934C02" w:rsidRPr="00934C02" w:rsidRDefault="00934C02" w:rsidP="00934C02">
            <w:pPr>
              <w:spacing w:after="0" w:line="240" w:lineRule="auto"/>
              <w:jc w:val="center"/>
              <w:rPr>
                <w:rFonts w:ascii="Arial" w:hAnsi="Arial"/>
                <w:b/>
                <w:i/>
              </w:rPr>
            </w:pPr>
            <w:r w:rsidRPr="00934C02">
              <w:rPr>
                <w:rFonts w:ascii="Arial" w:hAnsi="Arial"/>
                <w:b/>
                <w:i/>
              </w:rPr>
              <w:t>Cantitate colectată</w:t>
            </w:r>
          </w:p>
          <w:p w:rsidR="00934C02" w:rsidRPr="00934C02" w:rsidRDefault="00934C02" w:rsidP="00934C02">
            <w:pPr>
              <w:spacing w:after="0" w:line="240" w:lineRule="auto"/>
              <w:jc w:val="center"/>
              <w:rPr>
                <w:rFonts w:ascii="Arial" w:hAnsi="Arial"/>
                <w:b/>
                <w:i/>
              </w:rPr>
            </w:pPr>
            <w:r w:rsidRPr="00934C02">
              <w:rPr>
                <w:rFonts w:ascii="Arial" w:hAnsi="Arial"/>
                <w:b/>
                <w:i/>
              </w:rPr>
              <w:t>(tone)</w:t>
            </w:r>
          </w:p>
        </w:tc>
        <w:tc>
          <w:tcPr>
            <w:tcW w:w="2480" w:type="dxa"/>
            <w:tcBorders>
              <w:top w:val="single" w:sz="6" w:space="0" w:color="auto"/>
              <w:left w:val="single" w:sz="6" w:space="0" w:color="auto"/>
              <w:bottom w:val="double" w:sz="4" w:space="0" w:color="auto"/>
              <w:right w:val="single" w:sz="6" w:space="0" w:color="auto"/>
            </w:tcBorders>
            <w:hideMark/>
          </w:tcPr>
          <w:p w:rsidR="00934C02" w:rsidRPr="00934C02" w:rsidRDefault="00934C02" w:rsidP="00934C02">
            <w:pPr>
              <w:spacing w:after="0" w:line="240" w:lineRule="auto"/>
              <w:jc w:val="center"/>
              <w:rPr>
                <w:rFonts w:ascii="Arial" w:hAnsi="Arial"/>
                <w:b/>
                <w:i/>
              </w:rPr>
            </w:pPr>
            <w:r w:rsidRPr="00934C02">
              <w:rPr>
                <w:rFonts w:ascii="Arial" w:hAnsi="Arial"/>
                <w:b/>
                <w:i/>
              </w:rPr>
              <w:t>Cantitate valorificată</w:t>
            </w:r>
          </w:p>
          <w:p w:rsidR="00934C02" w:rsidRPr="00934C02" w:rsidRDefault="00934C02" w:rsidP="00934C02">
            <w:pPr>
              <w:spacing w:after="0" w:line="240" w:lineRule="auto"/>
              <w:jc w:val="center"/>
              <w:rPr>
                <w:rFonts w:ascii="Arial" w:hAnsi="Arial"/>
                <w:b/>
                <w:i/>
              </w:rPr>
            </w:pPr>
            <w:r w:rsidRPr="00934C02">
              <w:rPr>
                <w:rFonts w:ascii="Arial" w:hAnsi="Arial"/>
                <w:b/>
                <w:i/>
              </w:rPr>
              <w:t>(tone)</w:t>
            </w:r>
          </w:p>
        </w:tc>
        <w:tc>
          <w:tcPr>
            <w:tcW w:w="3332" w:type="dxa"/>
            <w:gridSpan w:val="2"/>
            <w:tcBorders>
              <w:top w:val="single" w:sz="6" w:space="0" w:color="auto"/>
              <w:left w:val="single" w:sz="6" w:space="0" w:color="auto"/>
              <w:bottom w:val="double" w:sz="4" w:space="0" w:color="auto"/>
              <w:right w:val="single" w:sz="6" w:space="0" w:color="auto"/>
            </w:tcBorders>
            <w:vAlign w:val="center"/>
            <w:hideMark/>
          </w:tcPr>
          <w:p w:rsidR="00934C02" w:rsidRPr="00934C02" w:rsidRDefault="00934C02" w:rsidP="00934C02">
            <w:pPr>
              <w:spacing w:after="0" w:line="240" w:lineRule="auto"/>
              <w:jc w:val="center"/>
              <w:rPr>
                <w:rFonts w:ascii="Arial" w:hAnsi="Arial"/>
                <w:b/>
                <w:i/>
              </w:rPr>
            </w:pPr>
            <w:r w:rsidRPr="00934C02">
              <w:rPr>
                <w:rFonts w:ascii="Arial" w:hAnsi="Arial"/>
                <w:b/>
                <w:i/>
              </w:rPr>
              <w:t>Cantitate colectată</w:t>
            </w:r>
          </w:p>
          <w:p w:rsidR="00934C02" w:rsidRPr="00934C02" w:rsidRDefault="00934C02" w:rsidP="00934C02">
            <w:pPr>
              <w:spacing w:after="0" w:line="240" w:lineRule="auto"/>
              <w:jc w:val="center"/>
              <w:rPr>
                <w:rFonts w:ascii="Arial" w:hAnsi="Arial"/>
                <w:b/>
                <w:i/>
              </w:rPr>
            </w:pPr>
            <w:r w:rsidRPr="00934C02">
              <w:rPr>
                <w:rFonts w:ascii="Arial" w:hAnsi="Arial"/>
                <w:b/>
                <w:i/>
              </w:rPr>
              <w:t>(tone)</w:t>
            </w:r>
          </w:p>
        </w:tc>
      </w:tr>
      <w:tr w:rsidR="00934C02" w:rsidRPr="00934C02" w:rsidTr="00934C02">
        <w:trPr>
          <w:trHeight w:val="216"/>
        </w:trPr>
        <w:tc>
          <w:tcPr>
            <w:tcW w:w="1271" w:type="dxa"/>
            <w:tcBorders>
              <w:top w:val="single" w:sz="6" w:space="0" w:color="auto"/>
              <w:left w:val="single" w:sz="4" w:space="0" w:color="auto"/>
              <w:bottom w:val="single" w:sz="6" w:space="0" w:color="auto"/>
              <w:right w:val="single" w:sz="6" w:space="0" w:color="auto"/>
            </w:tcBorders>
            <w:hideMark/>
          </w:tcPr>
          <w:p w:rsidR="00934C02" w:rsidRPr="00934C02" w:rsidRDefault="00934C02" w:rsidP="00934C02">
            <w:pPr>
              <w:spacing w:after="0" w:line="240" w:lineRule="auto"/>
              <w:jc w:val="center"/>
              <w:rPr>
                <w:rFonts w:ascii="Arial" w:hAnsi="Arial"/>
                <w:b/>
                <w:i/>
              </w:rPr>
            </w:pPr>
            <w:r w:rsidRPr="00934C02">
              <w:rPr>
                <w:rFonts w:ascii="Arial" w:hAnsi="Arial"/>
                <w:b/>
                <w:i/>
              </w:rPr>
              <w:t>2010</w:t>
            </w:r>
          </w:p>
        </w:tc>
        <w:tc>
          <w:tcPr>
            <w:tcW w:w="2523" w:type="dxa"/>
            <w:tcBorders>
              <w:top w:val="single" w:sz="6" w:space="0" w:color="auto"/>
              <w:left w:val="single" w:sz="6" w:space="0" w:color="auto"/>
              <w:bottom w:val="single" w:sz="6" w:space="0" w:color="auto"/>
              <w:right w:val="single" w:sz="6" w:space="0" w:color="auto"/>
            </w:tcBorders>
            <w:vAlign w:val="bottom"/>
            <w:hideMark/>
          </w:tcPr>
          <w:p w:rsidR="00934C02" w:rsidRPr="00934C02" w:rsidRDefault="00934C02" w:rsidP="00934C02">
            <w:pPr>
              <w:spacing w:after="0" w:line="240" w:lineRule="auto"/>
              <w:rPr>
                <w:rFonts w:ascii="Arial" w:hAnsi="Arial" w:cs="Arial"/>
                <w:bCs/>
              </w:rPr>
            </w:pPr>
            <w:r w:rsidRPr="00934C02">
              <w:rPr>
                <w:rFonts w:ascii="Arial" w:hAnsi="Arial" w:cs="Arial"/>
                <w:bCs/>
              </w:rPr>
              <w:t>960</w:t>
            </w:r>
          </w:p>
        </w:tc>
        <w:tc>
          <w:tcPr>
            <w:tcW w:w="2480" w:type="dxa"/>
            <w:tcBorders>
              <w:top w:val="single" w:sz="6" w:space="0" w:color="auto"/>
              <w:left w:val="single" w:sz="6" w:space="0" w:color="auto"/>
              <w:bottom w:val="single" w:sz="6" w:space="0" w:color="auto"/>
              <w:right w:val="single" w:sz="6" w:space="0" w:color="auto"/>
            </w:tcBorders>
            <w:vAlign w:val="bottom"/>
            <w:hideMark/>
          </w:tcPr>
          <w:p w:rsidR="00934C02" w:rsidRPr="00934C02" w:rsidRDefault="00934C02" w:rsidP="00934C02">
            <w:pPr>
              <w:spacing w:after="0" w:line="240" w:lineRule="auto"/>
              <w:rPr>
                <w:rFonts w:ascii="Arial" w:hAnsi="Arial" w:cs="Arial"/>
                <w:bCs/>
              </w:rPr>
            </w:pPr>
            <w:r w:rsidRPr="00934C02">
              <w:rPr>
                <w:rFonts w:ascii="Arial" w:hAnsi="Arial" w:cs="Arial"/>
                <w:bCs/>
              </w:rPr>
              <w:t>928</w:t>
            </w:r>
          </w:p>
        </w:tc>
        <w:tc>
          <w:tcPr>
            <w:tcW w:w="1170" w:type="dxa"/>
            <w:tcBorders>
              <w:top w:val="single" w:sz="6" w:space="0" w:color="auto"/>
              <w:left w:val="single" w:sz="6" w:space="0" w:color="auto"/>
              <w:bottom w:val="single" w:sz="6" w:space="0" w:color="auto"/>
              <w:right w:val="single" w:sz="6" w:space="0" w:color="auto"/>
            </w:tcBorders>
            <w:hideMark/>
          </w:tcPr>
          <w:p w:rsidR="00934C02" w:rsidRPr="00934C02" w:rsidRDefault="00934C02" w:rsidP="00934C02">
            <w:pPr>
              <w:spacing w:after="0" w:line="240" w:lineRule="auto"/>
              <w:jc w:val="center"/>
              <w:rPr>
                <w:rFonts w:ascii="Arial" w:hAnsi="Arial"/>
                <w:b/>
                <w:i/>
              </w:rPr>
            </w:pPr>
            <w:r w:rsidRPr="00934C02">
              <w:rPr>
                <w:rFonts w:ascii="Arial" w:hAnsi="Arial"/>
                <w:b/>
                <w:i/>
              </w:rPr>
              <w:t>2010</w:t>
            </w:r>
          </w:p>
        </w:tc>
        <w:tc>
          <w:tcPr>
            <w:tcW w:w="2162" w:type="dxa"/>
            <w:tcBorders>
              <w:top w:val="single" w:sz="6" w:space="0" w:color="auto"/>
              <w:left w:val="single" w:sz="6" w:space="0" w:color="auto"/>
              <w:bottom w:val="single" w:sz="6" w:space="0" w:color="auto"/>
              <w:right w:val="single" w:sz="6" w:space="0" w:color="auto"/>
            </w:tcBorders>
            <w:vAlign w:val="bottom"/>
            <w:hideMark/>
          </w:tcPr>
          <w:p w:rsidR="00934C02" w:rsidRPr="00934C02" w:rsidRDefault="00934C02" w:rsidP="00934C02">
            <w:pPr>
              <w:spacing w:after="0" w:line="240" w:lineRule="auto"/>
              <w:rPr>
                <w:rFonts w:ascii="Arial" w:hAnsi="Arial" w:cs="Arial"/>
                <w:bCs/>
              </w:rPr>
            </w:pPr>
            <w:r w:rsidRPr="00934C02">
              <w:rPr>
                <w:rFonts w:ascii="Arial" w:hAnsi="Arial" w:cs="Arial"/>
                <w:bCs/>
              </w:rPr>
              <w:t>960</w:t>
            </w:r>
          </w:p>
        </w:tc>
      </w:tr>
      <w:tr w:rsidR="00934C02" w:rsidRPr="00934C02" w:rsidTr="00934C02">
        <w:trPr>
          <w:trHeight w:val="192"/>
        </w:trPr>
        <w:tc>
          <w:tcPr>
            <w:tcW w:w="1271" w:type="dxa"/>
            <w:tcBorders>
              <w:top w:val="single" w:sz="6" w:space="0" w:color="auto"/>
              <w:left w:val="single" w:sz="4" w:space="0" w:color="auto"/>
              <w:bottom w:val="single" w:sz="6" w:space="0" w:color="auto"/>
              <w:right w:val="single" w:sz="6" w:space="0" w:color="auto"/>
            </w:tcBorders>
            <w:hideMark/>
          </w:tcPr>
          <w:p w:rsidR="00934C02" w:rsidRPr="00934C02" w:rsidRDefault="00934C02" w:rsidP="00934C02">
            <w:pPr>
              <w:spacing w:after="0" w:line="240" w:lineRule="auto"/>
              <w:jc w:val="center"/>
              <w:rPr>
                <w:rFonts w:ascii="Arial" w:hAnsi="Arial"/>
                <w:b/>
                <w:i/>
              </w:rPr>
            </w:pPr>
            <w:r w:rsidRPr="00934C02">
              <w:rPr>
                <w:rFonts w:ascii="Arial" w:hAnsi="Arial"/>
                <w:b/>
                <w:i/>
              </w:rPr>
              <w:t>2011</w:t>
            </w:r>
          </w:p>
        </w:tc>
        <w:tc>
          <w:tcPr>
            <w:tcW w:w="2523" w:type="dxa"/>
            <w:tcBorders>
              <w:top w:val="single" w:sz="6" w:space="0" w:color="auto"/>
              <w:left w:val="single" w:sz="6" w:space="0" w:color="auto"/>
              <w:bottom w:val="single" w:sz="6" w:space="0" w:color="auto"/>
              <w:right w:val="single" w:sz="6" w:space="0" w:color="auto"/>
            </w:tcBorders>
            <w:vAlign w:val="bottom"/>
            <w:hideMark/>
          </w:tcPr>
          <w:p w:rsidR="00934C02" w:rsidRPr="00934C02" w:rsidRDefault="00934C02" w:rsidP="00934C02">
            <w:pPr>
              <w:spacing w:after="0" w:line="240" w:lineRule="auto"/>
              <w:rPr>
                <w:rFonts w:ascii="Arial" w:hAnsi="Arial" w:cs="Arial"/>
                <w:bCs/>
              </w:rPr>
            </w:pPr>
            <w:r w:rsidRPr="00934C02">
              <w:rPr>
                <w:rFonts w:ascii="Arial" w:hAnsi="Arial" w:cs="Arial"/>
                <w:bCs/>
              </w:rPr>
              <w:t>1220</w:t>
            </w:r>
          </w:p>
        </w:tc>
        <w:tc>
          <w:tcPr>
            <w:tcW w:w="2480" w:type="dxa"/>
            <w:tcBorders>
              <w:top w:val="single" w:sz="6" w:space="0" w:color="auto"/>
              <w:left w:val="single" w:sz="6" w:space="0" w:color="auto"/>
              <w:bottom w:val="single" w:sz="6" w:space="0" w:color="auto"/>
              <w:right w:val="single" w:sz="6" w:space="0" w:color="auto"/>
            </w:tcBorders>
            <w:vAlign w:val="bottom"/>
            <w:hideMark/>
          </w:tcPr>
          <w:p w:rsidR="00934C02" w:rsidRPr="00934C02" w:rsidRDefault="00934C02" w:rsidP="00934C02">
            <w:pPr>
              <w:spacing w:after="0" w:line="240" w:lineRule="auto"/>
              <w:rPr>
                <w:rFonts w:ascii="Arial" w:hAnsi="Arial" w:cs="Arial"/>
                <w:bCs/>
              </w:rPr>
            </w:pPr>
            <w:r w:rsidRPr="00934C02">
              <w:rPr>
                <w:rFonts w:ascii="Arial" w:hAnsi="Arial" w:cs="Arial"/>
                <w:bCs/>
              </w:rPr>
              <w:t>1149</w:t>
            </w:r>
          </w:p>
        </w:tc>
        <w:tc>
          <w:tcPr>
            <w:tcW w:w="1170" w:type="dxa"/>
            <w:tcBorders>
              <w:top w:val="single" w:sz="6" w:space="0" w:color="auto"/>
              <w:left w:val="single" w:sz="6" w:space="0" w:color="auto"/>
              <w:bottom w:val="single" w:sz="6" w:space="0" w:color="auto"/>
              <w:right w:val="single" w:sz="6" w:space="0" w:color="auto"/>
            </w:tcBorders>
            <w:hideMark/>
          </w:tcPr>
          <w:p w:rsidR="00934C02" w:rsidRPr="00934C02" w:rsidRDefault="00934C02" w:rsidP="00934C02">
            <w:pPr>
              <w:spacing w:after="0" w:line="240" w:lineRule="auto"/>
              <w:jc w:val="center"/>
              <w:rPr>
                <w:rFonts w:ascii="Arial" w:hAnsi="Arial"/>
                <w:b/>
                <w:i/>
              </w:rPr>
            </w:pPr>
            <w:r w:rsidRPr="00934C02">
              <w:rPr>
                <w:rFonts w:ascii="Arial" w:hAnsi="Arial"/>
                <w:b/>
                <w:i/>
              </w:rPr>
              <w:t>2011</w:t>
            </w:r>
          </w:p>
        </w:tc>
        <w:tc>
          <w:tcPr>
            <w:tcW w:w="2162" w:type="dxa"/>
            <w:tcBorders>
              <w:top w:val="single" w:sz="6" w:space="0" w:color="auto"/>
              <w:left w:val="single" w:sz="6" w:space="0" w:color="auto"/>
              <w:bottom w:val="single" w:sz="6" w:space="0" w:color="auto"/>
              <w:right w:val="single" w:sz="6" w:space="0" w:color="auto"/>
            </w:tcBorders>
            <w:vAlign w:val="bottom"/>
            <w:hideMark/>
          </w:tcPr>
          <w:p w:rsidR="00934C02" w:rsidRPr="00934C02" w:rsidRDefault="00934C02" w:rsidP="00934C02">
            <w:pPr>
              <w:spacing w:after="0" w:line="240" w:lineRule="auto"/>
              <w:rPr>
                <w:rFonts w:ascii="Arial" w:hAnsi="Arial" w:cs="Arial"/>
                <w:bCs/>
              </w:rPr>
            </w:pPr>
            <w:r w:rsidRPr="00934C02">
              <w:rPr>
                <w:rFonts w:ascii="Arial" w:hAnsi="Arial" w:cs="Arial"/>
                <w:bCs/>
              </w:rPr>
              <w:t>1220</w:t>
            </w:r>
          </w:p>
        </w:tc>
      </w:tr>
      <w:tr w:rsidR="00934C02" w:rsidRPr="00934C02" w:rsidTr="00934C02">
        <w:trPr>
          <w:trHeight w:val="269"/>
        </w:trPr>
        <w:tc>
          <w:tcPr>
            <w:tcW w:w="1271" w:type="dxa"/>
            <w:tcBorders>
              <w:top w:val="single" w:sz="6" w:space="0" w:color="auto"/>
              <w:left w:val="single" w:sz="4" w:space="0" w:color="auto"/>
              <w:bottom w:val="single" w:sz="6" w:space="0" w:color="auto"/>
              <w:right w:val="single" w:sz="6" w:space="0" w:color="auto"/>
            </w:tcBorders>
            <w:hideMark/>
          </w:tcPr>
          <w:p w:rsidR="00934C02" w:rsidRPr="00934C02" w:rsidRDefault="00934C02" w:rsidP="00934C02">
            <w:pPr>
              <w:spacing w:after="0" w:line="240" w:lineRule="auto"/>
              <w:jc w:val="center"/>
              <w:rPr>
                <w:rFonts w:ascii="Arial" w:hAnsi="Arial"/>
                <w:b/>
                <w:i/>
              </w:rPr>
            </w:pPr>
            <w:r w:rsidRPr="00934C02">
              <w:rPr>
                <w:rFonts w:ascii="Arial" w:hAnsi="Arial"/>
                <w:b/>
                <w:i/>
              </w:rPr>
              <w:t>2012</w:t>
            </w:r>
          </w:p>
        </w:tc>
        <w:tc>
          <w:tcPr>
            <w:tcW w:w="2523" w:type="dxa"/>
            <w:tcBorders>
              <w:top w:val="single" w:sz="6" w:space="0" w:color="auto"/>
              <w:left w:val="single" w:sz="6" w:space="0" w:color="auto"/>
              <w:bottom w:val="single" w:sz="6" w:space="0" w:color="auto"/>
              <w:right w:val="single" w:sz="6" w:space="0" w:color="auto"/>
            </w:tcBorders>
            <w:vAlign w:val="bottom"/>
            <w:hideMark/>
          </w:tcPr>
          <w:p w:rsidR="00934C02" w:rsidRPr="00934C02" w:rsidRDefault="00934C02" w:rsidP="00934C02">
            <w:pPr>
              <w:spacing w:after="0" w:line="240" w:lineRule="auto"/>
              <w:rPr>
                <w:rFonts w:ascii="Arial" w:hAnsi="Arial" w:cs="Arial"/>
                <w:bCs/>
              </w:rPr>
            </w:pPr>
            <w:r w:rsidRPr="00934C02">
              <w:rPr>
                <w:rFonts w:ascii="Arial" w:hAnsi="Arial" w:cs="Arial"/>
                <w:bCs/>
              </w:rPr>
              <w:t>1374</w:t>
            </w:r>
          </w:p>
        </w:tc>
        <w:tc>
          <w:tcPr>
            <w:tcW w:w="2480" w:type="dxa"/>
            <w:tcBorders>
              <w:top w:val="single" w:sz="6" w:space="0" w:color="auto"/>
              <w:left w:val="single" w:sz="6" w:space="0" w:color="auto"/>
              <w:bottom w:val="single" w:sz="6" w:space="0" w:color="auto"/>
              <w:right w:val="single" w:sz="6" w:space="0" w:color="auto"/>
            </w:tcBorders>
            <w:vAlign w:val="bottom"/>
            <w:hideMark/>
          </w:tcPr>
          <w:p w:rsidR="00934C02" w:rsidRPr="00934C02" w:rsidRDefault="00934C02" w:rsidP="00934C02">
            <w:pPr>
              <w:spacing w:after="0" w:line="240" w:lineRule="auto"/>
              <w:rPr>
                <w:rFonts w:ascii="Arial" w:hAnsi="Arial" w:cs="Arial"/>
                <w:bCs/>
              </w:rPr>
            </w:pPr>
            <w:r w:rsidRPr="00934C02">
              <w:rPr>
                <w:rFonts w:ascii="Arial" w:hAnsi="Arial" w:cs="Arial"/>
                <w:bCs/>
              </w:rPr>
              <w:t>1453</w:t>
            </w:r>
          </w:p>
        </w:tc>
        <w:tc>
          <w:tcPr>
            <w:tcW w:w="1170" w:type="dxa"/>
            <w:tcBorders>
              <w:top w:val="single" w:sz="6" w:space="0" w:color="auto"/>
              <w:left w:val="single" w:sz="6" w:space="0" w:color="auto"/>
              <w:bottom w:val="single" w:sz="6" w:space="0" w:color="auto"/>
              <w:right w:val="single" w:sz="6" w:space="0" w:color="auto"/>
            </w:tcBorders>
            <w:hideMark/>
          </w:tcPr>
          <w:p w:rsidR="00934C02" w:rsidRPr="00934C02" w:rsidRDefault="00934C02" w:rsidP="00934C02">
            <w:pPr>
              <w:spacing w:after="0" w:line="240" w:lineRule="auto"/>
              <w:jc w:val="center"/>
              <w:rPr>
                <w:rFonts w:ascii="Arial" w:hAnsi="Arial"/>
                <w:b/>
                <w:i/>
              </w:rPr>
            </w:pPr>
            <w:r w:rsidRPr="00934C02">
              <w:rPr>
                <w:rFonts w:ascii="Arial" w:hAnsi="Arial"/>
                <w:b/>
                <w:i/>
              </w:rPr>
              <w:t>2012</w:t>
            </w:r>
          </w:p>
        </w:tc>
        <w:tc>
          <w:tcPr>
            <w:tcW w:w="2162" w:type="dxa"/>
            <w:tcBorders>
              <w:top w:val="single" w:sz="6" w:space="0" w:color="auto"/>
              <w:left w:val="single" w:sz="6" w:space="0" w:color="auto"/>
              <w:bottom w:val="single" w:sz="6" w:space="0" w:color="auto"/>
              <w:right w:val="single" w:sz="6" w:space="0" w:color="auto"/>
            </w:tcBorders>
            <w:vAlign w:val="bottom"/>
            <w:hideMark/>
          </w:tcPr>
          <w:p w:rsidR="00934C02" w:rsidRPr="00934C02" w:rsidRDefault="00934C02" w:rsidP="00934C02">
            <w:pPr>
              <w:spacing w:after="0" w:line="240" w:lineRule="auto"/>
              <w:rPr>
                <w:rFonts w:ascii="Arial" w:hAnsi="Arial" w:cs="Arial"/>
                <w:bCs/>
              </w:rPr>
            </w:pPr>
            <w:r w:rsidRPr="00934C02">
              <w:rPr>
                <w:rFonts w:ascii="Arial" w:hAnsi="Arial" w:cs="Arial"/>
                <w:bCs/>
              </w:rPr>
              <w:t>1374</w:t>
            </w:r>
          </w:p>
        </w:tc>
      </w:tr>
      <w:tr w:rsidR="00934C02" w:rsidRPr="00934C02" w:rsidTr="00934C02">
        <w:trPr>
          <w:trHeight w:val="269"/>
        </w:trPr>
        <w:tc>
          <w:tcPr>
            <w:tcW w:w="1271" w:type="dxa"/>
            <w:tcBorders>
              <w:top w:val="single" w:sz="6" w:space="0" w:color="auto"/>
              <w:left w:val="single" w:sz="4" w:space="0" w:color="auto"/>
              <w:bottom w:val="single" w:sz="6" w:space="0" w:color="auto"/>
              <w:right w:val="single" w:sz="6" w:space="0" w:color="auto"/>
            </w:tcBorders>
            <w:hideMark/>
          </w:tcPr>
          <w:p w:rsidR="00934C02" w:rsidRPr="00934C02" w:rsidRDefault="00934C02" w:rsidP="00934C02">
            <w:pPr>
              <w:spacing w:after="0" w:line="240" w:lineRule="auto"/>
              <w:jc w:val="center"/>
              <w:rPr>
                <w:rFonts w:ascii="Arial" w:hAnsi="Arial"/>
                <w:b/>
                <w:i/>
              </w:rPr>
            </w:pPr>
            <w:r w:rsidRPr="00934C02">
              <w:rPr>
                <w:rFonts w:ascii="Arial" w:hAnsi="Arial"/>
                <w:b/>
                <w:i/>
              </w:rPr>
              <w:t>2013</w:t>
            </w:r>
          </w:p>
        </w:tc>
        <w:tc>
          <w:tcPr>
            <w:tcW w:w="2523" w:type="dxa"/>
            <w:tcBorders>
              <w:top w:val="single" w:sz="6" w:space="0" w:color="auto"/>
              <w:left w:val="single" w:sz="6" w:space="0" w:color="auto"/>
              <w:bottom w:val="single" w:sz="6" w:space="0" w:color="auto"/>
              <w:right w:val="single" w:sz="6" w:space="0" w:color="auto"/>
            </w:tcBorders>
            <w:vAlign w:val="bottom"/>
            <w:hideMark/>
          </w:tcPr>
          <w:p w:rsidR="00934C02" w:rsidRPr="00934C02" w:rsidRDefault="00934C02" w:rsidP="00934C02">
            <w:pPr>
              <w:spacing w:after="0" w:line="240" w:lineRule="auto"/>
              <w:rPr>
                <w:rFonts w:ascii="Arial" w:hAnsi="Arial" w:cs="Arial"/>
                <w:bCs/>
              </w:rPr>
            </w:pPr>
            <w:r w:rsidRPr="00934C02">
              <w:rPr>
                <w:rFonts w:ascii="Arial" w:hAnsi="Arial" w:cs="Arial"/>
                <w:bCs/>
              </w:rPr>
              <w:t>2623</w:t>
            </w:r>
          </w:p>
        </w:tc>
        <w:tc>
          <w:tcPr>
            <w:tcW w:w="2480" w:type="dxa"/>
            <w:tcBorders>
              <w:top w:val="single" w:sz="6" w:space="0" w:color="auto"/>
              <w:left w:val="single" w:sz="6" w:space="0" w:color="auto"/>
              <w:bottom w:val="single" w:sz="6" w:space="0" w:color="auto"/>
              <w:right w:val="single" w:sz="6" w:space="0" w:color="auto"/>
            </w:tcBorders>
            <w:vAlign w:val="bottom"/>
            <w:hideMark/>
          </w:tcPr>
          <w:p w:rsidR="00934C02" w:rsidRPr="00934C02" w:rsidRDefault="00934C02" w:rsidP="00934C02">
            <w:pPr>
              <w:spacing w:after="0" w:line="240" w:lineRule="auto"/>
              <w:rPr>
                <w:rFonts w:ascii="Arial" w:hAnsi="Arial" w:cs="Arial"/>
                <w:bCs/>
              </w:rPr>
            </w:pPr>
            <w:r w:rsidRPr="00934C02">
              <w:rPr>
                <w:rFonts w:ascii="Arial" w:hAnsi="Arial" w:cs="Arial"/>
                <w:bCs/>
              </w:rPr>
              <w:t>1166</w:t>
            </w:r>
          </w:p>
        </w:tc>
        <w:tc>
          <w:tcPr>
            <w:tcW w:w="1170" w:type="dxa"/>
            <w:tcBorders>
              <w:top w:val="single" w:sz="6" w:space="0" w:color="auto"/>
              <w:left w:val="single" w:sz="6" w:space="0" w:color="auto"/>
              <w:bottom w:val="single" w:sz="6" w:space="0" w:color="auto"/>
              <w:right w:val="single" w:sz="6" w:space="0" w:color="auto"/>
            </w:tcBorders>
            <w:hideMark/>
          </w:tcPr>
          <w:p w:rsidR="00934C02" w:rsidRPr="00934C02" w:rsidRDefault="00934C02" w:rsidP="00934C02">
            <w:pPr>
              <w:spacing w:after="0" w:line="240" w:lineRule="auto"/>
              <w:jc w:val="center"/>
              <w:rPr>
                <w:rFonts w:ascii="Arial" w:hAnsi="Arial"/>
                <w:b/>
                <w:i/>
              </w:rPr>
            </w:pPr>
            <w:r w:rsidRPr="00934C02">
              <w:rPr>
                <w:rFonts w:ascii="Arial" w:hAnsi="Arial"/>
                <w:b/>
                <w:i/>
              </w:rPr>
              <w:t>2013</w:t>
            </w:r>
          </w:p>
        </w:tc>
        <w:tc>
          <w:tcPr>
            <w:tcW w:w="2162" w:type="dxa"/>
            <w:tcBorders>
              <w:top w:val="single" w:sz="6" w:space="0" w:color="auto"/>
              <w:left w:val="single" w:sz="6" w:space="0" w:color="auto"/>
              <w:bottom w:val="single" w:sz="6" w:space="0" w:color="auto"/>
              <w:right w:val="single" w:sz="6" w:space="0" w:color="auto"/>
            </w:tcBorders>
            <w:vAlign w:val="bottom"/>
            <w:hideMark/>
          </w:tcPr>
          <w:p w:rsidR="00934C02" w:rsidRPr="00934C02" w:rsidRDefault="00934C02" w:rsidP="00934C02">
            <w:pPr>
              <w:spacing w:after="0" w:line="240" w:lineRule="auto"/>
              <w:rPr>
                <w:rFonts w:ascii="Arial" w:hAnsi="Arial" w:cs="Arial"/>
                <w:bCs/>
              </w:rPr>
            </w:pPr>
            <w:r w:rsidRPr="00934C02">
              <w:rPr>
                <w:rFonts w:ascii="Arial" w:hAnsi="Arial" w:cs="Arial"/>
                <w:bCs/>
              </w:rPr>
              <w:t>2623</w:t>
            </w:r>
          </w:p>
        </w:tc>
      </w:tr>
      <w:tr w:rsidR="00934C02" w:rsidRPr="00934C02" w:rsidTr="00934C02">
        <w:trPr>
          <w:trHeight w:val="256"/>
        </w:trPr>
        <w:tc>
          <w:tcPr>
            <w:tcW w:w="1271" w:type="dxa"/>
            <w:tcBorders>
              <w:top w:val="single" w:sz="6" w:space="0" w:color="auto"/>
              <w:left w:val="single" w:sz="4" w:space="0" w:color="auto"/>
              <w:bottom w:val="single" w:sz="6" w:space="0" w:color="auto"/>
              <w:right w:val="single" w:sz="6" w:space="0" w:color="auto"/>
            </w:tcBorders>
            <w:hideMark/>
          </w:tcPr>
          <w:p w:rsidR="00934C02" w:rsidRPr="00934C02" w:rsidRDefault="00934C02" w:rsidP="00934C02">
            <w:pPr>
              <w:spacing w:after="0" w:line="240" w:lineRule="auto"/>
              <w:jc w:val="center"/>
              <w:rPr>
                <w:rFonts w:ascii="Arial" w:hAnsi="Arial" w:cs="Arial"/>
                <w:b/>
                <w:i/>
              </w:rPr>
            </w:pPr>
            <w:r w:rsidRPr="00934C02">
              <w:rPr>
                <w:rFonts w:ascii="Arial" w:hAnsi="Arial" w:cs="Arial"/>
                <w:b/>
                <w:i/>
              </w:rPr>
              <w:t>2014</w:t>
            </w:r>
          </w:p>
        </w:tc>
        <w:tc>
          <w:tcPr>
            <w:tcW w:w="2523" w:type="dxa"/>
            <w:tcBorders>
              <w:top w:val="single" w:sz="6" w:space="0" w:color="auto"/>
              <w:left w:val="single" w:sz="6" w:space="0" w:color="auto"/>
              <w:bottom w:val="single" w:sz="6" w:space="0" w:color="auto"/>
              <w:right w:val="single" w:sz="6" w:space="0" w:color="auto"/>
            </w:tcBorders>
            <w:vAlign w:val="bottom"/>
            <w:hideMark/>
          </w:tcPr>
          <w:p w:rsidR="00934C02" w:rsidRPr="00934C02" w:rsidRDefault="00934C02" w:rsidP="00934C02">
            <w:pPr>
              <w:spacing w:after="0" w:line="240" w:lineRule="auto"/>
              <w:rPr>
                <w:rFonts w:ascii="Arial" w:hAnsi="Arial" w:cs="Arial"/>
                <w:bCs/>
              </w:rPr>
            </w:pPr>
            <w:r w:rsidRPr="00934C02">
              <w:rPr>
                <w:rFonts w:ascii="Arial" w:hAnsi="Arial" w:cs="Arial"/>
                <w:bCs/>
              </w:rPr>
              <w:t>840</w:t>
            </w:r>
          </w:p>
        </w:tc>
        <w:tc>
          <w:tcPr>
            <w:tcW w:w="2480" w:type="dxa"/>
            <w:tcBorders>
              <w:top w:val="single" w:sz="6" w:space="0" w:color="auto"/>
              <w:left w:val="single" w:sz="6" w:space="0" w:color="auto"/>
              <w:bottom w:val="single" w:sz="6" w:space="0" w:color="auto"/>
              <w:right w:val="single" w:sz="6" w:space="0" w:color="auto"/>
            </w:tcBorders>
            <w:vAlign w:val="bottom"/>
            <w:hideMark/>
          </w:tcPr>
          <w:p w:rsidR="00934C02" w:rsidRPr="00934C02" w:rsidRDefault="00934C02" w:rsidP="00934C02">
            <w:pPr>
              <w:spacing w:after="0" w:line="240" w:lineRule="auto"/>
              <w:rPr>
                <w:rFonts w:ascii="Arial" w:hAnsi="Arial" w:cs="Arial"/>
                <w:bCs/>
              </w:rPr>
            </w:pPr>
            <w:r w:rsidRPr="00934C02">
              <w:rPr>
                <w:rFonts w:ascii="Arial" w:hAnsi="Arial" w:cs="Arial"/>
                <w:bCs/>
              </w:rPr>
              <w:t>345</w:t>
            </w:r>
          </w:p>
        </w:tc>
        <w:tc>
          <w:tcPr>
            <w:tcW w:w="1170" w:type="dxa"/>
            <w:tcBorders>
              <w:top w:val="single" w:sz="6" w:space="0" w:color="auto"/>
              <w:left w:val="single" w:sz="6" w:space="0" w:color="auto"/>
              <w:bottom w:val="single" w:sz="6" w:space="0" w:color="auto"/>
              <w:right w:val="single" w:sz="6" w:space="0" w:color="auto"/>
            </w:tcBorders>
            <w:hideMark/>
          </w:tcPr>
          <w:p w:rsidR="00934C02" w:rsidRPr="00934C02" w:rsidRDefault="00934C02" w:rsidP="00934C02">
            <w:pPr>
              <w:spacing w:after="0" w:line="240" w:lineRule="auto"/>
              <w:jc w:val="center"/>
              <w:rPr>
                <w:rFonts w:ascii="Arial" w:hAnsi="Arial" w:cs="Arial"/>
                <w:b/>
                <w:i/>
              </w:rPr>
            </w:pPr>
            <w:r w:rsidRPr="00934C02">
              <w:rPr>
                <w:rFonts w:ascii="Arial" w:hAnsi="Arial" w:cs="Arial"/>
                <w:b/>
                <w:i/>
              </w:rPr>
              <w:t>2014</w:t>
            </w:r>
          </w:p>
        </w:tc>
        <w:tc>
          <w:tcPr>
            <w:tcW w:w="2162" w:type="dxa"/>
            <w:tcBorders>
              <w:top w:val="single" w:sz="6" w:space="0" w:color="auto"/>
              <w:left w:val="single" w:sz="6" w:space="0" w:color="auto"/>
              <w:bottom w:val="single" w:sz="6" w:space="0" w:color="auto"/>
              <w:right w:val="single" w:sz="6" w:space="0" w:color="auto"/>
            </w:tcBorders>
            <w:vAlign w:val="bottom"/>
            <w:hideMark/>
          </w:tcPr>
          <w:p w:rsidR="00934C02" w:rsidRPr="00934C02" w:rsidRDefault="00934C02" w:rsidP="00934C02">
            <w:pPr>
              <w:spacing w:after="0" w:line="240" w:lineRule="auto"/>
              <w:rPr>
                <w:rFonts w:ascii="Arial" w:hAnsi="Arial" w:cs="Arial"/>
                <w:bCs/>
              </w:rPr>
            </w:pPr>
            <w:r w:rsidRPr="00934C02">
              <w:rPr>
                <w:rFonts w:ascii="Arial" w:hAnsi="Arial" w:cs="Arial"/>
                <w:bCs/>
              </w:rPr>
              <w:t>840</w:t>
            </w:r>
          </w:p>
        </w:tc>
      </w:tr>
    </w:tbl>
    <w:p w:rsidR="00934C02" w:rsidRPr="00934C02" w:rsidRDefault="00934C02" w:rsidP="00934C02">
      <w:pPr>
        <w:spacing w:after="0" w:line="240" w:lineRule="auto"/>
        <w:jc w:val="center"/>
        <w:rPr>
          <w:rFonts w:ascii="Arial" w:eastAsia="Times New Roman" w:hAnsi="Arial" w:cs="Arial"/>
          <w:i/>
          <w:sz w:val="20"/>
          <w:szCs w:val="20"/>
          <w:lang w:val="pl-PL" w:eastAsia="pl-PL"/>
        </w:rPr>
      </w:pPr>
      <w:r w:rsidRPr="00934C02">
        <w:rPr>
          <w:rFonts w:ascii="Arial" w:eastAsia="Times New Roman" w:hAnsi="Arial" w:cs="Arial"/>
          <w:i/>
          <w:sz w:val="24"/>
          <w:szCs w:val="24"/>
          <w:lang w:val="pl-PL" w:eastAsia="pl-PL"/>
        </w:rPr>
        <w:t xml:space="preserve">  </w:t>
      </w:r>
      <w:r w:rsidRPr="00934C02">
        <w:rPr>
          <w:rFonts w:ascii="Arial" w:eastAsia="Times New Roman" w:hAnsi="Arial" w:cs="Arial"/>
          <w:i/>
          <w:sz w:val="20"/>
          <w:szCs w:val="20"/>
          <w:lang w:val="pl-PL" w:eastAsia="pl-PL"/>
        </w:rPr>
        <w:t>Sursa: APM Vaslui – aplicaţiile: MEDIUS şi SD (din SIM),cu date validate de ANPM</w:t>
      </w:r>
    </w:p>
    <w:p w:rsidR="00934C02" w:rsidRPr="00934C02" w:rsidRDefault="00934C02" w:rsidP="00934C02">
      <w:pPr>
        <w:spacing w:after="0" w:line="240" w:lineRule="auto"/>
        <w:rPr>
          <w:rFonts w:ascii="Times New Roman" w:eastAsia="Times New Roman" w:hAnsi="Times New Roman" w:cs="Arial"/>
          <w:i/>
          <w:sz w:val="24"/>
          <w:szCs w:val="24"/>
          <w:lang w:val="pl-PL" w:eastAsia="pl-PL"/>
        </w:rPr>
      </w:pPr>
    </w:p>
    <w:p w:rsidR="00934C02" w:rsidRPr="00934C02" w:rsidRDefault="00934C02" w:rsidP="00934C02">
      <w:pPr>
        <w:ind w:firstLine="720"/>
        <w:rPr>
          <w:rFonts w:ascii="Arial" w:hAnsi="Arial" w:cs="Arial"/>
          <w:sz w:val="24"/>
          <w:szCs w:val="24"/>
          <w:lang w:val="ro-RO" w:eastAsia="pl-PL"/>
        </w:rPr>
      </w:pPr>
      <w:r w:rsidRPr="00934C02">
        <w:rPr>
          <w:noProof/>
        </w:rPr>
        <w:drawing>
          <wp:inline distT="0" distB="0" distL="0" distR="0" wp14:anchorId="242C3637" wp14:editId="4F289167">
            <wp:extent cx="4615815" cy="2558415"/>
            <wp:effectExtent l="0" t="0" r="13335" b="13335"/>
            <wp:docPr id="255" name="Chart 2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934C02" w:rsidRDefault="00934C02" w:rsidP="00934C02">
      <w:pPr>
        <w:rPr>
          <w:rFonts w:ascii="Arial" w:hAnsi="Arial" w:cs="Arial"/>
          <w:sz w:val="24"/>
          <w:szCs w:val="24"/>
        </w:rPr>
      </w:pPr>
      <w:r w:rsidRPr="00934C02">
        <w:rPr>
          <w:rFonts w:ascii="Arial" w:hAnsi="Arial" w:cs="Arial"/>
          <w:sz w:val="24"/>
          <w:szCs w:val="24"/>
        </w:rPr>
        <w:t xml:space="preserve">       Figura </w:t>
      </w:r>
      <w:r w:rsidRPr="00934C02">
        <w:rPr>
          <w:rFonts w:ascii="Arial" w:hAnsi="Arial" w:cs="Arial"/>
          <w:sz w:val="24"/>
          <w:szCs w:val="24"/>
          <w:lang w:val="it-IT"/>
        </w:rPr>
        <w:t>VII.19</w:t>
      </w:r>
      <w:r w:rsidRPr="00934C02">
        <w:rPr>
          <w:rFonts w:ascii="Arial" w:hAnsi="Arial" w:cs="Arial"/>
          <w:sz w:val="24"/>
          <w:szCs w:val="24"/>
        </w:rPr>
        <w:t>. Tendinţa reciclării deşeurilor municipale: 2008-2012</w:t>
      </w:r>
    </w:p>
    <w:p w:rsidR="0084419D" w:rsidRPr="00934C02" w:rsidRDefault="0084419D" w:rsidP="00934C02">
      <w:pPr>
        <w:rPr>
          <w:rFonts w:ascii="Arial" w:hAnsi="Arial" w:cs="Arial"/>
          <w:sz w:val="24"/>
          <w:szCs w:val="24"/>
        </w:rPr>
      </w:pPr>
    </w:p>
    <w:p w:rsidR="00934C02" w:rsidRPr="00934C02" w:rsidRDefault="00934C02" w:rsidP="00934C02">
      <w:pPr>
        <w:jc w:val="both"/>
        <w:rPr>
          <w:rFonts w:ascii="Arial" w:hAnsi="Arial" w:cs="Arial"/>
          <w:sz w:val="24"/>
          <w:szCs w:val="24"/>
          <w:lang w:val="ro-RO"/>
        </w:rPr>
      </w:pPr>
      <w:r w:rsidRPr="00934C02">
        <w:rPr>
          <w:rFonts w:ascii="Arial" w:hAnsi="Arial" w:cs="Arial"/>
          <w:sz w:val="24"/>
          <w:szCs w:val="24"/>
          <w:lang w:val="ro-RO" w:eastAsia="pl-PL"/>
        </w:rPr>
        <w:lastRenderedPageBreak/>
        <w:t>T</w:t>
      </w:r>
      <w:r w:rsidRPr="00934C02">
        <w:rPr>
          <w:rFonts w:ascii="Arial" w:hAnsi="Arial" w:cs="Arial"/>
          <w:sz w:val="24"/>
          <w:szCs w:val="24"/>
        </w:rPr>
        <w:t xml:space="preserve">abelul </w:t>
      </w:r>
      <w:r w:rsidRPr="00934C02">
        <w:rPr>
          <w:rFonts w:ascii="Arial" w:eastAsia="SimSun" w:hAnsi="Arial" w:cs="Arial"/>
          <w:sz w:val="24"/>
          <w:szCs w:val="24"/>
        </w:rPr>
        <w:t>VII.28. Cantităţile de deşeuri biodegradabile şi ţintele privind reducerea acestora la depozitare în anii 2010 – 2013, în raport cu cele generate in 1995.</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6"/>
        <w:gridCol w:w="1350"/>
        <w:gridCol w:w="1350"/>
        <w:gridCol w:w="1620"/>
      </w:tblGrid>
      <w:tr w:rsidR="00934C02" w:rsidRPr="00934C02" w:rsidTr="00934C02">
        <w:tc>
          <w:tcPr>
            <w:tcW w:w="4846"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sz w:val="24"/>
                <w:szCs w:val="24"/>
              </w:rPr>
            </w:pPr>
          </w:p>
        </w:tc>
        <w:tc>
          <w:tcPr>
            <w:tcW w:w="135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b/>
                <w:sz w:val="24"/>
                <w:szCs w:val="24"/>
              </w:rPr>
            </w:pPr>
            <w:r w:rsidRPr="00934C02">
              <w:rPr>
                <w:rFonts w:ascii="Arial" w:hAnsi="Arial" w:cs="Arial"/>
                <w:b/>
                <w:sz w:val="24"/>
                <w:szCs w:val="24"/>
              </w:rPr>
              <w:t>1995</w:t>
            </w:r>
          </w:p>
        </w:tc>
        <w:tc>
          <w:tcPr>
            <w:tcW w:w="135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b/>
                <w:sz w:val="24"/>
                <w:szCs w:val="24"/>
              </w:rPr>
            </w:pPr>
            <w:r w:rsidRPr="00934C02">
              <w:rPr>
                <w:rFonts w:ascii="Arial" w:hAnsi="Arial" w:cs="Arial"/>
                <w:b/>
                <w:sz w:val="24"/>
                <w:szCs w:val="24"/>
              </w:rPr>
              <w:t>2010</w:t>
            </w:r>
          </w:p>
        </w:tc>
        <w:tc>
          <w:tcPr>
            <w:tcW w:w="162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b/>
                <w:sz w:val="24"/>
                <w:szCs w:val="24"/>
              </w:rPr>
            </w:pPr>
            <w:r w:rsidRPr="00934C02">
              <w:rPr>
                <w:rFonts w:ascii="Arial" w:hAnsi="Arial" w:cs="Arial"/>
                <w:b/>
                <w:sz w:val="24"/>
                <w:szCs w:val="24"/>
              </w:rPr>
              <w:t>2013</w:t>
            </w:r>
          </w:p>
        </w:tc>
      </w:tr>
      <w:tr w:rsidR="00934C02" w:rsidRPr="00934C02" w:rsidTr="00934C02">
        <w:tc>
          <w:tcPr>
            <w:tcW w:w="4846"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hAnsi="Arial" w:cs="Arial"/>
                <w:sz w:val="24"/>
                <w:szCs w:val="24"/>
              </w:rPr>
            </w:pPr>
            <w:r w:rsidRPr="00934C02">
              <w:rPr>
                <w:rFonts w:ascii="Arial" w:hAnsi="Arial" w:cs="Arial"/>
                <w:sz w:val="24"/>
                <w:szCs w:val="24"/>
              </w:rPr>
              <w:t>Cantităţile de deşeuri biodegradabile municipale generate (to)</w:t>
            </w:r>
          </w:p>
        </w:tc>
        <w:tc>
          <w:tcPr>
            <w:tcW w:w="1350"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rPr>
                <w:rFonts w:ascii="Arial" w:hAnsi="Arial" w:cs="Arial"/>
                <w:sz w:val="24"/>
                <w:szCs w:val="24"/>
              </w:rPr>
            </w:pPr>
            <w:r w:rsidRPr="00934C02">
              <w:rPr>
                <w:rFonts w:ascii="Arial" w:hAnsi="Arial" w:cs="Arial"/>
                <w:sz w:val="24"/>
                <w:szCs w:val="24"/>
              </w:rPr>
              <w:t xml:space="preserve">    98.134</w:t>
            </w:r>
          </w:p>
        </w:tc>
        <w:tc>
          <w:tcPr>
            <w:tcW w:w="135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rPr>
                <w:rFonts w:ascii="Arial" w:hAnsi="Arial" w:cs="Arial"/>
                <w:sz w:val="24"/>
                <w:szCs w:val="24"/>
              </w:rPr>
            </w:pPr>
            <w:r w:rsidRPr="00934C02">
              <w:rPr>
                <w:rFonts w:ascii="Arial" w:hAnsi="Arial" w:cs="Arial"/>
                <w:sz w:val="24"/>
                <w:szCs w:val="24"/>
              </w:rPr>
              <w:t xml:space="preserve">   88.554</w:t>
            </w:r>
          </w:p>
        </w:tc>
        <w:tc>
          <w:tcPr>
            <w:tcW w:w="162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rPr>
                <w:rFonts w:ascii="Arial" w:hAnsi="Arial" w:cs="Arial"/>
                <w:sz w:val="24"/>
                <w:szCs w:val="24"/>
              </w:rPr>
            </w:pPr>
            <w:r w:rsidRPr="00934C02">
              <w:rPr>
                <w:rFonts w:ascii="Arial" w:hAnsi="Arial" w:cs="Arial"/>
                <w:sz w:val="24"/>
                <w:szCs w:val="24"/>
              </w:rPr>
              <w:t xml:space="preserve">     49067</w:t>
            </w:r>
          </w:p>
        </w:tc>
      </w:tr>
      <w:tr w:rsidR="00934C02" w:rsidRPr="00934C02" w:rsidTr="00934C02">
        <w:tc>
          <w:tcPr>
            <w:tcW w:w="4846"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hAnsi="Arial" w:cs="Arial"/>
                <w:sz w:val="24"/>
                <w:szCs w:val="24"/>
              </w:rPr>
            </w:pPr>
            <w:r w:rsidRPr="00934C02">
              <w:rPr>
                <w:rFonts w:ascii="Arial" w:hAnsi="Arial" w:cs="Arial"/>
                <w:sz w:val="24"/>
                <w:szCs w:val="24"/>
              </w:rPr>
              <w:t>Tinte de reducere  pt. cantităţile de deşeuri biodegradabile</w:t>
            </w:r>
          </w:p>
        </w:tc>
        <w:tc>
          <w:tcPr>
            <w:tcW w:w="1350"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sz w:val="24"/>
                <w:szCs w:val="24"/>
              </w:rPr>
            </w:pPr>
          </w:p>
        </w:tc>
        <w:tc>
          <w:tcPr>
            <w:tcW w:w="135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Pana la 75%</w:t>
            </w:r>
          </w:p>
        </w:tc>
        <w:tc>
          <w:tcPr>
            <w:tcW w:w="162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Pana la 50%</w:t>
            </w:r>
          </w:p>
        </w:tc>
      </w:tr>
      <w:tr w:rsidR="00934C02" w:rsidRPr="00934C02" w:rsidTr="00934C02">
        <w:tc>
          <w:tcPr>
            <w:tcW w:w="4846"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hAnsi="Arial" w:cs="Arial"/>
                <w:sz w:val="24"/>
                <w:szCs w:val="24"/>
              </w:rPr>
            </w:pPr>
            <w:r w:rsidRPr="00934C02">
              <w:rPr>
                <w:rFonts w:ascii="Arial" w:hAnsi="Arial" w:cs="Arial"/>
                <w:sz w:val="24"/>
                <w:szCs w:val="24"/>
              </w:rPr>
              <w:t>Cantitatea maximă de deşeuri biodegradabile care poate fi depozitată (to)</w:t>
            </w:r>
          </w:p>
        </w:tc>
        <w:tc>
          <w:tcPr>
            <w:tcW w:w="1350"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sz w:val="24"/>
                <w:szCs w:val="24"/>
              </w:rPr>
            </w:pPr>
          </w:p>
        </w:tc>
        <w:tc>
          <w:tcPr>
            <w:tcW w:w="135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10862</w:t>
            </w:r>
          </w:p>
        </w:tc>
        <w:tc>
          <w:tcPr>
            <w:tcW w:w="162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19697.6</w:t>
            </w:r>
          </w:p>
        </w:tc>
      </w:tr>
      <w:tr w:rsidR="00934C02" w:rsidRPr="00934C02" w:rsidTr="00934C02">
        <w:tc>
          <w:tcPr>
            <w:tcW w:w="4846"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hAnsi="Arial" w:cs="Arial"/>
                <w:sz w:val="24"/>
                <w:szCs w:val="24"/>
              </w:rPr>
            </w:pPr>
            <w:r w:rsidRPr="00934C02">
              <w:rPr>
                <w:rFonts w:ascii="Arial" w:hAnsi="Arial" w:cs="Arial"/>
                <w:sz w:val="24"/>
                <w:szCs w:val="24"/>
              </w:rPr>
              <w:t>Cantitatea de deşeuri biodegradabile ce  trebuie redusă de la depozitare (to)</w:t>
            </w:r>
          </w:p>
        </w:tc>
        <w:tc>
          <w:tcPr>
            <w:tcW w:w="1350"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jc w:val="center"/>
              <w:rPr>
                <w:rFonts w:ascii="Arial" w:hAnsi="Arial" w:cs="Arial"/>
                <w:sz w:val="24"/>
                <w:szCs w:val="24"/>
              </w:rPr>
            </w:pPr>
          </w:p>
        </w:tc>
        <w:tc>
          <w:tcPr>
            <w:tcW w:w="135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14,954</w:t>
            </w:r>
          </w:p>
        </w:tc>
        <w:tc>
          <w:tcPr>
            <w:tcW w:w="162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jc w:val="center"/>
              <w:rPr>
                <w:rFonts w:ascii="Arial" w:hAnsi="Arial" w:cs="Arial"/>
                <w:sz w:val="24"/>
                <w:szCs w:val="24"/>
              </w:rPr>
            </w:pPr>
            <w:r w:rsidRPr="00934C02">
              <w:rPr>
                <w:rFonts w:ascii="Arial" w:hAnsi="Arial" w:cs="Arial"/>
                <w:sz w:val="24"/>
                <w:szCs w:val="24"/>
              </w:rPr>
              <w:t>48,681</w:t>
            </w:r>
          </w:p>
        </w:tc>
      </w:tr>
    </w:tbl>
    <w:p w:rsidR="00934C02" w:rsidRPr="00934C02" w:rsidRDefault="00934C02" w:rsidP="00934C02">
      <w:pPr>
        <w:widowControl w:val="0"/>
        <w:autoSpaceDE w:val="0"/>
        <w:autoSpaceDN w:val="0"/>
        <w:adjustRightInd w:val="0"/>
        <w:spacing w:after="0" w:line="240" w:lineRule="auto"/>
        <w:jc w:val="both"/>
        <w:rPr>
          <w:rFonts w:ascii="Arial" w:eastAsia="SimSun" w:hAnsi="Arial" w:cs="Arial"/>
          <w:color w:val="FF0000"/>
          <w:sz w:val="24"/>
          <w:szCs w:val="24"/>
        </w:rPr>
      </w:pPr>
      <w:r w:rsidRPr="00934C02">
        <w:rPr>
          <w:rFonts w:ascii="Arial" w:eastAsia="SimSun" w:hAnsi="Arial" w:cs="Arial"/>
          <w:color w:val="FF0000"/>
          <w:sz w:val="24"/>
          <w:szCs w:val="24"/>
        </w:rPr>
        <w:t xml:space="preserve"> </w:t>
      </w:r>
    </w:p>
    <w:p w:rsidR="00934C02" w:rsidRPr="00934C02" w:rsidRDefault="00934C02" w:rsidP="00934C02">
      <w:pPr>
        <w:widowControl w:val="0"/>
        <w:autoSpaceDE w:val="0"/>
        <w:autoSpaceDN w:val="0"/>
        <w:adjustRightInd w:val="0"/>
        <w:spacing w:after="0" w:line="240" w:lineRule="auto"/>
        <w:jc w:val="both"/>
        <w:rPr>
          <w:rFonts w:ascii="Arial" w:eastAsia="SimSun" w:hAnsi="Arial" w:cs="Arial"/>
          <w:color w:val="FF0000"/>
          <w:sz w:val="24"/>
          <w:szCs w:val="24"/>
        </w:rPr>
      </w:pPr>
      <w:r w:rsidRPr="00934C02">
        <w:rPr>
          <w:rFonts w:ascii="Arial" w:eastAsia="SimSun" w:hAnsi="Arial" w:cs="Arial"/>
          <w:color w:val="FF0000"/>
          <w:sz w:val="24"/>
          <w:szCs w:val="24"/>
        </w:rPr>
        <w:t xml:space="preserve">                    </w:t>
      </w:r>
      <w:r w:rsidRPr="00934C02">
        <w:rPr>
          <w:noProof/>
        </w:rPr>
        <w:drawing>
          <wp:inline distT="0" distB="0" distL="0" distR="0" wp14:anchorId="625F09D0" wp14:editId="730851E4">
            <wp:extent cx="4474210" cy="2329815"/>
            <wp:effectExtent l="0" t="0" r="21590" b="13335"/>
            <wp:docPr id="256" name="Chart 2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934C02" w:rsidRPr="00934C02" w:rsidRDefault="00934C02" w:rsidP="00934C02">
      <w:pPr>
        <w:jc w:val="both"/>
        <w:rPr>
          <w:rFonts w:ascii="Arial" w:eastAsia="SimSun" w:hAnsi="Arial" w:cs="Arial"/>
          <w:sz w:val="24"/>
          <w:szCs w:val="24"/>
        </w:rPr>
      </w:pPr>
      <w:r w:rsidRPr="00934C02">
        <w:rPr>
          <w:rFonts w:ascii="Arial" w:hAnsi="Arial" w:cs="Arial"/>
          <w:sz w:val="24"/>
          <w:szCs w:val="24"/>
        </w:rPr>
        <w:t xml:space="preserve">  Figura VII.20</w:t>
      </w:r>
      <w:r w:rsidRPr="00934C02">
        <w:rPr>
          <w:rFonts w:ascii="Arial" w:eastAsia="SimSun" w:hAnsi="Arial" w:cs="Arial"/>
          <w:sz w:val="24"/>
          <w:szCs w:val="24"/>
        </w:rPr>
        <w:t>.</w:t>
      </w:r>
      <w:r w:rsidRPr="00934C02">
        <w:rPr>
          <w:rFonts w:ascii="Arial" w:eastAsia="SimSun" w:hAnsi="Arial" w:cs="Arial"/>
          <w:b/>
          <w:sz w:val="24"/>
          <w:szCs w:val="24"/>
        </w:rPr>
        <w:t xml:space="preserve"> </w:t>
      </w:r>
      <w:r w:rsidRPr="00934C02">
        <w:rPr>
          <w:rFonts w:ascii="Arial" w:eastAsia="SimSun" w:hAnsi="Arial" w:cs="Arial"/>
          <w:sz w:val="24"/>
          <w:szCs w:val="24"/>
        </w:rPr>
        <w:t xml:space="preserve">Deşeuri industriale nepericuloase generate pe principalele activităţi economice </w:t>
      </w:r>
    </w:p>
    <w:tbl>
      <w:tblPr>
        <w:tblW w:w="9621"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3"/>
        <w:gridCol w:w="1288"/>
        <w:gridCol w:w="1279"/>
        <w:gridCol w:w="1279"/>
        <w:gridCol w:w="1279"/>
        <w:gridCol w:w="1073"/>
      </w:tblGrid>
      <w:tr w:rsidR="00934C02" w:rsidRPr="00934C02" w:rsidTr="00934C02">
        <w:tc>
          <w:tcPr>
            <w:tcW w:w="3423"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b/>
                <w:sz w:val="24"/>
                <w:szCs w:val="24"/>
              </w:rPr>
            </w:pPr>
            <w:r w:rsidRPr="00934C02">
              <w:rPr>
                <w:rFonts w:ascii="Arial" w:eastAsia="SimSun" w:hAnsi="Arial" w:cs="Arial"/>
                <w:b/>
                <w:sz w:val="24"/>
                <w:szCs w:val="24"/>
              </w:rPr>
              <w:t xml:space="preserve">Activitatea economică </w:t>
            </w:r>
          </w:p>
        </w:tc>
        <w:tc>
          <w:tcPr>
            <w:tcW w:w="1288"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b/>
                <w:sz w:val="24"/>
                <w:szCs w:val="24"/>
              </w:rPr>
            </w:pPr>
            <w:r w:rsidRPr="00934C02">
              <w:rPr>
                <w:rFonts w:ascii="Arial" w:eastAsia="SimSun" w:hAnsi="Arial" w:cs="Arial"/>
                <w:b/>
                <w:sz w:val="24"/>
                <w:szCs w:val="24"/>
              </w:rPr>
              <w:t>2010</w:t>
            </w:r>
          </w:p>
        </w:tc>
        <w:tc>
          <w:tcPr>
            <w:tcW w:w="127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b/>
                <w:sz w:val="24"/>
                <w:szCs w:val="24"/>
              </w:rPr>
            </w:pPr>
            <w:r w:rsidRPr="00934C02">
              <w:rPr>
                <w:rFonts w:ascii="Arial" w:eastAsia="SimSun" w:hAnsi="Arial" w:cs="Arial"/>
                <w:b/>
                <w:sz w:val="24"/>
                <w:szCs w:val="24"/>
              </w:rPr>
              <w:t>2011</w:t>
            </w:r>
          </w:p>
        </w:tc>
        <w:tc>
          <w:tcPr>
            <w:tcW w:w="127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b/>
                <w:sz w:val="24"/>
                <w:szCs w:val="24"/>
              </w:rPr>
            </w:pPr>
            <w:r w:rsidRPr="00934C02">
              <w:rPr>
                <w:rFonts w:ascii="Arial" w:eastAsia="SimSun" w:hAnsi="Arial" w:cs="Arial"/>
                <w:b/>
                <w:sz w:val="24"/>
                <w:szCs w:val="24"/>
              </w:rPr>
              <w:t>2012</w:t>
            </w:r>
          </w:p>
        </w:tc>
        <w:tc>
          <w:tcPr>
            <w:tcW w:w="127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b/>
                <w:sz w:val="24"/>
                <w:szCs w:val="24"/>
              </w:rPr>
            </w:pPr>
            <w:r w:rsidRPr="00934C02">
              <w:rPr>
                <w:rFonts w:ascii="Arial" w:eastAsia="SimSun" w:hAnsi="Arial" w:cs="Arial"/>
                <w:b/>
                <w:sz w:val="24"/>
                <w:szCs w:val="24"/>
              </w:rPr>
              <w:t>2013</w:t>
            </w:r>
          </w:p>
        </w:tc>
        <w:tc>
          <w:tcPr>
            <w:tcW w:w="1073"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b/>
                <w:sz w:val="24"/>
                <w:szCs w:val="24"/>
              </w:rPr>
            </w:pPr>
            <w:r w:rsidRPr="00934C02">
              <w:rPr>
                <w:rFonts w:ascii="Arial" w:eastAsia="SimSun" w:hAnsi="Arial" w:cs="Arial"/>
                <w:b/>
                <w:sz w:val="24"/>
                <w:szCs w:val="24"/>
              </w:rPr>
              <w:t>2014</w:t>
            </w:r>
          </w:p>
        </w:tc>
      </w:tr>
      <w:tr w:rsidR="00934C02" w:rsidRPr="00934C02" w:rsidTr="00934C02">
        <w:trPr>
          <w:trHeight w:val="555"/>
        </w:trPr>
        <w:tc>
          <w:tcPr>
            <w:tcW w:w="3423"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 xml:space="preserve">Industria prelucrătoare         </w:t>
            </w:r>
            <w:r w:rsidRPr="00934C02">
              <w:rPr>
                <w:rFonts w:ascii="Arial" w:hAnsi="Arial" w:cs="Arial"/>
                <w:b/>
                <w:sz w:val="18"/>
                <w:szCs w:val="18"/>
              </w:rPr>
              <w:t>(</w:t>
            </w:r>
            <w:r w:rsidRPr="00934C02">
              <w:rPr>
                <w:rFonts w:ascii="Arial" w:hAnsi="Arial" w:cs="Arial"/>
                <w:sz w:val="18"/>
                <w:szCs w:val="18"/>
              </w:rPr>
              <w:t>mii tone)</w:t>
            </w:r>
          </w:p>
        </w:tc>
        <w:tc>
          <w:tcPr>
            <w:tcW w:w="1288"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21.734</w:t>
            </w:r>
          </w:p>
        </w:tc>
        <w:tc>
          <w:tcPr>
            <w:tcW w:w="1279"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16.973</w:t>
            </w:r>
          </w:p>
          <w:p w:rsidR="00934C02" w:rsidRPr="00934C02" w:rsidRDefault="00934C02" w:rsidP="00934C02">
            <w:pPr>
              <w:spacing w:after="0" w:line="240" w:lineRule="auto"/>
              <w:rPr>
                <w:rFonts w:ascii="Arial" w:eastAsia="SimSun" w:hAnsi="Arial" w:cs="Arial"/>
                <w:sz w:val="24"/>
                <w:szCs w:val="24"/>
              </w:rPr>
            </w:pPr>
          </w:p>
        </w:tc>
        <w:tc>
          <w:tcPr>
            <w:tcW w:w="127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hAnsi="Arial" w:cs="Arial"/>
                <w:color w:val="000000"/>
                <w:sz w:val="24"/>
                <w:szCs w:val="24"/>
              </w:rPr>
              <w:t>17.962</w:t>
            </w:r>
          </w:p>
        </w:tc>
        <w:tc>
          <w:tcPr>
            <w:tcW w:w="1279"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18.051</w:t>
            </w:r>
          </w:p>
        </w:tc>
        <w:tc>
          <w:tcPr>
            <w:tcW w:w="1073"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18.063</w:t>
            </w:r>
          </w:p>
        </w:tc>
      </w:tr>
      <w:tr w:rsidR="00934C02" w:rsidRPr="00934C02" w:rsidTr="00934C02">
        <w:tc>
          <w:tcPr>
            <w:tcW w:w="3423"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 xml:space="preserve">Producţia,transportul şi distribuţia de energie electrică şi termică, gaze şi apă </w:t>
            </w:r>
            <w:r w:rsidRPr="00934C02">
              <w:rPr>
                <w:rFonts w:ascii="Arial" w:hAnsi="Arial" w:cs="Arial"/>
                <w:sz w:val="18"/>
                <w:szCs w:val="18"/>
              </w:rPr>
              <w:t>(mii tone)</w:t>
            </w:r>
          </w:p>
        </w:tc>
        <w:tc>
          <w:tcPr>
            <w:tcW w:w="1288"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0</w:t>
            </w:r>
          </w:p>
        </w:tc>
        <w:tc>
          <w:tcPr>
            <w:tcW w:w="127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0.035</w:t>
            </w:r>
          </w:p>
        </w:tc>
        <w:tc>
          <w:tcPr>
            <w:tcW w:w="127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hAnsi="Arial" w:cs="Arial"/>
                <w:color w:val="000000"/>
                <w:sz w:val="24"/>
                <w:szCs w:val="24"/>
              </w:rPr>
            </w:pPr>
            <w:r w:rsidRPr="00934C02">
              <w:rPr>
                <w:rFonts w:ascii="Arial" w:hAnsi="Arial" w:cs="Arial"/>
                <w:color w:val="000000"/>
                <w:sz w:val="24"/>
                <w:szCs w:val="24"/>
              </w:rPr>
              <w:t>0.052</w:t>
            </w:r>
          </w:p>
          <w:p w:rsidR="00934C02" w:rsidRPr="00934C02" w:rsidRDefault="00934C02" w:rsidP="00934C02">
            <w:pPr>
              <w:spacing w:after="0" w:line="240" w:lineRule="auto"/>
              <w:rPr>
                <w:rFonts w:ascii="Arial" w:eastAsia="SimSun" w:hAnsi="Arial" w:cs="Arial"/>
                <w:sz w:val="24"/>
                <w:szCs w:val="24"/>
              </w:rPr>
            </w:pPr>
          </w:p>
        </w:tc>
        <w:tc>
          <w:tcPr>
            <w:tcW w:w="1279"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0.064</w:t>
            </w:r>
          </w:p>
        </w:tc>
        <w:tc>
          <w:tcPr>
            <w:tcW w:w="1073"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0.071</w:t>
            </w:r>
          </w:p>
        </w:tc>
      </w:tr>
      <w:tr w:rsidR="00934C02" w:rsidRPr="00934C02" w:rsidTr="00934C02">
        <w:trPr>
          <w:trHeight w:val="465"/>
        </w:trPr>
        <w:tc>
          <w:tcPr>
            <w:tcW w:w="3423"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 xml:space="preserve">Captarea ,tratarea şi distribuţia apei </w:t>
            </w:r>
            <w:r w:rsidRPr="00934C02">
              <w:rPr>
                <w:rFonts w:ascii="Arial" w:hAnsi="Arial" w:cs="Arial"/>
                <w:sz w:val="18"/>
                <w:szCs w:val="18"/>
              </w:rPr>
              <w:t>(mii tone)</w:t>
            </w:r>
          </w:p>
        </w:tc>
        <w:tc>
          <w:tcPr>
            <w:tcW w:w="1288"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0</w:t>
            </w:r>
          </w:p>
        </w:tc>
        <w:tc>
          <w:tcPr>
            <w:tcW w:w="127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0</w:t>
            </w:r>
          </w:p>
        </w:tc>
        <w:tc>
          <w:tcPr>
            <w:tcW w:w="127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hAnsi="Arial" w:cs="Arial"/>
                <w:color w:val="000000"/>
                <w:sz w:val="24"/>
                <w:szCs w:val="24"/>
              </w:rPr>
              <w:t>0.391</w:t>
            </w:r>
          </w:p>
        </w:tc>
        <w:tc>
          <w:tcPr>
            <w:tcW w:w="1279"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0.402</w:t>
            </w:r>
          </w:p>
        </w:tc>
        <w:tc>
          <w:tcPr>
            <w:tcW w:w="1073"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0.416</w:t>
            </w:r>
          </w:p>
        </w:tc>
      </w:tr>
      <w:tr w:rsidR="00934C02" w:rsidRPr="00934C02" w:rsidTr="00934C02">
        <w:trPr>
          <w:trHeight w:val="375"/>
        </w:trPr>
        <w:tc>
          <w:tcPr>
            <w:tcW w:w="3423"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 xml:space="preserve">Alte activităţi </w:t>
            </w:r>
            <w:r w:rsidRPr="00934C02">
              <w:rPr>
                <w:rFonts w:ascii="Arial" w:hAnsi="Arial" w:cs="Arial"/>
                <w:sz w:val="18"/>
                <w:szCs w:val="18"/>
              </w:rPr>
              <w:t>(mii tone)</w:t>
            </w:r>
          </w:p>
        </w:tc>
        <w:tc>
          <w:tcPr>
            <w:tcW w:w="1288"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 xml:space="preserve">0.013 </w:t>
            </w:r>
          </w:p>
        </w:tc>
        <w:tc>
          <w:tcPr>
            <w:tcW w:w="127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0.040</w:t>
            </w:r>
          </w:p>
        </w:tc>
        <w:tc>
          <w:tcPr>
            <w:tcW w:w="127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hAnsi="Arial" w:cs="Arial"/>
                <w:color w:val="000000"/>
                <w:sz w:val="24"/>
                <w:szCs w:val="24"/>
              </w:rPr>
              <w:t>7.441</w:t>
            </w:r>
          </w:p>
        </w:tc>
        <w:tc>
          <w:tcPr>
            <w:tcW w:w="1279"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7.506</w:t>
            </w:r>
          </w:p>
        </w:tc>
        <w:tc>
          <w:tcPr>
            <w:tcW w:w="1073"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7.522</w:t>
            </w:r>
          </w:p>
        </w:tc>
      </w:tr>
      <w:tr w:rsidR="00934C02" w:rsidRPr="00934C02" w:rsidTr="00934C02">
        <w:trPr>
          <w:trHeight w:val="300"/>
        </w:trPr>
        <w:tc>
          <w:tcPr>
            <w:tcW w:w="3423"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 xml:space="preserve">TOTAL  </w:t>
            </w:r>
            <w:r w:rsidRPr="00934C02">
              <w:rPr>
                <w:rFonts w:ascii="Arial" w:hAnsi="Arial" w:cs="Arial"/>
                <w:sz w:val="18"/>
                <w:szCs w:val="18"/>
              </w:rPr>
              <w:t>(mii tone)</w:t>
            </w:r>
          </w:p>
        </w:tc>
        <w:tc>
          <w:tcPr>
            <w:tcW w:w="1288"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21.747</w:t>
            </w:r>
          </w:p>
        </w:tc>
        <w:tc>
          <w:tcPr>
            <w:tcW w:w="127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16.048</w:t>
            </w:r>
          </w:p>
        </w:tc>
        <w:tc>
          <w:tcPr>
            <w:tcW w:w="127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hAnsi="Arial" w:cs="Arial"/>
                <w:color w:val="000000"/>
                <w:sz w:val="24"/>
                <w:szCs w:val="24"/>
              </w:rPr>
            </w:pPr>
            <w:r w:rsidRPr="00934C02">
              <w:rPr>
                <w:rFonts w:ascii="Arial" w:hAnsi="Arial" w:cs="Arial"/>
                <w:color w:val="000000"/>
                <w:sz w:val="24"/>
                <w:szCs w:val="24"/>
              </w:rPr>
              <w:t>25.846</w:t>
            </w:r>
          </w:p>
        </w:tc>
        <w:tc>
          <w:tcPr>
            <w:tcW w:w="1279"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26.023</w:t>
            </w:r>
          </w:p>
        </w:tc>
        <w:tc>
          <w:tcPr>
            <w:tcW w:w="1073"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rPr>
                <w:rFonts w:ascii="Arial" w:hAnsi="Arial" w:cs="Arial"/>
                <w:color w:val="000000"/>
                <w:sz w:val="24"/>
                <w:szCs w:val="24"/>
              </w:rPr>
            </w:pPr>
            <w:r w:rsidRPr="00934C02">
              <w:rPr>
                <w:rFonts w:ascii="Arial" w:hAnsi="Arial" w:cs="Arial"/>
                <w:color w:val="000000"/>
                <w:sz w:val="24"/>
                <w:szCs w:val="24"/>
              </w:rPr>
              <w:t>26.072</w:t>
            </w:r>
          </w:p>
        </w:tc>
      </w:tr>
    </w:tbl>
    <w:p w:rsidR="00934C02" w:rsidRPr="00934C02" w:rsidRDefault="00934C02" w:rsidP="00934C02">
      <w:pPr>
        <w:spacing w:after="0" w:line="240" w:lineRule="auto"/>
        <w:jc w:val="both"/>
        <w:rPr>
          <w:rFonts w:ascii="Arial" w:eastAsia="Times New Roman" w:hAnsi="Arial" w:cs="Arial"/>
          <w:i/>
          <w:sz w:val="20"/>
          <w:szCs w:val="20"/>
        </w:rPr>
      </w:pPr>
      <w:r w:rsidRPr="00934C02">
        <w:rPr>
          <w:rFonts w:ascii="Arial" w:eastAsia="Times New Roman" w:hAnsi="Arial" w:cs="Times New Roman"/>
          <w:b/>
          <w:sz w:val="24"/>
          <w:szCs w:val="24"/>
          <w:lang w:val="ro-RO" w:eastAsia="pl-PL"/>
        </w:rPr>
        <w:t xml:space="preserve">           </w:t>
      </w:r>
      <w:r w:rsidRPr="00934C02">
        <w:rPr>
          <w:rFonts w:ascii="Arial" w:eastAsia="Times New Roman" w:hAnsi="Arial" w:cs="Arial"/>
          <w:i/>
          <w:sz w:val="20"/>
          <w:szCs w:val="20"/>
        </w:rPr>
        <w:t>Sursa: APM Vaslui – aplicatiile: MEDIUS si SD (din SIM),cu date validate de ANPM</w:t>
      </w:r>
    </w:p>
    <w:p w:rsidR="00934C02" w:rsidRPr="00934C02" w:rsidRDefault="00934C02" w:rsidP="00934C02">
      <w:pPr>
        <w:spacing w:after="0" w:line="240" w:lineRule="auto"/>
        <w:jc w:val="both"/>
        <w:rPr>
          <w:rFonts w:ascii="Arial" w:eastAsia="Times New Roman" w:hAnsi="Arial" w:cs="Arial"/>
          <w:i/>
          <w:sz w:val="20"/>
          <w:szCs w:val="20"/>
        </w:rPr>
      </w:pPr>
    </w:p>
    <w:p w:rsidR="00934C02" w:rsidRDefault="00934C02" w:rsidP="00934C02">
      <w:pPr>
        <w:spacing w:after="0" w:line="240" w:lineRule="auto"/>
        <w:jc w:val="both"/>
        <w:rPr>
          <w:rFonts w:ascii="Arial" w:eastAsia="Times New Roman" w:hAnsi="Arial" w:cs="Arial"/>
          <w:i/>
          <w:sz w:val="20"/>
          <w:szCs w:val="20"/>
        </w:rPr>
      </w:pPr>
    </w:p>
    <w:p w:rsidR="0084419D" w:rsidRDefault="0084419D" w:rsidP="00934C02">
      <w:pPr>
        <w:spacing w:after="0" w:line="240" w:lineRule="auto"/>
        <w:jc w:val="both"/>
        <w:rPr>
          <w:rFonts w:ascii="Arial" w:eastAsia="Times New Roman" w:hAnsi="Arial" w:cs="Arial"/>
          <w:i/>
          <w:sz w:val="20"/>
          <w:szCs w:val="20"/>
        </w:rPr>
      </w:pPr>
    </w:p>
    <w:p w:rsidR="0084419D" w:rsidRDefault="0084419D" w:rsidP="00934C02">
      <w:pPr>
        <w:spacing w:after="0" w:line="240" w:lineRule="auto"/>
        <w:jc w:val="both"/>
        <w:rPr>
          <w:rFonts w:ascii="Arial" w:eastAsia="Times New Roman" w:hAnsi="Arial" w:cs="Arial"/>
          <w:i/>
          <w:sz w:val="20"/>
          <w:szCs w:val="20"/>
        </w:rPr>
      </w:pPr>
    </w:p>
    <w:p w:rsidR="0084419D" w:rsidRPr="00934C02" w:rsidRDefault="0084419D" w:rsidP="00934C02">
      <w:pPr>
        <w:spacing w:after="0" w:line="240" w:lineRule="auto"/>
        <w:jc w:val="both"/>
        <w:rPr>
          <w:rFonts w:ascii="Arial" w:eastAsia="Times New Roman" w:hAnsi="Arial" w:cs="Arial"/>
          <w:i/>
          <w:sz w:val="20"/>
          <w:szCs w:val="20"/>
        </w:rPr>
      </w:pPr>
    </w:p>
    <w:p w:rsidR="00934C02" w:rsidRPr="00934C02" w:rsidRDefault="00934C02" w:rsidP="00934C02">
      <w:pPr>
        <w:spacing w:after="0" w:line="240" w:lineRule="auto"/>
        <w:jc w:val="both"/>
        <w:rPr>
          <w:rFonts w:ascii="Arial" w:eastAsia="SimSun" w:hAnsi="Arial" w:cs="Arial"/>
          <w:sz w:val="24"/>
          <w:szCs w:val="24"/>
        </w:rPr>
      </w:pPr>
      <w:r w:rsidRPr="00934C02">
        <w:rPr>
          <w:rFonts w:ascii="Arial" w:eastAsia="SimSun" w:hAnsi="Arial" w:cs="Arial"/>
          <w:sz w:val="24"/>
          <w:szCs w:val="24"/>
        </w:rPr>
        <w:lastRenderedPageBreak/>
        <w:t>Tabelul VII.30.</w:t>
      </w:r>
      <w:r w:rsidRPr="00934C02">
        <w:rPr>
          <w:rFonts w:ascii="Arial" w:eastAsia="SimSun" w:hAnsi="Arial" w:cs="Arial"/>
          <w:b/>
          <w:sz w:val="24"/>
          <w:szCs w:val="24"/>
        </w:rPr>
        <w:t xml:space="preserve"> </w:t>
      </w:r>
      <w:r w:rsidRPr="00934C02">
        <w:rPr>
          <w:rFonts w:ascii="Arial" w:eastAsia="SimSun" w:hAnsi="Arial" w:cs="Arial"/>
          <w:sz w:val="24"/>
          <w:szCs w:val="24"/>
        </w:rPr>
        <w:t xml:space="preserve">Deşeuri  industriale periculoase generate pe principalele activităţi economice </w:t>
      </w:r>
    </w:p>
    <w:tbl>
      <w:tblPr>
        <w:tblW w:w="9621"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3"/>
        <w:gridCol w:w="1288"/>
        <w:gridCol w:w="1279"/>
        <w:gridCol w:w="1279"/>
        <w:gridCol w:w="1279"/>
        <w:gridCol w:w="1073"/>
      </w:tblGrid>
      <w:tr w:rsidR="00934C02" w:rsidRPr="00934C02" w:rsidTr="00934C02">
        <w:tc>
          <w:tcPr>
            <w:tcW w:w="3423"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b/>
                <w:sz w:val="24"/>
                <w:szCs w:val="24"/>
              </w:rPr>
            </w:pPr>
            <w:r w:rsidRPr="00934C02">
              <w:rPr>
                <w:rFonts w:ascii="Arial" w:eastAsia="SimSun" w:hAnsi="Arial" w:cs="Arial"/>
                <w:b/>
                <w:sz w:val="24"/>
                <w:szCs w:val="24"/>
              </w:rPr>
              <w:t>Activitatea economică</w:t>
            </w:r>
          </w:p>
        </w:tc>
        <w:tc>
          <w:tcPr>
            <w:tcW w:w="1288"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b/>
                <w:sz w:val="24"/>
                <w:szCs w:val="24"/>
              </w:rPr>
            </w:pPr>
            <w:r w:rsidRPr="00934C02">
              <w:rPr>
                <w:rFonts w:ascii="Arial" w:eastAsia="SimSun" w:hAnsi="Arial" w:cs="Arial"/>
                <w:b/>
                <w:sz w:val="24"/>
                <w:szCs w:val="24"/>
              </w:rPr>
              <w:t>2010</w:t>
            </w:r>
          </w:p>
        </w:tc>
        <w:tc>
          <w:tcPr>
            <w:tcW w:w="127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b/>
                <w:sz w:val="24"/>
                <w:szCs w:val="24"/>
              </w:rPr>
            </w:pPr>
            <w:r w:rsidRPr="00934C02">
              <w:rPr>
                <w:rFonts w:ascii="Arial" w:eastAsia="SimSun" w:hAnsi="Arial" w:cs="Arial"/>
                <w:b/>
                <w:sz w:val="24"/>
                <w:szCs w:val="24"/>
              </w:rPr>
              <w:t>2011</w:t>
            </w:r>
          </w:p>
        </w:tc>
        <w:tc>
          <w:tcPr>
            <w:tcW w:w="127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b/>
                <w:sz w:val="24"/>
                <w:szCs w:val="24"/>
              </w:rPr>
            </w:pPr>
            <w:r w:rsidRPr="00934C02">
              <w:rPr>
                <w:rFonts w:ascii="Arial" w:eastAsia="SimSun" w:hAnsi="Arial" w:cs="Arial"/>
                <w:b/>
                <w:sz w:val="24"/>
                <w:szCs w:val="24"/>
              </w:rPr>
              <w:t>2012</w:t>
            </w:r>
          </w:p>
        </w:tc>
        <w:tc>
          <w:tcPr>
            <w:tcW w:w="127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b/>
                <w:sz w:val="24"/>
                <w:szCs w:val="24"/>
              </w:rPr>
            </w:pPr>
            <w:r w:rsidRPr="00934C02">
              <w:rPr>
                <w:rFonts w:ascii="Arial" w:eastAsia="SimSun" w:hAnsi="Arial" w:cs="Arial"/>
                <w:b/>
                <w:sz w:val="24"/>
                <w:szCs w:val="24"/>
              </w:rPr>
              <w:t>2013</w:t>
            </w:r>
          </w:p>
        </w:tc>
        <w:tc>
          <w:tcPr>
            <w:tcW w:w="1073"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b/>
                <w:sz w:val="24"/>
                <w:szCs w:val="24"/>
              </w:rPr>
            </w:pPr>
            <w:r w:rsidRPr="00934C02">
              <w:rPr>
                <w:rFonts w:ascii="Arial" w:eastAsia="SimSun" w:hAnsi="Arial" w:cs="Arial"/>
                <w:b/>
                <w:sz w:val="24"/>
                <w:szCs w:val="24"/>
              </w:rPr>
              <w:t>2014</w:t>
            </w:r>
          </w:p>
        </w:tc>
      </w:tr>
      <w:tr w:rsidR="00934C02" w:rsidRPr="00934C02" w:rsidTr="00934C02">
        <w:trPr>
          <w:trHeight w:val="255"/>
        </w:trPr>
        <w:tc>
          <w:tcPr>
            <w:tcW w:w="3423"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Industria prelucrătoare</w:t>
            </w:r>
          </w:p>
        </w:tc>
        <w:tc>
          <w:tcPr>
            <w:tcW w:w="1288"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15.61</w:t>
            </w:r>
          </w:p>
        </w:tc>
        <w:tc>
          <w:tcPr>
            <w:tcW w:w="127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16.97</w:t>
            </w:r>
          </w:p>
        </w:tc>
        <w:tc>
          <w:tcPr>
            <w:tcW w:w="127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hAnsi="Arial" w:cs="Arial"/>
                <w:color w:val="000000"/>
                <w:sz w:val="24"/>
                <w:szCs w:val="24"/>
              </w:rPr>
              <w:t>0.026</w:t>
            </w:r>
          </w:p>
        </w:tc>
        <w:tc>
          <w:tcPr>
            <w:tcW w:w="1279"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0.034</w:t>
            </w:r>
          </w:p>
        </w:tc>
        <w:tc>
          <w:tcPr>
            <w:tcW w:w="1073"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0.028</w:t>
            </w:r>
          </w:p>
        </w:tc>
      </w:tr>
      <w:tr w:rsidR="00934C02" w:rsidRPr="00934C02" w:rsidTr="00934C02">
        <w:tc>
          <w:tcPr>
            <w:tcW w:w="3423"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Producţia,transportul şi distribuţia de energie electrică şi termică, gaze şi apă</w:t>
            </w:r>
          </w:p>
        </w:tc>
        <w:tc>
          <w:tcPr>
            <w:tcW w:w="1288"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0</w:t>
            </w:r>
          </w:p>
        </w:tc>
        <w:tc>
          <w:tcPr>
            <w:tcW w:w="127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0.035</w:t>
            </w:r>
          </w:p>
        </w:tc>
        <w:tc>
          <w:tcPr>
            <w:tcW w:w="127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hAnsi="Arial" w:cs="Arial"/>
                <w:color w:val="000000"/>
                <w:sz w:val="24"/>
                <w:szCs w:val="24"/>
              </w:rPr>
            </w:pPr>
            <w:r w:rsidRPr="00934C02">
              <w:rPr>
                <w:rFonts w:ascii="Arial" w:hAnsi="Arial" w:cs="Arial"/>
                <w:color w:val="000000"/>
                <w:sz w:val="24"/>
                <w:szCs w:val="24"/>
              </w:rPr>
              <w:t>0</w:t>
            </w:r>
          </w:p>
          <w:p w:rsidR="00934C02" w:rsidRPr="00934C02" w:rsidRDefault="00934C02" w:rsidP="00934C02">
            <w:pPr>
              <w:spacing w:after="0" w:line="240" w:lineRule="auto"/>
              <w:rPr>
                <w:rFonts w:ascii="Arial" w:eastAsia="SimSun" w:hAnsi="Arial" w:cs="Arial"/>
                <w:sz w:val="24"/>
                <w:szCs w:val="24"/>
              </w:rPr>
            </w:pPr>
          </w:p>
        </w:tc>
        <w:tc>
          <w:tcPr>
            <w:tcW w:w="1279"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0.022</w:t>
            </w:r>
          </w:p>
        </w:tc>
        <w:tc>
          <w:tcPr>
            <w:tcW w:w="1073"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0.016</w:t>
            </w:r>
          </w:p>
        </w:tc>
      </w:tr>
      <w:tr w:rsidR="00934C02" w:rsidRPr="00934C02" w:rsidTr="00934C02">
        <w:trPr>
          <w:trHeight w:val="645"/>
        </w:trPr>
        <w:tc>
          <w:tcPr>
            <w:tcW w:w="3423"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Captarea, tratarea şi distribuţia apei</w:t>
            </w:r>
          </w:p>
        </w:tc>
        <w:tc>
          <w:tcPr>
            <w:tcW w:w="1288"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0</w:t>
            </w:r>
          </w:p>
        </w:tc>
        <w:tc>
          <w:tcPr>
            <w:tcW w:w="127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0</w:t>
            </w:r>
          </w:p>
        </w:tc>
        <w:tc>
          <w:tcPr>
            <w:tcW w:w="127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hAnsi="Arial" w:cs="Arial"/>
                <w:color w:val="000000"/>
                <w:sz w:val="24"/>
                <w:szCs w:val="24"/>
              </w:rPr>
              <w:t>0.066</w:t>
            </w:r>
          </w:p>
        </w:tc>
        <w:tc>
          <w:tcPr>
            <w:tcW w:w="1279"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0.048</w:t>
            </w:r>
          </w:p>
        </w:tc>
        <w:tc>
          <w:tcPr>
            <w:tcW w:w="1073"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0.051</w:t>
            </w:r>
          </w:p>
        </w:tc>
      </w:tr>
      <w:tr w:rsidR="00934C02" w:rsidRPr="00934C02" w:rsidTr="00934C02">
        <w:trPr>
          <w:trHeight w:val="375"/>
        </w:trPr>
        <w:tc>
          <w:tcPr>
            <w:tcW w:w="3423"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Alte activităţi</w:t>
            </w:r>
          </w:p>
        </w:tc>
        <w:tc>
          <w:tcPr>
            <w:tcW w:w="1288"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 xml:space="preserve">0 </w:t>
            </w:r>
          </w:p>
        </w:tc>
        <w:tc>
          <w:tcPr>
            <w:tcW w:w="127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0</w:t>
            </w:r>
          </w:p>
        </w:tc>
        <w:tc>
          <w:tcPr>
            <w:tcW w:w="127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hAnsi="Arial" w:cs="Arial"/>
                <w:color w:val="000000"/>
                <w:sz w:val="24"/>
                <w:szCs w:val="24"/>
              </w:rPr>
              <w:t>0.002</w:t>
            </w:r>
            <w:r w:rsidRPr="00934C02">
              <w:rPr>
                <w:rFonts w:ascii="Arial" w:eastAsia="SimSun" w:hAnsi="Arial" w:cs="Arial"/>
                <w:sz w:val="24"/>
                <w:szCs w:val="24"/>
              </w:rPr>
              <w:t xml:space="preserve"> </w:t>
            </w:r>
          </w:p>
        </w:tc>
        <w:tc>
          <w:tcPr>
            <w:tcW w:w="1279"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0.003</w:t>
            </w:r>
          </w:p>
        </w:tc>
        <w:tc>
          <w:tcPr>
            <w:tcW w:w="1073"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0.001</w:t>
            </w:r>
          </w:p>
        </w:tc>
      </w:tr>
      <w:tr w:rsidR="00934C02" w:rsidRPr="00934C02" w:rsidTr="00934C02">
        <w:trPr>
          <w:trHeight w:val="300"/>
        </w:trPr>
        <w:tc>
          <w:tcPr>
            <w:tcW w:w="3423"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TOTAL</w:t>
            </w:r>
          </w:p>
        </w:tc>
        <w:tc>
          <w:tcPr>
            <w:tcW w:w="1288"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15.61</w:t>
            </w:r>
          </w:p>
        </w:tc>
        <w:tc>
          <w:tcPr>
            <w:tcW w:w="1279"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17.005</w:t>
            </w:r>
          </w:p>
        </w:tc>
        <w:tc>
          <w:tcPr>
            <w:tcW w:w="127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spacing w:after="0" w:line="240" w:lineRule="auto"/>
              <w:rPr>
                <w:rFonts w:ascii="Arial" w:hAnsi="Arial" w:cs="Arial"/>
                <w:color w:val="000000"/>
                <w:sz w:val="24"/>
                <w:szCs w:val="24"/>
              </w:rPr>
            </w:pPr>
            <w:r w:rsidRPr="00934C02">
              <w:rPr>
                <w:rFonts w:ascii="Arial" w:hAnsi="Arial" w:cs="Arial"/>
                <w:color w:val="000000"/>
                <w:sz w:val="24"/>
                <w:szCs w:val="24"/>
              </w:rPr>
              <w:t>0,094</w:t>
            </w:r>
          </w:p>
        </w:tc>
        <w:tc>
          <w:tcPr>
            <w:tcW w:w="1279"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rPr>
                <w:rFonts w:ascii="Arial" w:eastAsia="SimSun" w:hAnsi="Arial" w:cs="Arial"/>
                <w:sz w:val="24"/>
                <w:szCs w:val="24"/>
              </w:rPr>
            </w:pPr>
            <w:r w:rsidRPr="00934C02">
              <w:rPr>
                <w:rFonts w:ascii="Arial" w:eastAsia="SimSun" w:hAnsi="Arial" w:cs="Arial"/>
                <w:sz w:val="24"/>
                <w:szCs w:val="24"/>
              </w:rPr>
              <w:t>0.107</w:t>
            </w:r>
          </w:p>
        </w:tc>
        <w:tc>
          <w:tcPr>
            <w:tcW w:w="1073"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spacing w:after="0" w:line="240" w:lineRule="auto"/>
              <w:rPr>
                <w:rFonts w:ascii="Arial" w:hAnsi="Arial" w:cs="Arial"/>
                <w:color w:val="000000"/>
                <w:sz w:val="24"/>
                <w:szCs w:val="24"/>
              </w:rPr>
            </w:pPr>
            <w:r w:rsidRPr="00934C02">
              <w:rPr>
                <w:rFonts w:ascii="Arial" w:hAnsi="Arial" w:cs="Arial"/>
                <w:color w:val="000000"/>
                <w:sz w:val="24"/>
                <w:szCs w:val="24"/>
              </w:rPr>
              <w:t>0.096</w:t>
            </w:r>
          </w:p>
        </w:tc>
      </w:tr>
    </w:tbl>
    <w:p w:rsidR="00934C02" w:rsidRPr="00934C02" w:rsidRDefault="00934C02" w:rsidP="00934C02">
      <w:pPr>
        <w:spacing w:after="0" w:line="240" w:lineRule="auto"/>
        <w:jc w:val="both"/>
        <w:rPr>
          <w:rFonts w:ascii="Arial" w:eastAsia="Times New Roman" w:hAnsi="Arial" w:cs="Arial"/>
          <w:i/>
          <w:sz w:val="20"/>
          <w:szCs w:val="20"/>
        </w:rPr>
      </w:pPr>
      <w:r w:rsidRPr="00934C02">
        <w:rPr>
          <w:rFonts w:ascii="Arial" w:eastAsia="Times New Roman" w:hAnsi="Arial" w:cs="Arial"/>
          <w:i/>
          <w:sz w:val="20"/>
          <w:szCs w:val="20"/>
        </w:rPr>
        <w:t>Sursa: APM Vaslui – aplicaţiile: MEDIUS şi SD (din SIM),cu date validate de ANPM</w:t>
      </w:r>
    </w:p>
    <w:p w:rsidR="00934C02" w:rsidRPr="00934C02" w:rsidRDefault="00934C02" w:rsidP="00934C02">
      <w:pPr>
        <w:spacing w:after="0" w:line="240" w:lineRule="auto"/>
        <w:rPr>
          <w:rFonts w:ascii="Times New Roman" w:eastAsia="Times New Roman" w:hAnsi="Times New Roman" w:cs="Times New Roman"/>
          <w:b/>
          <w:sz w:val="24"/>
          <w:szCs w:val="24"/>
          <w:lang w:val="ro-RO" w:eastAsia="pl-PL"/>
        </w:rPr>
      </w:pPr>
    </w:p>
    <w:p w:rsidR="00934C02" w:rsidRPr="00934C02" w:rsidRDefault="00934C02" w:rsidP="00934C02">
      <w:pPr>
        <w:spacing w:after="0" w:line="240" w:lineRule="auto"/>
        <w:jc w:val="both"/>
        <w:rPr>
          <w:rFonts w:ascii="Arial" w:hAnsi="Arial" w:cs="Arial"/>
          <w:sz w:val="24"/>
          <w:szCs w:val="24"/>
        </w:rPr>
      </w:pPr>
      <w:r w:rsidRPr="00934C02">
        <w:rPr>
          <w:rFonts w:ascii="Arial" w:hAnsi="Arial" w:cs="Arial"/>
          <w:color w:val="000000" w:themeColor="text1"/>
          <w:sz w:val="24"/>
          <w:szCs w:val="24"/>
          <w:lang w:val="ro-RO"/>
        </w:rPr>
        <w:t xml:space="preserve">Tabelul </w:t>
      </w:r>
      <w:r w:rsidRPr="00934C02">
        <w:rPr>
          <w:rFonts w:ascii="Arial" w:hAnsi="Arial" w:cs="Arial"/>
          <w:sz w:val="24"/>
          <w:szCs w:val="24"/>
        </w:rPr>
        <w:t xml:space="preserve">VII.31. </w:t>
      </w:r>
      <w:r w:rsidRPr="00934C02">
        <w:rPr>
          <w:rFonts w:ascii="Arial" w:hAnsi="Arial" w:cs="Arial"/>
          <w:color w:val="000000" w:themeColor="text1"/>
          <w:sz w:val="24"/>
          <w:szCs w:val="24"/>
          <w:lang w:val="ro-RO"/>
        </w:rPr>
        <w:t>Cantităţi de deşeuri de ambalaje preluate spre valorificare în perioada 2010-2014</w:t>
      </w:r>
    </w:p>
    <w:tbl>
      <w:tblPr>
        <w:tblW w:w="8227"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847"/>
        <w:gridCol w:w="1072"/>
        <w:gridCol w:w="1072"/>
        <w:gridCol w:w="1072"/>
        <w:gridCol w:w="1072"/>
        <w:gridCol w:w="1092"/>
      </w:tblGrid>
      <w:tr w:rsidR="00934C02" w:rsidRPr="00934C02" w:rsidTr="00934C02">
        <w:trPr>
          <w:trHeight w:val="564"/>
          <w:tblCellSpacing w:w="20" w:type="dxa"/>
          <w:jc w:val="center"/>
        </w:trPr>
        <w:tc>
          <w:tcPr>
            <w:tcW w:w="2910" w:type="dxa"/>
            <w:tcBorders>
              <w:top w:val="single" w:sz="4" w:space="0" w:color="auto"/>
              <w:left w:val="single" w:sz="4" w:space="0" w:color="auto"/>
              <w:bottom w:val="single" w:sz="4" w:space="0" w:color="auto"/>
              <w:right w:val="single" w:sz="4" w:space="0" w:color="auto"/>
              <w:tl2br w:val="inset" w:sz="6" w:space="0" w:color="auto"/>
            </w:tcBorders>
            <w:hideMark/>
          </w:tcPr>
          <w:p w:rsidR="00934C02" w:rsidRPr="00934C02" w:rsidRDefault="00934C02" w:rsidP="00934C02">
            <w:pPr>
              <w:widowControl w:val="0"/>
              <w:tabs>
                <w:tab w:val="center" w:pos="4680"/>
                <w:tab w:val="right" w:pos="9360"/>
              </w:tabs>
              <w:spacing w:after="0"/>
              <w:jc w:val="center"/>
              <w:rPr>
                <w:rFonts w:ascii="Arial" w:hAnsi="Arial" w:cs="Arial"/>
                <w:b/>
                <w:lang w:val="ro-RO"/>
              </w:rPr>
            </w:pPr>
            <w:r w:rsidRPr="00934C02">
              <w:rPr>
                <w:rFonts w:ascii="Arial" w:hAnsi="Arial" w:cs="Arial"/>
                <w:b/>
                <w:lang w:val="ro-RO"/>
              </w:rPr>
              <w:t xml:space="preserve">                       Anul</w:t>
            </w:r>
          </w:p>
          <w:p w:rsidR="00934C02" w:rsidRPr="00934C02" w:rsidRDefault="00934C02" w:rsidP="00934C02">
            <w:pPr>
              <w:widowControl w:val="0"/>
              <w:tabs>
                <w:tab w:val="center" w:pos="4680"/>
                <w:tab w:val="right" w:pos="9360"/>
              </w:tabs>
              <w:spacing w:after="0"/>
              <w:rPr>
                <w:rFonts w:ascii="Arial" w:hAnsi="Arial" w:cs="Arial"/>
                <w:b/>
                <w:lang w:val="ro-RO"/>
              </w:rPr>
            </w:pPr>
            <w:r w:rsidRPr="00934C02">
              <w:rPr>
                <w:rFonts w:ascii="Arial" w:hAnsi="Arial" w:cs="Arial"/>
                <w:b/>
                <w:lang w:val="ro-RO"/>
              </w:rPr>
              <w:t xml:space="preserve">    Material</w:t>
            </w:r>
          </w:p>
        </w:tc>
        <w:tc>
          <w:tcPr>
            <w:tcW w:w="1032"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widowControl w:val="0"/>
              <w:tabs>
                <w:tab w:val="center" w:pos="4680"/>
                <w:tab w:val="right" w:pos="9360"/>
              </w:tabs>
              <w:spacing w:after="0"/>
              <w:jc w:val="center"/>
              <w:rPr>
                <w:rFonts w:ascii="Arial" w:hAnsi="Arial" w:cs="Arial"/>
                <w:b/>
                <w:lang w:val="ro-RO"/>
              </w:rPr>
            </w:pPr>
          </w:p>
          <w:p w:rsidR="00934C02" w:rsidRPr="00934C02" w:rsidRDefault="00934C02" w:rsidP="00934C02">
            <w:pPr>
              <w:spacing w:after="0" w:line="240" w:lineRule="auto"/>
              <w:rPr>
                <w:rFonts w:ascii="Arial" w:hAnsi="Arial" w:cs="Arial"/>
                <w:b/>
              </w:rPr>
            </w:pPr>
            <w:r w:rsidRPr="00934C02">
              <w:rPr>
                <w:rFonts w:ascii="Arial" w:hAnsi="Arial" w:cs="Arial"/>
                <w:b/>
              </w:rPr>
              <w:t>2010</w:t>
            </w:r>
          </w:p>
        </w:tc>
        <w:tc>
          <w:tcPr>
            <w:tcW w:w="1032"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widowControl w:val="0"/>
              <w:tabs>
                <w:tab w:val="center" w:pos="4680"/>
                <w:tab w:val="right" w:pos="9360"/>
              </w:tabs>
              <w:spacing w:after="0"/>
              <w:jc w:val="center"/>
              <w:rPr>
                <w:rFonts w:ascii="Arial" w:hAnsi="Arial" w:cs="Arial"/>
                <w:b/>
                <w:lang w:val="ro-RO"/>
              </w:rPr>
            </w:pPr>
          </w:p>
          <w:p w:rsidR="00934C02" w:rsidRPr="00934C02" w:rsidRDefault="00934C02" w:rsidP="00934C02">
            <w:pPr>
              <w:widowControl w:val="0"/>
              <w:tabs>
                <w:tab w:val="center" w:pos="4680"/>
                <w:tab w:val="right" w:pos="9360"/>
              </w:tabs>
              <w:spacing w:after="0"/>
              <w:jc w:val="center"/>
              <w:rPr>
                <w:rFonts w:ascii="Arial" w:hAnsi="Arial" w:cs="Arial"/>
                <w:b/>
                <w:lang w:val="ro-RO"/>
              </w:rPr>
            </w:pPr>
            <w:r w:rsidRPr="00934C02">
              <w:rPr>
                <w:rFonts w:ascii="Arial" w:hAnsi="Arial" w:cs="Arial"/>
                <w:b/>
                <w:lang w:val="ro-RO"/>
              </w:rPr>
              <w:t>2011</w:t>
            </w:r>
          </w:p>
        </w:tc>
        <w:tc>
          <w:tcPr>
            <w:tcW w:w="1032"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widowControl w:val="0"/>
              <w:tabs>
                <w:tab w:val="center" w:pos="4680"/>
                <w:tab w:val="right" w:pos="9360"/>
              </w:tabs>
              <w:spacing w:after="0"/>
              <w:jc w:val="center"/>
              <w:rPr>
                <w:rFonts w:ascii="Arial" w:hAnsi="Arial" w:cs="Arial"/>
                <w:b/>
                <w:lang w:val="ro-RO"/>
              </w:rPr>
            </w:pPr>
          </w:p>
          <w:p w:rsidR="00934C02" w:rsidRPr="00934C02" w:rsidRDefault="00934C02" w:rsidP="00934C02">
            <w:pPr>
              <w:widowControl w:val="0"/>
              <w:tabs>
                <w:tab w:val="center" w:pos="4680"/>
                <w:tab w:val="right" w:pos="9360"/>
              </w:tabs>
              <w:spacing w:after="0"/>
              <w:jc w:val="center"/>
              <w:rPr>
                <w:rFonts w:ascii="Arial" w:hAnsi="Arial" w:cs="Arial"/>
                <w:b/>
                <w:lang w:val="ro-RO"/>
              </w:rPr>
            </w:pPr>
            <w:r w:rsidRPr="00934C02">
              <w:rPr>
                <w:rFonts w:ascii="Arial" w:hAnsi="Arial" w:cs="Arial"/>
                <w:b/>
                <w:lang w:val="ro-RO"/>
              </w:rPr>
              <w:t>2012</w:t>
            </w:r>
          </w:p>
        </w:tc>
        <w:tc>
          <w:tcPr>
            <w:tcW w:w="1032" w:type="dxa"/>
            <w:tcBorders>
              <w:top w:val="single" w:sz="4" w:space="0" w:color="auto"/>
              <w:left w:val="single" w:sz="4" w:space="0" w:color="auto"/>
              <w:bottom w:val="single" w:sz="4" w:space="0" w:color="auto"/>
              <w:right w:val="single" w:sz="4" w:space="0" w:color="auto"/>
            </w:tcBorders>
            <w:vAlign w:val="bottom"/>
            <w:hideMark/>
          </w:tcPr>
          <w:p w:rsidR="00934C02" w:rsidRPr="00934C02" w:rsidRDefault="00934C02" w:rsidP="00934C02">
            <w:pPr>
              <w:widowControl w:val="0"/>
              <w:tabs>
                <w:tab w:val="center" w:pos="4680"/>
                <w:tab w:val="right" w:pos="9360"/>
              </w:tabs>
              <w:spacing w:after="0"/>
              <w:jc w:val="center"/>
              <w:rPr>
                <w:rFonts w:ascii="Arial" w:hAnsi="Arial" w:cs="Arial"/>
                <w:b/>
                <w:lang w:val="ro-RO"/>
              </w:rPr>
            </w:pPr>
            <w:r w:rsidRPr="00934C02">
              <w:rPr>
                <w:rFonts w:ascii="Arial" w:hAnsi="Arial" w:cs="Arial"/>
                <w:b/>
                <w:lang w:val="ro-RO"/>
              </w:rPr>
              <w:t>2013</w:t>
            </w:r>
          </w:p>
        </w:tc>
        <w:tc>
          <w:tcPr>
            <w:tcW w:w="909" w:type="dxa"/>
            <w:tcBorders>
              <w:top w:val="single" w:sz="4" w:space="0" w:color="auto"/>
              <w:left w:val="single" w:sz="4" w:space="0" w:color="auto"/>
              <w:bottom w:val="single" w:sz="4" w:space="0" w:color="auto"/>
              <w:right w:val="single" w:sz="4" w:space="0" w:color="auto"/>
            </w:tcBorders>
            <w:vAlign w:val="bottom"/>
            <w:hideMark/>
          </w:tcPr>
          <w:p w:rsidR="00934C02" w:rsidRPr="00934C02" w:rsidRDefault="00934C02" w:rsidP="00934C02">
            <w:pPr>
              <w:widowControl w:val="0"/>
              <w:tabs>
                <w:tab w:val="center" w:pos="4680"/>
                <w:tab w:val="right" w:pos="9360"/>
              </w:tabs>
              <w:spacing w:after="0"/>
              <w:jc w:val="center"/>
              <w:rPr>
                <w:rFonts w:ascii="Arial" w:hAnsi="Arial" w:cs="Arial"/>
                <w:b/>
                <w:lang w:val="ro-RO"/>
              </w:rPr>
            </w:pPr>
            <w:r w:rsidRPr="00934C02">
              <w:rPr>
                <w:rFonts w:ascii="Arial" w:hAnsi="Arial" w:cs="Arial"/>
                <w:b/>
                <w:lang w:val="ro-RO"/>
              </w:rPr>
              <w:t>2014</w:t>
            </w:r>
          </w:p>
        </w:tc>
      </w:tr>
      <w:tr w:rsidR="00934C02" w:rsidRPr="00934C02" w:rsidTr="00934C02">
        <w:trPr>
          <w:trHeight w:val="275"/>
          <w:tblCellSpacing w:w="20" w:type="dxa"/>
          <w:jc w:val="center"/>
        </w:trPr>
        <w:tc>
          <w:tcPr>
            <w:tcW w:w="291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widowControl w:val="0"/>
              <w:tabs>
                <w:tab w:val="center" w:pos="4680"/>
                <w:tab w:val="right" w:pos="9360"/>
              </w:tabs>
              <w:spacing w:after="0"/>
              <w:jc w:val="center"/>
              <w:rPr>
                <w:rFonts w:ascii="Arial" w:hAnsi="Arial" w:cs="Arial"/>
                <w:b/>
                <w:lang w:val="ro-RO"/>
              </w:rPr>
            </w:pPr>
            <w:r w:rsidRPr="00934C02">
              <w:rPr>
                <w:rFonts w:ascii="Arial" w:hAnsi="Arial" w:cs="Arial"/>
                <w:b/>
                <w:lang w:val="ro-RO"/>
              </w:rPr>
              <w:t>Hartie/cartob\n</w:t>
            </w:r>
          </w:p>
        </w:tc>
        <w:tc>
          <w:tcPr>
            <w:tcW w:w="1032"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widowControl w:val="0"/>
              <w:tabs>
                <w:tab w:val="center" w:pos="4680"/>
                <w:tab w:val="right" w:pos="9360"/>
              </w:tabs>
              <w:spacing w:after="0"/>
              <w:jc w:val="center"/>
              <w:rPr>
                <w:rFonts w:ascii="Arial" w:hAnsi="Arial" w:cs="Arial"/>
                <w:lang w:val="ro-RO"/>
              </w:rPr>
            </w:pPr>
            <w:r w:rsidRPr="00934C02">
              <w:rPr>
                <w:rFonts w:ascii="Arial" w:hAnsi="Arial" w:cs="Arial"/>
                <w:lang w:val="ro-RO"/>
              </w:rPr>
              <w:t>155.238</w:t>
            </w:r>
          </w:p>
        </w:tc>
        <w:tc>
          <w:tcPr>
            <w:tcW w:w="1032"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widowControl w:val="0"/>
              <w:tabs>
                <w:tab w:val="center" w:pos="4680"/>
                <w:tab w:val="right" w:pos="9360"/>
              </w:tabs>
              <w:spacing w:after="0"/>
              <w:jc w:val="center"/>
              <w:rPr>
                <w:rFonts w:ascii="Arial" w:hAnsi="Arial" w:cs="Arial"/>
                <w:lang w:val="ro-RO"/>
              </w:rPr>
            </w:pPr>
            <w:r w:rsidRPr="00934C02">
              <w:rPr>
                <w:rFonts w:ascii="Arial" w:hAnsi="Arial" w:cs="Arial"/>
                <w:lang w:val="ro-RO"/>
              </w:rPr>
              <w:t>191.990</w:t>
            </w:r>
          </w:p>
        </w:tc>
        <w:tc>
          <w:tcPr>
            <w:tcW w:w="1032"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widowControl w:val="0"/>
              <w:tabs>
                <w:tab w:val="center" w:pos="4680"/>
                <w:tab w:val="right" w:pos="9360"/>
              </w:tabs>
              <w:spacing w:after="0"/>
              <w:jc w:val="center"/>
              <w:rPr>
                <w:rFonts w:ascii="Arial" w:hAnsi="Arial" w:cs="Arial"/>
                <w:lang w:val="ro-RO"/>
              </w:rPr>
            </w:pPr>
            <w:r w:rsidRPr="00934C02">
              <w:rPr>
                <w:rFonts w:ascii="Arial" w:hAnsi="Arial" w:cs="Arial"/>
                <w:lang w:val="ro-RO"/>
              </w:rPr>
              <w:t>211.698</w:t>
            </w:r>
          </w:p>
        </w:tc>
        <w:tc>
          <w:tcPr>
            <w:tcW w:w="1032"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widowControl w:val="0"/>
              <w:tabs>
                <w:tab w:val="center" w:pos="4680"/>
                <w:tab w:val="right" w:pos="9360"/>
              </w:tabs>
              <w:spacing w:after="0"/>
              <w:jc w:val="center"/>
              <w:rPr>
                <w:rFonts w:ascii="Arial" w:hAnsi="Arial" w:cs="Arial"/>
                <w:lang w:val="ro-RO"/>
              </w:rPr>
            </w:pPr>
            <w:r w:rsidRPr="00934C02">
              <w:rPr>
                <w:rFonts w:ascii="Arial" w:hAnsi="Arial" w:cs="Arial"/>
                <w:lang w:val="ro-RO"/>
              </w:rPr>
              <w:t>232,580</w:t>
            </w:r>
          </w:p>
        </w:tc>
        <w:tc>
          <w:tcPr>
            <w:tcW w:w="90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widowControl w:val="0"/>
              <w:tabs>
                <w:tab w:val="center" w:pos="4680"/>
                <w:tab w:val="right" w:pos="9360"/>
              </w:tabs>
              <w:spacing w:after="0"/>
              <w:jc w:val="center"/>
              <w:rPr>
                <w:rFonts w:ascii="Arial" w:hAnsi="Arial" w:cs="Arial"/>
                <w:lang w:val="ro-RO"/>
              </w:rPr>
            </w:pPr>
            <w:r w:rsidRPr="00934C02">
              <w:rPr>
                <w:rFonts w:ascii="Arial" w:hAnsi="Arial" w:cs="Arial"/>
                <w:lang w:val="ro-RO"/>
              </w:rPr>
              <w:t>323.767</w:t>
            </w:r>
          </w:p>
        </w:tc>
      </w:tr>
      <w:tr w:rsidR="00934C02" w:rsidRPr="00934C02" w:rsidTr="00934C02">
        <w:trPr>
          <w:trHeight w:val="290"/>
          <w:tblCellSpacing w:w="20" w:type="dxa"/>
          <w:jc w:val="center"/>
        </w:trPr>
        <w:tc>
          <w:tcPr>
            <w:tcW w:w="291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widowControl w:val="0"/>
              <w:tabs>
                <w:tab w:val="center" w:pos="4680"/>
                <w:tab w:val="right" w:pos="9360"/>
              </w:tabs>
              <w:spacing w:after="0"/>
              <w:jc w:val="center"/>
              <w:rPr>
                <w:rFonts w:ascii="Arial" w:hAnsi="Arial" w:cs="Arial"/>
                <w:b/>
                <w:lang w:val="ro-RO"/>
              </w:rPr>
            </w:pPr>
            <w:r w:rsidRPr="00934C02">
              <w:rPr>
                <w:rFonts w:ascii="Arial" w:hAnsi="Arial" w:cs="Arial"/>
                <w:b/>
                <w:lang w:val="ro-RO"/>
              </w:rPr>
              <w:t>Plastic</w:t>
            </w:r>
          </w:p>
        </w:tc>
        <w:tc>
          <w:tcPr>
            <w:tcW w:w="1032"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widowControl w:val="0"/>
              <w:tabs>
                <w:tab w:val="center" w:pos="4680"/>
                <w:tab w:val="right" w:pos="9360"/>
              </w:tabs>
              <w:spacing w:after="0"/>
              <w:jc w:val="center"/>
              <w:rPr>
                <w:rFonts w:ascii="Arial" w:hAnsi="Arial" w:cs="Arial"/>
                <w:lang w:val="ro-RO"/>
              </w:rPr>
            </w:pPr>
            <w:r w:rsidRPr="00934C02">
              <w:rPr>
                <w:rFonts w:ascii="Arial" w:hAnsi="Arial" w:cs="Arial"/>
                <w:lang w:val="ro-RO"/>
              </w:rPr>
              <w:t>79.391</w:t>
            </w:r>
          </w:p>
        </w:tc>
        <w:tc>
          <w:tcPr>
            <w:tcW w:w="1032"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widowControl w:val="0"/>
              <w:tabs>
                <w:tab w:val="center" w:pos="4680"/>
                <w:tab w:val="right" w:pos="9360"/>
              </w:tabs>
              <w:spacing w:after="0"/>
              <w:jc w:val="center"/>
              <w:rPr>
                <w:rFonts w:ascii="Arial" w:hAnsi="Arial" w:cs="Arial"/>
                <w:lang w:val="ro-RO"/>
              </w:rPr>
            </w:pPr>
            <w:r w:rsidRPr="00934C02">
              <w:rPr>
                <w:rFonts w:ascii="Arial" w:hAnsi="Arial" w:cs="Arial"/>
                <w:lang w:val="ro-RO"/>
              </w:rPr>
              <w:t>112.460</w:t>
            </w:r>
          </w:p>
        </w:tc>
        <w:tc>
          <w:tcPr>
            <w:tcW w:w="1032"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widowControl w:val="0"/>
              <w:tabs>
                <w:tab w:val="center" w:pos="4680"/>
                <w:tab w:val="right" w:pos="9360"/>
              </w:tabs>
              <w:spacing w:after="0"/>
              <w:jc w:val="center"/>
              <w:rPr>
                <w:rFonts w:ascii="Arial" w:hAnsi="Arial" w:cs="Arial"/>
                <w:lang w:val="ro-RO"/>
              </w:rPr>
            </w:pPr>
            <w:r w:rsidRPr="00934C02">
              <w:rPr>
                <w:rFonts w:ascii="Arial" w:hAnsi="Arial" w:cs="Arial"/>
                <w:lang w:val="ro-RO"/>
              </w:rPr>
              <w:t>152.852</w:t>
            </w:r>
          </w:p>
        </w:tc>
        <w:tc>
          <w:tcPr>
            <w:tcW w:w="1032"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widowControl w:val="0"/>
              <w:tabs>
                <w:tab w:val="center" w:pos="4680"/>
                <w:tab w:val="right" w:pos="9360"/>
              </w:tabs>
              <w:spacing w:after="0"/>
              <w:jc w:val="center"/>
              <w:rPr>
                <w:rFonts w:ascii="Arial" w:hAnsi="Arial" w:cs="Arial"/>
                <w:lang w:val="ro-RO"/>
              </w:rPr>
            </w:pPr>
            <w:r w:rsidRPr="00934C02">
              <w:rPr>
                <w:rFonts w:ascii="Arial" w:hAnsi="Arial" w:cs="Arial"/>
                <w:lang w:val="ro-RO"/>
              </w:rPr>
              <w:t>149.940</w:t>
            </w:r>
          </w:p>
        </w:tc>
        <w:tc>
          <w:tcPr>
            <w:tcW w:w="90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widowControl w:val="0"/>
              <w:tabs>
                <w:tab w:val="center" w:pos="4680"/>
                <w:tab w:val="right" w:pos="9360"/>
              </w:tabs>
              <w:spacing w:after="0"/>
              <w:jc w:val="center"/>
              <w:rPr>
                <w:rFonts w:ascii="Arial" w:hAnsi="Arial" w:cs="Arial"/>
                <w:lang w:val="ro-RO"/>
              </w:rPr>
            </w:pPr>
            <w:r w:rsidRPr="00934C02">
              <w:rPr>
                <w:rFonts w:ascii="Arial" w:hAnsi="Arial" w:cs="Arial"/>
                <w:lang w:val="ro-RO"/>
              </w:rPr>
              <w:t>166.279</w:t>
            </w:r>
          </w:p>
        </w:tc>
      </w:tr>
      <w:tr w:rsidR="00934C02" w:rsidRPr="00934C02" w:rsidTr="00934C02">
        <w:trPr>
          <w:trHeight w:val="290"/>
          <w:tblCellSpacing w:w="20" w:type="dxa"/>
          <w:jc w:val="center"/>
        </w:trPr>
        <w:tc>
          <w:tcPr>
            <w:tcW w:w="291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widowControl w:val="0"/>
              <w:tabs>
                <w:tab w:val="center" w:pos="4680"/>
                <w:tab w:val="right" w:pos="9360"/>
              </w:tabs>
              <w:spacing w:after="0"/>
              <w:jc w:val="center"/>
              <w:rPr>
                <w:rFonts w:ascii="Arial" w:hAnsi="Arial" w:cs="Arial"/>
                <w:b/>
                <w:lang w:val="ro-RO"/>
              </w:rPr>
            </w:pPr>
            <w:r w:rsidRPr="00934C02">
              <w:rPr>
                <w:rFonts w:ascii="Arial" w:hAnsi="Arial" w:cs="Arial"/>
                <w:b/>
                <w:lang w:val="ro-RO"/>
              </w:rPr>
              <w:t>Lemn</w:t>
            </w:r>
          </w:p>
        </w:tc>
        <w:tc>
          <w:tcPr>
            <w:tcW w:w="1032"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widowControl w:val="0"/>
              <w:tabs>
                <w:tab w:val="center" w:pos="4680"/>
                <w:tab w:val="right" w:pos="9360"/>
              </w:tabs>
              <w:spacing w:after="0"/>
              <w:jc w:val="center"/>
              <w:rPr>
                <w:rFonts w:ascii="Arial" w:hAnsi="Arial" w:cs="Arial"/>
                <w:lang w:val="ro-RO"/>
              </w:rPr>
            </w:pPr>
            <w:r w:rsidRPr="00934C02">
              <w:rPr>
                <w:rFonts w:ascii="Arial" w:hAnsi="Arial" w:cs="Arial"/>
                <w:lang w:val="ro-RO"/>
              </w:rPr>
              <w:t>38.451</w:t>
            </w:r>
          </w:p>
        </w:tc>
        <w:tc>
          <w:tcPr>
            <w:tcW w:w="1032"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widowControl w:val="0"/>
              <w:tabs>
                <w:tab w:val="center" w:pos="4680"/>
                <w:tab w:val="right" w:pos="9360"/>
              </w:tabs>
              <w:spacing w:after="0"/>
              <w:jc w:val="center"/>
              <w:rPr>
                <w:rFonts w:ascii="Arial" w:hAnsi="Arial" w:cs="Arial"/>
                <w:lang w:val="ro-RO"/>
              </w:rPr>
            </w:pPr>
            <w:r w:rsidRPr="00934C02">
              <w:rPr>
                <w:rFonts w:ascii="Arial" w:hAnsi="Arial" w:cs="Arial"/>
                <w:lang w:val="ro-RO"/>
              </w:rPr>
              <w:t>73.390</w:t>
            </w:r>
          </w:p>
        </w:tc>
        <w:tc>
          <w:tcPr>
            <w:tcW w:w="1032"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widowControl w:val="0"/>
              <w:tabs>
                <w:tab w:val="center" w:pos="4680"/>
                <w:tab w:val="right" w:pos="9360"/>
              </w:tabs>
              <w:spacing w:after="0"/>
              <w:jc w:val="center"/>
              <w:rPr>
                <w:rFonts w:ascii="Arial" w:hAnsi="Arial" w:cs="Arial"/>
                <w:lang w:val="ro-RO"/>
              </w:rPr>
            </w:pPr>
            <w:r w:rsidRPr="00934C02">
              <w:rPr>
                <w:rFonts w:ascii="Arial" w:hAnsi="Arial" w:cs="Arial"/>
                <w:lang w:val="ro-RO"/>
              </w:rPr>
              <w:t>98.660</w:t>
            </w:r>
          </w:p>
        </w:tc>
        <w:tc>
          <w:tcPr>
            <w:tcW w:w="1032"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widowControl w:val="0"/>
              <w:tabs>
                <w:tab w:val="center" w:pos="4680"/>
                <w:tab w:val="right" w:pos="9360"/>
              </w:tabs>
              <w:spacing w:after="0"/>
              <w:jc w:val="center"/>
              <w:rPr>
                <w:rFonts w:ascii="Arial" w:hAnsi="Arial" w:cs="Arial"/>
                <w:lang w:val="ro-RO"/>
              </w:rPr>
            </w:pPr>
            <w:r w:rsidRPr="00934C02">
              <w:rPr>
                <w:rFonts w:ascii="Arial" w:hAnsi="Arial" w:cs="Arial"/>
                <w:lang w:val="ro-RO"/>
              </w:rPr>
              <w:t>71.902</w:t>
            </w:r>
          </w:p>
        </w:tc>
        <w:tc>
          <w:tcPr>
            <w:tcW w:w="90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widowControl w:val="0"/>
              <w:tabs>
                <w:tab w:val="center" w:pos="4680"/>
                <w:tab w:val="right" w:pos="9360"/>
              </w:tabs>
              <w:spacing w:after="0"/>
              <w:jc w:val="center"/>
              <w:rPr>
                <w:rFonts w:ascii="Arial" w:hAnsi="Arial" w:cs="Arial"/>
                <w:lang w:val="ro-RO"/>
              </w:rPr>
            </w:pPr>
            <w:r w:rsidRPr="00934C02">
              <w:rPr>
                <w:rFonts w:ascii="Arial" w:hAnsi="Arial" w:cs="Arial"/>
                <w:lang w:val="ro-RO"/>
              </w:rPr>
              <w:t>77.111</w:t>
            </w:r>
          </w:p>
        </w:tc>
      </w:tr>
      <w:tr w:rsidR="00934C02" w:rsidRPr="00934C02" w:rsidTr="00934C02">
        <w:trPr>
          <w:trHeight w:val="290"/>
          <w:tblCellSpacing w:w="20" w:type="dxa"/>
          <w:jc w:val="center"/>
        </w:trPr>
        <w:tc>
          <w:tcPr>
            <w:tcW w:w="2910"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widowControl w:val="0"/>
              <w:tabs>
                <w:tab w:val="center" w:pos="4680"/>
                <w:tab w:val="right" w:pos="9360"/>
              </w:tabs>
              <w:spacing w:after="0"/>
              <w:jc w:val="center"/>
              <w:rPr>
                <w:rFonts w:ascii="Arial" w:hAnsi="Arial" w:cs="Arial"/>
                <w:b/>
                <w:lang w:val="ro-RO"/>
              </w:rPr>
            </w:pPr>
            <w:r w:rsidRPr="00934C02">
              <w:rPr>
                <w:rFonts w:ascii="Arial" w:hAnsi="Arial" w:cs="Arial"/>
                <w:b/>
                <w:lang w:val="ro-RO"/>
              </w:rPr>
              <w:t>Metale</w:t>
            </w:r>
          </w:p>
        </w:tc>
        <w:tc>
          <w:tcPr>
            <w:tcW w:w="1032"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widowControl w:val="0"/>
              <w:tabs>
                <w:tab w:val="center" w:pos="4680"/>
                <w:tab w:val="right" w:pos="9360"/>
              </w:tabs>
              <w:spacing w:after="0"/>
              <w:jc w:val="center"/>
              <w:rPr>
                <w:rFonts w:ascii="Arial" w:hAnsi="Arial" w:cs="Arial"/>
                <w:lang w:val="ro-RO"/>
              </w:rPr>
            </w:pPr>
            <w:r w:rsidRPr="00934C02">
              <w:rPr>
                <w:rFonts w:ascii="Arial" w:hAnsi="Arial" w:cs="Arial"/>
                <w:lang w:val="ro-RO"/>
              </w:rPr>
              <w:t>36.267</w:t>
            </w:r>
          </w:p>
        </w:tc>
        <w:tc>
          <w:tcPr>
            <w:tcW w:w="1032"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widowControl w:val="0"/>
              <w:tabs>
                <w:tab w:val="center" w:pos="4680"/>
                <w:tab w:val="right" w:pos="9360"/>
              </w:tabs>
              <w:spacing w:after="0"/>
              <w:jc w:val="center"/>
              <w:rPr>
                <w:rFonts w:ascii="Arial" w:hAnsi="Arial" w:cs="Arial"/>
                <w:lang w:val="ro-RO"/>
              </w:rPr>
            </w:pPr>
            <w:r w:rsidRPr="00934C02">
              <w:rPr>
                <w:rFonts w:ascii="Arial" w:hAnsi="Arial" w:cs="Arial"/>
                <w:lang w:val="ro-RO"/>
              </w:rPr>
              <w:t>34.410</w:t>
            </w:r>
          </w:p>
        </w:tc>
        <w:tc>
          <w:tcPr>
            <w:tcW w:w="1032"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widowControl w:val="0"/>
              <w:tabs>
                <w:tab w:val="center" w:pos="4680"/>
                <w:tab w:val="right" w:pos="9360"/>
              </w:tabs>
              <w:spacing w:after="0"/>
              <w:jc w:val="center"/>
              <w:rPr>
                <w:rFonts w:ascii="Arial" w:hAnsi="Arial" w:cs="Arial"/>
                <w:lang w:val="ro-RO"/>
              </w:rPr>
            </w:pPr>
            <w:r w:rsidRPr="00934C02">
              <w:rPr>
                <w:rFonts w:ascii="Arial" w:hAnsi="Arial" w:cs="Arial"/>
                <w:lang w:val="ro-RO"/>
              </w:rPr>
              <w:t>32.398</w:t>
            </w:r>
          </w:p>
        </w:tc>
        <w:tc>
          <w:tcPr>
            <w:tcW w:w="1032"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widowControl w:val="0"/>
              <w:tabs>
                <w:tab w:val="center" w:pos="4680"/>
                <w:tab w:val="right" w:pos="9360"/>
              </w:tabs>
              <w:spacing w:after="0"/>
              <w:jc w:val="center"/>
              <w:rPr>
                <w:rFonts w:ascii="Arial" w:hAnsi="Arial" w:cs="Arial"/>
                <w:lang w:val="ro-RO"/>
              </w:rPr>
            </w:pPr>
            <w:r w:rsidRPr="00934C02">
              <w:rPr>
                <w:rFonts w:ascii="Arial" w:hAnsi="Arial" w:cs="Arial"/>
                <w:lang w:val="ro-RO"/>
              </w:rPr>
              <w:t>28.723</w:t>
            </w:r>
          </w:p>
        </w:tc>
        <w:tc>
          <w:tcPr>
            <w:tcW w:w="90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widowControl w:val="0"/>
              <w:tabs>
                <w:tab w:val="center" w:pos="4680"/>
                <w:tab w:val="right" w:pos="9360"/>
              </w:tabs>
              <w:spacing w:after="0"/>
              <w:jc w:val="center"/>
              <w:rPr>
                <w:rFonts w:ascii="Arial" w:hAnsi="Arial" w:cs="Arial"/>
                <w:lang w:val="ro-RO"/>
              </w:rPr>
            </w:pPr>
            <w:r w:rsidRPr="00934C02">
              <w:rPr>
                <w:rFonts w:ascii="Arial" w:hAnsi="Arial" w:cs="Arial"/>
                <w:lang w:val="ro-RO"/>
              </w:rPr>
              <w:t>36.462</w:t>
            </w:r>
          </w:p>
        </w:tc>
      </w:tr>
      <w:tr w:rsidR="00934C02" w:rsidRPr="00934C02" w:rsidTr="00934C02">
        <w:trPr>
          <w:trHeight w:val="290"/>
          <w:tblCellSpacing w:w="20" w:type="dxa"/>
          <w:jc w:val="center"/>
        </w:trPr>
        <w:tc>
          <w:tcPr>
            <w:tcW w:w="2910" w:type="dxa"/>
            <w:tcBorders>
              <w:top w:val="single" w:sz="4" w:space="0" w:color="auto"/>
              <w:left w:val="single" w:sz="4" w:space="0" w:color="auto"/>
              <w:bottom w:val="single" w:sz="4" w:space="0" w:color="auto"/>
              <w:right w:val="single" w:sz="4" w:space="0" w:color="auto"/>
            </w:tcBorders>
            <w:vAlign w:val="center"/>
            <w:hideMark/>
          </w:tcPr>
          <w:p w:rsidR="00934C02" w:rsidRPr="00934C02" w:rsidRDefault="00934C02" w:rsidP="00934C02">
            <w:pPr>
              <w:widowControl w:val="0"/>
              <w:tabs>
                <w:tab w:val="center" w:pos="4680"/>
                <w:tab w:val="right" w:pos="9360"/>
              </w:tabs>
              <w:spacing w:after="0"/>
              <w:jc w:val="center"/>
              <w:rPr>
                <w:rFonts w:ascii="Arial" w:hAnsi="Arial" w:cs="Arial"/>
                <w:b/>
                <w:lang w:val="ro-RO"/>
              </w:rPr>
            </w:pPr>
            <w:r w:rsidRPr="00934C02">
              <w:rPr>
                <w:rFonts w:ascii="Arial" w:hAnsi="Arial" w:cs="Arial"/>
                <w:b/>
                <w:lang w:val="ro-RO"/>
              </w:rPr>
              <w:t xml:space="preserve">                              TOTAL</w:t>
            </w:r>
          </w:p>
        </w:tc>
        <w:tc>
          <w:tcPr>
            <w:tcW w:w="1032"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widowControl w:val="0"/>
              <w:tabs>
                <w:tab w:val="center" w:pos="4680"/>
                <w:tab w:val="right" w:pos="9360"/>
              </w:tabs>
              <w:spacing w:after="0"/>
              <w:jc w:val="center"/>
              <w:rPr>
                <w:rFonts w:ascii="Arial" w:hAnsi="Arial" w:cs="Arial"/>
                <w:lang w:val="ro-RO"/>
              </w:rPr>
            </w:pPr>
            <w:r w:rsidRPr="00934C02">
              <w:rPr>
                <w:rFonts w:ascii="Arial" w:hAnsi="Arial" w:cs="Arial"/>
                <w:lang w:val="ro-RO"/>
              </w:rPr>
              <w:t>309.347</w:t>
            </w:r>
          </w:p>
        </w:tc>
        <w:tc>
          <w:tcPr>
            <w:tcW w:w="1032"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widowControl w:val="0"/>
              <w:tabs>
                <w:tab w:val="center" w:pos="4680"/>
                <w:tab w:val="right" w:pos="9360"/>
              </w:tabs>
              <w:spacing w:after="0"/>
              <w:jc w:val="center"/>
              <w:rPr>
                <w:rFonts w:ascii="Arial" w:hAnsi="Arial" w:cs="Arial"/>
                <w:lang w:val="ro-RO"/>
              </w:rPr>
            </w:pPr>
            <w:r w:rsidRPr="00934C02">
              <w:rPr>
                <w:rFonts w:ascii="Arial" w:hAnsi="Arial" w:cs="Arial"/>
                <w:lang w:val="ro-RO"/>
              </w:rPr>
              <w:t>412.250</w:t>
            </w:r>
          </w:p>
        </w:tc>
        <w:tc>
          <w:tcPr>
            <w:tcW w:w="1032"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widowControl w:val="0"/>
              <w:tabs>
                <w:tab w:val="center" w:pos="4680"/>
                <w:tab w:val="right" w:pos="9360"/>
              </w:tabs>
              <w:spacing w:after="0"/>
              <w:jc w:val="center"/>
              <w:rPr>
                <w:rFonts w:ascii="Arial" w:hAnsi="Arial" w:cs="Arial"/>
                <w:lang w:val="ro-RO"/>
              </w:rPr>
            </w:pPr>
            <w:r w:rsidRPr="00934C02">
              <w:rPr>
                <w:rFonts w:ascii="Arial" w:hAnsi="Arial" w:cs="Arial"/>
                <w:lang w:val="ro-RO"/>
              </w:rPr>
              <w:t>495.608</w:t>
            </w:r>
          </w:p>
        </w:tc>
        <w:tc>
          <w:tcPr>
            <w:tcW w:w="1032" w:type="dxa"/>
            <w:tcBorders>
              <w:top w:val="single" w:sz="4" w:space="0" w:color="auto"/>
              <w:left w:val="single" w:sz="4" w:space="0" w:color="auto"/>
              <w:bottom w:val="single" w:sz="4" w:space="0" w:color="auto"/>
              <w:right w:val="single" w:sz="4" w:space="0" w:color="auto"/>
            </w:tcBorders>
          </w:tcPr>
          <w:p w:rsidR="00934C02" w:rsidRPr="00934C02" w:rsidRDefault="00934C02" w:rsidP="00934C02">
            <w:pPr>
              <w:widowControl w:val="0"/>
              <w:tabs>
                <w:tab w:val="center" w:pos="4680"/>
                <w:tab w:val="right" w:pos="9360"/>
              </w:tabs>
              <w:spacing w:after="0"/>
              <w:jc w:val="center"/>
              <w:rPr>
                <w:rFonts w:ascii="Arial" w:hAnsi="Arial" w:cs="Arial"/>
                <w:lang w:val="ro-RO"/>
              </w:rPr>
            </w:pPr>
            <w:r w:rsidRPr="00934C02">
              <w:rPr>
                <w:rFonts w:ascii="Arial" w:hAnsi="Arial" w:cs="Arial"/>
                <w:lang w:val="ro-RO"/>
              </w:rPr>
              <w:t>483.145</w:t>
            </w:r>
          </w:p>
        </w:tc>
        <w:tc>
          <w:tcPr>
            <w:tcW w:w="909" w:type="dxa"/>
            <w:tcBorders>
              <w:top w:val="single" w:sz="4" w:space="0" w:color="auto"/>
              <w:left w:val="single" w:sz="4" w:space="0" w:color="auto"/>
              <w:bottom w:val="single" w:sz="4" w:space="0" w:color="auto"/>
              <w:right w:val="single" w:sz="4" w:space="0" w:color="auto"/>
            </w:tcBorders>
            <w:hideMark/>
          </w:tcPr>
          <w:p w:rsidR="00934C02" w:rsidRPr="00934C02" w:rsidRDefault="00934C02" w:rsidP="00934C02">
            <w:pPr>
              <w:widowControl w:val="0"/>
              <w:tabs>
                <w:tab w:val="center" w:pos="4680"/>
                <w:tab w:val="right" w:pos="9360"/>
              </w:tabs>
              <w:spacing w:after="0"/>
              <w:jc w:val="center"/>
              <w:rPr>
                <w:rFonts w:ascii="Arial" w:hAnsi="Arial" w:cs="Arial"/>
                <w:lang w:val="ro-RO"/>
              </w:rPr>
            </w:pPr>
            <w:r w:rsidRPr="00934C02">
              <w:rPr>
                <w:rFonts w:ascii="Arial" w:hAnsi="Arial" w:cs="Arial"/>
                <w:lang w:val="ro-RO"/>
              </w:rPr>
              <w:t>603.619</w:t>
            </w:r>
          </w:p>
        </w:tc>
      </w:tr>
    </w:tbl>
    <w:p w:rsidR="00934C02" w:rsidRPr="00934C02" w:rsidRDefault="00934C02" w:rsidP="00934C02">
      <w:pPr>
        <w:rPr>
          <w:rFonts w:ascii="Arial" w:hAnsi="Arial" w:cs="Arial"/>
          <w:color w:val="000000" w:themeColor="text1"/>
          <w:sz w:val="24"/>
          <w:szCs w:val="24"/>
          <w:lang w:val="ro-RO"/>
        </w:rPr>
      </w:pPr>
    </w:p>
    <w:p w:rsidR="00934C02" w:rsidRPr="00934C02" w:rsidRDefault="00934C02" w:rsidP="00934C02">
      <w:pPr>
        <w:spacing w:after="0" w:line="240" w:lineRule="auto"/>
        <w:rPr>
          <w:rFonts w:ascii="Arial" w:hAnsi="Arial" w:cs="Arial"/>
          <w:color w:val="000000" w:themeColor="text1"/>
          <w:sz w:val="24"/>
          <w:szCs w:val="24"/>
          <w:lang w:val="ro-RO"/>
        </w:rPr>
      </w:pPr>
      <w:r w:rsidRPr="00934C02">
        <w:rPr>
          <w:noProof/>
        </w:rPr>
        <w:drawing>
          <wp:inline distT="0" distB="0" distL="0" distR="0" wp14:anchorId="213A9629" wp14:editId="5F9F5FCF">
            <wp:extent cx="5649595" cy="2013585"/>
            <wp:effectExtent l="0" t="0" r="27305" b="24765"/>
            <wp:docPr id="257" name="Chart 2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934C02" w:rsidRPr="00934C02" w:rsidRDefault="00934C02" w:rsidP="00934C02">
      <w:pPr>
        <w:spacing w:after="0" w:line="240" w:lineRule="auto"/>
        <w:rPr>
          <w:rFonts w:ascii="Arial" w:hAnsi="Arial" w:cs="Arial"/>
          <w:color w:val="000000" w:themeColor="text1"/>
          <w:sz w:val="24"/>
          <w:szCs w:val="24"/>
          <w:lang w:val="ro-RO"/>
        </w:rPr>
      </w:pPr>
      <w:r w:rsidRPr="00934C02">
        <w:rPr>
          <w:rFonts w:ascii="Arial" w:hAnsi="Arial" w:cs="Arial"/>
          <w:color w:val="000000" w:themeColor="text1"/>
          <w:sz w:val="24"/>
          <w:szCs w:val="24"/>
          <w:lang w:val="ro-RO"/>
        </w:rPr>
        <w:t xml:space="preserve">Figura </w:t>
      </w:r>
      <w:r w:rsidRPr="00934C02">
        <w:rPr>
          <w:rFonts w:ascii="Arial" w:hAnsi="Arial" w:cs="Arial"/>
          <w:sz w:val="24"/>
          <w:szCs w:val="24"/>
        </w:rPr>
        <w:t xml:space="preserve">VII.21.  Evoluţia  cantităţii de deşeuri de ambalaje preluate spre valorificare </w:t>
      </w:r>
      <w:r w:rsidRPr="00934C02">
        <w:rPr>
          <w:rFonts w:ascii="Arial" w:hAnsi="Arial" w:cs="Arial"/>
          <w:color w:val="000000" w:themeColor="text1"/>
          <w:sz w:val="24"/>
          <w:szCs w:val="24"/>
          <w:lang w:val="ro-RO"/>
        </w:rPr>
        <w:t>în perioada 2010-2014</w:t>
      </w:r>
    </w:p>
    <w:p w:rsidR="00934C02" w:rsidRPr="00934C02" w:rsidRDefault="00934C02" w:rsidP="00934C02">
      <w:pPr>
        <w:spacing w:after="0" w:line="240" w:lineRule="auto"/>
        <w:rPr>
          <w:rFonts w:ascii="Arial" w:hAnsi="Arial" w:cs="Arial"/>
          <w:color w:val="000000" w:themeColor="text1"/>
          <w:sz w:val="24"/>
          <w:szCs w:val="24"/>
          <w:lang w:val="ro-RO"/>
        </w:rPr>
      </w:pPr>
    </w:p>
    <w:p w:rsidR="00934C02" w:rsidRPr="00934C02" w:rsidRDefault="00934C02" w:rsidP="00934C02">
      <w:pPr>
        <w:autoSpaceDE w:val="0"/>
        <w:autoSpaceDN w:val="0"/>
        <w:adjustRightInd w:val="0"/>
        <w:spacing w:after="0" w:line="240" w:lineRule="auto"/>
        <w:rPr>
          <w:rFonts w:ascii="Arial" w:eastAsia="SimSun" w:hAnsi="Arial" w:cs="Arial"/>
          <w:sz w:val="24"/>
          <w:szCs w:val="24"/>
        </w:rPr>
      </w:pPr>
      <w:r w:rsidRPr="00934C02">
        <w:rPr>
          <w:rFonts w:ascii="Arial" w:eastAsia="SimSun" w:hAnsi="Arial" w:cs="Arial"/>
          <w:sz w:val="24"/>
          <w:szCs w:val="24"/>
        </w:rPr>
        <w:t xml:space="preserve"> Tabelul VII.32. Evoluția țintei de colectate a DEEE/kg locuitor/an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1"/>
        <w:gridCol w:w="1367"/>
        <w:gridCol w:w="1587"/>
        <w:gridCol w:w="1587"/>
        <w:gridCol w:w="1588"/>
        <w:gridCol w:w="1051"/>
      </w:tblGrid>
      <w:tr w:rsidR="00934C02" w:rsidRPr="00934C02" w:rsidTr="00934C02">
        <w:tc>
          <w:tcPr>
            <w:tcW w:w="1751" w:type="dxa"/>
            <w:shd w:val="clear" w:color="auto" w:fill="auto"/>
          </w:tcPr>
          <w:p w:rsidR="00934C02" w:rsidRPr="00934C02" w:rsidRDefault="00934C02" w:rsidP="00934C02">
            <w:pPr>
              <w:spacing w:after="0" w:line="240" w:lineRule="auto"/>
              <w:jc w:val="both"/>
              <w:rPr>
                <w:rFonts w:ascii="Arial" w:eastAsia="SimSun" w:hAnsi="Arial" w:cs="Arial"/>
                <w:sz w:val="24"/>
                <w:szCs w:val="24"/>
                <w:lang w:eastAsia="ro-RO"/>
              </w:rPr>
            </w:pPr>
            <w:r w:rsidRPr="00934C02">
              <w:rPr>
                <w:rFonts w:ascii="Arial" w:eastAsia="SimSun" w:hAnsi="Arial" w:cs="Arial"/>
                <w:sz w:val="24"/>
                <w:szCs w:val="24"/>
                <w:lang w:eastAsia="ro-RO"/>
              </w:rPr>
              <w:t>Anul</w:t>
            </w:r>
          </w:p>
        </w:tc>
        <w:tc>
          <w:tcPr>
            <w:tcW w:w="1367" w:type="dxa"/>
            <w:shd w:val="clear" w:color="auto" w:fill="auto"/>
          </w:tcPr>
          <w:p w:rsidR="00934C02" w:rsidRPr="00934C02" w:rsidRDefault="00934C02" w:rsidP="00934C02">
            <w:pPr>
              <w:spacing w:after="0" w:line="240" w:lineRule="auto"/>
              <w:jc w:val="both"/>
              <w:rPr>
                <w:rFonts w:ascii="Arial" w:eastAsia="SimSun" w:hAnsi="Arial" w:cs="Arial"/>
                <w:sz w:val="24"/>
                <w:szCs w:val="24"/>
                <w:lang w:eastAsia="ro-RO"/>
              </w:rPr>
            </w:pPr>
            <w:r w:rsidRPr="00934C02">
              <w:rPr>
                <w:rFonts w:ascii="Arial" w:eastAsia="SimSun" w:hAnsi="Arial" w:cs="Arial"/>
                <w:sz w:val="24"/>
                <w:szCs w:val="24"/>
                <w:lang w:eastAsia="ro-RO"/>
              </w:rPr>
              <w:t>2010</w:t>
            </w:r>
          </w:p>
        </w:tc>
        <w:tc>
          <w:tcPr>
            <w:tcW w:w="1587" w:type="dxa"/>
            <w:shd w:val="clear" w:color="auto" w:fill="auto"/>
          </w:tcPr>
          <w:p w:rsidR="00934C02" w:rsidRPr="00934C02" w:rsidRDefault="00934C02" w:rsidP="00934C02">
            <w:pPr>
              <w:spacing w:after="0" w:line="240" w:lineRule="auto"/>
              <w:jc w:val="both"/>
              <w:rPr>
                <w:rFonts w:ascii="Arial" w:eastAsia="SimSun" w:hAnsi="Arial" w:cs="Arial"/>
                <w:sz w:val="24"/>
                <w:szCs w:val="24"/>
                <w:lang w:eastAsia="ro-RO"/>
              </w:rPr>
            </w:pPr>
            <w:r w:rsidRPr="00934C02">
              <w:rPr>
                <w:rFonts w:ascii="Arial" w:eastAsia="SimSun" w:hAnsi="Arial" w:cs="Arial"/>
                <w:sz w:val="24"/>
                <w:szCs w:val="24"/>
                <w:lang w:eastAsia="ro-RO"/>
              </w:rPr>
              <w:t>2011</w:t>
            </w:r>
          </w:p>
        </w:tc>
        <w:tc>
          <w:tcPr>
            <w:tcW w:w="1587" w:type="dxa"/>
            <w:shd w:val="clear" w:color="auto" w:fill="auto"/>
          </w:tcPr>
          <w:p w:rsidR="00934C02" w:rsidRPr="00934C02" w:rsidRDefault="00934C02" w:rsidP="00934C02">
            <w:pPr>
              <w:spacing w:after="0" w:line="240" w:lineRule="auto"/>
              <w:jc w:val="both"/>
              <w:rPr>
                <w:rFonts w:ascii="Arial" w:eastAsia="SimSun" w:hAnsi="Arial" w:cs="Arial"/>
                <w:sz w:val="24"/>
                <w:szCs w:val="24"/>
                <w:lang w:eastAsia="ro-RO"/>
              </w:rPr>
            </w:pPr>
            <w:r w:rsidRPr="00934C02">
              <w:rPr>
                <w:rFonts w:ascii="Arial" w:eastAsia="SimSun" w:hAnsi="Arial" w:cs="Arial"/>
                <w:sz w:val="24"/>
                <w:szCs w:val="24"/>
                <w:lang w:eastAsia="ro-RO"/>
              </w:rPr>
              <w:t>2012</w:t>
            </w:r>
          </w:p>
        </w:tc>
        <w:tc>
          <w:tcPr>
            <w:tcW w:w="1588" w:type="dxa"/>
            <w:shd w:val="clear" w:color="auto" w:fill="auto"/>
          </w:tcPr>
          <w:p w:rsidR="00934C02" w:rsidRPr="00934C02" w:rsidRDefault="00934C02" w:rsidP="00934C02">
            <w:pPr>
              <w:spacing w:after="0" w:line="240" w:lineRule="auto"/>
              <w:jc w:val="both"/>
              <w:rPr>
                <w:rFonts w:ascii="Arial" w:eastAsia="SimSun" w:hAnsi="Arial" w:cs="Arial"/>
                <w:sz w:val="24"/>
                <w:szCs w:val="24"/>
                <w:lang w:eastAsia="ro-RO"/>
              </w:rPr>
            </w:pPr>
            <w:r w:rsidRPr="00934C02">
              <w:rPr>
                <w:rFonts w:ascii="Arial" w:eastAsia="SimSun" w:hAnsi="Arial" w:cs="Arial"/>
                <w:sz w:val="24"/>
                <w:szCs w:val="24"/>
                <w:lang w:eastAsia="ro-RO"/>
              </w:rPr>
              <w:t>2013</w:t>
            </w:r>
          </w:p>
        </w:tc>
        <w:tc>
          <w:tcPr>
            <w:tcW w:w="1051" w:type="dxa"/>
            <w:shd w:val="clear" w:color="auto" w:fill="auto"/>
          </w:tcPr>
          <w:p w:rsidR="00934C02" w:rsidRPr="00934C02" w:rsidRDefault="00934C02" w:rsidP="00934C02">
            <w:pPr>
              <w:spacing w:after="0" w:line="240" w:lineRule="auto"/>
              <w:jc w:val="both"/>
              <w:rPr>
                <w:rFonts w:ascii="Arial" w:eastAsia="SimSun" w:hAnsi="Arial" w:cs="Arial"/>
                <w:sz w:val="24"/>
                <w:szCs w:val="24"/>
                <w:lang w:eastAsia="ro-RO"/>
              </w:rPr>
            </w:pPr>
            <w:r w:rsidRPr="00934C02">
              <w:rPr>
                <w:rFonts w:ascii="Arial" w:eastAsia="SimSun" w:hAnsi="Arial" w:cs="Arial"/>
                <w:sz w:val="24"/>
                <w:szCs w:val="24"/>
                <w:lang w:eastAsia="ro-RO"/>
              </w:rPr>
              <w:t>2014</w:t>
            </w:r>
          </w:p>
        </w:tc>
      </w:tr>
      <w:tr w:rsidR="00934C02" w:rsidRPr="00934C02" w:rsidTr="00934C02">
        <w:tc>
          <w:tcPr>
            <w:tcW w:w="1751" w:type="dxa"/>
            <w:shd w:val="clear" w:color="auto" w:fill="auto"/>
          </w:tcPr>
          <w:p w:rsidR="00934C02" w:rsidRPr="00934C02" w:rsidRDefault="00934C02" w:rsidP="00934C02">
            <w:pPr>
              <w:spacing w:after="0" w:line="240" w:lineRule="auto"/>
              <w:jc w:val="both"/>
              <w:rPr>
                <w:rFonts w:ascii="Arial" w:eastAsia="SimSun" w:hAnsi="Arial" w:cs="Arial"/>
                <w:sz w:val="24"/>
                <w:szCs w:val="24"/>
                <w:lang w:eastAsia="ro-RO"/>
              </w:rPr>
            </w:pPr>
            <w:r w:rsidRPr="00934C02">
              <w:rPr>
                <w:rFonts w:ascii="Arial" w:eastAsia="SimSun" w:hAnsi="Arial" w:cs="Arial"/>
                <w:sz w:val="24"/>
                <w:szCs w:val="24"/>
                <w:lang w:eastAsia="ro-RO"/>
              </w:rPr>
              <w:t>Ținta realizata</w:t>
            </w:r>
          </w:p>
        </w:tc>
        <w:tc>
          <w:tcPr>
            <w:tcW w:w="1367" w:type="dxa"/>
            <w:shd w:val="clear" w:color="auto" w:fill="auto"/>
          </w:tcPr>
          <w:p w:rsidR="00934C02" w:rsidRPr="00934C02" w:rsidRDefault="00934C02" w:rsidP="00934C02">
            <w:pPr>
              <w:spacing w:after="0" w:line="240" w:lineRule="auto"/>
              <w:jc w:val="both"/>
              <w:rPr>
                <w:rFonts w:ascii="Arial" w:eastAsia="SimSun" w:hAnsi="Arial" w:cs="Arial"/>
                <w:sz w:val="24"/>
                <w:szCs w:val="24"/>
                <w:lang w:eastAsia="ro-RO"/>
              </w:rPr>
            </w:pPr>
            <w:r w:rsidRPr="00934C02">
              <w:rPr>
                <w:rFonts w:ascii="Arial" w:eastAsia="SimSun" w:hAnsi="Arial" w:cs="Arial"/>
                <w:sz w:val="24"/>
                <w:szCs w:val="24"/>
                <w:lang w:eastAsia="ro-RO"/>
              </w:rPr>
              <w:t>0.099</w:t>
            </w:r>
          </w:p>
        </w:tc>
        <w:tc>
          <w:tcPr>
            <w:tcW w:w="1587" w:type="dxa"/>
            <w:shd w:val="clear" w:color="auto" w:fill="auto"/>
          </w:tcPr>
          <w:p w:rsidR="00934C02" w:rsidRPr="00934C02" w:rsidRDefault="00934C02" w:rsidP="00934C02">
            <w:pPr>
              <w:spacing w:after="0" w:line="240" w:lineRule="auto"/>
              <w:jc w:val="both"/>
              <w:rPr>
                <w:rFonts w:ascii="Arial" w:eastAsia="SimSun" w:hAnsi="Arial" w:cs="Arial"/>
                <w:sz w:val="24"/>
                <w:szCs w:val="24"/>
                <w:lang w:eastAsia="ro-RO"/>
              </w:rPr>
            </w:pPr>
            <w:r w:rsidRPr="00934C02">
              <w:rPr>
                <w:rFonts w:ascii="Arial" w:eastAsia="SimSun" w:hAnsi="Arial" w:cs="Arial"/>
                <w:sz w:val="24"/>
                <w:szCs w:val="24"/>
                <w:lang w:eastAsia="ro-RO"/>
              </w:rPr>
              <w:t>0.177</w:t>
            </w:r>
          </w:p>
        </w:tc>
        <w:tc>
          <w:tcPr>
            <w:tcW w:w="1587" w:type="dxa"/>
            <w:shd w:val="clear" w:color="auto" w:fill="auto"/>
          </w:tcPr>
          <w:p w:rsidR="00934C02" w:rsidRPr="00934C02" w:rsidRDefault="00934C02" w:rsidP="00934C02">
            <w:pPr>
              <w:spacing w:after="0" w:line="240" w:lineRule="auto"/>
              <w:jc w:val="both"/>
              <w:rPr>
                <w:rFonts w:ascii="Arial" w:eastAsia="SimSun" w:hAnsi="Arial" w:cs="Arial"/>
                <w:sz w:val="24"/>
                <w:szCs w:val="24"/>
                <w:lang w:eastAsia="ro-RO"/>
              </w:rPr>
            </w:pPr>
            <w:r w:rsidRPr="00934C02">
              <w:rPr>
                <w:rFonts w:ascii="Arial" w:eastAsia="SimSun" w:hAnsi="Arial" w:cs="Arial"/>
                <w:sz w:val="24"/>
                <w:szCs w:val="24"/>
                <w:lang w:eastAsia="ro-RO"/>
              </w:rPr>
              <w:t>0.258</w:t>
            </w:r>
          </w:p>
        </w:tc>
        <w:tc>
          <w:tcPr>
            <w:tcW w:w="1588" w:type="dxa"/>
            <w:shd w:val="clear" w:color="auto" w:fill="auto"/>
          </w:tcPr>
          <w:p w:rsidR="00934C02" w:rsidRPr="00934C02" w:rsidRDefault="00934C02" w:rsidP="00934C02">
            <w:pPr>
              <w:spacing w:after="0" w:line="240" w:lineRule="auto"/>
              <w:jc w:val="both"/>
              <w:rPr>
                <w:rFonts w:ascii="Arial" w:eastAsia="SimSun" w:hAnsi="Arial" w:cs="Arial"/>
                <w:sz w:val="24"/>
                <w:szCs w:val="24"/>
                <w:lang w:eastAsia="ro-RO"/>
              </w:rPr>
            </w:pPr>
            <w:r w:rsidRPr="00934C02">
              <w:rPr>
                <w:rFonts w:ascii="Arial" w:eastAsia="SimSun" w:hAnsi="Arial" w:cs="Arial"/>
                <w:sz w:val="24"/>
                <w:szCs w:val="24"/>
                <w:lang w:eastAsia="ro-RO"/>
              </w:rPr>
              <w:t>0.401</w:t>
            </w:r>
          </w:p>
        </w:tc>
        <w:tc>
          <w:tcPr>
            <w:tcW w:w="1051" w:type="dxa"/>
            <w:shd w:val="clear" w:color="auto" w:fill="auto"/>
          </w:tcPr>
          <w:p w:rsidR="00934C02" w:rsidRPr="00934C02" w:rsidRDefault="00934C02" w:rsidP="00934C02">
            <w:pPr>
              <w:spacing w:after="0" w:line="240" w:lineRule="auto"/>
              <w:jc w:val="both"/>
              <w:rPr>
                <w:rFonts w:ascii="Arial" w:eastAsia="SimSun" w:hAnsi="Arial" w:cs="Arial"/>
                <w:sz w:val="24"/>
                <w:szCs w:val="24"/>
                <w:lang w:eastAsia="ro-RO"/>
              </w:rPr>
            </w:pPr>
            <w:r w:rsidRPr="00934C02">
              <w:rPr>
                <w:rFonts w:ascii="Arial" w:eastAsia="SimSun" w:hAnsi="Arial" w:cs="Arial"/>
                <w:sz w:val="24"/>
                <w:szCs w:val="24"/>
                <w:lang w:eastAsia="ro-RO"/>
              </w:rPr>
              <w:t>0.465</w:t>
            </w:r>
          </w:p>
        </w:tc>
      </w:tr>
      <w:tr w:rsidR="00934C02" w:rsidRPr="00934C02" w:rsidTr="00934C02">
        <w:tc>
          <w:tcPr>
            <w:tcW w:w="1751" w:type="dxa"/>
            <w:shd w:val="clear" w:color="auto" w:fill="auto"/>
          </w:tcPr>
          <w:p w:rsidR="00934C02" w:rsidRPr="00934C02" w:rsidRDefault="00934C02" w:rsidP="00934C02">
            <w:pPr>
              <w:spacing w:after="0" w:line="240" w:lineRule="auto"/>
              <w:jc w:val="both"/>
              <w:rPr>
                <w:rFonts w:ascii="Arial" w:eastAsia="SimSun" w:hAnsi="Arial" w:cs="Arial"/>
                <w:sz w:val="24"/>
                <w:szCs w:val="24"/>
                <w:lang w:eastAsia="ro-RO"/>
              </w:rPr>
            </w:pPr>
            <w:r w:rsidRPr="00934C02">
              <w:rPr>
                <w:rFonts w:ascii="Arial" w:eastAsia="SimSun" w:hAnsi="Arial" w:cs="Arial"/>
                <w:sz w:val="24"/>
                <w:szCs w:val="24"/>
                <w:lang w:eastAsia="ro-RO"/>
              </w:rPr>
              <w:t>Ținta impusa</w:t>
            </w:r>
          </w:p>
        </w:tc>
        <w:tc>
          <w:tcPr>
            <w:tcW w:w="1367" w:type="dxa"/>
            <w:shd w:val="clear" w:color="auto" w:fill="auto"/>
          </w:tcPr>
          <w:p w:rsidR="00934C02" w:rsidRPr="00934C02" w:rsidRDefault="00934C02" w:rsidP="00934C02">
            <w:pPr>
              <w:spacing w:after="0" w:line="240" w:lineRule="auto"/>
              <w:jc w:val="both"/>
              <w:rPr>
                <w:rFonts w:ascii="Arial" w:eastAsia="SimSun" w:hAnsi="Arial" w:cs="Arial"/>
                <w:sz w:val="24"/>
                <w:szCs w:val="24"/>
                <w:lang w:eastAsia="ro-RO"/>
              </w:rPr>
            </w:pPr>
            <w:r w:rsidRPr="00934C02">
              <w:rPr>
                <w:rFonts w:ascii="Arial" w:eastAsia="SimSun" w:hAnsi="Arial" w:cs="Arial"/>
                <w:sz w:val="24"/>
                <w:szCs w:val="24"/>
                <w:lang w:eastAsia="ro-RO"/>
              </w:rPr>
              <w:t>4.0</w:t>
            </w:r>
          </w:p>
        </w:tc>
        <w:tc>
          <w:tcPr>
            <w:tcW w:w="1587" w:type="dxa"/>
            <w:shd w:val="clear" w:color="auto" w:fill="auto"/>
          </w:tcPr>
          <w:p w:rsidR="00934C02" w:rsidRPr="00934C02" w:rsidRDefault="00934C02" w:rsidP="00934C02">
            <w:pPr>
              <w:spacing w:after="0" w:line="240" w:lineRule="auto"/>
              <w:jc w:val="both"/>
              <w:rPr>
                <w:rFonts w:ascii="Arial" w:eastAsia="Times New Roman" w:hAnsi="Arial" w:cs="Arial"/>
                <w:sz w:val="24"/>
                <w:szCs w:val="24"/>
                <w:lang w:eastAsia="ro-RO"/>
              </w:rPr>
            </w:pPr>
            <w:r w:rsidRPr="00934C02">
              <w:rPr>
                <w:rFonts w:ascii="Arial" w:eastAsia="SimSun" w:hAnsi="Arial" w:cs="Arial"/>
                <w:sz w:val="24"/>
                <w:szCs w:val="24"/>
                <w:lang w:eastAsia="ro-RO"/>
              </w:rPr>
              <w:t>4.0</w:t>
            </w:r>
          </w:p>
        </w:tc>
        <w:tc>
          <w:tcPr>
            <w:tcW w:w="1587" w:type="dxa"/>
            <w:shd w:val="clear" w:color="auto" w:fill="auto"/>
          </w:tcPr>
          <w:p w:rsidR="00934C02" w:rsidRPr="00934C02" w:rsidRDefault="00934C02" w:rsidP="00934C02">
            <w:pPr>
              <w:spacing w:after="0" w:line="240" w:lineRule="auto"/>
              <w:jc w:val="both"/>
              <w:rPr>
                <w:rFonts w:ascii="Arial" w:eastAsia="Times New Roman" w:hAnsi="Arial" w:cs="Arial"/>
                <w:sz w:val="24"/>
                <w:szCs w:val="24"/>
                <w:lang w:eastAsia="ro-RO"/>
              </w:rPr>
            </w:pPr>
            <w:r w:rsidRPr="00934C02">
              <w:rPr>
                <w:rFonts w:ascii="Arial" w:eastAsia="SimSun" w:hAnsi="Arial" w:cs="Arial"/>
                <w:sz w:val="24"/>
                <w:szCs w:val="24"/>
                <w:lang w:eastAsia="ro-RO"/>
              </w:rPr>
              <w:t>4.0</w:t>
            </w:r>
          </w:p>
        </w:tc>
        <w:tc>
          <w:tcPr>
            <w:tcW w:w="1588" w:type="dxa"/>
            <w:shd w:val="clear" w:color="auto" w:fill="auto"/>
          </w:tcPr>
          <w:p w:rsidR="00934C02" w:rsidRPr="00934C02" w:rsidRDefault="00934C02" w:rsidP="00934C02">
            <w:pPr>
              <w:spacing w:after="0" w:line="240" w:lineRule="auto"/>
              <w:jc w:val="both"/>
              <w:rPr>
                <w:rFonts w:ascii="Arial" w:eastAsia="Times New Roman" w:hAnsi="Arial" w:cs="Arial"/>
                <w:sz w:val="24"/>
                <w:szCs w:val="24"/>
                <w:lang w:eastAsia="ro-RO"/>
              </w:rPr>
            </w:pPr>
            <w:r w:rsidRPr="00934C02">
              <w:rPr>
                <w:rFonts w:ascii="Arial" w:eastAsia="SimSun" w:hAnsi="Arial" w:cs="Arial"/>
                <w:sz w:val="24"/>
                <w:szCs w:val="24"/>
                <w:lang w:eastAsia="ro-RO"/>
              </w:rPr>
              <w:t>4.0</w:t>
            </w:r>
          </w:p>
        </w:tc>
        <w:tc>
          <w:tcPr>
            <w:tcW w:w="1051" w:type="dxa"/>
            <w:shd w:val="clear" w:color="auto" w:fill="auto"/>
          </w:tcPr>
          <w:p w:rsidR="00934C02" w:rsidRPr="00934C02" w:rsidRDefault="00934C02" w:rsidP="00934C02">
            <w:pPr>
              <w:spacing w:after="0" w:line="240" w:lineRule="auto"/>
              <w:jc w:val="both"/>
              <w:rPr>
                <w:rFonts w:ascii="Arial" w:eastAsia="Times New Roman" w:hAnsi="Arial" w:cs="Arial"/>
                <w:sz w:val="24"/>
                <w:szCs w:val="24"/>
                <w:lang w:eastAsia="ro-RO"/>
              </w:rPr>
            </w:pPr>
            <w:r w:rsidRPr="00934C02">
              <w:rPr>
                <w:rFonts w:ascii="Arial" w:eastAsia="SimSun" w:hAnsi="Arial" w:cs="Arial"/>
                <w:sz w:val="24"/>
                <w:szCs w:val="24"/>
                <w:lang w:eastAsia="ro-RO"/>
              </w:rPr>
              <w:t>4.0</w:t>
            </w:r>
          </w:p>
        </w:tc>
      </w:tr>
    </w:tbl>
    <w:p w:rsidR="00934C02" w:rsidRPr="00934C02" w:rsidRDefault="00934C02" w:rsidP="00934C02">
      <w:pPr>
        <w:autoSpaceDE w:val="0"/>
        <w:autoSpaceDN w:val="0"/>
        <w:adjustRightInd w:val="0"/>
        <w:spacing w:after="0" w:line="240" w:lineRule="auto"/>
        <w:rPr>
          <w:rFonts w:ascii="Arial" w:eastAsia="Times New Roman" w:hAnsi="Arial" w:cs="Arial"/>
          <w:sz w:val="24"/>
          <w:szCs w:val="24"/>
        </w:rPr>
      </w:pPr>
      <w:r w:rsidRPr="00934C02">
        <w:rPr>
          <w:rFonts w:ascii="Arial" w:eastAsia="SimSun" w:hAnsi="Arial" w:cs="Arial"/>
          <w:sz w:val="24"/>
          <w:szCs w:val="24"/>
        </w:rPr>
        <w:lastRenderedPageBreak/>
        <w:t xml:space="preserve">  Tabelul VII.33.</w:t>
      </w:r>
      <w:r w:rsidRPr="00934C02">
        <w:rPr>
          <w:rFonts w:ascii="Arial" w:eastAsia="Times New Roman" w:hAnsi="Arial" w:cs="Arial"/>
          <w:sz w:val="24"/>
          <w:szCs w:val="24"/>
        </w:rPr>
        <w:t xml:space="preserve"> Cantităţi de VSU colectate/tratate în judeţul Vaslui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548"/>
        <w:gridCol w:w="1548"/>
        <w:gridCol w:w="1548"/>
        <w:gridCol w:w="1548"/>
        <w:gridCol w:w="1548"/>
      </w:tblGrid>
      <w:tr w:rsidR="00934C02" w:rsidRPr="00934C02" w:rsidTr="00934C02">
        <w:tc>
          <w:tcPr>
            <w:tcW w:w="1548" w:type="dxa"/>
            <w:vMerge w:val="restart"/>
            <w:shd w:val="clear" w:color="auto" w:fill="auto"/>
          </w:tcPr>
          <w:p w:rsidR="00934C02" w:rsidRPr="00934C02" w:rsidRDefault="00934C02" w:rsidP="00934C02">
            <w:pPr>
              <w:autoSpaceDE w:val="0"/>
              <w:autoSpaceDN w:val="0"/>
              <w:adjustRightInd w:val="0"/>
              <w:spacing w:after="0" w:line="240" w:lineRule="auto"/>
              <w:rPr>
                <w:rFonts w:ascii="Arial" w:eastAsia="Times New Roman" w:hAnsi="Arial" w:cs="Arial"/>
                <w:sz w:val="24"/>
                <w:szCs w:val="24"/>
              </w:rPr>
            </w:pPr>
          </w:p>
          <w:p w:rsidR="00934C02" w:rsidRPr="00934C02" w:rsidRDefault="00934C02" w:rsidP="00934C02">
            <w:pPr>
              <w:autoSpaceDE w:val="0"/>
              <w:autoSpaceDN w:val="0"/>
              <w:adjustRightInd w:val="0"/>
              <w:spacing w:after="0" w:line="240" w:lineRule="auto"/>
              <w:rPr>
                <w:rFonts w:ascii="Arial" w:eastAsia="Times New Roman" w:hAnsi="Arial" w:cs="Arial"/>
                <w:sz w:val="24"/>
                <w:szCs w:val="24"/>
              </w:rPr>
            </w:pPr>
            <w:r w:rsidRPr="00934C02">
              <w:rPr>
                <w:rFonts w:ascii="Arial" w:eastAsia="Times New Roman" w:hAnsi="Arial" w:cs="Arial"/>
                <w:sz w:val="24"/>
                <w:szCs w:val="24"/>
              </w:rPr>
              <w:t>Anul</w:t>
            </w:r>
          </w:p>
        </w:tc>
        <w:tc>
          <w:tcPr>
            <w:tcW w:w="7740" w:type="dxa"/>
            <w:gridSpan w:val="5"/>
            <w:shd w:val="clear" w:color="auto" w:fill="auto"/>
          </w:tcPr>
          <w:p w:rsidR="00934C02" w:rsidRPr="00934C02" w:rsidRDefault="00934C02" w:rsidP="00934C02">
            <w:pPr>
              <w:autoSpaceDE w:val="0"/>
              <w:autoSpaceDN w:val="0"/>
              <w:adjustRightInd w:val="0"/>
              <w:spacing w:after="0" w:line="240" w:lineRule="auto"/>
              <w:rPr>
                <w:rFonts w:ascii="Arial" w:eastAsia="Times New Roman" w:hAnsi="Arial" w:cs="Arial"/>
                <w:sz w:val="24"/>
                <w:szCs w:val="24"/>
              </w:rPr>
            </w:pPr>
            <w:r w:rsidRPr="00934C02">
              <w:rPr>
                <w:rFonts w:ascii="Arial" w:eastAsia="Times New Roman" w:hAnsi="Arial" w:cs="Arial"/>
                <w:sz w:val="24"/>
                <w:szCs w:val="24"/>
              </w:rPr>
              <w:t>Cantităţi de VSU colectate/tratate – buc.</w:t>
            </w:r>
          </w:p>
        </w:tc>
      </w:tr>
      <w:tr w:rsidR="00934C02" w:rsidRPr="00934C02" w:rsidTr="00934C02">
        <w:tc>
          <w:tcPr>
            <w:tcW w:w="1548" w:type="dxa"/>
            <w:vMerge/>
            <w:shd w:val="clear" w:color="auto" w:fill="auto"/>
          </w:tcPr>
          <w:p w:rsidR="00934C02" w:rsidRPr="00934C02" w:rsidRDefault="00934C02" w:rsidP="00934C02">
            <w:pPr>
              <w:autoSpaceDE w:val="0"/>
              <w:autoSpaceDN w:val="0"/>
              <w:adjustRightInd w:val="0"/>
              <w:spacing w:after="0" w:line="240" w:lineRule="auto"/>
              <w:rPr>
                <w:rFonts w:ascii="Arial" w:eastAsia="Times New Roman" w:hAnsi="Arial" w:cs="Arial"/>
                <w:sz w:val="24"/>
                <w:szCs w:val="24"/>
              </w:rPr>
            </w:pPr>
            <w:r w:rsidRPr="00934C02">
              <w:rPr>
                <w:rFonts w:ascii="Arial" w:eastAsia="Times New Roman" w:hAnsi="Arial" w:cs="Arial"/>
                <w:noProof/>
                <w:sz w:val="24"/>
                <w:szCs w:val="24"/>
              </w:rPr>
              <w:drawing>
                <wp:inline distT="0" distB="0" distL="0" distR="0" wp14:anchorId="002B7BE5" wp14:editId="1F3C9EB1">
                  <wp:extent cx="5503545" cy="3217545"/>
                  <wp:effectExtent l="0" t="0" r="0" b="0"/>
                  <wp:docPr id="258" name="Diagramă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r w:rsidRPr="00934C02">
              <w:rPr>
                <w:rFonts w:ascii="Arial" w:eastAsia="Times New Roman" w:hAnsi="Arial" w:cs="Arial"/>
                <w:noProof/>
                <w:sz w:val="24"/>
                <w:szCs w:val="24"/>
              </w:rPr>
              <w:drawing>
                <wp:inline distT="0" distB="0" distL="0" distR="0" wp14:anchorId="73A09D01" wp14:editId="73B41A22">
                  <wp:extent cx="5503545" cy="3217545"/>
                  <wp:effectExtent l="0" t="0" r="0" b="0"/>
                  <wp:docPr id="259" name="Diagramă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r w:rsidRPr="00934C02">
              <w:rPr>
                <w:rFonts w:ascii="Arial" w:eastAsia="Times New Roman" w:hAnsi="Arial" w:cs="Arial"/>
                <w:noProof/>
                <w:sz w:val="24"/>
                <w:szCs w:val="24"/>
              </w:rPr>
              <w:drawing>
                <wp:inline distT="0" distB="0" distL="0" distR="0" wp14:anchorId="5F5B8468" wp14:editId="54F385F0">
                  <wp:extent cx="5503545" cy="3217545"/>
                  <wp:effectExtent l="0" t="0" r="0" b="0"/>
                  <wp:docPr id="260" name="Diagramă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tc>
        <w:tc>
          <w:tcPr>
            <w:tcW w:w="1548" w:type="dxa"/>
            <w:shd w:val="clear" w:color="auto" w:fill="auto"/>
          </w:tcPr>
          <w:p w:rsidR="00934C02" w:rsidRPr="00934C02" w:rsidRDefault="00934C02" w:rsidP="00934C02">
            <w:pPr>
              <w:autoSpaceDE w:val="0"/>
              <w:autoSpaceDN w:val="0"/>
              <w:adjustRightInd w:val="0"/>
              <w:spacing w:after="0" w:line="240" w:lineRule="auto"/>
              <w:rPr>
                <w:rFonts w:ascii="Arial" w:eastAsia="Times New Roman" w:hAnsi="Arial" w:cs="Arial"/>
                <w:sz w:val="24"/>
                <w:szCs w:val="24"/>
              </w:rPr>
            </w:pPr>
            <w:r w:rsidRPr="00934C02">
              <w:rPr>
                <w:rFonts w:ascii="Arial" w:eastAsia="Times New Roman" w:hAnsi="Arial" w:cs="Arial"/>
                <w:sz w:val="24"/>
                <w:szCs w:val="24"/>
              </w:rPr>
              <w:t>2010</w:t>
            </w:r>
          </w:p>
        </w:tc>
        <w:tc>
          <w:tcPr>
            <w:tcW w:w="1548" w:type="dxa"/>
            <w:shd w:val="clear" w:color="auto" w:fill="auto"/>
          </w:tcPr>
          <w:p w:rsidR="00934C02" w:rsidRPr="00934C02" w:rsidRDefault="00934C02" w:rsidP="00934C02">
            <w:pPr>
              <w:autoSpaceDE w:val="0"/>
              <w:autoSpaceDN w:val="0"/>
              <w:adjustRightInd w:val="0"/>
              <w:spacing w:after="0" w:line="240" w:lineRule="auto"/>
              <w:rPr>
                <w:rFonts w:ascii="Arial" w:eastAsia="Times New Roman" w:hAnsi="Arial" w:cs="Arial"/>
                <w:sz w:val="24"/>
                <w:szCs w:val="24"/>
              </w:rPr>
            </w:pPr>
            <w:r w:rsidRPr="00934C02">
              <w:rPr>
                <w:rFonts w:ascii="Arial" w:eastAsia="Times New Roman" w:hAnsi="Arial" w:cs="Arial"/>
                <w:sz w:val="24"/>
                <w:szCs w:val="24"/>
              </w:rPr>
              <w:t>2011</w:t>
            </w:r>
          </w:p>
        </w:tc>
        <w:tc>
          <w:tcPr>
            <w:tcW w:w="1548" w:type="dxa"/>
            <w:shd w:val="clear" w:color="auto" w:fill="auto"/>
          </w:tcPr>
          <w:p w:rsidR="00934C02" w:rsidRPr="00934C02" w:rsidRDefault="00934C02" w:rsidP="00934C02">
            <w:pPr>
              <w:autoSpaceDE w:val="0"/>
              <w:autoSpaceDN w:val="0"/>
              <w:adjustRightInd w:val="0"/>
              <w:spacing w:after="0" w:line="240" w:lineRule="auto"/>
              <w:rPr>
                <w:rFonts w:ascii="Arial" w:eastAsia="Times New Roman" w:hAnsi="Arial" w:cs="Arial"/>
                <w:sz w:val="24"/>
                <w:szCs w:val="24"/>
              </w:rPr>
            </w:pPr>
            <w:r w:rsidRPr="00934C02">
              <w:rPr>
                <w:rFonts w:ascii="Arial" w:eastAsia="Times New Roman" w:hAnsi="Arial" w:cs="Arial"/>
                <w:sz w:val="24"/>
                <w:szCs w:val="24"/>
              </w:rPr>
              <w:t>2012</w:t>
            </w:r>
          </w:p>
        </w:tc>
        <w:tc>
          <w:tcPr>
            <w:tcW w:w="1548" w:type="dxa"/>
            <w:shd w:val="clear" w:color="auto" w:fill="auto"/>
          </w:tcPr>
          <w:p w:rsidR="00934C02" w:rsidRPr="00934C02" w:rsidRDefault="00934C02" w:rsidP="00934C02">
            <w:pPr>
              <w:autoSpaceDE w:val="0"/>
              <w:autoSpaceDN w:val="0"/>
              <w:adjustRightInd w:val="0"/>
              <w:spacing w:after="0" w:line="240" w:lineRule="auto"/>
              <w:rPr>
                <w:rFonts w:ascii="Arial" w:eastAsia="Times New Roman" w:hAnsi="Arial" w:cs="Arial"/>
                <w:sz w:val="24"/>
                <w:szCs w:val="24"/>
              </w:rPr>
            </w:pPr>
            <w:r w:rsidRPr="00934C02">
              <w:rPr>
                <w:rFonts w:ascii="Arial" w:eastAsia="Times New Roman" w:hAnsi="Arial" w:cs="Arial"/>
                <w:sz w:val="24"/>
                <w:szCs w:val="24"/>
              </w:rPr>
              <w:t>2013</w:t>
            </w:r>
          </w:p>
        </w:tc>
        <w:tc>
          <w:tcPr>
            <w:tcW w:w="1548" w:type="dxa"/>
            <w:shd w:val="clear" w:color="auto" w:fill="auto"/>
          </w:tcPr>
          <w:p w:rsidR="00934C02" w:rsidRPr="00934C02" w:rsidRDefault="00934C02" w:rsidP="00934C02">
            <w:pPr>
              <w:autoSpaceDE w:val="0"/>
              <w:autoSpaceDN w:val="0"/>
              <w:adjustRightInd w:val="0"/>
              <w:spacing w:after="0" w:line="240" w:lineRule="auto"/>
              <w:rPr>
                <w:rFonts w:ascii="Arial" w:eastAsia="Times New Roman" w:hAnsi="Arial" w:cs="Arial"/>
                <w:sz w:val="24"/>
                <w:szCs w:val="24"/>
              </w:rPr>
            </w:pPr>
            <w:r w:rsidRPr="00934C02">
              <w:rPr>
                <w:rFonts w:ascii="Arial" w:eastAsia="Times New Roman" w:hAnsi="Arial" w:cs="Arial"/>
                <w:sz w:val="24"/>
                <w:szCs w:val="24"/>
              </w:rPr>
              <w:t>2014</w:t>
            </w:r>
          </w:p>
        </w:tc>
      </w:tr>
      <w:tr w:rsidR="00934C02" w:rsidRPr="00934C02" w:rsidTr="00934C02">
        <w:tc>
          <w:tcPr>
            <w:tcW w:w="1548" w:type="dxa"/>
            <w:shd w:val="clear" w:color="auto" w:fill="auto"/>
          </w:tcPr>
          <w:p w:rsidR="00934C02" w:rsidRPr="00934C02" w:rsidRDefault="00934C02" w:rsidP="00934C02">
            <w:pPr>
              <w:autoSpaceDE w:val="0"/>
              <w:autoSpaceDN w:val="0"/>
              <w:adjustRightInd w:val="0"/>
              <w:spacing w:after="0" w:line="240" w:lineRule="auto"/>
              <w:rPr>
                <w:rFonts w:ascii="Arial" w:eastAsia="Times New Roman" w:hAnsi="Arial" w:cs="Arial"/>
                <w:sz w:val="24"/>
                <w:szCs w:val="24"/>
              </w:rPr>
            </w:pPr>
            <w:r w:rsidRPr="00934C02">
              <w:rPr>
                <w:rFonts w:ascii="Arial" w:eastAsia="Times New Roman" w:hAnsi="Arial" w:cs="Arial"/>
                <w:sz w:val="24"/>
                <w:szCs w:val="24"/>
              </w:rPr>
              <w:t>Colectate</w:t>
            </w:r>
          </w:p>
        </w:tc>
        <w:tc>
          <w:tcPr>
            <w:tcW w:w="1548" w:type="dxa"/>
            <w:shd w:val="clear" w:color="auto" w:fill="auto"/>
          </w:tcPr>
          <w:p w:rsidR="00934C02" w:rsidRPr="00934C02" w:rsidRDefault="00934C02" w:rsidP="00934C02">
            <w:pPr>
              <w:autoSpaceDE w:val="0"/>
              <w:autoSpaceDN w:val="0"/>
              <w:adjustRightInd w:val="0"/>
              <w:spacing w:after="0" w:line="240" w:lineRule="auto"/>
              <w:rPr>
                <w:rFonts w:ascii="Arial" w:eastAsia="Times New Roman" w:hAnsi="Arial" w:cs="Arial"/>
                <w:sz w:val="24"/>
                <w:szCs w:val="24"/>
              </w:rPr>
            </w:pPr>
            <w:r w:rsidRPr="00934C02">
              <w:rPr>
                <w:rFonts w:ascii="Arial" w:eastAsia="Times New Roman" w:hAnsi="Arial" w:cs="Arial"/>
                <w:sz w:val="24"/>
                <w:szCs w:val="24"/>
              </w:rPr>
              <w:t>2310</w:t>
            </w:r>
          </w:p>
        </w:tc>
        <w:tc>
          <w:tcPr>
            <w:tcW w:w="1548" w:type="dxa"/>
            <w:shd w:val="clear" w:color="auto" w:fill="auto"/>
          </w:tcPr>
          <w:p w:rsidR="00934C02" w:rsidRPr="00934C02" w:rsidRDefault="00934C02" w:rsidP="00934C02">
            <w:pPr>
              <w:autoSpaceDE w:val="0"/>
              <w:autoSpaceDN w:val="0"/>
              <w:adjustRightInd w:val="0"/>
              <w:spacing w:after="0" w:line="240" w:lineRule="auto"/>
              <w:rPr>
                <w:rFonts w:ascii="Arial" w:eastAsia="Times New Roman" w:hAnsi="Arial" w:cs="Arial"/>
                <w:sz w:val="24"/>
                <w:szCs w:val="24"/>
              </w:rPr>
            </w:pPr>
            <w:r w:rsidRPr="00934C02">
              <w:rPr>
                <w:rFonts w:ascii="Arial" w:eastAsia="Times New Roman" w:hAnsi="Arial" w:cs="Arial"/>
                <w:sz w:val="24"/>
                <w:szCs w:val="24"/>
              </w:rPr>
              <w:t>898</w:t>
            </w:r>
          </w:p>
        </w:tc>
        <w:tc>
          <w:tcPr>
            <w:tcW w:w="1548" w:type="dxa"/>
            <w:shd w:val="clear" w:color="auto" w:fill="auto"/>
          </w:tcPr>
          <w:p w:rsidR="00934C02" w:rsidRPr="00934C02" w:rsidRDefault="00934C02" w:rsidP="00934C02">
            <w:pPr>
              <w:autoSpaceDE w:val="0"/>
              <w:autoSpaceDN w:val="0"/>
              <w:adjustRightInd w:val="0"/>
              <w:spacing w:after="0" w:line="240" w:lineRule="auto"/>
              <w:rPr>
                <w:rFonts w:ascii="Arial" w:eastAsia="Times New Roman" w:hAnsi="Arial" w:cs="Arial"/>
                <w:sz w:val="24"/>
                <w:szCs w:val="24"/>
              </w:rPr>
            </w:pPr>
            <w:r w:rsidRPr="00934C02">
              <w:rPr>
                <w:rFonts w:ascii="Arial" w:eastAsia="Times New Roman" w:hAnsi="Arial" w:cs="Arial"/>
                <w:sz w:val="24"/>
                <w:szCs w:val="24"/>
              </w:rPr>
              <w:t>643</w:t>
            </w:r>
          </w:p>
        </w:tc>
        <w:tc>
          <w:tcPr>
            <w:tcW w:w="1548" w:type="dxa"/>
            <w:shd w:val="clear" w:color="auto" w:fill="auto"/>
          </w:tcPr>
          <w:p w:rsidR="00934C02" w:rsidRPr="00934C02" w:rsidRDefault="00934C02" w:rsidP="00934C02">
            <w:pPr>
              <w:autoSpaceDE w:val="0"/>
              <w:autoSpaceDN w:val="0"/>
              <w:adjustRightInd w:val="0"/>
              <w:spacing w:after="0" w:line="240" w:lineRule="auto"/>
              <w:rPr>
                <w:rFonts w:ascii="Arial" w:eastAsia="Times New Roman" w:hAnsi="Arial" w:cs="Arial"/>
                <w:sz w:val="24"/>
                <w:szCs w:val="24"/>
              </w:rPr>
            </w:pPr>
            <w:r w:rsidRPr="00934C02">
              <w:rPr>
                <w:rFonts w:ascii="Arial" w:eastAsia="Times New Roman" w:hAnsi="Arial" w:cs="Arial"/>
                <w:sz w:val="24"/>
                <w:szCs w:val="24"/>
              </w:rPr>
              <w:t>141</w:t>
            </w:r>
          </w:p>
        </w:tc>
        <w:tc>
          <w:tcPr>
            <w:tcW w:w="1548" w:type="dxa"/>
            <w:shd w:val="clear" w:color="auto" w:fill="auto"/>
          </w:tcPr>
          <w:p w:rsidR="00934C02" w:rsidRPr="00934C02" w:rsidRDefault="00934C02" w:rsidP="00934C02">
            <w:pPr>
              <w:autoSpaceDE w:val="0"/>
              <w:autoSpaceDN w:val="0"/>
              <w:adjustRightInd w:val="0"/>
              <w:spacing w:after="0" w:line="240" w:lineRule="auto"/>
              <w:rPr>
                <w:rFonts w:ascii="Arial" w:eastAsia="Times New Roman" w:hAnsi="Arial" w:cs="Arial"/>
                <w:sz w:val="24"/>
                <w:szCs w:val="24"/>
              </w:rPr>
            </w:pPr>
            <w:r w:rsidRPr="00934C02">
              <w:rPr>
                <w:rFonts w:ascii="Arial" w:eastAsia="Times New Roman" w:hAnsi="Arial" w:cs="Arial"/>
                <w:sz w:val="24"/>
                <w:szCs w:val="24"/>
              </w:rPr>
              <w:t>231</w:t>
            </w:r>
          </w:p>
        </w:tc>
      </w:tr>
      <w:tr w:rsidR="00934C02" w:rsidRPr="00934C02" w:rsidTr="00934C02">
        <w:tc>
          <w:tcPr>
            <w:tcW w:w="1548" w:type="dxa"/>
            <w:shd w:val="clear" w:color="auto" w:fill="auto"/>
          </w:tcPr>
          <w:p w:rsidR="00934C02" w:rsidRPr="00934C02" w:rsidRDefault="00934C02" w:rsidP="00934C02">
            <w:pPr>
              <w:autoSpaceDE w:val="0"/>
              <w:autoSpaceDN w:val="0"/>
              <w:adjustRightInd w:val="0"/>
              <w:spacing w:after="0" w:line="240" w:lineRule="auto"/>
              <w:rPr>
                <w:rFonts w:ascii="Arial" w:eastAsia="Times New Roman" w:hAnsi="Arial" w:cs="Arial"/>
                <w:sz w:val="24"/>
                <w:szCs w:val="24"/>
              </w:rPr>
            </w:pPr>
            <w:r w:rsidRPr="00934C02">
              <w:rPr>
                <w:rFonts w:ascii="Arial" w:eastAsia="Times New Roman" w:hAnsi="Arial" w:cs="Arial"/>
                <w:sz w:val="24"/>
                <w:szCs w:val="24"/>
              </w:rPr>
              <w:t>Tratate</w:t>
            </w:r>
          </w:p>
        </w:tc>
        <w:tc>
          <w:tcPr>
            <w:tcW w:w="1548" w:type="dxa"/>
            <w:shd w:val="clear" w:color="auto" w:fill="auto"/>
          </w:tcPr>
          <w:p w:rsidR="00934C02" w:rsidRPr="00934C02" w:rsidRDefault="00934C02" w:rsidP="00934C02">
            <w:pPr>
              <w:autoSpaceDE w:val="0"/>
              <w:autoSpaceDN w:val="0"/>
              <w:adjustRightInd w:val="0"/>
              <w:spacing w:after="0" w:line="240" w:lineRule="auto"/>
              <w:rPr>
                <w:rFonts w:ascii="Arial" w:eastAsia="Times New Roman" w:hAnsi="Arial" w:cs="Arial"/>
                <w:sz w:val="24"/>
                <w:szCs w:val="24"/>
              </w:rPr>
            </w:pPr>
            <w:r w:rsidRPr="00934C02">
              <w:rPr>
                <w:rFonts w:ascii="Arial" w:eastAsia="Times New Roman" w:hAnsi="Arial" w:cs="Arial"/>
                <w:sz w:val="24"/>
                <w:szCs w:val="24"/>
              </w:rPr>
              <w:t>2482</w:t>
            </w:r>
          </w:p>
        </w:tc>
        <w:tc>
          <w:tcPr>
            <w:tcW w:w="1548" w:type="dxa"/>
            <w:shd w:val="clear" w:color="auto" w:fill="auto"/>
          </w:tcPr>
          <w:p w:rsidR="00934C02" w:rsidRPr="00934C02" w:rsidRDefault="00934C02" w:rsidP="00934C02">
            <w:pPr>
              <w:autoSpaceDE w:val="0"/>
              <w:autoSpaceDN w:val="0"/>
              <w:adjustRightInd w:val="0"/>
              <w:spacing w:after="0" w:line="240" w:lineRule="auto"/>
              <w:rPr>
                <w:rFonts w:ascii="Arial" w:eastAsia="Times New Roman" w:hAnsi="Arial" w:cs="Arial"/>
                <w:sz w:val="24"/>
                <w:szCs w:val="24"/>
              </w:rPr>
            </w:pPr>
            <w:r w:rsidRPr="00934C02">
              <w:rPr>
                <w:rFonts w:ascii="Arial" w:eastAsia="Times New Roman" w:hAnsi="Arial" w:cs="Arial"/>
                <w:sz w:val="24"/>
                <w:szCs w:val="24"/>
              </w:rPr>
              <w:t>1021</w:t>
            </w:r>
          </w:p>
        </w:tc>
        <w:tc>
          <w:tcPr>
            <w:tcW w:w="1548" w:type="dxa"/>
            <w:shd w:val="clear" w:color="auto" w:fill="auto"/>
          </w:tcPr>
          <w:p w:rsidR="00934C02" w:rsidRPr="00934C02" w:rsidRDefault="00934C02" w:rsidP="00934C02">
            <w:pPr>
              <w:autoSpaceDE w:val="0"/>
              <w:autoSpaceDN w:val="0"/>
              <w:adjustRightInd w:val="0"/>
              <w:spacing w:after="0" w:line="240" w:lineRule="auto"/>
              <w:rPr>
                <w:rFonts w:ascii="Arial" w:eastAsia="Times New Roman" w:hAnsi="Arial" w:cs="Arial"/>
                <w:sz w:val="24"/>
                <w:szCs w:val="24"/>
              </w:rPr>
            </w:pPr>
            <w:r w:rsidRPr="00934C02">
              <w:rPr>
                <w:rFonts w:ascii="Arial" w:eastAsia="Times New Roman" w:hAnsi="Arial" w:cs="Arial"/>
                <w:sz w:val="24"/>
                <w:szCs w:val="24"/>
              </w:rPr>
              <w:t>624</w:t>
            </w:r>
          </w:p>
        </w:tc>
        <w:tc>
          <w:tcPr>
            <w:tcW w:w="1548" w:type="dxa"/>
            <w:shd w:val="clear" w:color="auto" w:fill="auto"/>
          </w:tcPr>
          <w:p w:rsidR="00934C02" w:rsidRPr="00934C02" w:rsidRDefault="00934C02" w:rsidP="00934C02">
            <w:pPr>
              <w:autoSpaceDE w:val="0"/>
              <w:autoSpaceDN w:val="0"/>
              <w:adjustRightInd w:val="0"/>
              <w:spacing w:after="0" w:line="240" w:lineRule="auto"/>
              <w:rPr>
                <w:rFonts w:ascii="Arial" w:eastAsia="Times New Roman" w:hAnsi="Arial" w:cs="Arial"/>
                <w:sz w:val="24"/>
                <w:szCs w:val="24"/>
              </w:rPr>
            </w:pPr>
            <w:r w:rsidRPr="00934C02">
              <w:rPr>
                <w:rFonts w:ascii="Arial" w:eastAsia="Times New Roman" w:hAnsi="Arial" w:cs="Arial"/>
                <w:sz w:val="24"/>
                <w:szCs w:val="24"/>
              </w:rPr>
              <w:t>160</w:t>
            </w:r>
          </w:p>
        </w:tc>
        <w:tc>
          <w:tcPr>
            <w:tcW w:w="1548" w:type="dxa"/>
            <w:shd w:val="clear" w:color="auto" w:fill="auto"/>
          </w:tcPr>
          <w:p w:rsidR="00934C02" w:rsidRPr="00934C02" w:rsidRDefault="00934C02" w:rsidP="00934C02">
            <w:pPr>
              <w:autoSpaceDE w:val="0"/>
              <w:autoSpaceDN w:val="0"/>
              <w:adjustRightInd w:val="0"/>
              <w:spacing w:after="0" w:line="240" w:lineRule="auto"/>
              <w:rPr>
                <w:rFonts w:ascii="Arial" w:eastAsia="Times New Roman" w:hAnsi="Arial" w:cs="Arial"/>
                <w:sz w:val="24"/>
                <w:szCs w:val="24"/>
              </w:rPr>
            </w:pPr>
            <w:r w:rsidRPr="00934C02">
              <w:rPr>
                <w:rFonts w:ascii="Arial" w:eastAsia="Times New Roman" w:hAnsi="Arial" w:cs="Arial"/>
                <w:sz w:val="24"/>
                <w:szCs w:val="24"/>
              </w:rPr>
              <w:t>208</w:t>
            </w:r>
          </w:p>
        </w:tc>
      </w:tr>
    </w:tbl>
    <w:p w:rsidR="00934C02" w:rsidRDefault="00934C02" w:rsidP="00934C02">
      <w:pPr>
        <w:autoSpaceDE w:val="0"/>
        <w:autoSpaceDN w:val="0"/>
        <w:adjustRightInd w:val="0"/>
        <w:spacing w:after="0" w:line="240" w:lineRule="auto"/>
        <w:rPr>
          <w:rFonts w:ascii="Arial" w:hAnsi="Arial" w:cs="Arial"/>
          <w:noProof/>
          <w:color w:val="000000"/>
          <w:sz w:val="24"/>
          <w:szCs w:val="24"/>
        </w:rPr>
      </w:pPr>
    </w:p>
    <w:p w:rsidR="0084419D" w:rsidRDefault="0084419D" w:rsidP="00934C02">
      <w:pPr>
        <w:autoSpaceDE w:val="0"/>
        <w:autoSpaceDN w:val="0"/>
        <w:adjustRightInd w:val="0"/>
        <w:spacing w:after="0" w:line="240" w:lineRule="auto"/>
        <w:rPr>
          <w:rFonts w:ascii="Arial" w:hAnsi="Arial" w:cs="Arial"/>
          <w:noProof/>
          <w:color w:val="000000"/>
          <w:sz w:val="24"/>
          <w:szCs w:val="24"/>
        </w:rPr>
      </w:pPr>
    </w:p>
    <w:p w:rsidR="0084419D" w:rsidRPr="00934C02" w:rsidRDefault="0084419D" w:rsidP="00934C02">
      <w:pPr>
        <w:autoSpaceDE w:val="0"/>
        <w:autoSpaceDN w:val="0"/>
        <w:adjustRightInd w:val="0"/>
        <w:spacing w:after="0" w:line="240" w:lineRule="auto"/>
        <w:rPr>
          <w:rFonts w:ascii="Arial" w:eastAsia="Times New Roman" w:hAnsi="Arial" w:cs="Arial"/>
          <w:sz w:val="24"/>
          <w:szCs w:val="24"/>
        </w:rPr>
      </w:pPr>
      <w:r w:rsidRPr="00934C02">
        <w:rPr>
          <w:rFonts w:ascii="Arial" w:hAnsi="Arial" w:cs="Arial"/>
          <w:noProof/>
          <w:color w:val="000000"/>
          <w:sz w:val="24"/>
          <w:szCs w:val="24"/>
        </w:rPr>
        <w:drawing>
          <wp:inline distT="0" distB="0" distL="0" distR="0" wp14:anchorId="7C81ECA8" wp14:editId="1F60F3A7">
            <wp:extent cx="5943600" cy="2117279"/>
            <wp:effectExtent l="0" t="0" r="0" b="0"/>
            <wp:docPr id="261" name="Chart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84419D" w:rsidRDefault="0084419D" w:rsidP="00934C02">
      <w:pPr>
        <w:spacing w:after="0" w:line="240" w:lineRule="auto"/>
        <w:rPr>
          <w:rFonts w:ascii="Arial" w:eastAsia="Times New Roman" w:hAnsi="Arial" w:cs="Arial"/>
          <w:sz w:val="24"/>
          <w:szCs w:val="24"/>
          <w:lang w:val="pl-PL" w:eastAsia="pl-PL"/>
        </w:rPr>
      </w:pPr>
    </w:p>
    <w:p w:rsidR="0084419D" w:rsidRDefault="0084419D" w:rsidP="00934C02">
      <w:pPr>
        <w:spacing w:after="0" w:line="240" w:lineRule="auto"/>
        <w:rPr>
          <w:rFonts w:ascii="Arial" w:eastAsia="Times New Roman" w:hAnsi="Arial" w:cs="Arial"/>
          <w:sz w:val="24"/>
          <w:szCs w:val="24"/>
          <w:lang w:val="pl-PL" w:eastAsia="pl-PL"/>
        </w:rPr>
      </w:pPr>
    </w:p>
    <w:p w:rsidR="00934C02" w:rsidRPr="00934C02" w:rsidRDefault="00934C02" w:rsidP="00934C02">
      <w:pPr>
        <w:spacing w:after="0" w:line="240" w:lineRule="auto"/>
        <w:rPr>
          <w:rFonts w:ascii="Arial" w:eastAsia="Times New Roman" w:hAnsi="Arial" w:cs="Arial"/>
          <w:sz w:val="24"/>
          <w:szCs w:val="24"/>
          <w:lang w:val="pl-PL" w:eastAsia="pl-PL"/>
        </w:rPr>
      </w:pPr>
      <w:r w:rsidRPr="00934C02">
        <w:rPr>
          <w:rFonts w:ascii="Arial" w:eastAsia="Times New Roman" w:hAnsi="Arial" w:cs="Arial"/>
          <w:sz w:val="24"/>
          <w:szCs w:val="24"/>
          <w:lang w:val="pl-PL" w:eastAsia="pl-PL"/>
        </w:rPr>
        <w:t>Figura VII.22. Evoluţia cantităţii de VSU colectate/tratate, în judeţul Vaslui, în perioada 2010-2014</w:t>
      </w:r>
    </w:p>
    <w:p w:rsidR="00934C02" w:rsidRPr="00934C02" w:rsidRDefault="00934C02" w:rsidP="00934C02">
      <w:pPr>
        <w:autoSpaceDE w:val="0"/>
        <w:autoSpaceDN w:val="0"/>
        <w:adjustRightInd w:val="0"/>
        <w:spacing w:after="0" w:line="240" w:lineRule="auto"/>
        <w:rPr>
          <w:rFonts w:ascii="Arial" w:eastAsia="Times New Roman" w:hAnsi="Arial" w:cs="Arial"/>
          <w:sz w:val="24"/>
          <w:szCs w:val="24"/>
        </w:rPr>
      </w:pPr>
    </w:p>
    <w:p w:rsidR="00934C02" w:rsidRPr="00934C02" w:rsidRDefault="00934C02" w:rsidP="00934C02">
      <w:pPr>
        <w:rPr>
          <w:rFonts w:ascii="Arial" w:hAnsi="Arial" w:cs="Arial"/>
          <w:color w:val="000000"/>
          <w:sz w:val="24"/>
          <w:szCs w:val="24"/>
        </w:rPr>
      </w:pPr>
      <w:r w:rsidRPr="00934C02">
        <w:rPr>
          <w:rFonts w:ascii="Arial" w:hAnsi="Arial" w:cs="Arial"/>
          <w:color w:val="000000"/>
          <w:sz w:val="24"/>
          <w:szCs w:val="24"/>
        </w:rPr>
        <w:t xml:space="preserve">Au fost îndeplinite ţintele conform tabelului de mai jos. </w:t>
      </w:r>
    </w:p>
    <w:p w:rsidR="00934C02" w:rsidRPr="00934C02" w:rsidRDefault="00934C02" w:rsidP="00934C02">
      <w:pPr>
        <w:spacing w:after="0" w:line="240" w:lineRule="auto"/>
        <w:rPr>
          <w:rFonts w:ascii="Arial" w:hAnsi="Arial" w:cs="Arial"/>
          <w:color w:val="000000"/>
          <w:sz w:val="24"/>
          <w:szCs w:val="24"/>
        </w:rPr>
      </w:pPr>
      <w:r w:rsidRPr="00934C02">
        <w:rPr>
          <w:rFonts w:ascii="Arial" w:eastAsia="SimSun" w:hAnsi="Arial" w:cs="Arial"/>
          <w:sz w:val="24"/>
          <w:szCs w:val="24"/>
        </w:rPr>
        <w:t>Tabelul VII.34. Îndeplinirea obiectivelor de reutilizare, reciclare şi valorificare, la nivelul judeţului Vaslui, în perioada 2010-2014</w:t>
      </w:r>
    </w:p>
    <w:tbl>
      <w:tblPr>
        <w:tblW w:w="10227" w:type="dxa"/>
        <w:tblInd w:w="-15" w:type="dxa"/>
        <w:tblCellMar>
          <w:left w:w="0" w:type="dxa"/>
          <w:right w:w="0" w:type="dxa"/>
        </w:tblCellMar>
        <w:tblLook w:val="04A0" w:firstRow="1" w:lastRow="0" w:firstColumn="1" w:lastColumn="0" w:noHBand="0" w:noVBand="1"/>
      </w:tblPr>
      <w:tblGrid>
        <w:gridCol w:w="2197"/>
        <w:gridCol w:w="1071"/>
        <w:gridCol w:w="683"/>
        <w:gridCol w:w="1347"/>
        <w:gridCol w:w="392"/>
        <w:gridCol w:w="1527"/>
        <w:gridCol w:w="222"/>
        <w:gridCol w:w="1467"/>
        <w:gridCol w:w="1321"/>
      </w:tblGrid>
      <w:tr w:rsidR="00934C02" w:rsidRPr="00934C02" w:rsidTr="00934C02">
        <w:trPr>
          <w:trHeight w:val="344"/>
        </w:trPr>
        <w:tc>
          <w:tcPr>
            <w:tcW w:w="2197"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934C02" w:rsidRPr="00934C02" w:rsidRDefault="00934C02" w:rsidP="00934C02">
            <w:pPr>
              <w:spacing w:after="0" w:line="240" w:lineRule="auto"/>
              <w:jc w:val="center"/>
              <w:rPr>
                <w:rFonts w:ascii="Arial" w:eastAsia="Calibri" w:hAnsi="Arial" w:cs="Arial"/>
                <w:sz w:val="24"/>
                <w:szCs w:val="24"/>
              </w:rPr>
            </w:pPr>
            <w:r w:rsidRPr="00934C02">
              <w:rPr>
                <w:rFonts w:ascii="Arial" w:eastAsia="Calibri" w:hAnsi="Arial" w:cs="Arial"/>
                <w:color w:val="000000"/>
                <w:sz w:val="24"/>
                <w:szCs w:val="24"/>
              </w:rPr>
              <w:t> </w:t>
            </w:r>
            <w:r w:rsidR="0084419D">
              <w:rPr>
                <w:rFonts w:ascii="Arial" w:eastAsia="Calibri" w:hAnsi="Arial" w:cs="Arial"/>
                <w:color w:val="000000"/>
                <w:sz w:val="24"/>
                <w:szCs w:val="24"/>
              </w:rPr>
              <w:t>An</w:t>
            </w:r>
          </w:p>
        </w:tc>
        <w:tc>
          <w:tcPr>
            <w:tcW w:w="1071" w:type="dxa"/>
            <w:tcBorders>
              <w:top w:val="single" w:sz="8" w:space="0" w:color="auto"/>
              <w:left w:val="nil"/>
              <w:bottom w:val="single" w:sz="8" w:space="0" w:color="auto"/>
              <w:right w:val="nil"/>
            </w:tcBorders>
            <w:tcMar>
              <w:top w:w="0" w:type="dxa"/>
              <w:left w:w="108" w:type="dxa"/>
              <w:bottom w:w="0" w:type="dxa"/>
              <w:right w:w="108" w:type="dxa"/>
            </w:tcMar>
            <w:vAlign w:val="center"/>
          </w:tcPr>
          <w:p w:rsidR="00934C02" w:rsidRPr="00934C02" w:rsidRDefault="00934C02" w:rsidP="00934C02">
            <w:pPr>
              <w:spacing w:after="0" w:line="240" w:lineRule="auto"/>
              <w:jc w:val="both"/>
              <w:rPr>
                <w:rFonts w:ascii="Arial" w:eastAsia="Calibri" w:hAnsi="Arial" w:cs="Arial"/>
                <w:sz w:val="24"/>
                <w:szCs w:val="24"/>
              </w:rPr>
            </w:pPr>
            <w:r w:rsidRPr="00934C02">
              <w:rPr>
                <w:rFonts w:ascii="Arial" w:eastAsia="Calibri" w:hAnsi="Arial" w:cs="Arial"/>
                <w:color w:val="000000"/>
                <w:sz w:val="24"/>
                <w:szCs w:val="24"/>
              </w:rPr>
              <w:t>2010</w:t>
            </w:r>
          </w:p>
        </w:tc>
        <w:tc>
          <w:tcPr>
            <w:tcW w:w="68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934C02" w:rsidRPr="00934C02" w:rsidRDefault="00934C02" w:rsidP="00934C02">
            <w:pPr>
              <w:spacing w:after="0" w:line="240" w:lineRule="auto"/>
              <w:jc w:val="both"/>
              <w:rPr>
                <w:rFonts w:ascii="Arial" w:eastAsia="Calibri" w:hAnsi="Arial" w:cs="Arial"/>
                <w:sz w:val="24"/>
                <w:szCs w:val="24"/>
              </w:rPr>
            </w:pPr>
          </w:p>
        </w:tc>
        <w:tc>
          <w:tcPr>
            <w:tcW w:w="1347" w:type="dxa"/>
            <w:tcBorders>
              <w:top w:val="single" w:sz="8" w:space="0" w:color="auto"/>
              <w:left w:val="nil"/>
              <w:bottom w:val="single" w:sz="8" w:space="0" w:color="auto"/>
              <w:right w:val="nil"/>
            </w:tcBorders>
            <w:tcMar>
              <w:top w:w="0" w:type="dxa"/>
              <w:left w:w="108" w:type="dxa"/>
              <w:bottom w:w="0" w:type="dxa"/>
              <w:right w:w="108" w:type="dxa"/>
            </w:tcMar>
            <w:vAlign w:val="center"/>
          </w:tcPr>
          <w:p w:rsidR="00934C02" w:rsidRPr="00934C02" w:rsidRDefault="00934C02" w:rsidP="00934C02">
            <w:pPr>
              <w:spacing w:after="0" w:line="240" w:lineRule="auto"/>
              <w:jc w:val="both"/>
              <w:rPr>
                <w:rFonts w:ascii="Arial" w:eastAsia="Calibri" w:hAnsi="Arial" w:cs="Arial"/>
                <w:sz w:val="24"/>
                <w:szCs w:val="24"/>
              </w:rPr>
            </w:pPr>
            <w:r w:rsidRPr="00934C02">
              <w:rPr>
                <w:rFonts w:ascii="Arial" w:eastAsia="Calibri" w:hAnsi="Arial" w:cs="Arial"/>
                <w:color w:val="000000"/>
                <w:sz w:val="24"/>
                <w:szCs w:val="24"/>
              </w:rPr>
              <w:t>2011</w:t>
            </w:r>
          </w:p>
        </w:tc>
        <w:tc>
          <w:tcPr>
            <w:tcW w:w="39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934C02" w:rsidRPr="00934C02" w:rsidRDefault="00934C02" w:rsidP="00934C02">
            <w:pPr>
              <w:spacing w:after="0" w:line="240" w:lineRule="auto"/>
              <w:jc w:val="both"/>
              <w:rPr>
                <w:rFonts w:ascii="Arial" w:eastAsia="Calibri" w:hAnsi="Arial" w:cs="Arial"/>
                <w:sz w:val="24"/>
                <w:szCs w:val="24"/>
              </w:rPr>
            </w:pPr>
          </w:p>
        </w:tc>
        <w:tc>
          <w:tcPr>
            <w:tcW w:w="1527" w:type="dxa"/>
            <w:tcBorders>
              <w:top w:val="single" w:sz="8" w:space="0" w:color="auto"/>
              <w:left w:val="nil"/>
              <w:bottom w:val="single" w:sz="8" w:space="0" w:color="auto"/>
              <w:right w:val="nil"/>
            </w:tcBorders>
            <w:tcMar>
              <w:top w:w="0" w:type="dxa"/>
              <w:left w:w="108" w:type="dxa"/>
              <w:bottom w:w="0" w:type="dxa"/>
              <w:right w:w="108" w:type="dxa"/>
            </w:tcMar>
            <w:vAlign w:val="center"/>
          </w:tcPr>
          <w:p w:rsidR="00934C02" w:rsidRPr="00934C02" w:rsidRDefault="00934C02" w:rsidP="00934C02">
            <w:pPr>
              <w:spacing w:after="0" w:line="240" w:lineRule="auto"/>
              <w:jc w:val="both"/>
              <w:rPr>
                <w:rFonts w:ascii="Arial" w:eastAsia="Calibri" w:hAnsi="Arial" w:cs="Arial"/>
                <w:sz w:val="24"/>
                <w:szCs w:val="24"/>
              </w:rPr>
            </w:pPr>
            <w:r w:rsidRPr="00934C02">
              <w:rPr>
                <w:rFonts w:ascii="Arial" w:eastAsia="Calibri" w:hAnsi="Arial" w:cs="Arial"/>
                <w:color w:val="000000"/>
                <w:sz w:val="24"/>
                <w:szCs w:val="24"/>
              </w:rPr>
              <w:t>2012</w:t>
            </w:r>
          </w:p>
        </w:tc>
        <w:tc>
          <w:tcPr>
            <w:tcW w:w="22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934C02" w:rsidRPr="00934C02" w:rsidRDefault="00934C02" w:rsidP="00934C02">
            <w:pPr>
              <w:spacing w:after="0" w:line="240" w:lineRule="auto"/>
              <w:jc w:val="both"/>
              <w:rPr>
                <w:rFonts w:ascii="Arial" w:eastAsia="Calibri" w:hAnsi="Arial" w:cs="Arial"/>
                <w:sz w:val="24"/>
                <w:szCs w:val="24"/>
              </w:rPr>
            </w:pPr>
          </w:p>
        </w:tc>
        <w:tc>
          <w:tcPr>
            <w:tcW w:w="146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934C02" w:rsidRPr="00934C02" w:rsidRDefault="00934C02" w:rsidP="00934C02">
            <w:pPr>
              <w:spacing w:after="0" w:line="240" w:lineRule="auto"/>
              <w:jc w:val="both"/>
              <w:rPr>
                <w:rFonts w:ascii="Arial" w:eastAsia="Calibri" w:hAnsi="Arial" w:cs="Arial"/>
                <w:sz w:val="24"/>
                <w:szCs w:val="24"/>
              </w:rPr>
            </w:pPr>
            <w:r w:rsidRPr="00934C02">
              <w:rPr>
                <w:rFonts w:ascii="Arial" w:eastAsia="Calibri" w:hAnsi="Arial" w:cs="Arial"/>
                <w:sz w:val="24"/>
                <w:szCs w:val="24"/>
              </w:rPr>
              <w:t>2013</w:t>
            </w:r>
          </w:p>
        </w:tc>
        <w:tc>
          <w:tcPr>
            <w:tcW w:w="132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934C02" w:rsidRPr="00934C02" w:rsidRDefault="00934C02" w:rsidP="00934C02">
            <w:pPr>
              <w:spacing w:after="0" w:line="240" w:lineRule="auto"/>
              <w:jc w:val="both"/>
              <w:rPr>
                <w:rFonts w:ascii="Arial" w:eastAsia="Calibri" w:hAnsi="Arial" w:cs="Arial"/>
                <w:sz w:val="24"/>
                <w:szCs w:val="24"/>
              </w:rPr>
            </w:pPr>
            <w:r w:rsidRPr="00934C02">
              <w:rPr>
                <w:rFonts w:ascii="Arial" w:eastAsia="Calibri" w:hAnsi="Arial" w:cs="Arial"/>
                <w:sz w:val="24"/>
                <w:szCs w:val="24"/>
              </w:rPr>
              <w:t>2014</w:t>
            </w:r>
          </w:p>
        </w:tc>
      </w:tr>
      <w:tr w:rsidR="00934C02" w:rsidRPr="00934C02" w:rsidTr="00934C02">
        <w:trPr>
          <w:trHeight w:val="109"/>
        </w:trPr>
        <w:tc>
          <w:tcPr>
            <w:tcW w:w="0" w:type="auto"/>
            <w:vMerge/>
            <w:tcBorders>
              <w:top w:val="single" w:sz="8" w:space="0" w:color="auto"/>
              <w:left w:val="single" w:sz="8" w:space="0" w:color="auto"/>
              <w:bottom w:val="single" w:sz="8" w:space="0" w:color="auto"/>
              <w:right w:val="single" w:sz="8" w:space="0" w:color="auto"/>
            </w:tcBorders>
            <w:vAlign w:val="center"/>
            <w:hideMark/>
          </w:tcPr>
          <w:p w:rsidR="00934C02" w:rsidRPr="00934C02" w:rsidRDefault="00934C02" w:rsidP="00934C02">
            <w:pPr>
              <w:spacing w:after="0" w:line="240" w:lineRule="auto"/>
              <w:jc w:val="both"/>
              <w:rPr>
                <w:rFonts w:ascii="Arial" w:eastAsia="Calibri" w:hAnsi="Arial" w:cs="Arial"/>
                <w:sz w:val="24"/>
                <w:szCs w:val="24"/>
              </w:rPr>
            </w:pPr>
          </w:p>
        </w:tc>
        <w:tc>
          <w:tcPr>
            <w:tcW w:w="1071" w:type="dxa"/>
            <w:tcBorders>
              <w:top w:val="nil"/>
              <w:left w:val="nil"/>
              <w:bottom w:val="single" w:sz="8" w:space="0" w:color="auto"/>
              <w:right w:val="nil"/>
            </w:tcBorders>
            <w:vAlign w:val="center"/>
          </w:tcPr>
          <w:p w:rsidR="00934C02" w:rsidRPr="00934C02" w:rsidRDefault="00934C02" w:rsidP="00934C02">
            <w:pPr>
              <w:spacing w:after="0" w:line="240" w:lineRule="auto"/>
              <w:jc w:val="both"/>
              <w:rPr>
                <w:rFonts w:ascii="Arial" w:eastAsia="Calibri" w:hAnsi="Arial" w:cs="Arial"/>
                <w:sz w:val="24"/>
                <w:szCs w:val="24"/>
              </w:rPr>
            </w:pPr>
            <w:r w:rsidRPr="00934C02">
              <w:rPr>
                <w:rFonts w:ascii="Arial" w:eastAsia="Calibri" w:hAnsi="Arial" w:cs="Arial"/>
                <w:color w:val="000000"/>
                <w:sz w:val="24"/>
                <w:szCs w:val="24"/>
              </w:rPr>
              <w:t>Total</w:t>
            </w:r>
          </w:p>
        </w:tc>
        <w:tc>
          <w:tcPr>
            <w:tcW w:w="68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34C02" w:rsidRPr="00934C02" w:rsidRDefault="00934C02" w:rsidP="00934C02">
            <w:pPr>
              <w:spacing w:after="0" w:line="240" w:lineRule="auto"/>
              <w:jc w:val="both"/>
              <w:rPr>
                <w:rFonts w:ascii="Arial" w:eastAsia="Calibri" w:hAnsi="Arial" w:cs="Arial"/>
                <w:sz w:val="24"/>
                <w:szCs w:val="24"/>
              </w:rPr>
            </w:pPr>
          </w:p>
        </w:tc>
        <w:tc>
          <w:tcPr>
            <w:tcW w:w="1347" w:type="dxa"/>
            <w:tcBorders>
              <w:top w:val="nil"/>
              <w:left w:val="nil"/>
              <w:bottom w:val="single" w:sz="8" w:space="0" w:color="auto"/>
              <w:right w:val="nil"/>
            </w:tcBorders>
            <w:tcMar>
              <w:top w:w="0" w:type="dxa"/>
              <w:left w:w="108" w:type="dxa"/>
              <w:bottom w:w="0" w:type="dxa"/>
              <w:right w:w="108" w:type="dxa"/>
            </w:tcMar>
            <w:vAlign w:val="center"/>
          </w:tcPr>
          <w:p w:rsidR="00934C02" w:rsidRPr="00934C02" w:rsidRDefault="00934C02" w:rsidP="00934C02">
            <w:pPr>
              <w:spacing w:after="0" w:line="240" w:lineRule="auto"/>
              <w:jc w:val="both"/>
              <w:rPr>
                <w:rFonts w:ascii="Arial" w:eastAsia="Calibri" w:hAnsi="Arial" w:cs="Arial"/>
                <w:sz w:val="24"/>
                <w:szCs w:val="24"/>
              </w:rPr>
            </w:pPr>
            <w:r w:rsidRPr="00934C02">
              <w:rPr>
                <w:rFonts w:ascii="Arial" w:eastAsia="Calibri" w:hAnsi="Arial" w:cs="Arial"/>
                <w:color w:val="000000"/>
                <w:sz w:val="24"/>
                <w:szCs w:val="24"/>
              </w:rPr>
              <w:t>Total</w:t>
            </w:r>
          </w:p>
        </w:tc>
        <w:tc>
          <w:tcPr>
            <w:tcW w:w="3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34C02" w:rsidRPr="00934C02" w:rsidRDefault="00934C02" w:rsidP="00934C02">
            <w:pPr>
              <w:spacing w:after="0" w:line="240" w:lineRule="auto"/>
              <w:jc w:val="both"/>
              <w:rPr>
                <w:rFonts w:ascii="Arial" w:eastAsia="Calibri" w:hAnsi="Arial" w:cs="Arial"/>
                <w:sz w:val="24"/>
                <w:szCs w:val="24"/>
              </w:rPr>
            </w:pPr>
          </w:p>
        </w:tc>
        <w:tc>
          <w:tcPr>
            <w:tcW w:w="1527" w:type="dxa"/>
            <w:tcBorders>
              <w:top w:val="nil"/>
              <w:left w:val="nil"/>
              <w:bottom w:val="single" w:sz="8" w:space="0" w:color="auto"/>
              <w:right w:val="nil"/>
            </w:tcBorders>
            <w:tcMar>
              <w:top w:w="0" w:type="dxa"/>
              <w:left w:w="108" w:type="dxa"/>
              <w:bottom w:w="0" w:type="dxa"/>
              <w:right w:w="108" w:type="dxa"/>
            </w:tcMar>
            <w:vAlign w:val="center"/>
          </w:tcPr>
          <w:p w:rsidR="00934C02" w:rsidRPr="00934C02" w:rsidRDefault="00934C02" w:rsidP="00934C02">
            <w:pPr>
              <w:spacing w:after="0" w:line="240" w:lineRule="auto"/>
              <w:jc w:val="both"/>
              <w:rPr>
                <w:rFonts w:ascii="Arial" w:eastAsia="Calibri" w:hAnsi="Arial" w:cs="Arial"/>
                <w:sz w:val="24"/>
                <w:szCs w:val="24"/>
              </w:rPr>
            </w:pPr>
            <w:r w:rsidRPr="00934C02">
              <w:rPr>
                <w:rFonts w:ascii="Arial" w:eastAsia="Calibri" w:hAnsi="Arial" w:cs="Arial"/>
                <w:color w:val="000000"/>
                <w:sz w:val="24"/>
                <w:szCs w:val="24"/>
              </w:rPr>
              <w:t>Total</w:t>
            </w:r>
          </w:p>
        </w:tc>
        <w:tc>
          <w:tcPr>
            <w:tcW w:w="2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34C02" w:rsidRPr="00934C02" w:rsidRDefault="00934C02" w:rsidP="00934C02">
            <w:pPr>
              <w:spacing w:after="0" w:line="240" w:lineRule="auto"/>
              <w:jc w:val="both"/>
              <w:rPr>
                <w:rFonts w:ascii="Arial" w:eastAsia="Calibri" w:hAnsi="Arial" w:cs="Arial"/>
                <w:sz w:val="24"/>
                <w:szCs w:val="24"/>
              </w:rPr>
            </w:pPr>
          </w:p>
        </w:tc>
        <w:tc>
          <w:tcPr>
            <w:tcW w:w="14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34C02" w:rsidRPr="00934C02" w:rsidRDefault="00934C02" w:rsidP="00934C02">
            <w:pPr>
              <w:spacing w:after="0" w:line="240" w:lineRule="auto"/>
              <w:jc w:val="both"/>
              <w:rPr>
                <w:rFonts w:ascii="Arial" w:eastAsia="Calibri" w:hAnsi="Arial" w:cs="Arial"/>
                <w:sz w:val="24"/>
                <w:szCs w:val="24"/>
              </w:rPr>
            </w:pPr>
            <w:r w:rsidRPr="00934C02">
              <w:rPr>
                <w:rFonts w:ascii="Arial" w:eastAsia="Calibri" w:hAnsi="Arial" w:cs="Arial"/>
                <w:color w:val="000000"/>
                <w:sz w:val="24"/>
                <w:szCs w:val="24"/>
              </w:rPr>
              <w:t>Total</w:t>
            </w:r>
          </w:p>
        </w:tc>
        <w:tc>
          <w:tcPr>
            <w:tcW w:w="13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34C02" w:rsidRPr="00934C02" w:rsidRDefault="00934C02" w:rsidP="00934C02">
            <w:pPr>
              <w:spacing w:after="0" w:line="240" w:lineRule="auto"/>
              <w:jc w:val="both"/>
              <w:rPr>
                <w:rFonts w:ascii="Arial" w:eastAsia="Calibri" w:hAnsi="Arial" w:cs="Arial"/>
                <w:sz w:val="24"/>
                <w:szCs w:val="24"/>
              </w:rPr>
            </w:pPr>
            <w:r w:rsidRPr="00934C02">
              <w:rPr>
                <w:rFonts w:ascii="Arial" w:eastAsia="Calibri" w:hAnsi="Arial" w:cs="Arial"/>
                <w:color w:val="000000"/>
                <w:sz w:val="24"/>
                <w:szCs w:val="24"/>
              </w:rPr>
              <w:t>Total</w:t>
            </w:r>
          </w:p>
        </w:tc>
      </w:tr>
      <w:tr w:rsidR="00934C02" w:rsidRPr="00934C02" w:rsidTr="00934C02">
        <w:trPr>
          <w:trHeight w:val="636"/>
        </w:trPr>
        <w:tc>
          <w:tcPr>
            <w:tcW w:w="21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34C02" w:rsidRPr="00934C02" w:rsidRDefault="00934C02" w:rsidP="00934C02">
            <w:pPr>
              <w:spacing w:after="0" w:line="240" w:lineRule="auto"/>
              <w:jc w:val="both"/>
              <w:rPr>
                <w:rFonts w:ascii="Arial" w:eastAsia="Calibri" w:hAnsi="Arial" w:cs="Arial"/>
                <w:sz w:val="24"/>
                <w:szCs w:val="24"/>
              </w:rPr>
            </w:pPr>
            <w:r w:rsidRPr="00934C02">
              <w:rPr>
                <w:rFonts w:ascii="Arial" w:eastAsia="Calibri" w:hAnsi="Arial" w:cs="Arial"/>
                <w:color w:val="000000"/>
                <w:sz w:val="24"/>
                <w:szCs w:val="24"/>
              </w:rPr>
              <w:t>Obiectiv de reutilizare si reciclare (X1/W1) %</w:t>
            </w:r>
          </w:p>
        </w:tc>
        <w:tc>
          <w:tcPr>
            <w:tcW w:w="1071" w:type="dxa"/>
            <w:tcBorders>
              <w:top w:val="nil"/>
              <w:left w:val="nil"/>
              <w:bottom w:val="single" w:sz="8" w:space="0" w:color="auto"/>
              <w:right w:val="nil"/>
            </w:tcBorders>
            <w:tcMar>
              <w:top w:w="0" w:type="dxa"/>
              <w:left w:w="108" w:type="dxa"/>
              <w:bottom w:w="0" w:type="dxa"/>
              <w:right w:w="108" w:type="dxa"/>
            </w:tcMar>
            <w:vAlign w:val="center"/>
          </w:tcPr>
          <w:p w:rsidR="00934C02" w:rsidRPr="00934C02" w:rsidRDefault="00934C02" w:rsidP="00934C02">
            <w:pPr>
              <w:spacing w:after="0" w:line="240" w:lineRule="auto"/>
              <w:jc w:val="both"/>
              <w:rPr>
                <w:rFonts w:ascii="Arial" w:eastAsia="Calibri" w:hAnsi="Arial" w:cs="Arial"/>
                <w:sz w:val="24"/>
                <w:szCs w:val="24"/>
              </w:rPr>
            </w:pPr>
            <w:r w:rsidRPr="00934C02">
              <w:rPr>
                <w:rFonts w:ascii="Arial" w:eastAsia="Calibri" w:hAnsi="Arial" w:cs="Arial"/>
                <w:color w:val="000000"/>
                <w:sz w:val="24"/>
                <w:szCs w:val="24"/>
              </w:rPr>
              <w:t>80,9</w:t>
            </w:r>
          </w:p>
        </w:tc>
        <w:tc>
          <w:tcPr>
            <w:tcW w:w="6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34C02" w:rsidRPr="00934C02" w:rsidRDefault="00934C02" w:rsidP="00934C02">
            <w:pPr>
              <w:spacing w:after="0" w:line="240" w:lineRule="auto"/>
              <w:jc w:val="right"/>
              <w:rPr>
                <w:rFonts w:ascii="Arial" w:eastAsia="Calibri" w:hAnsi="Arial" w:cs="Arial"/>
                <w:sz w:val="24"/>
                <w:szCs w:val="24"/>
              </w:rPr>
            </w:pPr>
          </w:p>
        </w:tc>
        <w:tc>
          <w:tcPr>
            <w:tcW w:w="1347" w:type="dxa"/>
            <w:tcBorders>
              <w:top w:val="nil"/>
              <w:left w:val="nil"/>
              <w:bottom w:val="single" w:sz="8" w:space="0" w:color="auto"/>
              <w:right w:val="nil"/>
            </w:tcBorders>
            <w:tcMar>
              <w:top w:w="0" w:type="dxa"/>
              <w:left w:w="108" w:type="dxa"/>
              <w:bottom w:w="0" w:type="dxa"/>
              <w:right w:w="108" w:type="dxa"/>
            </w:tcMar>
            <w:vAlign w:val="center"/>
          </w:tcPr>
          <w:p w:rsidR="00934C02" w:rsidRPr="00934C02" w:rsidRDefault="00934C02" w:rsidP="00934C02">
            <w:pPr>
              <w:spacing w:after="0" w:line="240" w:lineRule="auto"/>
              <w:jc w:val="both"/>
              <w:rPr>
                <w:rFonts w:ascii="Arial" w:eastAsia="Calibri" w:hAnsi="Arial" w:cs="Arial"/>
                <w:sz w:val="24"/>
                <w:szCs w:val="24"/>
              </w:rPr>
            </w:pPr>
            <w:r w:rsidRPr="00934C02">
              <w:rPr>
                <w:rFonts w:ascii="Arial" w:eastAsia="Calibri" w:hAnsi="Arial" w:cs="Arial"/>
                <w:color w:val="000000"/>
                <w:sz w:val="24"/>
                <w:szCs w:val="24"/>
              </w:rPr>
              <w:t>82,9</w:t>
            </w:r>
          </w:p>
        </w:tc>
        <w:tc>
          <w:tcPr>
            <w:tcW w:w="3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34C02" w:rsidRPr="00934C02" w:rsidRDefault="00934C02" w:rsidP="00934C02">
            <w:pPr>
              <w:spacing w:after="0" w:line="240" w:lineRule="auto"/>
              <w:jc w:val="right"/>
              <w:rPr>
                <w:rFonts w:ascii="Arial" w:eastAsia="Calibri" w:hAnsi="Arial" w:cs="Arial"/>
                <w:sz w:val="24"/>
                <w:szCs w:val="24"/>
              </w:rPr>
            </w:pPr>
          </w:p>
        </w:tc>
        <w:tc>
          <w:tcPr>
            <w:tcW w:w="1527" w:type="dxa"/>
            <w:tcBorders>
              <w:top w:val="nil"/>
              <w:left w:val="nil"/>
              <w:bottom w:val="single" w:sz="8" w:space="0" w:color="auto"/>
              <w:right w:val="nil"/>
            </w:tcBorders>
            <w:tcMar>
              <w:top w:w="0" w:type="dxa"/>
              <w:left w:w="108" w:type="dxa"/>
              <w:bottom w:w="0" w:type="dxa"/>
              <w:right w:w="108" w:type="dxa"/>
            </w:tcMar>
            <w:vAlign w:val="center"/>
          </w:tcPr>
          <w:p w:rsidR="00934C02" w:rsidRPr="00934C02" w:rsidRDefault="00934C02" w:rsidP="00934C02">
            <w:pPr>
              <w:spacing w:after="0" w:line="240" w:lineRule="auto"/>
              <w:jc w:val="both"/>
              <w:rPr>
                <w:rFonts w:ascii="Arial" w:eastAsia="Calibri" w:hAnsi="Arial" w:cs="Arial"/>
                <w:sz w:val="24"/>
                <w:szCs w:val="24"/>
              </w:rPr>
            </w:pPr>
            <w:r w:rsidRPr="00934C02">
              <w:rPr>
                <w:rFonts w:ascii="Arial" w:eastAsia="Calibri" w:hAnsi="Arial" w:cs="Arial"/>
                <w:color w:val="000000"/>
                <w:sz w:val="24"/>
                <w:szCs w:val="24"/>
              </w:rPr>
              <w:t>83,81</w:t>
            </w:r>
          </w:p>
        </w:tc>
        <w:tc>
          <w:tcPr>
            <w:tcW w:w="2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34C02" w:rsidRPr="00934C02" w:rsidRDefault="00934C02" w:rsidP="00934C02">
            <w:pPr>
              <w:spacing w:after="0" w:line="240" w:lineRule="auto"/>
              <w:jc w:val="right"/>
              <w:rPr>
                <w:rFonts w:ascii="Arial" w:eastAsia="Calibri" w:hAnsi="Arial" w:cs="Arial"/>
                <w:sz w:val="24"/>
                <w:szCs w:val="24"/>
              </w:rPr>
            </w:pPr>
          </w:p>
        </w:tc>
        <w:tc>
          <w:tcPr>
            <w:tcW w:w="14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34C02" w:rsidRPr="00934C02" w:rsidRDefault="00934C02" w:rsidP="00934C02">
            <w:pPr>
              <w:spacing w:after="0" w:line="240" w:lineRule="auto"/>
              <w:jc w:val="both"/>
              <w:rPr>
                <w:rFonts w:ascii="Arial" w:eastAsia="Calibri" w:hAnsi="Arial" w:cs="Arial"/>
                <w:sz w:val="24"/>
                <w:szCs w:val="24"/>
              </w:rPr>
            </w:pPr>
            <w:r w:rsidRPr="00934C02">
              <w:rPr>
                <w:rFonts w:ascii="Arial" w:eastAsia="Calibri" w:hAnsi="Arial" w:cs="Arial"/>
                <w:sz w:val="24"/>
                <w:szCs w:val="24"/>
              </w:rPr>
              <w:t>83,76</w:t>
            </w:r>
          </w:p>
        </w:tc>
        <w:tc>
          <w:tcPr>
            <w:tcW w:w="13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34C02" w:rsidRPr="00934C02" w:rsidRDefault="00934C02" w:rsidP="00934C02">
            <w:pPr>
              <w:spacing w:after="0" w:line="240" w:lineRule="auto"/>
              <w:jc w:val="both"/>
              <w:rPr>
                <w:rFonts w:ascii="Arial" w:eastAsia="Calibri" w:hAnsi="Arial" w:cs="Arial"/>
                <w:sz w:val="24"/>
                <w:szCs w:val="24"/>
              </w:rPr>
            </w:pPr>
            <w:r w:rsidRPr="00934C02">
              <w:rPr>
                <w:rFonts w:ascii="Arial" w:eastAsia="Calibri" w:hAnsi="Arial" w:cs="Arial"/>
                <w:sz w:val="24"/>
                <w:szCs w:val="24"/>
              </w:rPr>
              <w:t>84,07</w:t>
            </w:r>
          </w:p>
        </w:tc>
      </w:tr>
      <w:tr w:rsidR="00934C02" w:rsidRPr="00934C02" w:rsidTr="00934C02">
        <w:trPr>
          <w:trHeight w:val="523"/>
        </w:trPr>
        <w:tc>
          <w:tcPr>
            <w:tcW w:w="21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34C02" w:rsidRPr="00934C02" w:rsidRDefault="00934C02" w:rsidP="00934C02">
            <w:pPr>
              <w:spacing w:after="0" w:line="240" w:lineRule="auto"/>
              <w:jc w:val="both"/>
              <w:rPr>
                <w:rFonts w:ascii="Arial" w:eastAsia="Calibri" w:hAnsi="Arial" w:cs="Arial"/>
                <w:sz w:val="24"/>
                <w:szCs w:val="24"/>
              </w:rPr>
            </w:pPr>
            <w:r w:rsidRPr="00934C02">
              <w:rPr>
                <w:rFonts w:ascii="Arial" w:eastAsia="Calibri" w:hAnsi="Arial" w:cs="Arial"/>
                <w:color w:val="000000"/>
                <w:sz w:val="24"/>
                <w:szCs w:val="24"/>
              </w:rPr>
              <w:t xml:space="preserve">Obiectiv de reutilizare si valorificare (X2/W1) % </w:t>
            </w:r>
          </w:p>
        </w:tc>
        <w:tc>
          <w:tcPr>
            <w:tcW w:w="1071" w:type="dxa"/>
            <w:tcBorders>
              <w:top w:val="nil"/>
              <w:left w:val="nil"/>
              <w:bottom w:val="single" w:sz="8" w:space="0" w:color="auto"/>
              <w:right w:val="nil"/>
            </w:tcBorders>
            <w:tcMar>
              <w:top w:w="0" w:type="dxa"/>
              <w:left w:w="108" w:type="dxa"/>
              <w:bottom w:w="0" w:type="dxa"/>
              <w:right w:w="108" w:type="dxa"/>
            </w:tcMar>
            <w:vAlign w:val="center"/>
          </w:tcPr>
          <w:p w:rsidR="00934C02" w:rsidRPr="00934C02" w:rsidRDefault="00934C02" w:rsidP="00934C02">
            <w:pPr>
              <w:spacing w:after="0" w:line="240" w:lineRule="auto"/>
              <w:jc w:val="both"/>
              <w:rPr>
                <w:rFonts w:ascii="Arial" w:eastAsia="Calibri" w:hAnsi="Arial" w:cs="Arial"/>
                <w:sz w:val="24"/>
                <w:szCs w:val="24"/>
              </w:rPr>
            </w:pPr>
            <w:r w:rsidRPr="00934C02">
              <w:rPr>
                <w:rFonts w:ascii="Arial" w:eastAsia="Calibri" w:hAnsi="Arial" w:cs="Arial"/>
                <w:color w:val="000000"/>
                <w:sz w:val="24"/>
                <w:szCs w:val="24"/>
              </w:rPr>
              <w:t>85,5</w:t>
            </w:r>
          </w:p>
        </w:tc>
        <w:tc>
          <w:tcPr>
            <w:tcW w:w="6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34C02" w:rsidRPr="00934C02" w:rsidRDefault="00934C02" w:rsidP="00934C02">
            <w:pPr>
              <w:spacing w:after="0" w:line="240" w:lineRule="auto"/>
              <w:jc w:val="right"/>
              <w:rPr>
                <w:rFonts w:ascii="Arial" w:eastAsia="Calibri" w:hAnsi="Arial" w:cs="Arial"/>
                <w:sz w:val="24"/>
                <w:szCs w:val="24"/>
              </w:rPr>
            </w:pPr>
          </w:p>
        </w:tc>
        <w:tc>
          <w:tcPr>
            <w:tcW w:w="1347" w:type="dxa"/>
            <w:tcBorders>
              <w:top w:val="nil"/>
              <w:left w:val="nil"/>
              <w:bottom w:val="single" w:sz="8" w:space="0" w:color="auto"/>
              <w:right w:val="nil"/>
            </w:tcBorders>
            <w:tcMar>
              <w:top w:w="0" w:type="dxa"/>
              <w:left w:w="108" w:type="dxa"/>
              <w:bottom w:w="0" w:type="dxa"/>
              <w:right w:w="108" w:type="dxa"/>
            </w:tcMar>
            <w:vAlign w:val="center"/>
          </w:tcPr>
          <w:p w:rsidR="00934C02" w:rsidRPr="00934C02" w:rsidRDefault="00934C02" w:rsidP="00934C02">
            <w:pPr>
              <w:spacing w:after="0" w:line="240" w:lineRule="auto"/>
              <w:jc w:val="both"/>
              <w:rPr>
                <w:rFonts w:ascii="Arial" w:eastAsia="Calibri" w:hAnsi="Arial" w:cs="Arial"/>
                <w:sz w:val="24"/>
                <w:szCs w:val="24"/>
              </w:rPr>
            </w:pPr>
            <w:r w:rsidRPr="00934C02">
              <w:rPr>
                <w:rFonts w:ascii="Arial" w:eastAsia="Calibri" w:hAnsi="Arial" w:cs="Arial"/>
                <w:color w:val="000000"/>
                <w:sz w:val="24"/>
                <w:szCs w:val="24"/>
              </w:rPr>
              <w:t>86,8</w:t>
            </w:r>
          </w:p>
        </w:tc>
        <w:tc>
          <w:tcPr>
            <w:tcW w:w="39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34C02" w:rsidRPr="00934C02" w:rsidRDefault="00934C02" w:rsidP="00934C02">
            <w:pPr>
              <w:spacing w:after="0" w:line="240" w:lineRule="auto"/>
              <w:jc w:val="right"/>
              <w:rPr>
                <w:rFonts w:ascii="Arial" w:eastAsia="Calibri" w:hAnsi="Arial" w:cs="Arial"/>
                <w:sz w:val="24"/>
                <w:szCs w:val="24"/>
              </w:rPr>
            </w:pPr>
          </w:p>
        </w:tc>
        <w:tc>
          <w:tcPr>
            <w:tcW w:w="1527" w:type="dxa"/>
            <w:tcBorders>
              <w:top w:val="nil"/>
              <w:left w:val="nil"/>
              <w:bottom w:val="single" w:sz="8" w:space="0" w:color="auto"/>
              <w:right w:val="nil"/>
            </w:tcBorders>
            <w:tcMar>
              <w:top w:w="0" w:type="dxa"/>
              <w:left w:w="108" w:type="dxa"/>
              <w:bottom w:w="0" w:type="dxa"/>
              <w:right w:w="108" w:type="dxa"/>
            </w:tcMar>
            <w:vAlign w:val="center"/>
          </w:tcPr>
          <w:p w:rsidR="00934C02" w:rsidRPr="00934C02" w:rsidRDefault="00934C02" w:rsidP="00934C02">
            <w:pPr>
              <w:spacing w:after="0" w:line="240" w:lineRule="auto"/>
              <w:jc w:val="both"/>
              <w:rPr>
                <w:rFonts w:ascii="Arial" w:eastAsia="Calibri" w:hAnsi="Arial" w:cs="Arial"/>
                <w:sz w:val="24"/>
                <w:szCs w:val="24"/>
              </w:rPr>
            </w:pPr>
            <w:r w:rsidRPr="00934C02">
              <w:rPr>
                <w:rFonts w:ascii="Arial" w:eastAsia="Calibri" w:hAnsi="Arial" w:cs="Arial"/>
                <w:color w:val="000000"/>
                <w:sz w:val="24"/>
                <w:szCs w:val="24"/>
              </w:rPr>
              <w:t>86,26</w:t>
            </w:r>
          </w:p>
        </w:tc>
        <w:tc>
          <w:tcPr>
            <w:tcW w:w="22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34C02" w:rsidRPr="00934C02" w:rsidRDefault="00934C02" w:rsidP="00934C02">
            <w:pPr>
              <w:spacing w:after="0" w:line="240" w:lineRule="auto"/>
              <w:jc w:val="right"/>
              <w:rPr>
                <w:rFonts w:ascii="Arial" w:eastAsia="Calibri" w:hAnsi="Arial" w:cs="Arial"/>
                <w:sz w:val="24"/>
                <w:szCs w:val="24"/>
              </w:rPr>
            </w:pPr>
          </w:p>
        </w:tc>
        <w:tc>
          <w:tcPr>
            <w:tcW w:w="146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34C02" w:rsidRPr="00934C02" w:rsidRDefault="00934C02" w:rsidP="00934C02">
            <w:pPr>
              <w:spacing w:after="0" w:line="240" w:lineRule="auto"/>
              <w:jc w:val="both"/>
              <w:rPr>
                <w:rFonts w:ascii="Arial" w:eastAsia="Calibri" w:hAnsi="Arial" w:cs="Arial"/>
                <w:sz w:val="24"/>
                <w:szCs w:val="24"/>
              </w:rPr>
            </w:pPr>
            <w:r w:rsidRPr="00934C02">
              <w:rPr>
                <w:rFonts w:ascii="Arial" w:eastAsia="Calibri" w:hAnsi="Arial" w:cs="Arial"/>
                <w:sz w:val="24"/>
                <w:szCs w:val="24"/>
              </w:rPr>
              <w:t>87,39</w:t>
            </w:r>
          </w:p>
        </w:tc>
        <w:tc>
          <w:tcPr>
            <w:tcW w:w="132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934C02" w:rsidRPr="00934C02" w:rsidRDefault="00934C02" w:rsidP="00934C02">
            <w:pPr>
              <w:spacing w:after="0" w:line="240" w:lineRule="auto"/>
              <w:jc w:val="both"/>
              <w:rPr>
                <w:rFonts w:ascii="Arial" w:eastAsia="Calibri" w:hAnsi="Arial" w:cs="Arial"/>
                <w:sz w:val="24"/>
                <w:szCs w:val="24"/>
              </w:rPr>
            </w:pPr>
            <w:r w:rsidRPr="00934C02">
              <w:rPr>
                <w:rFonts w:ascii="Arial" w:eastAsia="Calibri" w:hAnsi="Arial" w:cs="Arial"/>
                <w:sz w:val="24"/>
                <w:szCs w:val="24"/>
              </w:rPr>
              <w:t>88,49</w:t>
            </w:r>
          </w:p>
        </w:tc>
      </w:tr>
    </w:tbl>
    <w:p w:rsidR="00934C02" w:rsidRPr="00934C02" w:rsidRDefault="00934C02" w:rsidP="00934C02">
      <w:pPr>
        <w:jc w:val="both"/>
        <w:rPr>
          <w:rFonts w:ascii="Arial" w:hAnsi="Arial" w:cs="Arial"/>
        </w:rPr>
      </w:pPr>
    </w:p>
    <w:p w:rsidR="00934C02" w:rsidRPr="00934C02" w:rsidRDefault="00934C02" w:rsidP="00934C02"/>
    <w:p w:rsidR="002403BF" w:rsidRDefault="002403BF" w:rsidP="00830DBB">
      <w:pPr>
        <w:autoSpaceDE w:val="0"/>
        <w:autoSpaceDN w:val="0"/>
        <w:adjustRightInd w:val="0"/>
        <w:spacing w:after="120" w:line="240" w:lineRule="auto"/>
        <w:jc w:val="both"/>
        <w:rPr>
          <w:rFonts w:ascii="Arial" w:eastAsia="SimSun" w:hAnsi="Arial" w:cs="Arial"/>
          <w:color w:val="000000" w:themeColor="text1"/>
          <w:sz w:val="24"/>
          <w:szCs w:val="24"/>
          <w:lang w:val="en-GB"/>
        </w:rPr>
      </w:pPr>
    </w:p>
    <w:p w:rsidR="00934C02" w:rsidRDefault="00934C02" w:rsidP="00830DBB">
      <w:pPr>
        <w:autoSpaceDE w:val="0"/>
        <w:autoSpaceDN w:val="0"/>
        <w:adjustRightInd w:val="0"/>
        <w:spacing w:after="120" w:line="240" w:lineRule="auto"/>
        <w:jc w:val="both"/>
        <w:rPr>
          <w:rFonts w:ascii="Arial" w:eastAsia="SimSun" w:hAnsi="Arial" w:cs="Arial"/>
          <w:color w:val="000000" w:themeColor="text1"/>
          <w:sz w:val="24"/>
          <w:szCs w:val="24"/>
          <w:lang w:val="en-GB"/>
        </w:rPr>
      </w:pPr>
    </w:p>
    <w:p w:rsidR="00444864" w:rsidRDefault="00444864" w:rsidP="00830DBB">
      <w:pPr>
        <w:autoSpaceDE w:val="0"/>
        <w:autoSpaceDN w:val="0"/>
        <w:adjustRightInd w:val="0"/>
        <w:spacing w:after="120" w:line="240" w:lineRule="auto"/>
        <w:jc w:val="both"/>
        <w:rPr>
          <w:rFonts w:ascii="Arial" w:eastAsia="SimSun" w:hAnsi="Arial" w:cs="Arial"/>
          <w:color w:val="000000" w:themeColor="text1"/>
          <w:sz w:val="24"/>
          <w:szCs w:val="24"/>
          <w:lang w:val="en-GB"/>
        </w:rPr>
      </w:pPr>
    </w:p>
    <w:p w:rsidR="00934C02" w:rsidRDefault="00934C02" w:rsidP="00934C02">
      <w:pPr>
        <w:spacing w:after="0" w:line="240" w:lineRule="auto"/>
        <w:jc w:val="center"/>
        <w:rPr>
          <w:rFonts w:ascii="Arial" w:eastAsia="SimSun" w:hAnsi="Arial" w:cs="Arial"/>
          <w:b/>
          <w:sz w:val="24"/>
          <w:szCs w:val="24"/>
          <w:lang w:val="ro-RO"/>
        </w:rPr>
      </w:pPr>
      <w:r w:rsidRPr="00934C02">
        <w:rPr>
          <w:rFonts w:ascii="Arial" w:eastAsia="SimSun" w:hAnsi="Arial" w:cs="Arial"/>
          <w:b/>
          <w:sz w:val="24"/>
          <w:szCs w:val="24"/>
          <w:lang w:val="ro-RO"/>
        </w:rPr>
        <w:lastRenderedPageBreak/>
        <w:t>CAPITOLUL VIII.  MEDIUL URBAN, SĂNĂTATEA ŞI CALITATEA VIEŢII</w:t>
      </w:r>
    </w:p>
    <w:p w:rsidR="00855393" w:rsidRPr="00934C02" w:rsidRDefault="00855393" w:rsidP="00934C02">
      <w:pPr>
        <w:spacing w:after="0" w:line="240" w:lineRule="auto"/>
        <w:jc w:val="center"/>
        <w:rPr>
          <w:rFonts w:ascii="Arial" w:eastAsia="SimSun" w:hAnsi="Arial" w:cs="Arial"/>
          <w:b/>
          <w:sz w:val="24"/>
          <w:szCs w:val="24"/>
          <w:lang w:val="ro-RO"/>
        </w:rPr>
      </w:pPr>
    </w:p>
    <w:p w:rsidR="00934C02" w:rsidRPr="00934C02" w:rsidRDefault="00934C02" w:rsidP="00934C02">
      <w:pPr>
        <w:spacing w:after="0" w:line="240" w:lineRule="auto"/>
        <w:jc w:val="center"/>
        <w:rPr>
          <w:rFonts w:ascii="Times New Roman" w:eastAsia="SimSun" w:hAnsi="Times New Roman" w:cs="Times New Roman"/>
          <w:b/>
          <w:sz w:val="26"/>
          <w:szCs w:val="26"/>
          <w:lang w:val="ro-RO"/>
        </w:rPr>
      </w:pPr>
    </w:p>
    <w:p w:rsidR="00934C02" w:rsidRPr="00934C02" w:rsidRDefault="00934C02" w:rsidP="00934C02">
      <w:pPr>
        <w:spacing w:after="0" w:line="240" w:lineRule="auto"/>
        <w:ind w:left="142"/>
        <w:rPr>
          <w:rFonts w:ascii="Arial" w:eastAsia="SimSun" w:hAnsi="Arial" w:cs="Arial"/>
          <w:b/>
          <w:color w:val="000000"/>
          <w:sz w:val="24"/>
          <w:szCs w:val="24"/>
          <w:lang w:val="ro-RO"/>
        </w:rPr>
      </w:pPr>
      <w:r w:rsidRPr="00934C02">
        <w:rPr>
          <w:rFonts w:ascii="Arial" w:eastAsia="SimSun" w:hAnsi="Arial" w:cs="Arial"/>
          <w:b/>
          <w:sz w:val="24"/>
          <w:szCs w:val="24"/>
          <w:lang w:val="ro-RO"/>
        </w:rPr>
        <w:t>VIII</w:t>
      </w:r>
      <w:r w:rsidRPr="00934C02">
        <w:rPr>
          <w:rFonts w:ascii="Arial" w:eastAsia="SimSun" w:hAnsi="Arial" w:cs="Arial"/>
          <w:b/>
          <w:color w:val="000000"/>
          <w:sz w:val="24"/>
          <w:szCs w:val="24"/>
          <w:lang w:val="ro-RO"/>
        </w:rPr>
        <w:t xml:space="preserve">.1. Mediul urban şi calitatea vieţii: stare şi consecinţe   </w:t>
      </w:r>
    </w:p>
    <w:p w:rsidR="00934C02" w:rsidRPr="00934C02" w:rsidRDefault="00934C02" w:rsidP="00934C02">
      <w:pPr>
        <w:spacing w:after="0" w:line="240" w:lineRule="auto"/>
        <w:ind w:left="142"/>
        <w:rPr>
          <w:rFonts w:ascii="Arial" w:eastAsia="SimSun" w:hAnsi="Arial" w:cs="Arial"/>
          <w:color w:val="000000"/>
          <w:sz w:val="24"/>
          <w:szCs w:val="24"/>
          <w:shd w:val="clear" w:color="auto" w:fill="FFFFFF"/>
          <w:lang w:val="en-GB"/>
        </w:rPr>
      </w:pPr>
    </w:p>
    <w:p w:rsidR="00934C02" w:rsidRPr="00934C02" w:rsidRDefault="00934C02" w:rsidP="00934C02">
      <w:pPr>
        <w:keepNext/>
        <w:shd w:val="clear" w:color="auto" w:fill="FFFFFF"/>
        <w:spacing w:after="0" w:line="240" w:lineRule="auto"/>
        <w:ind w:left="28" w:firstLine="720"/>
        <w:jc w:val="both"/>
        <w:textAlignment w:val="baseline"/>
        <w:outlineLvl w:val="0"/>
        <w:rPr>
          <w:rFonts w:ascii="Arial" w:eastAsia="Times New Roman" w:hAnsi="Arial" w:cs="Arial"/>
          <w:color w:val="222222"/>
          <w:sz w:val="20"/>
          <w:szCs w:val="20"/>
          <w:lang w:eastAsia="ro-RO"/>
        </w:rPr>
      </w:pPr>
      <w:r w:rsidRPr="00934C02">
        <w:rPr>
          <w:rFonts w:ascii="Arial" w:eastAsia="Times New Roman" w:hAnsi="Arial" w:cs="Arial"/>
          <w:color w:val="000000"/>
          <w:sz w:val="24"/>
          <w:szCs w:val="24"/>
          <w:shd w:val="clear" w:color="auto" w:fill="FFFFFF"/>
          <w:lang w:eastAsia="ro-RO"/>
        </w:rPr>
        <w:t>Calitatea vieții, privită ca un echilibru între oportunitățile oferite de mediul urban și dezavantajele generate de acesta, este din ce în ce mai greu de asigurat, unul din motivele principale fiind costurile la nivel administrativ, pentru asigurarea unui standard ridicat pentru membrii centrelor urbane. Deși concentrarea şi aglomerarea duc la un mediu economic dinamic și cu multe oportunități, efectele unei densități foarte mari se răsfrâng în primul rând asupra mediului fizic. Pentru a menține un standard ridicat odată cu creșterea densității trebuie realizate investiții majore în echipamentele edilitare, racordarea la utilități, infrastructura de transport, spațiile publice etc. Când aceste costuri devin prea mari pentru a fi susținute de administrație, orașul își pierde din productivitate și calitatea vieții scade.</w:t>
      </w:r>
      <w:r w:rsidRPr="00934C02">
        <w:rPr>
          <w:rFonts w:ascii="Arial" w:eastAsia="Times New Roman" w:hAnsi="Arial" w:cs="Arial"/>
          <w:bCs/>
          <w:color w:val="222222"/>
          <w:sz w:val="24"/>
          <w:szCs w:val="24"/>
          <w:lang w:eastAsia="ro-RO"/>
        </w:rPr>
        <w:t xml:space="preserve"> </w:t>
      </w:r>
      <w:r w:rsidRPr="00934C02">
        <w:rPr>
          <w:rFonts w:ascii="Arial" w:eastAsia="Times New Roman" w:hAnsi="Arial" w:cs="Arial"/>
          <w:bCs/>
          <w:color w:val="000000"/>
          <w:sz w:val="20"/>
          <w:szCs w:val="20"/>
          <w:lang w:eastAsia="ro-RO"/>
        </w:rPr>
        <w:t>(Sursa: Calitatea vieții în spațiul urban contemporan din România. Studiu de caz – Locuirea colectivă în București,</w:t>
      </w:r>
      <w:r w:rsidRPr="00934C02">
        <w:rPr>
          <w:rFonts w:ascii="Arial" w:eastAsia="Times New Roman" w:hAnsi="Arial" w:cs="Arial"/>
          <w:color w:val="000000"/>
          <w:sz w:val="20"/>
          <w:szCs w:val="20"/>
          <w:shd w:val="clear" w:color="auto" w:fill="FFFFFF"/>
          <w:lang w:eastAsia="ro-RO"/>
        </w:rPr>
        <w:t> Lucian Paltanea).</w:t>
      </w:r>
    </w:p>
    <w:p w:rsidR="00934C02" w:rsidRPr="00934C02" w:rsidRDefault="00934C02" w:rsidP="00934C02">
      <w:pPr>
        <w:spacing w:after="0" w:line="240" w:lineRule="auto"/>
        <w:ind w:left="142" w:firstLine="578"/>
        <w:jc w:val="both"/>
        <w:rPr>
          <w:rFonts w:ascii="Arial" w:eastAsia="SimSun" w:hAnsi="Arial" w:cs="Arial"/>
          <w:color w:val="000000"/>
          <w:sz w:val="24"/>
          <w:szCs w:val="24"/>
          <w:lang w:val="ro-RO"/>
        </w:rPr>
      </w:pPr>
    </w:p>
    <w:p w:rsidR="00934C02" w:rsidRPr="00934C02" w:rsidRDefault="00934C02" w:rsidP="00934C02">
      <w:pPr>
        <w:tabs>
          <w:tab w:val="left" w:pos="1276"/>
        </w:tabs>
        <w:spacing w:after="0" w:line="240" w:lineRule="auto"/>
        <w:ind w:left="28"/>
        <w:rPr>
          <w:rFonts w:ascii="Arial" w:eastAsia="SimSun" w:hAnsi="Arial" w:cs="Arial"/>
          <w:b/>
          <w:i/>
          <w:color w:val="000000"/>
          <w:sz w:val="24"/>
          <w:szCs w:val="24"/>
          <w:lang w:val="ro-RO"/>
        </w:rPr>
      </w:pPr>
      <w:r w:rsidRPr="00934C02">
        <w:rPr>
          <w:rFonts w:ascii="Arial" w:eastAsia="SimSun" w:hAnsi="Arial" w:cs="Arial"/>
          <w:b/>
          <w:sz w:val="24"/>
          <w:szCs w:val="24"/>
          <w:lang w:val="ro-RO"/>
        </w:rPr>
        <w:t>VIII</w:t>
      </w:r>
      <w:r w:rsidRPr="00934C02">
        <w:rPr>
          <w:rFonts w:ascii="Arial" w:eastAsia="SimSun" w:hAnsi="Arial" w:cs="Arial"/>
          <w:b/>
          <w:i/>
          <w:color w:val="000000"/>
          <w:sz w:val="24"/>
          <w:szCs w:val="24"/>
          <w:lang w:val="ro-RO"/>
        </w:rPr>
        <w:t>.1.1. Calitatea aerului din aglomerările urbane şi efectele asupra sănătăţii - nu este cazul judeţului Vaslui</w:t>
      </w:r>
    </w:p>
    <w:p w:rsidR="00934C02" w:rsidRPr="00934C02" w:rsidRDefault="00934C02" w:rsidP="00934C02">
      <w:pPr>
        <w:spacing w:after="0" w:line="240" w:lineRule="auto"/>
        <w:ind w:left="1560" w:hanging="780"/>
        <w:rPr>
          <w:rFonts w:ascii="Arial" w:eastAsia="SimSun" w:hAnsi="Arial" w:cs="Arial"/>
          <w:color w:val="000000"/>
          <w:sz w:val="24"/>
          <w:szCs w:val="24"/>
          <w:lang w:val="ro-RO"/>
        </w:rPr>
      </w:pPr>
      <w:r w:rsidRPr="00934C02">
        <w:rPr>
          <w:rFonts w:ascii="Arial" w:eastAsia="SimSun" w:hAnsi="Arial" w:cs="Arial"/>
          <w:color w:val="000000"/>
          <w:sz w:val="24"/>
          <w:szCs w:val="24"/>
          <w:lang w:val="ro-RO"/>
        </w:rPr>
        <w:tab/>
      </w:r>
    </w:p>
    <w:p w:rsidR="00934C02" w:rsidRPr="00934C02" w:rsidRDefault="00934C02" w:rsidP="00934C02">
      <w:pPr>
        <w:tabs>
          <w:tab w:val="left" w:pos="1276"/>
        </w:tabs>
        <w:spacing w:after="0" w:line="240" w:lineRule="auto"/>
        <w:rPr>
          <w:rFonts w:ascii="Arial" w:eastAsia="SimSun" w:hAnsi="Arial" w:cs="Arial"/>
          <w:b/>
          <w:i/>
          <w:color w:val="000000"/>
          <w:sz w:val="24"/>
          <w:szCs w:val="24"/>
          <w:lang w:val="ro-RO"/>
        </w:rPr>
      </w:pPr>
      <w:r w:rsidRPr="00934C02">
        <w:rPr>
          <w:rFonts w:ascii="Arial" w:eastAsia="SimSun" w:hAnsi="Arial" w:cs="Arial"/>
          <w:b/>
          <w:i/>
          <w:sz w:val="24"/>
          <w:szCs w:val="24"/>
          <w:lang w:val="ro-RO"/>
        </w:rPr>
        <w:t>VIII</w:t>
      </w:r>
      <w:r w:rsidRPr="00934C02">
        <w:rPr>
          <w:rFonts w:ascii="Arial" w:eastAsia="SimSun" w:hAnsi="Arial" w:cs="Arial"/>
          <w:b/>
          <w:i/>
          <w:color w:val="000000"/>
          <w:sz w:val="24"/>
          <w:szCs w:val="24"/>
          <w:lang w:val="ro-RO"/>
        </w:rPr>
        <w:t>.1.2. Poluarea fonică şi efectele asupra sănătăţii şi calităţii vieţii</w:t>
      </w:r>
      <w:r w:rsidRPr="00934C02">
        <w:rPr>
          <w:rFonts w:ascii="Arial" w:eastAsia="SimSun" w:hAnsi="Arial" w:cs="Arial"/>
          <w:b/>
          <w:i/>
          <w:color w:val="000000"/>
          <w:sz w:val="24"/>
          <w:szCs w:val="24"/>
          <w:lang w:val="ro-RO"/>
        </w:rPr>
        <w:tab/>
      </w:r>
    </w:p>
    <w:p w:rsidR="00934C02" w:rsidRPr="00934C02" w:rsidRDefault="00934C02" w:rsidP="00934C02">
      <w:pPr>
        <w:tabs>
          <w:tab w:val="left" w:pos="1276"/>
        </w:tabs>
        <w:spacing w:after="0" w:line="240" w:lineRule="auto"/>
        <w:ind w:left="28"/>
        <w:rPr>
          <w:rFonts w:ascii="Arial" w:eastAsia="SimSun" w:hAnsi="Arial" w:cs="Arial"/>
          <w:b/>
          <w:i/>
          <w:color w:val="000000"/>
          <w:sz w:val="24"/>
          <w:szCs w:val="24"/>
          <w:lang w:val="ro-RO"/>
        </w:rPr>
      </w:pPr>
    </w:p>
    <w:p w:rsidR="00934C02" w:rsidRPr="00934C02" w:rsidRDefault="00934C02" w:rsidP="00934C02">
      <w:pPr>
        <w:spacing w:after="0" w:line="240" w:lineRule="auto"/>
        <w:ind w:firstLine="720"/>
        <w:jc w:val="both"/>
        <w:rPr>
          <w:rFonts w:ascii="Arial" w:eastAsia="SimSun" w:hAnsi="Arial" w:cs="Arial"/>
          <w:sz w:val="24"/>
          <w:szCs w:val="24"/>
          <w:lang w:val="en-GB"/>
        </w:rPr>
      </w:pPr>
      <w:r w:rsidRPr="00934C02">
        <w:rPr>
          <w:rFonts w:ascii="Arial" w:eastAsia="SimSun" w:hAnsi="Arial" w:cs="Arial"/>
          <w:sz w:val="24"/>
          <w:szCs w:val="24"/>
          <w:lang w:val="en-GB"/>
        </w:rPr>
        <w:t>Unul din factorii perturbatori ai mediului, care influenţează ambianţa în care se desfăşoară activitatea şi viaţa omului este zgomotul asociat şi identificat, în general, cu poluarea fonică.</w:t>
      </w:r>
    </w:p>
    <w:p w:rsidR="00934C02" w:rsidRPr="00934C02" w:rsidRDefault="00934C02" w:rsidP="00934C02">
      <w:pPr>
        <w:autoSpaceDE w:val="0"/>
        <w:autoSpaceDN w:val="0"/>
        <w:adjustRightInd w:val="0"/>
        <w:spacing w:after="0" w:line="240" w:lineRule="auto"/>
        <w:rPr>
          <w:rFonts w:ascii="Times New Roman" w:eastAsia="Times New Roman" w:hAnsi="Times New Roman" w:cs="Times New Roman"/>
          <w:sz w:val="24"/>
          <w:szCs w:val="24"/>
        </w:rPr>
      </w:pPr>
    </w:p>
    <w:p w:rsidR="00934C02" w:rsidRPr="00934C02" w:rsidRDefault="00934C02" w:rsidP="00934C02">
      <w:pPr>
        <w:spacing w:after="0" w:line="240" w:lineRule="auto"/>
        <w:jc w:val="both"/>
        <w:rPr>
          <w:rFonts w:ascii="Arial" w:eastAsia="SimSun" w:hAnsi="Arial" w:cs="Arial"/>
          <w:sz w:val="24"/>
          <w:szCs w:val="24"/>
          <w:lang w:val="en-GB"/>
        </w:rPr>
      </w:pPr>
      <w:r w:rsidRPr="00934C02">
        <w:rPr>
          <w:rFonts w:ascii="Arial" w:eastAsia="SimSun" w:hAnsi="Arial" w:cs="Arial"/>
          <w:sz w:val="24"/>
          <w:szCs w:val="24"/>
          <w:lang w:val="en-GB"/>
        </w:rPr>
        <w:t xml:space="preserve">Tabelul </w:t>
      </w:r>
      <w:r w:rsidRPr="00934C02">
        <w:rPr>
          <w:rFonts w:ascii="Arial" w:eastAsia="SimSun" w:hAnsi="Arial" w:cs="Arial"/>
          <w:sz w:val="24"/>
          <w:szCs w:val="24"/>
          <w:lang w:val="ro-RO"/>
        </w:rPr>
        <w:t>VIII</w:t>
      </w:r>
      <w:r w:rsidRPr="00934C02">
        <w:rPr>
          <w:rFonts w:ascii="Arial" w:eastAsia="SimSun" w:hAnsi="Arial" w:cs="Arial"/>
          <w:sz w:val="24"/>
          <w:szCs w:val="24"/>
          <w:lang w:val="en-GB"/>
        </w:rPr>
        <w:t>.1. Nivelul de zgomot pentru judeţul Vaslui - 2015</w:t>
      </w:r>
    </w:p>
    <w:tbl>
      <w:tblPr>
        <w:tblW w:w="9651" w:type="dxa"/>
        <w:jc w:val="center"/>
        <w:tblInd w:w="1500" w:type="dxa"/>
        <w:tblCellMar>
          <w:left w:w="0" w:type="dxa"/>
          <w:right w:w="0" w:type="dxa"/>
        </w:tblCellMar>
        <w:tblLook w:val="0000" w:firstRow="0" w:lastRow="0" w:firstColumn="0" w:lastColumn="0" w:noHBand="0" w:noVBand="0"/>
      </w:tblPr>
      <w:tblGrid>
        <w:gridCol w:w="4024"/>
        <w:gridCol w:w="1334"/>
        <w:gridCol w:w="297"/>
        <w:gridCol w:w="1566"/>
        <w:gridCol w:w="1357"/>
        <w:gridCol w:w="1073"/>
      </w:tblGrid>
      <w:tr w:rsidR="00934C02" w:rsidRPr="00934C02" w:rsidTr="00855393">
        <w:trPr>
          <w:trHeight w:val="565"/>
          <w:jc w:val="center"/>
        </w:trPr>
        <w:tc>
          <w:tcPr>
            <w:tcW w:w="40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34C02" w:rsidRPr="00934C02" w:rsidRDefault="00934C02" w:rsidP="00934C02">
            <w:pPr>
              <w:spacing w:after="0" w:line="240" w:lineRule="auto"/>
              <w:jc w:val="center"/>
              <w:rPr>
                <w:rFonts w:ascii="Arial" w:eastAsia="SimSun" w:hAnsi="Arial" w:cs="Arial"/>
                <w:b/>
                <w:color w:val="000000"/>
                <w:sz w:val="24"/>
                <w:szCs w:val="24"/>
                <w:lang w:val="ro-RO"/>
              </w:rPr>
            </w:pPr>
            <w:r w:rsidRPr="00934C02">
              <w:rPr>
                <w:rFonts w:ascii="Arial" w:eastAsia="SimSun" w:hAnsi="Arial" w:cs="Arial"/>
                <w:b/>
                <w:color w:val="000000"/>
                <w:sz w:val="24"/>
                <w:szCs w:val="24"/>
                <w:lang w:val="ro-RO"/>
              </w:rPr>
              <w:t>Tip măsurătoare zgomot</w:t>
            </w:r>
          </w:p>
        </w:tc>
        <w:tc>
          <w:tcPr>
            <w:tcW w:w="1334" w:type="dxa"/>
            <w:tcBorders>
              <w:top w:val="single" w:sz="8" w:space="0" w:color="auto"/>
              <w:left w:val="nil"/>
              <w:bottom w:val="single" w:sz="8" w:space="0" w:color="auto"/>
              <w:right w:val="single" w:sz="4" w:space="0" w:color="auto"/>
            </w:tcBorders>
            <w:vAlign w:val="center"/>
          </w:tcPr>
          <w:p w:rsidR="00934C02" w:rsidRPr="00934C02" w:rsidRDefault="00934C02" w:rsidP="00934C02">
            <w:pPr>
              <w:spacing w:after="0" w:line="240" w:lineRule="auto"/>
              <w:jc w:val="center"/>
              <w:rPr>
                <w:rFonts w:ascii="Arial" w:eastAsia="SimSun" w:hAnsi="Arial" w:cs="Arial"/>
                <w:b/>
                <w:color w:val="000000"/>
                <w:sz w:val="24"/>
                <w:szCs w:val="24"/>
                <w:lang w:val="ro-RO"/>
              </w:rPr>
            </w:pPr>
            <w:r w:rsidRPr="00934C02">
              <w:rPr>
                <w:rFonts w:ascii="Arial" w:eastAsia="SimSun" w:hAnsi="Arial" w:cs="Arial"/>
                <w:b/>
                <w:color w:val="000000"/>
                <w:sz w:val="24"/>
                <w:szCs w:val="24"/>
                <w:lang w:val="ro-RO"/>
              </w:rPr>
              <w:t>Puncte de măsurare</w:t>
            </w:r>
          </w:p>
        </w:tc>
        <w:tc>
          <w:tcPr>
            <w:tcW w:w="297" w:type="dxa"/>
            <w:tcBorders>
              <w:top w:val="single" w:sz="8" w:space="0" w:color="auto"/>
              <w:left w:val="single" w:sz="4" w:space="0" w:color="auto"/>
              <w:bottom w:val="single" w:sz="8" w:space="0" w:color="auto"/>
              <w:right w:val="nil"/>
            </w:tcBorders>
          </w:tcPr>
          <w:p w:rsidR="00934C02" w:rsidRPr="00934C02" w:rsidRDefault="00934C02" w:rsidP="00934C02">
            <w:pPr>
              <w:spacing w:after="0" w:line="240" w:lineRule="auto"/>
              <w:jc w:val="center"/>
              <w:rPr>
                <w:rFonts w:ascii="Arial" w:eastAsia="SimSun" w:hAnsi="Arial" w:cs="Arial"/>
                <w:b/>
                <w:color w:val="000000"/>
                <w:sz w:val="24"/>
                <w:szCs w:val="24"/>
                <w:lang w:val="ro-RO"/>
              </w:rPr>
            </w:pPr>
          </w:p>
        </w:tc>
        <w:tc>
          <w:tcPr>
            <w:tcW w:w="15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934C02" w:rsidRPr="00934C02" w:rsidRDefault="00934C02" w:rsidP="00934C02">
            <w:pPr>
              <w:spacing w:after="0" w:line="240" w:lineRule="auto"/>
              <w:jc w:val="center"/>
              <w:rPr>
                <w:rFonts w:ascii="Arial" w:eastAsia="SimSun" w:hAnsi="Arial" w:cs="Arial"/>
                <w:b/>
                <w:color w:val="000000"/>
                <w:sz w:val="24"/>
                <w:szCs w:val="24"/>
                <w:lang w:val="ro-RO"/>
              </w:rPr>
            </w:pPr>
            <w:r w:rsidRPr="00934C02">
              <w:rPr>
                <w:rFonts w:ascii="Arial" w:eastAsia="SimSun" w:hAnsi="Arial" w:cs="Arial"/>
                <w:b/>
                <w:color w:val="000000"/>
                <w:sz w:val="24"/>
                <w:szCs w:val="24"/>
                <w:lang w:val="ro-RO"/>
              </w:rPr>
              <w:t>Număr măsurători</w:t>
            </w:r>
          </w:p>
        </w:tc>
        <w:tc>
          <w:tcPr>
            <w:tcW w:w="135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934C02" w:rsidRPr="00934C02" w:rsidRDefault="00934C02" w:rsidP="00934C02">
            <w:pPr>
              <w:spacing w:after="0" w:line="240" w:lineRule="auto"/>
              <w:jc w:val="center"/>
              <w:rPr>
                <w:rFonts w:ascii="Arial" w:eastAsia="SimSun" w:hAnsi="Arial" w:cs="Arial"/>
                <w:b/>
                <w:color w:val="000000"/>
                <w:sz w:val="24"/>
                <w:szCs w:val="24"/>
                <w:lang w:val="ro-RO"/>
              </w:rPr>
            </w:pPr>
            <w:r w:rsidRPr="00934C02">
              <w:rPr>
                <w:rFonts w:ascii="Arial" w:eastAsia="SimSun" w:hAnsi="Arial" w:cs="Arial"/>
                <w:b/>
                <w:color w:val="000000"/>
                <w:sz w:val="24"/>
                <w:szCs w:val="24"/>
                <w:lang w:val="ro-RO"/>
              </w:rPr>
              <w:t>Maxima măsurată (dB)</w:t>
            </w:r>
          </w:p>
        </w:tc>
        <w:tc>
          <w:tcPr>
            <w:tcW w:w="1073" w:type="dxa"/>
            <w:tcBorders>
              <w:top w:val="single" w:sz="8" w:space="0" w:color="auto"/>
              <w:left w:val="nil"/>
              <w:bottom w:val="single" w:sz="8" w:space="0" w:color="auto"/>
              <w:right w:val="single" w:sz="8" w:space="0" w:color="auto"/>
            </w:tcBorders>
          </w:tcPr>
          <w:p w:rsidR="00934C02" w:rsidRPr="00934C02" w:rsidRDefault="00934C02" w:rsidP="00934C02">
            <w:pPr>
              <w:spacing w:after="0" w:line="240" w:lineRule="auto"/>
              <w:jc w:val="center"/>
              <w:rPr>
                <w:rFonts w:ascii="Arial" w:eastAsia="SimSun" w:hAnsi="Arial" w:cs="Arial"/>
                <w:b/>
                <w:color w:val="000000"/>
                <w:sz w:val="24"/>
                <w:szCs w:val="24"/>
                <w:lang w:val="ro-RO"/>
              </w:rPr>
            </w:pPr>
            <w:r w:rsidRPr="00934C02">
              <w:rPr>
                <w:rFonts w:ascii="Arial" w:eastAsia="SimSun" w:hAnsi="Arial" w:cs="Arial"/>
                <w:b/>
                <w:color w:val="000000"/>
                <w:sz w:val="24"/>
                <w:szCs w:val="24"/>
                <w:lang w:val="ro-RO"/>
              </w:rPr>
              <w:t>Depăşiri</w:t>
            </w:r>
          </w:p>
          <w:p w:rsidR="00934C02" w:rsidRPr="00934C02" w:rsidRDefault="00934C02" w:rsidP="00934C02">
            <w:pPr>
              <w:spacing w:after="0" w:line="240" w:lineRule="auto"/>
              <w:jc w:val="center"/>
              <w:rPr>
                <w:rFonts w:ascii="Arial" w:eastAsia="SimSun" w:hAnsi="Arial" w:cs="Arial"/>
                <w:b/>
                <w:color w:val="000000"/>
                <w:sz w:val="24"/>
                <w:szCs w:val="24"/>
                <w:lang w:val="ro-RO"/>
              </w:rPr>
            </w:pPr>
            <w:r w:rsidRPr="00934C02">
              <w:rPr>
                <w:rFonts w:ascii="Arial" w:eastAsia="SimSun" w:hAnsi="Arial" w:cs="Arial"/>
                <w:b/>
                <w:color w:val="000000"/>
                <w:sz w:val="24"/>
                <w:szCs w:val="24"/>
                <w:lang w:val="ro-RO"/>
              </w:rPr>
              <w:t>%</w:t>
            </w:r>
          </w:p>
        </w:tc>
      </w:tr>
      <w:tr w:rsidR="00934C02" w:rsidRPr="00934C02" w:rsidTr="00855393">
        <w:trPr>
          <w:jc w:val="center"/>
        </w:trPr>
        <w:tc>
          <w:tcPr>
            <w:tcW w:w="40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34C02" w:rsidRPr="00934C02" w:rsidRDefault="00934C02" w:rsidP="00934C02">
            <w:pPr>
              <w:spacing w:after="0" w:line="240" w:lineRule="auto"/>
              <w:rPr>
                <w:rFonts w:ascii="Arial" w:eastAsia="SimSun" w:hAnsi="Arial" w:cs="Arial"/>
                <w:color w:val="000000"/>
                <w:lang w:val="ro-RO"/>
              </w:rPr>
            </w:pPr>
            <w:r w:rsidRPr="00934C02">
              <w:rPr>
                <w:rFonts w:ascii="Arial" w:eastAsia="SimSun" w:hAnsi="Arial" w:cs="Arial"/>
                <w:color w:val="000000"/>
                <w:lang w:val="ro-RO"/>
              </w:rPr>
              <w:t xml:space="preserve">Pieţe, spaţii comerciale, restaurante în aer liber </w:t>
            </w:r>
          </w:p>
        </w:tc>
        <w:tc>
          <w:tcPr>
            <w:tcW w:w="1334" w:type="dxa"/>
            <w:tcBorders>
              <w:top w:val="nil"/>
              <w:left w:val="nil"/>
              <w:bottom w:val="single" w:sz="8" w:space="0" w:color="auto"/>
              <w:right w:val="single" w:sz="4" w:space="0" w:color="auto"/>
            </w:tcBorders>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3</w:t>
            </w:r>
          </w:p>
        </w:tc>
        <w:tc>
          <w:tcPr>
            <w:tcW w:w="297" w:type="dxa"/>
            <w:tcBorders>
              <w:top w:val="nil"/>
              <w:left w:val="single" w:sz="4" w:space="0" w:color="auto"/>
              <w:bottom w:val="single" w:sz="8" w:space="0" w:color="auto"/>
              <w:right w:val="nil"/>
            </w:tcBorders>
          </w:tcPr>
          <w:p w:rsidR="00934C02" w:rsidRPr="00934C02" w:rsidRDefault="00934C02" w:rsidP="00934C02">
            <w:pPr>
              <w:spacing w:after="0" w:line="240" w:lineRule="auto"/>
              <w:jc w:val="center"/>
              <w:rPr>
                <w:rFonts w:ascii="Arial" w:eastAsia="SimSun" w:hAnsi="Arial" w:cs="Arial"/>
                <w:color w:val="000000"/>
                <w:lang w:val="ro-RO"/>
              </w:rPr>
            </w:pPr>
          </w:p>
        </w:tc>
        <w:tc>
          <w:tcPr>
            <w:tcW w:w="1566" w:type="dxa"/>
            <w:tcBorders>
              <w:top w:val="nil"/>
              <w:left w:val="nil"/>
              <w:bottom w:val="single" w:sz="8" w:space="0" w:color="auto"/>
              <w:right w:val="single" w:sz="8" w:space="0" w:color="auto"/>
            </w:tcBorders>
            <w:tcMar>
              <w:top w:w="0" w:type="dxa"/>
              <w:left w:w="108" w:type="dxa"/>
              <w:bottom w:w="0" w:type="dxa"/>
              <w:right w:w="108" w:type="dxa"/>
            </w:tcMar>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12</w:t>
            </w:r>
          </w:p>
        </w:tc>
        <w:tc>
          <w:tcPr>
            <w:tcW w:w="1357" w:type="dxa"/>
            <w:tcBorders>
              <w:top w:val="nil"/>
              <w:left w:val="nil"/>
              <w:bottom w:val="single" w:sz="8" w:space="0" w:color="auto"/>
              <w:right w:val="single" w:sz="8" w:space="0" w:color="auto"/>
            </w:tcBorders>
            <w:tcMar>
              <w:top w:w="0" w:type="dxa"/>
              <w:left w:w="108" w:type="dxa"/>
              <w:bottom w:w="0" w:type="dxa"/>
              <w:right w:w="108" w:type="dxa"/>
            </w:tcMar>
          </w:tcPr>
          <w:p w:rsidR="00934C02" w:rsidRPr="00934C02" w:rsidRDefault="00934C02" w:rsidP="00934C02">
            <w:pPr>
              <w:spacing w:after="0" w:line="240" w:lineRule="auto"/>
              <w:jc w:val="center"/>
              <w:rPr>
                <w:rFonts w:ascii="Arial" w:eastAsia="Times New Roman" w:hAnsi="Arial" w:cs="Arial"/>
                <w:color w:val="000000"/>
                <w:lang w:val="ro-RO"/>
              </w:rPr>
            </w:pPr>
            <w:r w:rsidRPr="00934C02">
              <w:rPr>
                <w:rFonts w:ascii="Arial" w:eastAsia="Times New Roman" w:hAnsi="Arial" w:cs="Arial"/>
                <w:color w:val="000000"/>
                <w:lang w:val="fr-FR"/>
              </w:rPr>
              <w:t>70,4</w:t>
            </w:r>
          </w:p>
        </w:tc>
        <w:tc>
          <w:tcPr>
            <w:tcW w:w="1073" w:type="dxa"/>
            <w:tcBorders>
              <w:top w:val="nil"/>
              <w:left w:val="nil"/>
              <w:bottom w:val="single" w:sz="8" w:space="0" w:color="auto"/>
              <w:right w:val="single" w:sz="8" w:space="0" w:color="auto"/>
            </w:tcBorders>
            <w:shd w:val="clear" w:color="auto" w:fill="auto"/>
          </w:tcPr>
          <w:p w:rsidR="00934C02" w:rsidRPr="00934C02" w:rsidRDefault="00934C02" w:rsidP="00934C02">
            <w:pPr>
              <w:spacing w:after="0" w:line="240" w:lineRule="auto"/>
              <w:jc w:val="center"/>
              <w:rPr>
                <w:rFonts w:ascii="Arial" w:eastAsia="Times New Roman" w:hAnsi="Arial" w:cs="Arial"/>
                <w:color w:val="000000"/>
                <w:lang w:val="fr-FR"/>
              </w:rPr>
            </w:pPr>
            <w:r w:rsidRPr="00934C02">
              <w:rPr>
                <w:rFonts w:ascii="Arial" w:eastAsia="Times New Roman" w:hAnsi="Arial" w:cs="Arial"/>
                <w:color w:val="000000"/>
                <w:lang w:val="fr-FR"/>
              </w:rPr>
              <w:t>31,66</w:t>
            </w:r>
          </w:p>
        </w:tc>
      </w:tr>
      <w:tr w:rsidR="00934C02" w:rsidRPr="00934C02" w:rsidTr="00855393">
        <w:trPr>
          <w:jc w:val="center"/>
        </w:trPr>
        <w:tc>
          <w:tcPr>
            <w:tcW w:w="40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34C02" w:rsidRPr="00934C02" w:rsidRDefault="00934C02" w:rsidP="00934C02">
            <w:pPr>
              <w:spacing w:after="0" w:line="240" w:lineRule="auto"/>
              <w:rPr>
                <w:rFonts w:ascii="Arial" w:eastAsia="SimSun" w:hAnsi="Arial" w:cs="Arial"/>
                <w:color w:val="000000"/>
                <w:lang w:val="ro-RO"/>
              </w:rPr>
            </w:pPr>
            <w:r w:rsidRPr="00934C02">
              <w:rPr>
                <w:rFonts w:ascii="Arial" w:eastAsia="SimSun" w:hAnsi="Arial" w:cs="Arial"/>
                <w:color w:val="000000"/>
                <w:lang w:val="ro-RO"/>
              </w:rPr>
              <w:t>Incinte de şcoli şi creşe, grădiniţe, spaţii de joacă pentru copii</w:t>
            </w:r>
          </w:p>
        </w:tc>
        <w:tc>
          <w:tcPr>
            <w:tcW w:w="1334" w:type="dxa"/>
            <w:tcBorders>
              <w:top w:val="nil"/>
              <w:left w:val="nil"/>
              <w:bottom w:val="single" w:sz="8" w:space="0" w:color="auto"/>
              <w:right w:val="single" w:sz="4" w:space="0" w:color="auto"/>
            </w:tcBorders>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15</w:t>
            </w:r>
          </w:p>
        </w:tc>
        <w:tc>
          <w:tcPr>
            <w:tcW w:w="297" w:type="dxa"/>
            <w:tcBorders>
              <w:top w:val="nil"/>
              <w:left w:val="single" w:sz="4" w:space="0" w:color="auto"/>
              <w:bottom w:val="single" w:sz="8" w:space="0" w:color="auto"/>
              <w:right w:val="nil"/>
            </w:tcBorders>
          </w:tcPr>
          <w:p w:rsidR="00934C02" w:rsidRPr="00934C02" w:rsidRDefault="00934C02" w:rsidP="00934C02">
            <w:pPr>
              <w:spacing w:after="0" w:line="240" w:lineRule="auto"/>
              <w:jc w:val="center"/>
              <w:rPr>
                <w:rFonts w:ascii="Arial" w:eastAsia="SimSun" w:hAnsi="Arial" w:cs="Arial"/>
                <w:color w:val="000000"/>
                <w:lang w:val="ro-RO"/>
              </w:rPr>
            </w:pPr>
          </w:p>
        </w:tc>
        <w:tc>
          <w:tcPr>
            <w:tcW w:w="1566" w:type="dxa"/>
            <w:tcBorders>
              <w:top w:val="nil"/>
              <w:left w:val="nil"/>
              <w:bottom w:val="single" w:sz="8" w:space="0" w:color="auto"/>
              <w:right w:val="single" w:sz="8" w:space="0" w:color="auto"/>
            </w:tcBorders>
            <w:tcMar>
              <w:top w:w="0" w:type="dxa"/>
              <w:left w:w="108" w:type="dxa"/>
              <w:bottom w:w="0" w:type="dxa"/>
              <w:right w:w="108" w:type="dxa"/>
            </w:tcMar>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60</w:t>
            </w:r>
          </w:p>
        </w:tc>
        <w:tc>
          <w:tcPr>
            <w:tcW w:w="1357" w:type="dxa"/>
            <w:tcBorders>
              <w:top w:val="nil"/>
              <w:left w:val="nil"/>
              <w:bottom w:val="single" w:sz="8" w:space="0" w:color="auto"/>
              <w:right w:val="single" w:sz="8" w:space="0" w:color="auto"/>
            </w:tcBorders>
            <w:tcMar>
              <w:top w:w="0" w:type="dxa"/>
              <w:left w:w="108" w:type="dxa"/>
              <w:bottom w:w="0" w:type="dxa"/>
              <w:right w:w="108" w:type="dxa"/>
            </w:tcMar>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70,5</w:t>
            </w:r>
          </w:p>
        </w:tc>
        <w:tc>
          <w:tcPr>
            <w:tcW w:w="1073" w:type="dxa"/>
            <w:tcBorders>
              <w:top w:val="nil"/>
              <w:left w:val="nil"/>
              <w:bottom w:val="single" w:sz="8" w:space="0" w:color="auto"/>
              <w:right w:val="single" w:sz="8" w:space="0" w:color="auto"/>
            </w:tcBorders>
            <w:shd w:val="clear" w:color="auto" w:fill="auto"/>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0</w:t>
            </w:r>
          </w:p>
        </w:tc>
      </w:tr>
      <w:tr w:rsidR="00934C02" w:rsidRPr="00934C02" w:rsidTr="00855393">
        <w:trPr>
          <w:jc w:val="center"/>
        </w:trPr>
        <w:tc>
          <w:tcPr>
            <w:tcW w:w="40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34C02" w:rsidRPr="00934C02" w:rsidRDefault="00934C02" w:rsidP="00934C02">
            <w:pPr>
              <w:spacing w:after="0" w:line="240" w:lineRule="auto"/>
              <w:rPr>
                <w:rFonts w:ascii="Arial" w:eastAsia="SimSun" w:hAnsi="Arial" w:cs="Arial"/>
                <w:color w:val="000000"/>
                <w:lang w:val="ro-RO"/>
              </w:rPr>
            </w:pPr>
            <w:r w:rsidRPr="00934C02">
              <w:rPr>
                <w:rFonts w:ascii="Arial" w:eastAsia="SimSun" w:hAnsi="Arial" w:cs="Arial"/>
                <w:color w:val="000000"/>
                <w:lang w:val="ro-RO"/>
              </w:rPr>
              <w:t xml:space="preserve">Parcuri, zone de recreere şi odihnă </w:t>
            </w:r>
          </w:p>
        </w:tc>
        <w:tc>
          <w:tcPr>
            <w:tcW w:w="1334" w:type="dxa"/>
            <w:tcBorders>
              <w:top w:val="nil"/>
              <w:left w:val="nil"/>
              <w:bottom w:val="single" w:sz="8" w:space="0" w:color="auto"/>
              <w:right w:val="single" w:sz="4" w:space="0" w:color="auto"/>
            </w:tcBorders>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4</w:t>
            </w:r>
          </w:p>
        </w:tc>
        <w:tc>
          <w:tcPr>
            <w:tcW w:w="297" w:type="dxa"/>
            <w:tcBorders>
              <w:top w:val="nil"/>
              <w:left w:val="single" w:sz="4" w:space="0" w:color="auto"/>
              <w:bottom w:val="single" w:sz="8" w:space="0" w:color="auto"/>
              <w:right w:val="nil"/>
            </w:tcBorders>
          </w:tcPr>
          <w:p w:rsidR="00934C02" w:rsidRPr="00934C02" w:rsidRDefault="00934C02" w:rsidP="00934C02">
            <w:pPr>
              <w:spacing w:after="0" w:line="240" w:lineRule="auto"/>
              <w:jc w:val="center"/>
              <w:rPr>
                <w:rFonts w:ascii="Arial" w:eastAsia="SimSun" w:hAnsi="Arial" w:cs="Arial"/>
                <w:color w:val="000000"/>
                <w:lang w:val="ro-RO"/>
              </w:rPr>
            </w:pPr>
          </w:p>
        </w:tc>
        <w:tc>
          <w:tcPr>
            <w:tcW w:w="1566" w:type="dxa"/>
            <w:tcBorders>
              <w:top w:val="nil"/>
              <w:left w:val="nil"/>
              <w:bottom w:val="single" w:sz="8" w:space="0" w:color="auto"/>
              <w:right w:val="single" w:sz="8" w:space="0" w:color="auto"/>
            </w:tcBorders>
            <w:tcMar>
              <w:top w:w="0" w:type="dxa"/>
              <w:left w:w="108" w:type="dxa"/>
              <w:bottom w:w="0" w:type="dxa"/>
              <w:right w:w="108" w:type="dxa"/>
            </w:tcMar>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36</w:t>
            </w:r>
          </w:p>
        </w:tc>
        <w:tc>
          <w:tcPr>
            <w:tcW w:w="1357" w:type="dxa"/>
            <w:tcBorders>
              <w:top w:val="nil"/>
              <w:left w:val="nil"/>
              <w:bottom w:val="single" w:sz="8" w:space="0" w:color="auto"/>
              <w:right w:val="single" w:sz="8" w:space="0" w:color="auto"/>
            </w:tcBorders>
            <w:tcMar>
              <w:top w:w="0" w:type="dxa"/>
              <w:left w:w="108" w:type="dxa"/>
              <w:bottom w:w="0" w:type="dxa"/>
              <w:right w:w="108" w:type="dxa"/>
            </w:tcMar>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71,3</w:t>
            </w:r>
          </w:p>
        </w:tc>
        <w:tc>
          <w:tcPr>
            <w:tcW w:w="1073" w:type="dxa"/>
            <w:tcBorders>
              <w:top w:val="nil"/>
              <w:left w:val="nil"/>
              <w:bottom w:val="single" w:sz="8" w:space="0" w:color="auto"/>
              <w:right w:val="single" w:sz="8" w:space="0" w:color="auto"/>
            </w:tcBorders>
            <w:shd w:val="clear" w:color="auto" w:fill="auto"/>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93,05</w:t>
            </w:r>
          </w:p>
        </w:tc>
      </w:tr>
      <w:tr w:rsidR="00934C02" w:rsidRPr="00934C02" w:rsidTr="00855393">
        <w:trPr>
          <w:jc w:val="center"/>
        </w:trPr>
        <w:tc>
          <w:tcPr>
            <w:tcW w:w="40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34C02" w:rsidRPr="00934C02" w:rsidRDefault="00934C02" w:rsidP="00934C02">
            <w:pPr>
              <w:spacing w:after="0" w:line="240" w:lineRule="auto"/>
              <w:rPr>
                <w:rFonts w:ascii="Arial" w:eastAsia="SimSun" w:hAnsi="Arial" w:cs="Arial"/>
                <w:color w:val="000000"/>
                <w:lang w:val="ro-RO"/>
              </w:rPr>
            </w:pPr>
            <w:r w:rsidRPr="00934C02">
              <w:rPr>
                <w:rFonts w:ascii="Arial" w:eastAsia="SimSun" w:hAnsi="Arial" w:cs="Arial"/>
                <w:color w:val="000000"/>
                <w:lang w:val="ro-RO"/>
              </w:rPr>
              <w:t>Incinta industrială</w:t>
            </w:r>
          </w:p>
        </w:tc>
        <w:tc>
          <w:tcPr>
            <w:tcW w:w="1334" w:type="dxa"/>
            <w:tcBorders>
              <w:top w:val="nil"/>
              <w:left w:val="nil"/>
              <w:bottom w:val="single" w:sz="8" w:space="0" w:color="auto"/>
              <w:right w:val="single" w:sz="4" w:space="0" w:color="auto"/>
            </w:tcBorders>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0</w:t>
            </w:r>
          </w:p>
        </w:tc>
        <w:tc>
          <w:tcPr>
            <w:tcW w:w="297" w:type="dxa"/>
            <w:tcBorders>
              <w:top w:val="nil"/>
              <w:left w:val="single" w:sz="4" w:space="0" w:color="auto"/>
              <w:bottom w:val="single" w:sz="8" w:space="0" w:color="auto"/>
              <w:right w:val="nil"/>
            </w:tcBorders>
          </w:tcPr>
          <w:p w:rsidR="00934C02" w:rsidRPr="00934C02" w:rsidRDefault="00934C02" w:rsidP="00934C02">
            <w:pPr>
              <w:spacing w:after="0" w:line="240" w:lineRule="auto"/>
              <w:jc w:val="center"/>
              <w:rPr>
                <w:rFonts w:ascii="Arial" w:eastAsia="SimSun" w:hAnsi="Arial" w:cs="Arial"/>
                <w:color w:val="000000"/>
                <w:lang w:val="ro-RO"/>
              </w:rPr>
            </w:pPr>
          </w:p>
        </w:tc>
        <w:tc>
          <w:tcPr>
            <w:tcW w:w="1566" w:type="dxa"/>
            <w:tcBorders>
              <w:top w:val="single" w:sz="8" w:space="0" w:color="auto"/>
              <w:left w:val="nil"/>
              <w:bottom w:val="single" w:sz="4" w:space="0" w:color="auto"/>
              <w:right w:val="single" w:sz="8" w:space="0" w:color="auto"/>
            </w:tcBorders>
            <w:tcMar>
              <w:top w:w="0" w:type="dxa"/>
              <w:left w:w="108" w:type="dxa"/>
              <w:bottom w:w="0" w:type="dxa"/>
              <w:right w:w="108" w:type="dxa"/>
            </w:tcMar>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c>
          <w:tcPr>
            <w:tcW w:w="1357" w:type="dxa"/>
            <w:tcBorders>
              <w:top w:val="nil"/>
              <w:left w:val="nil"/>
              <w:bottom w:val="single" w:sz="8" w:space="0" w:color="auto"/>
              <w:right w:val="single" w:sz="8" w:space="0" w:color="auto"/>
            </w:tcBorders>
            <w:tcMar>
              <w:top w:w="0" w:type="dxa"/>
              <w:left w:w="108" w:type="dxa"/>
              <w:bottom w:w="0" w:type="dxa"/>
              <w:right w:w="108" w:type="dxa"/>
            </w:tcMar>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c>
          <w:tcPr>
            <w:tcW w:w="1073" w:type="dxa"/>
            <w:tcBorders>
              <w:top w:val="nil"/>
              <w:left w:val="nil"/>
              <w:bottom w:val="single" w:sz="8" w:space="0" w:color="auto"/>
              <w:right w:val="single" w:sz="8" w:space="0" w:color="auto"/>
            </w:tcBorders>
            <w:shd w:val="clear" w:color="auto" w:fill="auto"/>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r>
      <w:tr w:rsidR="00934C02" w:rsidRPr="00934C02" w:rsidTr="00855393">
        <w:trPr>
          <w:jc w:val="center"/>
        </w:trPr>
        <w:tc>
          <w:tcPr>
            <w:tcW w:w="40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34C02" w:rsidRPr="00934C02" w:rsidRDefault="00934C02" w:rsidP="00934C02">
            <w:pPr>
              <w:spacing w:after="0" w:line="240" w:lineRule="auto"/>
              <w:rPr>
                <w:rFonts w:ascii="Arial" w:eastAsia="SimSun" w:hAnsi="Arial" w:cs="Arial"/>
                <w:color w:val="000000"/>
                <w:lang w:val="ro-RO"/>
              </w:rPr>
            </w:pPr>
            <w:r w:rsidRPr="00934C02">
              <w:rPr>
                <w:rFonts w:ascii="Arial" w:eastAsia="SimSun" w:hAnsi="Arial" w:cs="Arial"/>
                <w:color w:val="000000"/>
                <w:lang w:val="ro-RO"/>
              </w:rPr>
              <w:t xml:space="preserve">Zone feroviare  </w:t>
            </w:r>
          </w:p>
        </w:tc>
        <w:tc>
          <w:tcPr>
            <w:tcW w:w="1334" w:type="dxa"/>
            <w:tcBorders>
              <w:top w:val="nil"/>
              <w:left w:val="nil"/>
              <w:bottom w:val="single" w:sz="8" w:space="0" w:color="auto"/>
              <w:right w:val="single" w:sz="4" w:space="0" w:color="auto"/>
            </w:tcBorders>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4</w:t>
            </w:r>
          </w:p>
        </w:tc>
        <w:tc>
          <w:tcPr>
            <w:tcW w:w="297" w:type="dxa"/>
            <w:tcBorders>
              <w:top w:val="nil"/>
              <w:left w:val="single" w:sz="4" w:space="0" w:color="auto"/>
              <w:bottom w:val="single" w:sz="8" w:space="0" w:color="auto"/>
              <w:right w:val="nil"/>
            </w:tcBorders>
          </w:tcPr>
          <w:p w:rsidR="00934C02" w:rsidRPr="00934C02" w:rsidRDefault="00934C02" w:rsidP="00934C02">
            <w:pPr>
              <w:spacing w:after="0" w:line="240" w:lineRule="auto"/>
              <w:jc w:val="center"/>
              <w:rPr>
                <w:rFonts w:ascii="Arial" w:eastAsia="SimSun" w:hAnsi="Arial" w:cs="Arial"/>
                <w:color w:val="000000"/>
                <w:lang w:val="ro-RO"/>
              </w:rPr>
            </w:pPr>
          </w:p>
        </w:tc>
        <w:tc>
          <w:tcPr>
            <w:tcW w:w="156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16</w:t>
            </w:r>
          </w:p>
        </w:tc>
        <w:tc>
          <w:tcPr>
            <w:tcW w:w="1357" w:type="dxa"/>
            <w:tcBorders>
              <w:top w:val="nil"/>
              <w:left w:val="nil"/>
              <w:bottom w:val="single" w:sz="8" w:space="0" w:color="auto"/>
              <w:right w:val="single" w:sz="8" w:space="0" w:color="auto"/>
            </w:tcBorders>
            <w:tcMar>
              <w:top w:w="0" w:type="dxa"/>
              <w:left w:w="108" w:type="dxa"/>
              <w:bottom w:w="0" w:type="dxa"/>
              <w:right w:w="108" w:type="dxa"/>
            </w:tcMar>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71,0</w:t>
            </w:r>
          </w:p>
        </w:tc>
        <w:tc>
          <w:tcPr>
            <w:tcW w:w="1073" w:type="dxa"/>
            <w:tcBorders>
              <w:top w:val="nil"/>
              <w:left w:val="nil"/>
              <w:bottom w:val="single" w:sz="8" w:space="0" w:color="auto"/>
              <w:right w:val="single" w:sz="8" w:space="0" w:color="auto"/>
            </w:tcBorders>
            <w:shd w:val="clear" w:color="auto" w:fill="auto"/>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3,75</w:t>
            </w:r>
          </w:p>
        </w:tc>
      </w:tr>
      <w:tr w:rsidR="00934C02" w:rsidRPr="00934C02" w:rsidTr="00855393">
        <w:trPr>
          <w:jc w:val="center"/>
        </w:trPr>
        <w:tc>
          <w:tcPr>
            <w:tcW w:w="40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34C02" w:rsidRPr="00934C02" w:rsidRDefault="00934C02" w:rsidP="00934C02">
            <w:pPr>
              <w:spacing w:after="0" w:line="240" w:lineRule="auto"/>
              <w:rPr>
                <w:rFonts w:ascii="Arial" w:eastAsia="SimSun" w:hAnsi="Arial" w:cs="Arial"/>
                <w:color w:val="000000"/>
                <w:lang w:val="ro-RO"/>
              </w:rPr>
            </w:pPr>
            <w:r w:rsidRPr="00934C02">
              <w:rPr>
                <w:rFonts w:ascii="Arial" w:eastAsia="SimSun" w:hAnsi="Arial" w:cs="Arial"/>
                <w:color w:val="000000"/>
                <w:lang w:val="ro-RO"/>
              </w:rPr>
              <w:t xml:space="preserve">Aeroporturi </w:t>
            </w:r>
          </w:p>
        </w:tc>
        <w:tc>
          <w:tcPr>
            <w:tcW w:w="1334" w:type="dxa"/>
            <w:tcBorders>
              <w:top w:val="nil"/>
              <w:left w:val="nil"/>
              <w:bottom w:val="single" w:sz="8" w:space="0" w:color="auto"/>
              <w:right w:val="single" w:sz="4" w:space="0" w:color="auto"/>
            </w:tcBorders>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0</w:t>
            </w:r>
          </w:p>
        </w:tc>
        <w:tc>
          <w:tcPr>
            <w:tcW w:w="297" w:type="dxa"/>
            <w:tcBorders>
              <w:top w:val="nil"/>
              <w:left w:val="single" w:sz="4" w:space="0" w:color="auto"/>
              <w:bottom w:val="single" w:sz="8" w:space="0" w:color="auto"/>
              <w:right w:val="nil"/>
            </w:tcBorders>
          </w:tcPr>
          <w:p w:rsidR="00934C02" w:rsidRPr="00934C02" w:rsidRDefault="00934C02" w:rsidP="00934C02">
            <w:pPr>
              <w:spacing w:after="0" w:line="240" w:lineRule="auto"/>
              <w:jc w:val="center"/>
              <w:rPr>
                <w:rFonts w:ascii="Arial" w:eastAsia="SimSun" w:hAnsi="Arial" w:cs="Arial"/>
                <w:color w:val="000000"/>
                <w:lang w:val="ro-RO"/>
              </w:rPr>
            </w:pPr>
          </w:p>
        </w:tc>
        <w:tc>
          <w:tcPr>
            <w:tcW w:w="1566" w:type="dxa"/>
            <w:tcBorders>
              <w:top w:val="nil"/>
              <w:left w:val="nil"/>
              <w:bottom w:val="single" w:sz="8" w:space="0" w:color="auto"/>
              <w:right w:val="single" w:sz="8" w:space="0" w:color="auto"/>
            </w:tcBorders>
            <w:tcMar>
              <w:top w:w="0" w:type="dxa"/>
              <w:left w:w="108" w:type="dxa"/>
              <w:bottom w:w="0" w:type="dxa"/>
              <w:right w:w="108" w:type="dxa"/>
            </w:tcMar>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c>
          <w:tcPr>
            <w:tcW w:w="1357" w:type="dxa"/>
            <w:tcBorders>
              <w:top w:val="nil"/>
              <w:left w:val="nil"/>
              <w:bottom w:val="single" w:sz="8" w:space="0" w:color="auto"/>
              <w:right w:val="single" w:sz="8" w:space="0" w:color="auto"/>
            </w:tcBorders>
            <w:tcMar>
              <w:top w:w="0" w:type="dxa"/>
              <w:left w:w="108" w:type="dxa"/>
              <w:bottom w:w="0" w:type="dxa"/>
              <w:right w:w="108" w:type="dxa"/>
            </w:tcMar>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c>
          <w:tcPr>
            <w:tcW w:w="1073" w:type="dxa"/>
            <w:tcBorders>
              <w:top w:val="nil"/>
              <w:left w:val="nil"/>
              <w:bottom w:val="single" w:sz="8" w:space="0" w:color="auto"/>
              <w:right w:val="single" w:sz="8" w:space="0" w:color="auto"/>
            </w:tcBorders>
            <w:shd w:val="clear" w:color="auto" w:fill="auto"/>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r>
      <w:tr w:rsidR="00934C02" w:rsidRPr="00934C02" w:rsidTr="00855393">
        <w:trPr>
          <w:jc w:val="center"/>
        </w:trPr>
        <w:tc>
          <w:tcPr>
            <w:tcW w:w="40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34C02" w:rsidRPr="00934C02" w:rsidRDefault="00934C02" w:rsidP="00934C02">
            <w:pPr>
              <w:spacing w:after="0" w:line="240" w:lineRule="auto"/>
              <w:rPr>
                <w:rFonts w:ascii="Arial" w:eastAsia="SimSun" w:hAnsi="Arial" w:cs="Arial"/>
                <w:color w:val="000000"/>
                <w:lang w:val="ro-RO"/>
              </w:rPr>
            </w:pPr>
            <w:r w:rsidRPr="00934C02">
              <w:rPr>
                <w:rFonts w:ascii="Arial" w:eastAsia="SimSun" w:hAnsi="Arial" w:cs="Arial"/>
                <w:color w:val="000000"/>
                <w:lang w:val="ro-RO"/>
              </w:rPr>
              <w:t>Parcaje auto</w:t>
            </w:r>
          </w:p>
        </w:tc>
        <w:tc>
          <w:tcPr>
            <w:tcW w:w="1334" w:type="dxa"/>
            <w:tcBorders>
              <w:top w:val="nil"/>
              <w:left w:val="nil"/>
              <w:bottom w:val="single" w:sz="8" w:space="0" w:color="auto"/>
              <w:right w:val="single" w:sz="4" w:space="0" w:color="auto"/>
            </w:tcBorders>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0</w:t>
            </w:r>
          </w:p>
        </w:tc>
        <w:tc>
          <w:tcPr>
            <w:tcW w:w="297" w:type="dxa"/>
            <w:tcBorders>
              <w:top w:val="nil"/>
              <w:left w:val="single" w:sz="4" w:space="0" w:color="auto"/>
              <w:bottom w:val="single" w:sz="8" w:space="0" w:color="auto"/>
              <w:right w:val="nil"/>
            </w:tcBorders>
          </w:tcPr>
          <w:p w:rsidR="00934C02" w:rsidRPr="00934C02" w:rsidRDefault="00934C02" w:rsidP="00934C02">
            <w:pPr>
              <w:spacing w:after="0" w:line="240" w:lineRule="auto"/>
              <w:jc w:val="center"/>
              <w:rPr>
                <w:rFonts w:ascii="Arial" w:eastAsia="SimSun" w:hAnsi="Arial" w:cs="Arial"/>
                <w:color w:val="000000"/>
                <w:lang w:val="ro-RO"/>
              </w:rPr>
            </w:pPr>
          </w:p>
        </w:tc>
        <w:tc>
          <w:tcPr>
            <w:tcW w:w="1566" w:type="dxa"/>
            <w:tcBorders>
              <w:top w:val="nil"/>
              <w:left w:val="nil"/>
              <w:bottom w:val="single" w:sz="8" w:space="0" w:color="auto"/>
              <w:right w:val="single" w:sz="8" w:space="0" w:color="auto"/>
            </w:tcBorders>
            <w:tcMar>
              <w:top w:w="0" w:type="dxa"/>
              <w:left w:w="108" w:type="dxa"/>
              <w:bottom w:w="0" w:type="dxa"/>
              <w:right w:w="108" w:type="dxa"/>
            </w:tcMar>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c>
          <w:tcPr>
            <w:tcW w:w="1357" w:type="dxa"/>
            <w:tcBorders>
              <w:top w:val="nil"/>
              <w:left w:val="nil"/>
              <w:bottom w:val="single" w:sz="8" w:space="0" w:color="auto"/>
              <w:right w:val="single" w:sz="8" w:space="0" w:color="auto"/>
            </w:tcBorders>
            <w:tcMar>
              <w:top w:w="0" w:type="dxa"/>
              <w:left w:w="108" w:type="dxa"/>
              <w:bottom w:w="0" w:type="dxa"/>
              <w:right w:w="108" w:type="dxa"/>
            </w:tcMar>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c>
          <w:tcPr>
            <w:tcW w:w="1073" w:type="dxa"/>
            <w:tcBorders>
              <w:top w:val="nil"/>
              <w:left w:val="nil"/>
              <w:bottom w:val="single" w:sz="8" w:space="0" w:color="auto"/>
              <w:right w:val="single" w:sz="8" w:space="0" w:color="auto"/>
            </w:tcBorders>
            <w:shd w:val="clear" w:color="auto" w:fill="auto"/>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r>
      <w:tr w:rsidR="00934C02" w:rsidRPr="00934C02" w:rsidTr="00855393">
        <w:trPr>
          <w:jc w:val="center"/>
        </w:trPr>
        <w:tc>
          <w:tcPr>
            <w:tcW w:w="40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34C02" w:rsidRPr="00934C02" w:rsidRDefault="00934C02" w:rsidP="00934C02">
            <w:pPr>
              <w:spacing w:after="0" w:line="240" w:lineRule="auto"/>
              <w:rPr>
                <w:rFonts w:ascii="Arial" w:eastAsia="SimSun" w:hAnsi="Arial" w:cs="Arial"/>
                <w:color w:val="000000"/>
                <w:lang w:val="ro-RO"/>
              </w:rPr>
            </w:pPr>
            <w:r w:rsidRPr="00934C02">
              <w:rPr>
                <w:rFonts w:ascii="Arial" w:eastAsia="SimSun" w:hAnsi="Arial" w:cs="Arial"/>
                <w:color w:val="000000"/>
                <w:lang w:val="ro-RO"/>
              </w:rPr>
              <w:t>Stadioane, cinematografe în aer liber</w:t>
            </w:r>
          </w:p>
        </w:tc>
        <w:tc>
          <w:tcPr>
            <w:tcW w:w="1334" w:type="dxa"/>
            <w:tcBorders>
              <w:top w:val="nil"/>
              <w:left w:val="nil"/>
              <w:bottom w:val="single" w:sz="8" w:space="0" w:color="auto"/>
              <w:right w:val="single" w:sz="4" w:space="0" w:color="auto"/>
            </w:tcBorders>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0</w:t>
            </w:r>
          </w:p>
        </w:tc>
        <w:tc>
          <w:tcPr>
            <w:tcW w:w="297" w:type="dxa"/>
            <w:tcBorders>
              <w:top w:val="nil"/>
              <w:left w:val="single" w:sz="4" w:space="0" w:color="auto"/>
              <w:bottom w:val="single" w:sz="8" w:space="0" w:color="auto"/>
              <w:right w:val="nil"/>
            </w:tcBorders>
          </w:tcPr>
          <w:p w:rsidR="00934C02" w:rsidRPr="00934C02" w:rsidRDefault="00934C02" w:rsidP="00934C02">
            <w:pPr>
              <w:spacing w:after="0" w:line="240" w:lineRule="auto"/>
              <w:jc w:val="center"/>
              <w:rPr>
                <w:rFonts w:ascii="Arial" w:eastAsia="SimSun" w:hAnsi="Arial" w:cs="Arial"/>
                <w:color w:val="000000"/>
                <w:lang w:val="ro-RO"/>
              </w:rPr>
            </w:pPr>
          </w:p>
        </w:tc>
        <w:tc>
          <w:tcPr>
            <w:tcW w:w="1566" w:type="dxa"/>
            <w:tcBorders>
              <w:top w:val="nil"/>
              <w:left w:val="nil"/>
              <w:bottom w:val="single" w:sz="8" w:space="0" w:color="auto"/>
              <w:right w:val="single" w:sz="8" w:space="0" w:color="auto"/>
            </w:tcBorders>
            <w:tcMar>
              <w:top w:w="0" w:type="dxa"/>
              <w:left w:w="108" w:type="dxa"/>
              <w:bottom w:w="0" w:type="dxa"/>
              <w:right w:w="108" w:type="dxa"/>
            </w:tcMar>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c>
          <w:tcPr>
            <w:tcW w:w="1357" w:type="dxa"/>
            <w:tcBorders>
              <w:top w:val="nil"/>
              <w:left w:val="nil"/>
              <w:bottom w:val="single" w:sz="8" w:space="0" w:color="auto"/>
              <w:right w:val="single" w:sz="8" w:space="0" w:color="auto"/>
            </w:tcBorders>
            <w:tcMar>
              <w:top w:w="0" w:type="dxa"/>
              <w:left w:w="108" w:type="dxa"/>
              <w:bottom w:w="0" w:type="dxa"/>
              <w:right w:w="108" w:type="dxa"/>
            </w:tcMar>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c>
          <w:tcPr>
            <w:tcW w:w="1073" w:type="dxa"/>
            <w:tcBorders>
              <w:top w:val="nil"/>
              <w:left w:val="nil"/>
              <w:bottom w:val="single" w:sz="8" w:space="0" w:color="auto"/>
              <w:right w:val="single" w:sz="8" w:space="0" w:color="auto"/>
            </w:tcBorders>
            <w:shd w:val="clear" w:color="auto" w:fill="auto"/>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r>
      <w:tr w:rsidR="00934C02" w:rsidRPr="00934C02" w:rsidTr="00855393">
        <w:trPr>
          <w:jc w:val="center"/>
        </w:trPr>
        <w:tc>
          <w:tcPr>
            <w:tcW w:w="40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34C02" w:rsidRPr="00934C02" w:rsidRDefault="00934C02" w:rsidP="00934C02">
            <w:pPr>
              <w:spacing w:after="0" w:line="240" w:lineRule="auto"/>
              <w:rPr>
                <w:rFonts w:ascii="Arial" w:eastAsia="SimSun" w:hAnsi="Arial" w:cs="Arial"/>
                <w:color w:val="000000"/>
                <w:lang w:val="ro-RO"/>
              </w:rPr>
            </w:pPr>
            <w:r w:rsidRPr="00934C02">
              <w:rPr>
                <w:rFonts w:ascii="Arial" w:eastAsia="SimSun" w:hAnsi="Arial" w:cs="Arial"/>
                <w:color w:val="000000"/>
                <w:lang w:val="ro-RO"/>
              </w:rPr>
              <w:t>Trafic – străzi de categoria a II-a</w:t>
            </w:r>
          </w:p>
        </w:tc>
        <w:tc>
          <w:tcPr>
            <w:tcW w:w="1334" w:type="dxa"/>
            <w:tcBorders>
              <w:top w:val="nil"/>
              <w:left w:val="nil"/>
              <w:bottom w:val="single" w:sz="8" w:space="0" w:color="auto"/>
              <w:right w:val="single" w:sz="4" w:space="0" w:color="auto"/>
            </w:tcBorders>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4</w:t>
            </w:r>
          </w:p>
        </w:tc>
        <w:tc>
          <w:tcPr>
            <w:tcW w:w="297" w:type="dxa"/>
            <w:tcBorders>
              <w:top w:val="nil"/>
              <w:left w:val="single" w:sz="4" w:space="0" w:color="auto"/>
              <w:bottom w:val="single" w:sz="8" w:space="0" w:color="auto"/>
              <w:right w:val="nil"/>
            </w:tcBorders>
          </w:tcPr>
          <w:p w:rsidR="00934C02" w:rsidRPr="00934C02" w:rsidRDefault="00934C02" w:rsidP="00934C02">
            <w:pPr>
              <w:spacing w:after="0" w:line="240" w:lineRule="auto"/>
              <w:jc w:val="center"/>
              <w:rPr>
                <w:rFonts w:ascii="Arial" w:eastAsia="SimSun" w:hAnsi="Arial" w:cs="Arial"/>
                <w:color w:val="000000"/>
                <w:lang w:val="ro-RO"/>
              </w:rPr>
            </w:pPr>
          </w:p>
        </w:tc>
        <w:tc>
          <w:tcPr>
            <w:tcW w:w="1566" w:type="dxa"/>
            <w:tcBorders>
              <w:top w:val="nil"/>
              <w:left w:val="nil"/>
              <w:bottom w:val="single" w:sz="8" w:space="0" w:color="auto"/>
              <w:right w:val="single" w:sz="8" w:space="0" w:color="auto"/>
            </w:tcBorders>
            <w:tcMar>
              <w:top w:w="0" w:type="dxa"/>
              <w:left w:w="108" w:type="dxa"/>
              <w:bottom w:w="0" w:type="dxa"/>
              <w:right w:w="108" w:type="dxa"/>
            </w:tcMar>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16</w:t>
            </w:r>
          </w:p>
        </w:tc>
        <w:tc>
          <w:tcPr>
            <w:tcW w:w="1357" w:type="dxa"/>
            <w:tcBorders>
              <w:top w:val="nil"/>
              <w:left w:val="nil"/>
              <w:bottom w:val="single" w:sz="8" w:space="0" w:color="auto"/>
              <w:right w:val="single" w:sz="8" w:space="0" w:color="auto"/>
            </w:tcBorders>
            <w:tcMar>
              <w:top w:w="0" w:type="dxa"/>
              <w:left w:w="108" w:type="dxa"/>
              <w:bottom w:w="0" w:type="dxa"/>
              <w:right w:w="108" w:type="dxa"/>
            </w:tcMar>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72,2</w:t>
            </w:r>
          </w:p>
        </w:tc>
        <w:tc>
          <w:tcPr>
            <w:tcW w:w="1073" w:type="dxa"/>
            <w:tcBorders>
              <w:top w:val="nil"/>
              <w:left w:val="nil"/>
              <w:bottom w:val="single" w:sz="8" w:space="0" w:color="auto"/>
              <w:right w:val="single" w:sz="8" w:space="0" w:color="auto"/>
            </w:tcBorders>
            <w:shd w:val="clear" w:color="auto" w:fill="auto"/>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27,5</w:t>
            </w:r>
          </w:p>
        </w:tc>
      </w:tr>
      <w:tr w:rsidR="00934C02" w:rsidRPr="00934C02" w:rsidTr="00855393">
        <w:trPr>
          <w:jc w:val="center"/>
        </w:trPr>
        <w:tc>
          <w:tcPr>
            <w:tcW w:w="40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34C02" w:rsidRPr="00934C02" w:rsidRDefault="00934C02" w:rsidP="00934C02">
            <w:pPr>
              <w:spacing w:after="0" w:line="240" w:lineRule="auto"/>
              <w:rPr>
                <w:rFonts w:ascii="Arial" w:eastAsia="SimSun" w:hAnsi="Arial" w:cs="Arial"/>
                <w:color w:val="000000"/>
                <w:lang w:val="ro-RO"/>
              </w:rPr>
            </w:pPr>
            <w:r w:rsidRPr="00934C02">
              <w:rPr>
                <w:rFonts w:ascii="Arial" w:eastAsia="SimSun" w:hAnsi="Arial" w:cs="Arial"/>
                <w:color w:val="000000"/>
                <w:lang w:val="ro-RO"/>
              </w:rPr>
              <w:t>Trafic – străzi de categoria a III-a</w:t>
            </w:r>
          </w:p>
        </w:tc>
        <w:tc>
          <w:tcPr>
            <w:tcW w:w="1334" w:type="dxa"/>
            <w:tcBorders>
              <w:top w:val="nil"/>
              <w:left w:val="nil"/>
              <w:bottom w:val="single" w:sz="8" w:space="0" w:color="auto"/>
              <w:right w:val="single" w:sz="4" w:space="0" w:color="auto"/>
            </w:tcBorders>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5</w:t>
            </w:r>
          </w:p>
        </w:tc>
        <w:tc>
          <w:tcPr>
            <w:tcW w:w="297" w:type="dxa"/>
            <w:tcBorders>
              <w:top w:val="nil"/>
              <w:left w:val="single" w:sz="4" w:space="0" w:color="auto"/>
              <w:bottom w:val="single" w:sz="8" w:space="0" w:color="auto"/>
              <w:right w:val="nil"/>
            </w:tcBorders>
          </w:tcPr>
          <w:p w:rsidR="00934C02" w:rsidRPr="00934C02" w:rsidRDefault="00934C02" w:rsidP="00934C02">
            <w:pPr>
              <w:spacing w:after="0" w:line="240" w:lineRule="auto"/>
              <w:jc w:val="center"/>
              <w:rPr>
                <w:rFonts w:ascii="Arial" w:eastAsia="SimSun" w:hAnsi="Arial" w:cs="Arial"/>
                <w:color w:val="000000"/>
                <w:lang w:val="ro-RO"/>
              </w:rPr>
            </w:pPr>
          </w:p>
        </w:tc>
        <w:tc>
          <w:tcPr>
            <w:tcW w:w="1566" w:type="dxa"/>
            <w:tcBorders>
              <w:top w:val="nil"/>
              <w:left w:val="nil"/>
              <w:bottom w:val="single" w:sz="8" w:space="0" w:color="auto"/>
              <w:right w:val="single" w:sz="8" w:space="0" w:color="auto"/>
            </w:tcBorders>
            <w:tcMar>
              <w:top w:w="0" w:type="dxa"/>
              <w:left w:w="108" w:type="dxa"/>
              <w:bottom w:w="0" w:type="dxa"/>
              <w:right w:w="108" w:type="dxa"/>
            </w:tcMar>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20</w:t>
            </w:r>
          </w:p>
        </w:tc>
        <w:tc>
          <w:tcPr>
            <w:tcW w:w="1357" w:type="dxa"/>
            <w:tcBorders>
              <w:top w:val="nil"/>
              <w:left w:val="nil"/>
              <w:bottom w:val="single" w:sz="8" w:space="0" w:color="auto"/>
              <w:right w:val="single" w:sz="8" w:space="0" w:color="auto"/>
            </w:tcBorders>
            <w:tcMar>
              <w:top w:w="0" w:type="dxa"/>
              <w:left w:w="108" w:type="dxa"/>
              <w:bottom w:w="0" w:type="dxa"/>
              <w:right w:w="108" w:type="dxa"/>
            </w:tcMar>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72,3</w:t>
            </w:r>
          </w:p>
        </w:tc>
        <w:tc>
          <w:tcPr>
            <w:tcW w:w="1073" w:type="dxa"/>
            <w:tcBorders>
              <w:top w:val="nil"/>
              <w:left w:val="nil"/>
              <w:bottom w:val="single" w:sz="8" w:space="0" w:color="auto"/>
              <w:right w:val="single" w:sz="8" w:space="0" w:color="auto"/>
            </w:tcBorders>
            <w:shd w:val="clear" w:color="auto" w:fill="auto"/>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35,0</w:t>
            </w:r>
          </w:p>
        </w:tc>
      </w:tr>
      <w:tr w:rsidR="00934C02" w:rsidRPr="00934C02" w:rsidTr="00855393">
        <w:trPr>
          <w:jc w:val="center"/>
        </w:trPr>
        <w:tc>
          <w:tcPr>
            <w:tcW w:w="402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34C02" w:rsidRPr="00934C02" w:rsidRDefault="00934C02" w:rsidP="00934C02">
            <w:pPr>
              <w:spacing w:after="0" w:line="240" w:lineRule="auto"/>
              <w:rPr>
                <w:rFonts w:ascii="Arial" w:eastAsia="SimSun" w:hAnsi="Arial" w:cs="Arial"/>
                <w:color w:val="000000"/>
                <w:lang w:val="ro-RO"/>
              </w:rPr>
            </w:pPr>
            <w:r w:rsidRPr="00934C02">
              <w:rPr>
                <w:rFonts w:ascii="Arial" w:eastAsia="SimSun" w:hAnsi="Arial" w:cs="Arial"/>
                <w:color w:val="000000"/>
                <w:lang w:val="ro-RO"/>
              </w:rPr>
              <w:t>Altele - zone locuibile</w:t>
            </w:r>
          </w:p>
        </w:tc>
        <w:tc>
          <w:tcPr>
            <w:tcW w:w="1334" w:type="dxa"/>
            <w:tcBorders>
              <w:top w:val="nil"/>
              <w:left w:val="nil"/>
              <w:bottom w:val="single" w:sz="8" w:space="0" w:color="auto"/>
              <w:right w:val="single" w:sz="4" w:space="0" w:color="auto"/>
            </w:tcBorders>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0</w:t>
            </w:r>
          </w:p>
        </w:tc>
        <w:tc>
          <w:tcPr>
            <w:tcW w:w="297" w:type="dxa"/>
            <w:tcBorders>
              <w:top w:val="nil"/>
              <w:left w:val="single" w:sz="4" w:space="0" w:color="auto"/>
              <w:bottom w:val="single" w:sz="8" w:space="0" w:color="auto"/>
              <w:right w:val="nil"/>
            </w:tcBorders>
          </w:tcPr>
          <w:p w:rsidR="00934C02" w:rsidRPr="00934C02" w:rsidRDefault="00934C02" w:rsidP="00934C02">
            <w:pPr>
              <w:spacing w:after="0" w:line="240" w:lineRule="auto"/>
              <w:jc w:val="center"/>
              <w:rPr>
                <w:rFonts w:ascii="Arial" w:eastAsia="SimSun" w:hAnsi="Arial" w:cs="Arial"/>
                <w:color w:val="000000"/>
                <w:lang w:val="ro-RO"/>
              </w:rPr>
            </w:pPr>
          </w:p>
        </w:tc>
        <w:tc>
          <w:tcPr>
            <w:tcW w:w="1566" w:type="dxa"/>
            <w:tcBorders>
              <w:top w:val="nil"/>
              <w:left w:val="nil"/>
              <w:bottom w:val="single" w:sz="8" w:space="0" w:color="auto"/>
              <w:right w:val="single" w:sz="8" w:space="0" w:color="auto"/>
            </w:tcBorders>
            <w:tcMar>
              <w:top w:w="0" w:type="dxa"/>
              <w:left w:w="108" w:type="dxa"/>
              <w:bottom w:w="0" w:type="dxa"/>
              <w:right w:w="108" w:type="dxa"/>
            </w:tcMar>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c>
          <w:tcPr>
            <w:tcW w:w="1357" w:type="dxa"/>
            <w:tcBorders>
              <w:top w:val="nil"/>
              <w:left w:val="nil"/>
              <w:bottom w:val="single" w:sz="8" w:space="0" w:color="auto"/>
              <w:right w:val="single" w:sz="8" w:space="0" w:color="auto"/>
            </w:tcBorders>
            <w:tcMar>
              <w:top w:w="0" w:type="dxa"/>
              <w:left w:w="108" w:type="dxa"/>
              <w:bottom w:w="0" w:type="dxa"/>
              <w:right w:w="108" w:type="dxa"/>
            </w:tcMar>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c>
          <w:tcPr>
            <w:tcW w:w="1073" w:type="dxa"/>
            <w:tcBorders>
              <w:top w:val="nil"/>
              <w:left w:val="nil"/>
              <w:bottom w:val="single" w:sz="8" w:space="0" w:color="auto"/>
              <w:right w:val="single" w:sz="8" w:space="0" w:color="auto"/>
            </w:tcBorders>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r>
    </w:tbl>
    <w:p w:rsidR="00477FE7" w:rsidRDefault="00477FE7" w:rsidP="00934C02">
      <w:pPr>
        <w:spacing w:after="0" w:line="240" w:lineRule="auto"/>
        <w:rPr>
          <w:rFonts w:ascii="Arial" w:eastAsia="SimSun" w:hAnsi="Arial" w:cs="Arial"/>
          <w:sz w:val="24"/>
          <w:szCs w:val="24"/>
          <w:lang w:val="en-GB"/>
        </w:rPr>
      </w:pPr>
    </w:p>
    <w:p w:rsidR="00477FE7" w:rsidRDefault="00477FE7" w:rsidP="00934C02">
      <w:pPr>
        <w:spacing w:after="0" w:line="240" w:lineRule="auto"/>
        <w:rPr>
          <w:rFonts w:ascii="Arial" w:eastAsia="SimSun" w:hAnsi="Arial" w:cs="Arial"/>
          <w:sz w:val="24"/>
          <w:szCs w:val="24"/>
          <w:lang w:val="en-GB"/>
        </w:rPr>
      </w:pPr>
    </w:p>
    <w:p w:rsidR="00934C02" w:rsidRPr="00934C02" w:rsidRDefault="00934C02" w:rsidP="00934C02">
      <w:pPr>
        <w:spacing w:after="0" w:line="240" w:lineRule="auto"/>
        <w:rPr>
          <w:rFonts w:ascii="Arial" w:eastAsia="SimSun" w:hAnsi="Arial" w:cs="Arial"/>
          <w:i/>
          <w:color w:val="000000"/>
          <w:sz w:val="24"/>
          <w:szCs w:val="24"/>
          <w:lang w:val="ro-RO"/>
        </w:rPr>
      </w:pPr>
      <w:r w:rsidRPr="00934C02">
        <w:rPr>
          <w:rFonts w:ascii="Arial" w:eastAsia="SimSun" w:hAnsi="Arial" w:cs="Arial"/>
          <w:sz w:val="24"/>
          <w:szCs w:val="24"/>
          <w:lang w:val="en-GB"/>
        </w:rPr>
        <w:lastRenderedPageBreak/>
        <w:t xml:space="preserve">Tabelul </w:t>
      </w:r>
      <w:r w:rsidRPr="00934C02">
        <w:rPr>
          <w:rFonts w:ascii="Arial" w:eastAsia="SimSun" w:hAnsi="Arial" w:cs="Arial"/>
          <w:sz w:val="24"/>
          <w:szCs w:val="24"/>
          <w:lang w:val="ro-RO"/>
        </w:rPr>
        <w:t>VIII</w:t>
      </w:r>
      <w:r w:rsidRPr="00934C02">
        <w:rPr>
          <w:rFonts w:ascii="Arial" w:eastAsia="SimSun" w:hAnsi="Arial" w:cs="Arial"/>
          <w:sz w:val="24"/>
          <w:szCs w:val="24"/>
          <w:lang w:val="en-GB"/>
        </w:rPr>
        <w:t xml:space="preserve">.2. Variaţia nivelului de zgomot pentru zona de măsurare </w:t>
      </w:r>
      <w:r w:rsidRPr="00934C02">
        <w:rPr>
          <w:rFonts w:ascii="Arial" w:eastAsia="SimSun" w:hAnsi="Arial" w:cs="Arial"/>
          <w:i/>
          <w:color w:val="000000"/>
          <w:sz w:val="24"/>
          <w:szCs w:val="24"/>
          <w:lang w:val="ro-RO"/>
        </w:rPr>
        <w:t>Pieţe, spaţii comerciale, restaurante în aer liber, Leq  - anul 2015</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6"/>
        <w:gridCol w:w="1113"/>
        <w:gridCol w:w="1910"/>
        <w:gridCol w:w="1776"/>
        <w:gridCol w:w="1791"/>
      </w:tblGrid>
      <w:tr w:rsidR="00934C02" w:rsidRPr="00934C02" w:rsidTr="00934C02">
        <w:tc>
          <w:tcPr>
            <w:tcW w:w="2835" w:type="dxa"/>
          </w:tcPr>
          <w:p w:rsidR="00934C02" w:rsidRPr="00934C02" w:rsidRDefault="00934C02" w:rsidP="00934C02">
            <w:pPr>
              <w:spacing w:after="0" w:line="240" w:lineRule="auto"/>
              <w:rPr>
                <w:rFonts w:ascii="Arial" w:eastAsia="SimSun" w:hAnsi="Arial" w:cs="Arial"/>
                <w:b/>
                <w:sz w:val="24"/>
                <w:szCs w:val="24"/>
                <w:lang w:val="ro-RO"/>
              </w:rPr>
            </w:pPr>
            <w:r w:rsidRPr="00934C02">
              <w:rPr>
                <w:rFonts w:ascii="Arial" w:eastAsia="SimSun" w:hAnsi="Arial" w:cs="Arial"/>
                <w:b/>
                <w:sz w:val="24"/>
                <w:szCs w:val="24"/>
                <w:lang w:val="ro-RO"/>
              </w:rPr>
              <w:t>Punctul de măsurare</w:t>
            </w:r>
          </w:p>
        </w:tc>
        <w:tc>
          <w:tcPr>
            <w:tcW w:w="1134" w:type="dxa"/>
          </w:tcPr>
          <w:p w:rsidR="00934C02" w:rsidRPr="00934C02" w:rsidRDefault="00934C02" w:rsidP="00934C02">
            <w:pPr>
              <w:spacing w:after="0" w:line="240" w:lineRule="auto"/>
              <w:jc w:val="center"/>
              <w:rPr>
                <w:rFonts w:ascii="Arial" w:eastAsia="SimSun" w:hAnsi="Arial" w:cs="Arial"/>
                <w:b/>
                <w:sz w:val="24"/>
                <w:szCs w:val="24"/>
                <w:lang w:val="ro-RO"/>
              </w:rPr>
            </w:pPr>
            <w:r w:rsidRPr="00934C02">
              <w:rPr>
                <w:rFonts w:ascii="Arial" w:eastAsia="SimSun" w:hAnsi="Arial" w:cs="Arial"/>
                <w:b/>
                <w:sz w:val="24"/>
                <w:szCs w:val="24"/>
                <w:lang w:val="ro-RO"/>
              </w:rPr>
              <w:t>Trim. I</w:t>
            </w:r>
          </w:p>
        </w:tc>
        <w:tc>
          <w:tcPr>
            <w:tcW w:w="1985" w:type="dxa"/>
          </w:tcPr>
          <w:p w:rsidR="00934C02" w:rsidRPr="00934C02" w:rsidRDefault="00934C02" w:rsidP="00934C02">
            <w:pPr>
              <w:spacing w:after="0" w:line="240" w:lineRule="auto"/>
              <w:jc w:val="center"/>
              <w:rPr>
                <w:rFonts w:ascii="Arial" w:eastAsia="SimSun" w:hAnsi="Arial" w:cs="Arial"/>
                <w:b/>
                <w:sz w:val="24"/>
                <w:szCs w:val="24"/>
                <w:lang w:val="ro-RO"/>
              </w:rPr>
            </w:pPr>
            <w:r w:rsidRPr="00934C02">
              <w:rPr>
                <w:rFonts w:ascii="Arial" w:eastAsia="SimSun" w:hAnsi="Arial" w:cs="Arial"/>
                <w:b/>
                <w:sz w:val="24"/>
                <w:szCs w:val="24"/>
                <w:lang w:val="ro-RO"/>
              </w:rPr>
              <w:t>Trim. al II-lea</w:t>
            </w:r>
          </w:p>
        </w:tc>
        <w:tc>
          <w:tcPr>
            <w:tcW w:w="1842" w:type="dxa"/>
          </w:tcPr>
          <w:p w:rsidR="00934C02" w:rsidRPr="00934C02" w:rsidRDefault="00934C02" w:rsidP="00934C02">
            <w:pPr>
              <w:spacing w:after="0" w:line="240" w:lineRule="auto"/>
              <w:jc w:val="center"/>
              <w:rPr>
                <w:rFonts w:ascii="Arial" w:eastAsia="SimSun" w:hAnsi="Arial" w:cs="Arial"/>
                <w:b/>
                <w:sz w:val="24"/>
                <w:szCs w:val="24"/>
                <w:lang w:val="ro-RO"/>
              </w:rPr>
            </w:pPr>
            <w:r w:rsidRPr="00934C02">
              <w:rPr>
                <w:rFonts w:ascii="Arial" w:eastAsia="SimSun" w:hAnsi="Arial" w:cs="Arial"/>
                <w:b/>
                <w:sz w:val="24"/>
                <w:szCs w:val="24"/>
                <w:lang w:val="ro-RO"/>
              </w:rPr>
              <w:t>Trim. al III-lea</w:t>
            </w:r>
          </w:p>
        </w:tc>
        <w:tc>
          <w:tcPr>
            <w:tcW w:w="1858" w:type="dxa"/>
          </w:tcPr>
          <w:p w:rsidR="00934C02" w:rsidRPr="00934C02" w:rsidRDefault="00934C02" w:rsidP="00934C02">
            <w:pPr>
              <w:spacing w:after="0" w:line="240" w:lineRule="auto"/>
              <w:jc w:val="center"/>
              <w:rPr>
                <w:rFonts w:ascii="Arial" w:eastAsia="SimSun" w:hAnsi="Arial" w:cs="Arial"/>
                <w:b/>
                <w:sz w:val="24"/>
                <w:szCs w:val="24"/>
                <w:lang w:val="ro-RO"/>
              </w:rPr>
            </w:pPr>
            <w:r w:rsidRPr="00934C02">
              <w:rPr>
                <w:rFonts w:ascii="Arial" w:eastAsia="SimSun" w:hAnsi="Arial" w:cs="Arial"/>
                <w:b/>
                <w:sz w:val="24"/>
                <w:szCs w:val="24"/>
                <w:lang w:val="ro-RO"/>
              </w:rPr>
              <w:t>Trim. al IV-lea</w:t>
            </w:r>
          </w:p>
        </w:tc>
      </w:tr>
      <w:tr w:rsidR="00934C02" w:rsidRPr="00934C02" w:rsidTr="00934C02">
        <w:tc>
          <w:tcPr>
            <w:tcW w:w="2835" w:type="dxa"/>
          </w:tcPr>
          <w:p w:rsidR="00934C02" w:rsidRPr="00934C02" w:rsidRDefault="00934C02" w:rsidP="00934C02">
            <w:pPr>
              <w:spacing w:after="0" w:line="240" w:lineRule="auto"/>
              <w:jc w:val="both"/>
              <w:rPr>
                <w:rFonts w:ascii="Arial" w:eastAsia="SimSun" w:hAnsi="Arial" w:cs="Arial"/>
                <w:color w:val="000000"/>
                <w:sz w:val="24"/>
                <w:szCs w:val="24"/>
                <w:lang w:val="ro-RO"/>
              </w:rPr>
            </w:pPr>
            <w:r w:rsidRPr="00934C02">
              <w:rPr>
                <w:rFonts w:ascii="Arial" w:eastAsia="SimSun" w:hAnsi="Arial" w:cs="Arial"/>
                <w:color w:val="000000"/>
                <w:sz w:val="24"/>
                <w:szCs w:val="24"/>
                <w:lang w:val="ro-RO"/>
              </w:rPr>
              <w:t>Bârlad</w:t>
            </w:r>
          </w:p>
        </w:tc>
        <w:tc>
          <w:tcPr>
            <w:tcW w:w="1134"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61,6</w:t>
            </w:r>
          </w:p>
        </w:tc>
        <w:tc>
          <w:tcPr>
            <w:tcW w:w="1985"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67,1</w:t>
            </w:r>
          </w:p>
        </w:tc>
        <w:tc>
          <w:tcPr>
            <w:tcW w:w="1842"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66,2</w:t>
            </w:r>
          </w:p>
        </w:tc>
        <w:tc>
          <w:tcPr>
            <w:tcW w:w="1858"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66,9</w:t>
            </w:r>
          </w:p>
        </w:tc>
      </w:tr>
      <w:tr w:rsidR="00934C02" w:rsidRPr="00934C02" w:rsidTr="00934C02">
        <w:tc>
          <w:tcPr>
            <w:tcW w:w="2835" w:type="dxa"/>
          </w:tcPr>
          <w:p w:rsidR="00934C02" w:rsidRPr="00934C02" w:rsidRDefault="00934C02" w:rsidP="00934C02">
            <w:pPr>
              <w:spacing w:after="0" w:line="240" w:lineRule="auto"/>
              <w:jc w:val="both"/>
              <w:rPr>
                <w:rFonts w:ascii="Arial" w:eastAsia="SimSun" w:hAnsi="Arial" w:cs="Arial"/>
                <w:color w:val="000000"/>
                <w:sz w:val="24"/>
                <w:szCs w:val="24"/>
                <w:lang w:val="ro-RO"/>
              </w:rPr>
            </w:pPr>
            <w:r w:rsidRPr="00934C02">
              <w:rPr>
                <w:rFonts w:ascii="Arial" w:eastAsia="SimSun" w:hAnsi="Arial" w:cs="Arial"/>
                <w:color w:val="000000"/>
                <w:sz w:val="24"/>
                <w:szCs w:val="24"/>
                <w:lang w:val="ro-RO"/>
              </w:rPr>
              <w:t>Huşi</w:t>
            </w:r>
          </w:p>
        </w:tc>
        <w:tc>
          <w:tcPr>
            <w:tcW w:w="1134"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64,2</w:t>
            </w:r>
          </w:p>
        </w:tc>
        <w:tc>
          <w:tcPr>
            <w:tcW w:w="1985"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63,7</w:t>
            </w:r>
          </w:p>
        </w:tc>
        <w:tc>
          <w:tcPr>
            <w:tcW w:w="1842"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63,8</w:t>
            </w:r>
          </w:p>
        </w:tc>
        <w:tc>
          <w:tcPr>
            <w:tcW w:w="1858"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63,5</w:t>
            </w:r>
          </w:p>
        </w:tc>
      </w:tr>
      <w:tr w:rsidR="00934C02" w:rsidRPr="00934C02" w:rsidTr="00934C02">
        <w:tc>
          <w:tcPr>
            <w:tcW w:w="2835" w:type="dxa"/>
          </w:tcPr>
          <w:p w:rsidR="00934C02" w:rsidRPr="00934C02" w:rsidRDefault="00934C02" w:rsidP="00934C02">
            <w:pPr>
              <w:spacing w:after="0" w:line="240" w:lineRule="auto"/>
              <w:jc w:val="both"/>
              <w:rPr>
                <w:rFonts w:ascii="Arial" w:eastAsia="SimSun" w:hAnsi="Arial" w:cs="Arial"/>
                <w:color w:val="000000"/>
                <w:sz w:val="24"/>
                <w:szCs w:val="24"/>
                <w:lang w:val="ro-RO"/>
              </w:rPr>
            </w:pPr>
            <w:r w:rsidRPr="00934C02">
              <w:rPr>
                <w:rFonts w:ascii="Arial" w:eastAsia="SimSun" w:hAnsi="Arial" w:cs="Arial"/>
                <w:color w:val="000000"/>
                <w:sz w:val="24"/>
                <w:szCs w:val="24"/>
                <w:lang w:val="ro-RO"/>
              </w:rPr>
              <w:t>Negreşti</w:t>
            </w:r>
          </w:p>
        </w:tc>
        <w:tc>
          <w:tcPr>
            <w:tcW w:w="1134"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62,8</w:t>
            </w:r>
          </w:p>
        </w:tc>
        <w:tc>
          <w:tcPr>
            <w:tcW w:w="1985"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63,3</w:t>
            </w:r>
          </w:p>
        </w:tc>
        <w:tc>
          <w:tcPr>
            <w:tcW w:w="1842"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61,7</w:t>
            </w:r>
          </w:p>
        </w:tc>
        <w:tc>
          <w:tcPr>
            <w:tcW w:w="1858"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61,7</w:t>
            </w:r>
          </w:p>
        </w:tc>
      </w:tr>
    </w:tbl>
    <w:p w:rsidR="00934C02" w:rsidRPr="00934C02" w:rsidRDefault="00934C02" w:rsidP="00934C02">
      <w:pPr>
        <w:spacing w:after="0" w:line="240" w:lineRule="auto"/>
        <w:rPr>
          <w:rFonts w:ascii="Arial" w:eastAsia="SimSun" w:hAnsi="Arial" w:cs="Arial"/>
          <w:color w:val="000000"/>
          <w:sz w:val="24"/>
          <w:szCs w:val="24"/>
          <w:lang w:val="ro-RO"/>
        </w:rPr>
      </w:pPr>
    </w:p>
    <w:p w:rsidR="00934C02" w:rsidRPr="00934C02" w:rsidRDefault="00934C02" w:rsidP="00934C02">
      <w:pPr>
        <w:spacing w:after="0" w:line="240" w:lineRule="auto"/>
        <w:jc w:val="center"/>
        <w:rPr>
          <w:rFonts w:ascii="Arial" w:eastAsia="SimSun" w:hAnsi="Arial" w:cs="Arial"/>
          <w:sz w:val="24"/>
          <w:szCs w:val="24"/>
          <w:lang w:val="en-GB"/>
        </w:rPr>
      </w:pPr>
      <w:r>
        <w:rPr>
          <w:rFonts w:ascii="Arial" w:eastAsia="SimSun" w:hAnsi="Arial" w:cs="Arial"/>
          <w:noProof/>
          <w:sz w:val="24"/>
          <w:szCs w:val="24"/>
        </w:rPr>
        <w:drawing>
          <wp:inline distT="0" distB="0" distL="0" distR="0">
            <wp:extent cx="5943600" cy="3248025"/>
            <wp:effectExtent l="0" t="0" r="0" b="0"/>
            <wp:docPr id="271" name="Chart 27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934C02" w:rsidRPr="00934C02" w:rsidRDefault="00934C02" w:rsidP="00934C02">
      <w:pPr>
        <w:spacing w:after="0" w:line="240" w:lineRule="auto"/>
        <w:jc w:val="center"/>
        <w:rPr>
          <w:rFonts w:ascii="Arial" w:eastAsia="SimSun" w:hAnsi="Arial" w:cs="Arial"/>
          <w:sz w:val="24"/>
          <w:szCs w:val="24"/>
          <w:lang w:val="en-GB"/>
        </w:rPr>
      </w:pPr>
      <w:r w:rsidRPr="00934C02">
        <w:rPr>
          <w:rFonts w:ascii="Arial" w:eastAsia="SimSun" w:hAnsi="Arial" w:cs="Arial"/>
          <w:sz w:val="24"/>
          <w:szCs w:val="24"/>
          <w:lang w:val="en-GB"/>
        </w:rPr>
        <w:t xml:space="preserve">Figura </w:t>
      </w:r>
      <w:r w:rsidRPr="00934C02">
        <w:rPr>
          <w:rFonts w:ascii="Arial" w:eastAsia="SimSun" w:hAnsi="Arial" w:cs="Arial"/>
          <w:sz w:val="24"/>
          <w:szCs w:val="24"/>
          <w:lang w:val="ro-RO"/>
        </w:rPr>
        <w:t>VIII</w:t>
      </w:r>
      <w:r w:rsidRPr="00934C02">
        <w:rPr>
          <w:rFonts w:ascii="Arial" w:eastAsia="SimSun" w:hAnsi="Arial" w:cs="Arial"/>
          <w:sz w:val="24"/>
          <w:szCs w:val="24"/>
          <w:lang w:val="en-GB"/>
        </w:rPr>
        <w:t>.1. Variaţia Leq pentru Pieţe, spaţii comerciale şi restaurante în aer liber – anul 2015</w:t>
      </w:r>
    </w:p>
    <w:p w:rsidR="00934C02" w:rsidRPr="00934C02" w:rsidRDefault="00934C02" w:rsidP="00934C02">
      <w:pPr>
        <w:spacing w:after="0" w:line="240" w:lineRule="auto"/>
        <w:rPr>
          <w:rFonts w:ascii="Arial" w:eastAsia="SimSun" w:hAnsi="Arial" w:cs="Arial"/>
          <w:sz w:val="24"/>
          <w:szCs w:val="24"/>
          <w:lang w:val="en-GB"/>
        </w:rPr>
      </w:pPr>
    </w:p>
    <w:p w:rsidR="00934C02" w:rsidRPr="00934C02" w:rsidRDefault="00934C02" w:rsidP="00934C02">
      <w:pPr>
        <w:spacing w:after="0" w:line="240" w:lineRule="auto"/>
        <w:rPr>
          <w:rFonts w:ascii="Arial" w:eastAsia="SimSun" w:hAnsi="Arial" w:cs="Arial"/>
          <w:color w:val="000000"/>
          <w:sz w:val="24"/>
          <w:szCs w:val="24"/>
          <w:lang w:val="ro-RO"/>
        </w:rPr>
      </w:pPr>
      <w:r w:rsidRPr="00934C02">
        <w:rPr>
          <w:rFonts w:ascii="Arial" w:eastAsia="SimSun" w:hAnsi="Arial" w:cs="Arial"/>
          <w:sz w:val="24"/>
          <w:szCs w:val="24"/>
          <w:lang w:val="en-GB"/>
        </w:rPr>
        <w:t xml:space="preserve">Tabelul </w:t>
      </w:r>
      <w:r w:rsidRPr="00934C02">
        <w:rPr>
          <w:rFonts w:ascii="Arial" w:eastAsia="SimSun" w:hAnsi="Arial" w:cs="Arial"/>
          <w:sz w:val="24"/>
          <w:szCs w:val="24"/>
          <w:lang w:val="ro-RO"/>
        </w:rPr>
        <w:t>VIII</w:t>
      </w:r>
      <w:r w:rsidRPr="00934C02">
        <w:rPr>
          <w:rFonts w:ascii="Arial" w:eastAsia="SimSun" w:hAnsi="Arial" w:cs="Arial"/>
          <w:sz w:val="24"/>
          <w:szCs w:val="24"/>
          <w:lang w:val="en-GB"/>
        </w:rPr>
        <w:t xml:space="preserve">.3. Variaţia nivelului de zgomot pentru zona de măsurare </w:t>
      </w:r>
      <w:r w:rsidRPr="00934C02">
        <w:rPr>
          <w:rFonts w:ascii="Arial" w:eastAsia="SimSun" w:hAnsi="Arial" w:cs="Arial"/>
          <w:i/>
          <w:color w:val="000000"/>
          <w:sz w:val="24"/>
          <w:szCs w:val="24"/>
          <w:lang w:val="ro-RO"/>
        </w:rPr>
        <w:t xml:space="preserve">Parcuri, zone de recreere şi odihnă, Leq  - </w:t>
      </w:r>
      <w:r w:rsidRPr="00934C02">
        <w:rPr>
          <w:rFonts w:ascii="Arial" w:eastAsia="SimSun" w:hAnsi="Arial" w:cs="Arial"/>
          <w:color w:val="000000"/>
          <w:sz w:val="24"/>
          <w:szCs w:val="24"/>
          <w:lang w:val="ro-RO"/>
        </w:rPr>
        <w:t>anul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5"/>
        <w:gridCol w:w="1114"/>
        <w:gridCol w:w="1646"/>
        <w:gridCol w:w="1778"/>
        <w:gridCol w:w="1793"/>
      </w:tblGrid>
      <w:tr w:rsidR="00934C02" w:rsidRPr="00934C02" w:rsidTr="00477FE7">
        <w:tc>
          <w:tcPr>
            <w:tcW w:w="3245" w:type="dxa"/>
          </w:tcPr>
          <w:p w:rsidR="00934C02" w:rsidRPr="00934C02" w:rsidRDefault="00934C02" w:rsidP="00934C02">
            <w:pPr>
              <w:spacing w:after="0" w:line="240" w:lineRule="auto"/>
              <w:rPr>
                <w:rFonts w:ascii="Arial" w:eastAsia="SimSun" w:hAnsi="Arial" w:cs="Arial"/>
                <w:b/>
                <w:color w:val="000000"/>
                <w:sz w:val="24"/>
                <w:szCs w:val="24"/>
                <w:lang w:val="ro-RO"/>
              </w:rPr>
            </w:pPr>
            <w:r w:rsidRPr="00934C02">
              <w:rPr>
                <w:rFonts w:ascii="Arial" w:eastAsia="SimSun" w:hAnsi="Arial" w:cs="Arial"/>
                <w:b/>
                <w:color w:val="000000"/>
                <w:sz w:val="24"/>
                <w:szCs w:val="24"/>
                <w:lang w:val="ro-RO"/>
              </w:rPr>
              <w:t>Punctul de măsurare</w:t>
            </w:r>
          </w:p>
        </w:tc>
        <w:tc>
          <w:tcPr>
            <w:tcW w:w="1114" w:type="dxa"/>
          </w:tcPr>
          <w:p w:rsidR="00934C02" w:rsidRPr="00934C02" w:rsidRDefault="00934C02" w:rsidP="00934C02">
            <w:pPr>
              <w:spacing w:after="0" w:line="240" w:lineRule="auto"/>
              <w:jc w:val="center"/>
              <w:rPr>
                <w:rFonts w:ascii="Arial" w:eastAsia="SimSun" w:hAnsi="Arial" w:cs="Arial"/>
                <w:b/>
                <w:color w:val="000000"/>
                <w:sz w:val="24"/>
                <w:szCs w:val="24"/>
                <w:lang w:val="ro-RO"/>
              </w:rPr>
            </w:pPr>
            <w:r w:rsidRPr="00934C02">
              <w:rPr>
                <w:rFonts w:ascii="Arial" w:eastAsia="SimSun" w:hAnsi="Arial" w:cs="Arial"/>
                <w:b/>
                <w:color w:val="000000"/>
                <w:sz w:val="24"/>
                <w:szCs w:val="24"/>
                <w:lang w:val="ro-RO"/>
              </w:rPr>
              <w:t>Trim. I</w:t>
            </w:r>
          </w:p>
        </w:tc>
        <w:tc>
          <w:tcPr>
            <w:tcW w:w="1646" w:type="dxa"/>
          </w:tcPr>
          <w:p w:rsidR="00934C02" w:rsidRPr="00934C02" w:rsidRDefault="00934C02" w:rsidP="00934C02">
            <w:pPr>
              <w:spacing w:after="0" w:line="240" w:lineRule="auto"/>
              <w:jc w:val="center"/>
              <w:rPr>
                <w:rFonts w:ascii="Arial" w:eastAsia="SimSun" w:hAnsi="Arial" w:cs="Arial"/>
                <w:b/>
                <w:color w:val="000000"/>
                <w:sz w:val="24"/>
                <w:szCs w:val="24"/>
                <w:lang w:val="ro-RO"/>
              </w:rPr>
            </w:pPr>
            <w:r w:rsidRPr="00934C02">
              <w:rPr>
                <w:rFonts w:ascii="Arial" w:eastAsia="SimSun" w:hAnsi="Arial" w:cs="Arial"/>
                <w:b/>
                <w:color w:val="000000"/>
                <w:sz w:val="24"/>
                <w:szCs w:val="24"/>
                <w:lang w:val="ro-RO"/>
              </w:rPr>
              <w:t>Trim. al II-lea</w:t>
            </w:r>
          </w:p>
        </w:tc>
        <w:tc>
          <w:tcPr>
            <w:tcW w:w="1778" w:type="dxa"/>
          </w:tcPr>
          <w:p w:rsidR="00934C02" w:rsidRPr="00934C02" w:rsidRDefault="00934C02" w:rsidP="00934C02">
            <w:pPr>
              <w:spacing w:after="0" w:line="240" w:lineRule="auto"/>
              <w:jc w:val="center"/>
              <w:rPr>
                <w:rFonts w:ascii="Arial" w:eastAsia="SimSun" w:hAnsi="Arial" w:cs="Arial"/>
                <w:b/>
                <w:color w:val="000000"/>
                <w:sz w:val="24"/>
                <w:szCs w:val="24"/>
                <w:lang w:val="ro-RO"/>
              </w:rPr>
            </w:pPr>
            <w:r w:rsidRPr="00934C02">
              <w:rPr>
                <w:rFonts w:ascii="Arial" w:eastAsia="SimSun" w:hAnsi="Arial" w:cs="Arial"/>
                <w:b/>
                <w:color w:val="000000"/>
                <w:sz w:val="24"/>
                <w:szCs w:val="24"/>
                <w:lang w:val="ro-RO"/>
              </w:rPr>
              <w:t>Trim. al III-lea</w:t>
            </w:r>
          </w:p>
        </w:tc>
        <w:tc>
          <w:tcPr>
            <w:tcW w:w="1793" w:type="dxa"/>
          </w:tcPr>
          <w:p w:rsidR="00934C02" w:rsidRPr="00934C02" w:rsidRDefault="00934C02" w:rsidP="00934C02">
            <w:pPr>
              <w:spacing w:after="0" w:line="240" w:lineRule="auto"/>
              <w:jc w:val="center"/>
              <w:rPr>
                <w:rFonts w:ascii="Arial" w:eastAsia="SimSun" w:hAnsi="Arial" w:cs="Arial"/>
                <w:b/>
                <w:color w:val="000000"/>
                <w:sz w:val="24"/>
                <w:szCs w:val="24"/>
                <w:lang w:val="ro-RO"/>
              </w:rPr>
            </w:pPr>
            <w:r w:rsidRPr="00934C02">
              <w:rPr>
                <w:rFonts w:ascii="Arial" w:eastAsia="SimSun" w:hAnsi="Arial" w:cs="Arial"/>
                <w:b/>
                <w:color w:val="000000"/>
                <w:sz w:val="24"/>
                <w:szCs w:val="24"/>
                <w:lang w:val="ro-RO"/>
              </w:rPr>
              <w:t>Trim. al IV-lea</w:t>
            </w:r>
          </w:p>
        </w:tc>
      </w:tr>
      <w:tr w:rsidR="00934C02" w:rsidRPr="00934C02" w:rsidTr="00477FE7">
        <w:tc>
          <w:tcPr>
            <w:tcW w:w="3245" w:type="dxa"/>
          </w:tcPr>
          <w:p w:rsidR="00934C02" w:rsidRPr="00934C02" w:rsidRDefault="00934C02" w:rsidP="00934C02">
            <w:pPr>
              <w:spacing w:after="0" w:line="240" w:lineRule="auto"/>
              <w:rPr>
                <w:rFonts w:ascii="Arial" w:eastAsia="SimSun" w:hAnsi="Arial" w:cs="Arial"/>
                <w:color w:val="000000"/>
                <w:sz w:val="24"/>
                <w:szCs w:val="24"/>
                <w:lang w:val="ro-RO"/>
              </w:rPr>
            </w:pPr>
            <w:r w:rsidRPr="00934C02">
              <w:rPr>
                <w:rFonts w:ascii="Arial" w:eastAsia="SimSun" w:hAnsi="Arial" w:cs="Arial"/>
                <w:color w:val="000000"/>
                <w:sz w:val="24"/>
                <w:szCs w:val="24"/>
                <w:lang w:val="ro-RO"/>
              </w:rPr>
              <w:t>P1 – Spital Murgeni</w:t>
            </w:r>
          </w:p>
        </w:tc>
        <w:tc>
          <w:tcPr>
            <w:tcW w:w="1114"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59,2</w:t>
            </w:r>
          </w:p>
        </w:tc>
        <w:tc>
          <w:tcPr>
            <w:tcW w:w="1646"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58,0</w:t>
            </w:r>
          </w:p>
        </w:tc>
        <w:tc>
          <w:tcPr>
            <w:tcW w:w="1778"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54,2</w:t>
            </w:r>
          </w:p>
        </w:tc>
        <w:tc>
          <w:tcPr>
            <w:tcW w:w="1793"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54,1</w:t>
            </w:r>
          </w:p>
        </w:tc>
      </w:tr>
      <w:tr w:rsidR="00934C02" w:rsidRPr="00934C02" w:rsidTr="00477FE7">
        <w:tc>
          <w:tcPr>
            <w:tcW w:w="3245" w:type="dxa"/>
          </w:tcPr>
          <w:p w:rsidR="00934C02" w:rsidRPr="00934C02" w:rsidRDefault="00934C02" w:rsidP="00934C02">
            <w:pPr>
              <w:spacing w:after="0" w:line="240" w:lineRule="auto"/>
              <w:rPr>
                <w:rFonts w:ascii="Arial" w:eastAsia="SimSun" w:hAnsi="Arial" w:cs="Arial"/>
                <w:color w:val="000000"/>
                <w:sz w:val="24"/>
                <w:szCs w:val="24"/>
                <w:lang w:val="ro-RO"/>
              </w:rPr>
            </w:pPr>
            <w:r w:rsidRPr="00934C02">
              <w:rPr>
                <w:rFonts w:ascii="Arial" w:eastAsia="SimSun" w:hAnsi="Arial" w:cs="Arial"/>
                <w:color w:val="000000"/>
                <w:sz w:val="24"/>
                <w:szCs w:val="24"/>
                <w:lang w:val="ro-RO"/>
              </w:rPr>
              <w:t>P2 – Spital Judeţean Vaslui</w:t>
            </w:r>
          </w:p>
        </w:tc>
        <w:tc>
          <w:tcPr>
            <w:tcW w:w="1114"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63,6</w:t>
            </w:r>
          </w:p>
        </w:tc>
        <w:tc>
          <w:tcPr>
            <w:tcW w:w="1646"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64,4</w:t>
            </w:r>
          </w:p>
        </w:tc>
        <w:tc>
          <w:tcPr>
            <w:tcW w:w="1778"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64,0</w:t>
            </w:r>
          </w:p>
        </w:tc>
        <w:tc>
          <w:tcPr>
            <w:tcW w:w="1793"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66,1</w:t>
            </w:r>
          </w:p>
        </w:tc>
      </w:tr>
      <w:tr w:rsidR="00934C02" w:rsidRPr="00934C02" w:rsidTr="00477FE7">
        <w:tc>
          <w:tcPr>
            <w:tcW w:w="3245" w:type="dxa"/>
          </w:tcPr>
          <w:p w:rsidR="00934C02" w:rsidRPr="00934C02" w:rsidRDefault="00934C02" w:rsidP="00934C02">
            <w:pPr>
              <w:spacing w:after="0" w:line="240" w:lineRule="auto"/>
              <w:rPr>
                <w:rFonts w:ascii="Arial" w:eastAsia="SimSun" w:hAnsi="Arial" w:cs="Arial"/>
                <w:color w:val="000000"/>
                <w:sz w:val="24"/>
                <w:szCs w:val="24"/>
                <w:lang w:val="ro-RO"/>
              </w:rPr>
            </w:pPr>
            <w:r w:rsidRPr="00934C02">
              <w:rPr>
                <w:rFonts w:ascii="Arial" w:eastAsia="SimSun" w:hAnsi="Arial" w:cs="Arial"/>
                <w:color w:val="000000"/>
                <w:sz w:val="24"/>
                <w:szCs w:val="24"/>
                <w:lang w:val="ro-RO"/>
              </w:rPr>
              <w:t>P3 – Policlinica Judeţeană</w:t>
            </w:r>
          </w:p>
        </w:tc>
        <w:tc>
          <w:tcPr>
            <w:tcW w:w="1114"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57,5</w:t>
            </w:r>
          </w:p>
        </w:tc>
        <w:tc>
          <w:tcPr>
            <w:tcW w:w="1646"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60,2</w:t>
            </w:r>
          </w:p>
        </w:tc>
        <w:tc>
          <w:tcPr>
            <w:tcW w:w="1778"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56,8</w:t>
            </w:r>
          </w:p>
        </w:tc>
        <w:tc>
          <w:tcPr>
            <w:tcW w:w="1793"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53,0</w:t>
            </w:r>
          </w:p>
        </w:tc>
      </w:tr>
      <w:tr w:rsidR="00934C02" w:rsidRPr="00934C02" w:rsidTr="00477FE7">
        <w:tc>
          <w:tcPr>
            <w:tcW w:w="3245" w:type="dxa"/>
          </w:tcPr>
          <w:p w:rsidR="00934C02" w:rsidRPr="00934C02" w:rsidRDefault="00934C02" w:rsidP="00934C02">
            <w:pPr>
              <w:spacing w:after="0" w:line="240" w:lineRule="auto"/>
              <w:rPr>
                <w:rFonts w:ascii="Arial" w:eastAsia="SimSun" w:hAnsi="Arial" w:cs="Arial"/>
                <w:color w:val="000000"/>
                <w:sz w:val="24"/>
                <w:szCs w:val="24"/>
                <w:lang w:val="ro-RO"/>
              </w:rPr>
            </w:pPr>
            <w:r w:rsidRPr="00934C02">
              <w:rPr>
                <w:rFonts w:ascii="Arial" w:eastAsia="SimSun" w:hAnsi="Arial" w:cs="Arial"/>
                <w:color w:val="000000"/>
                <w:sz w:val="24"/>
                <w:szCs w:val="24"/>
                <w:lang w:val="ro-RO"/>
              </w:rPr>
              <w:t>P4 – Parcul Copou Vaslui</w:t>
            </w:r>
          </w:p>
        </w:tc>
        <w:tc>
          <w:tcPr>
            <w:tcW w:w="1114"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48,9</w:t>
            </w:r>
          </w:p>
        </w:tc>
        <w:tc>
          <w:tcPr>
            <w:tcW w:w="1646"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53,3</w:t>
            </w:r>
          </w:p>
        </w:tc>
        <w:tc>
          <w:tcPr>
            <w:tcW w:w="1778"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48,5</w:t>
            </w:r>
          </w:p>
        </w:tc>
        <w:tc>
          <w:tcPr>
            <w:tcW w:w="1793"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46,5</w:t>
            </w:r>
          </w:p>
        </w:tc>
      </w:tr>
      <w:tr w:rsidR="00934C02" w:rsidRPr="00934C02" w:rsidTr="00477FE7">
        <w:tc>
          <w:tcPr>
            <w:tcW w:w="3245" w:type="dxa"/>
          </w:tcPr>
          <w:p w:rsidR="00934C02" w:rsidRPr="00934C02" w:rsidRDefault="00934C02" w:rsidP="00934C02">
            <w:pPr>
              <w:spacing w:after="0" w:line="240" w:lineRule="auto"/>
              <w:rPr>
                <w:rFonts w:ascii="Arial" w:eastAsia="SimSun" w:hAnsi="Arial" w:cs="Arial"/>
                <w:color w:val="000000"/>
                <w:sz w:val="24"/>
                <w:szCs w:val="24"/>
                <w:lang w:val="ro-RO"/>
              </w:rPr>
            </w:pPr>
            <w:r w:rsidRPr="00934C02">
              <w:rPr>
                <w:rFonts w:ascii="Arial" w:eastAsia="SimSun" w:hAnsi="Arial" w:cs="Arial"/>
                <w:color w:val="000000"/>
                <w:sz w:val="24"/>
                <w:szCs w:val="24"/>
                <w:lang w:val="ro-RO"/>
              </w:rPr>
              <w:t>P5 – Spitalul Bârlad</w:t>
            </w:r>
          </w:p>
        </w:tc>
        <w:tc>
          <w:tcPr>
            <w:tcW w:w="1114"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62,9</w:t>
            </w:r>
          </w:p>
        </w:tc>
        <w:tc>
          <w:tcPr>
            <w:tcW w:w="1646"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 xml:space="preserve">64,2 </w:t>
            </w:r>
          </w:p>
        </w:tc>
        <w:tc>
          <w:tcPr>
            <w:tcW w:w="1778"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62,8</w:t>
            </w:r>
          </w:p>
        </w:tc>
        <w:tc>
          <w:tcPr>
            <w:tcW w:w="1793"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60,4</w:t>
            </w:r>
          </w:p>
        </w:tc>
      </w:tr>
      <w:tr w:rsidR="00934C02" w:rsidRPr="00934C02" w:rsidTr="00477FE7">
        <w:tc>
          <w:tcPr>
            <w:tcW w:w="3245" w:type="dxa"/>
          </w:tcPr>
          <w:p w:rsidR="00934C02" w:rsidRPr="00934C02" w:rsidRDefault="00934C02" w:rsidP="00934C02">
            <w:pPr>
              <w:spacing w:after="0" w:line="240" w:lineRule="auto"/>
              <w:rPr>
                <w:rFonts w:ascii="Arial" w:eastAsia="SimSun" w:hAnsi="Arial" w:cs="Arial"/>
                <w:color w:val="000000"/>
                <w:sz w:val="24"/>
                <w:szCs w:val="24"/>
                <w:lang w:val="ro-RO"/>
              </w:rPr>
            </w:pPr>
            <w:r w:rsidRPr="00934C02">
              <w:rPr>
                <w:rFonts w:ascii="Arial" w:eastAsia="SimSun" w:hAnsi="Arial" w:cs="Arial"/>
                <w:color w:val="000000"/>
                <w:sz w:val="24"/>
                <w:szCs w:val="24"/>
                <w:lang w:val="ro-RO"/>
              </w:rPr>
              <w:t>P6 – Grădina Publică Bârlad</w:t>
            </w:r>
          </w:p>
        </w:tc>
        <w:tc>
          <w:tcPr>
            <w:tcW w:w="1114"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49,5</w:t>
            </w:r>
          </w:p>
        </w:tc>
        <w:tc>
          <w:tcPr>
            <w:tcW w:w="1646"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45,9</w:t>
            </w:r>
          </w:p>
        </w:tc>
        <w:tc>
          <w:tcPr>
            <w:tcW w:w="1778"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52,2</w:t>
            </w:r>
          </w:p>
        </w:tc>
        <w:tc>
          <w:tcPr>
            <w:tcW w:w="1793"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47,5</w:t>
            </w:r>
          </w:p>
        </w:tc>
      </w:tr>
      <w:tr w:rsidR="00934C02" w:rsidRPr="00934C02" w:rsidTr="00477FE7">
        <w:tc>
          <w:tcPr>
            <w:tcW w:w="3245" w:type="dxa"/>
          </w:tcPr>
          <w:p w:rsidR="00934C02" w:rsidRPr="00934C02" w:rsidRDefault="00934C02" w:rsidP="00934C02">
            <w:pPr>
              <w:spacing w:after="0" w:line="240" w:lineRule="auto"/>
              <w:rPr>
                <w:rFonts w:ascii="Arial" w:eastAsia="SimSun" w:hAnsi="Arial" w:cs="Arial"/>
                <w:color w:val="000000"/>
                <w:sz w:val="24"/>
                <w:szCs w:val="24"/>
                <w:lang w:val="ro-RO"/>
              </w:rPr>
            </w:pPr>
            <w:r w:rsidRPr="00934C02">
              <w:rPr>
                <w:rFonts w:ascii="Arial" w:eastAsia="SimSun" w:hAnsi="Arial" w:cs="Arial"/>
                <w:color w:val="000000"/>
                <w:sz w:val="24"/>
                <w:szCs w:val="24"/>
                <w:lang w:val="ro-RO"/>
              </w:rPr>
              <w:t>P7 -Spitalul Municipal Huşi</w:t>
            </w:r>
          </w:p>
        </w:tc>
        <w:tc>
          <w:tcPr>
            <w:tcW w:w="1114"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59,6</w:t>
            </w:r>
          </w:p>
        </w:tc>
        <w:tc>
          <w:tcPr>
            <w:tcW w:w="1646"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59,0</w:t>
            </w:r>
          </w:p>
        </w:tc>
        <w:tc>
          <w:tcPr>
            <w:tcW w:w="1778"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58,0</w:t>
            </w:r>
          </w:p>
        </w:tc>
        <w:tc>
          <w:tcPr>
            <w:tcW w:w="1793"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56,2</w:t>
            </w:r>
          </w:p>
        </w:tc>
      </w:tr>
      <w:tr w:rsidR="00934C02" w:rsidRPr="00934C02" w:rsidTr="00477FE7">
        <w:tc>
          <w:tcPr>
            <w:tcW w:w="3245" w:type="dxa"/>
          </w:tcPr>
          <w:p w:rsidR="00934C02" w:rsidRPr="00934C02" w:rsidRDefault="00934C02" w:rsidP="00934C02">
            <w:pPr>
              <w:spacing w:after="0" w:line="240" w:lineRule="auto"/>
              <w:rPr>
                <w:rFonts w:ascii="Arial" w:eastAsia="SimSun" w:hAnsi="Arial" w:cs="Arial"/>
                <w:color w:val="000000"/>
                <w:sz w:val="24"/>
                <w:szCs w:val="24"/>
                <w:lang w:val="ro-RO"/>
              </w:rPr>
            </w:pPr>
            <w:r w:rsidRPr="00934C02">
              <w:rPr>
                <w:rFonts w:ascii="Arial" w:eastAsia="SimSun" w:hAnsi="Arial" w:cs="Arial"/>
                <w:color w:val="000000"/>
                <w:sz w:val="24"/>
                <w:szCs w:val="24"/>
                <w:lang w:val="ro-RO"/>
              </w:rPr>
              <w:t>P8 – Parcul Public Negreşti</w:t>
            </w:r>
          </w:p>
        </w:tc>
        <w:tc>
          <w:tcPr>
            <w:tcW w:w="1114"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51,1</w:t>
            </w:r>
          </w:p>
        </w:tc>
        <w:tc>
          <w:tcPr>
            <w:tcW w:w="1646"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53,3</w:t>
            </w:r>
          </w:p>
        </w:tc>
        <w:tc>
          <w:tcPr>
            <w:tcW w:w="1778"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49,5</w:t>
            </w:r>
          </w:p>
        </w:tc>
        <w:tc>
          <w:tcPr>
            <w:tcW w:w="1793"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50,7</w:t>
            </w:r>
          </w:p>
        </w:tc>
      </w:tr>
      <w:tr w:rsidR="00934C02" w:rsidRPr="00934C02" w:rsidTr="00477FE7">
        <w:tc>
          <w:tcPr>
            <w:tcW w:w="3245" w:type="dxa"/>
          </w:tcPr>
          <w:p w:rsidR="00934C02" w:rsidRPr="00934C02" w:rsidRDefault="00934C02" w:rsidP="00934C02">
            <w:pPr>
              <w:spacing w:after="0" w:line="240" w:lineRule="auto"/>
              <w:rPr>
                <w:rFonts w:ascii="Arial" w:eastAsia="SimSun" w:hAnsi="Arial" w:cs="Arial"/>
                <w:color w:val="000000"/>
                <w:sz w:val="24"/>
                <w:szCs w:val="24"/>
                <w:lang w:val="ro-RO"/>
              </w:rPr>
            </w:pPr>
            <w:r w:rsidRPr="00934C02">
              <w:rPr>
                <w:rFonts w:ascii="Arial" w:eastAsia="SimSun" w:hAnsi="Arial" w:cs="Arial"/>
                <w:color w:val="000000"/>
                <w:sz w:val="24"/>
                <w:szCs w:val="24"/>
                <w:lang w:val="ro-RO"/>
              </w:rPr>
              <w:t>P9 – Spitalul Negreşti</w:t>
            </w:r>
          </w:p>
        </w:tc>
        <w:tc>
          <w:tcPr>
            <w:tcW w:w="1114"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54,0</w:t>
            </w:r>
          </w:p>
        </w:tc>
        <w:tc>
          <w:tcPr>
            <w:tcW w:w="1646"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55,1</w:t>
            </w:r>
          </w:p>
        </w:tc>
        <w:tc>
          <w:tcPr>
            <w:tcW w:w="1778"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54,0</w:t>
            </w:r>
          </w:p>
        </w:tc>
        <w:tc>
          <w:tcPr>
            <w:tcW w:w="1793"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50,1</w:t>
            </w:r>
          </w:p>
        </w:tc>
      </w:tr>
    </w:tbl>
    <w:p w:rsidR="00934C02" w:rsidRPr="00934C02" w:rsidRDefault="00934C02" w:rsidP="00934C02">
      <w:pPr>
        <w:spacing w:after="0" w:line="240" w:lineRule="auto"/>
        <w:rPr>
          <w:rFonts w:ascii="Arial" w:eastAsia="SimSun" w:hAnsi="Arial" w:cs="Arial"/>
          <w:sz w:val="24"/>
          <w:szCs w:val="24"/>
          <w:lang w:val="en-GB"/>
        </w:rPr>
      </w:pPr>
    </w:p>
    <w:p w:rsidR="00934C02" w:rsidRPr="00934C02" w:rsidRDefault="00934C02" w:rsidP="00934C02">
      <w:pPr>
        <w:spacing w:after="0" w:line="240" w:lineRule="auto"/>
        <w:rPr>
          <w:rFonts w:ascii="Arial" w:eastAsia="SimSun" w:hAnsi="Arial" w:cs="Arial"/>
          <w:sz w:val="24"/>
          <w:szCs w:val="24"/>
          <w:lang w:val="en-GB"/>
        </w:rPr>
      </w:pPr>
    </w:p>
    <w:p w:rsidR="00934C02" w:rsidRPr="00934C02" w:rsidRDefault="00934C02" w:rsidP="00934C02">
      <w:pPr>
        <w:spacing w:after="0" w:line="240" w:lineRule="auto"/>
        <w:rPr>
          <w:rFonts w:ascii="Arial" w:eastAsia="SimSun" w:hAnsi="Arial" w:cs="Arial"/>
          <w:sz w:val="24"/>
          <w:szCs w:val="24"/>
          <w:lang w:val="en-GB"/>
        </w:rPr>
      </w:pPr>
    </w:p>
    <w:p w:rsidR="00934C02" w:rsidRPr="00934C02" w:rsidRDefault="00934C02" w:rsidP="00934C02">
      <w:pPr>
        <w:spacing w:after="0" w:line="240" w:lineRule="auto"/>
        <w:jc w:val="center"/>
        <w:rPr>
          <w:rFonts w:ascii="Arial" w:eastAsia="SimSun" w:hAnsi="Arial" w:cs="Arial"/>
          <w:sz w:val="24"/>
          <w:szCs w:val="24"/>
          <w:lang w:val="en-GB"/>
        </w:rPr>
      </w:pPr>
      <w:r>
        <w:rPr>
          <w:rFonts w:ascii="Arial" w:eastAsia="SimSun" w:hAnsi="Arial" w:cs="Arial"/>
          <w:noProof/>
          <w:sz w:val="24"/>
          <w:szCs w:val="24"/>
        </w:rPr>
        <w:lastRenderedPageBreak/>
        <w:drawing>
          <wp:inline distT="0" distB="0" distL="0" distR="0">
            <wp:extent cx="6191250" cy="2971800"/>
            <wp:effectExtent l="0" t="0" r="0" b="0"/>
            <wp:docPr id="270" name="Chart 27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934C02" w:rsidRPr="00934C02" w:rsidRDefault="00934C02" w:rsidP="00934C02">
      <w:pPr>
        <w:spacing w:after="0" w:line="240" w:lineRule="auto"/>
        <w:jc w:val="center"/>
        <w:rPr>
          <w:rFonts w:ascii="Arial" w:eastAsia="SimSun" w:hAnsi="Arial" w:cs="Arial"/>
          <w:i/>
          <w:color w:val="000000"/>
          <w:sz w:val="24"/>
          <w:szCs w:val="24"/>
          <w:lang w:val="ro-RO"/>
        </w:rPr>
      </w:pPr>
      <w:r w:rsidRPr="00934C02">
        <w:rPr>
          <w:rFonts w:ascii="Arial" w:eastAsia="SimSun" w:hAnsi="Arial" w:cs="Arial"/>
          <w:sz w:val="24"/>
          <w:szCs w:val="24"/>
          <w:lang w:val="en-GB"/>
        </w:rPr>
        <w:t xml:space="preserve">Figura </w:t>
      </w:r>
      <w:r w:rsidRPr="00934C02">
        <w:rPr>
          <w:rFonts w:ascii="Arial" w:eastAsia="SimSun" w:hAnsi="Arial" w:cs="Arial"/>
          <w:sz w:val="24"/>
          <w:szCs w:val="24"/>
          <w:lang w:val="ro-RO"/>
        </w:rPr>
        <w:t>VIII</w:t>
      </w:r>
      <w:r w:rsidRPr="00934C02">
        <w:rPr>
          <w:rFonts w:ascii="Arial" w:eastAsia="SimSun" w:hAnsi="Arial" w:cs="Arial"/>
          <w:sz w:val="24"/>
          <w:szCs w:val="24"/>
          <w:lang w:val="en-GB"/>
        </w:rPr>
        <w:t xml:space="preserve">.2. Variaţia Leq pentru </w:t>
      </w:r>
      <w:r w:rsidRPr="00934C02">
        <w:rPr>
          <w:rFonts w:ascii="Arial" w:eastAsia="SimSun" w:hAnsi="Arial" w:cs="Arial"/>
          <w:i/>
          <w:color w:val="000000"/>
          <w:sz w:val="24"/>
          <w:szCs w:val="24"/>
          <w:lang w:val="ro-RO"/>
        </w:rPr>
        <w:t>Parcuri, zone de recreere şi odihnă, Leq</w:t>
      </w:r>
    </w:p>
    <w:p w:rsidR="00934C02" w:rsidRPr="00934C02" w:rsidRDefault="00934C02" w:rsidP="00934C02">
      <w:pPr>
        <w:spacing w:after="0" w:line="240" w:lineRule="auto"/>
        <w:rPr>
          <w:rFonts w:ascii="Arial" w:eastAsia="SimSun" w:hAnsi="Arial" w:cs="Arial"/>
          <w:i/>
          <w:color w:val="000000"/>
          <w:sz w:val="24"/>
          <w:szCs w:val="24"/>
          <w:lang w:val="ro-RO"/>
        </w:rPr>
      </w:pPr>
    </w:p>
    <w:p w:rsidR="00934C02" w:rsidRPr="00934C02" w:rsidRDefault="00934C02" w:rsidP="00934C02">
      <w:pPr>
        <w:spacing w:after="0" w:line="240" w:lineRule="auto"/>
        <w:rPr>
          <w:rFonts w:ascii="Arial" w:eastAsia="SimSun" w:hAnsi="Arial" w:cs="Arial"/>
          <w:i/>
          <w:color w:val="000000"/>
          <w:sz w:val="24"/>
          <w:szCs w:val="24"/>
          <w:lang w:val="ro-RO"/>
        </w:rPr>
      </w:pPr>
      <w:r w:rsidRPr="00934C02">
        <w:rPr>
          <w:rFonts w:ascii="Arial" w:eastAsia="SimSun" w:hAnsi="Arial" w:cs="Arial"/>
          <w:sz w:val="24"/>
          <w:szCs w:val="24"/>
          <w:lang w:val="en-GB"/>
        </w:rPr>
        <w:t xml:space="preserve">Tabelul </w:t>
      </w:r>
      <w:r w:rsidRPr="00934C02">
        <w:rPr>
          <w:rFonts w:ascii="Arial" w:eastAsia="SimSun" w:hAnsi="Arial" w:cs="Arial"/>
          <w:sz w:val="24"/>
          <w:szCs w:val="24"/>
          <w:lang w:val="ro-RO"/>
        </w:rPr>
        <w:t>VIII</w:t>
      </w:r>
      <w:r w:rsidRPr="00934C02">
        <w:rPr>
          <w:rFonts w:ascii="Arial" w:eastAsia="SimSun" w:hAnsi="Arial" w:cs="Arial"/>
          <w:sz w:val="24"/>
          <w:szCs w:val="24"/>
          <w:lang w:val="en-GB"/>
        </w:rPr>
        <w:t xml:space="preserve">.4. Variaţia nivelului de zgomot </w:t>
      </w:r>
      <w:r w:rsidRPr="00934C02">
        <w:rPr>
          <w:rFonts w:ascii="Arial" w:eastAsia="SimSun" w:hAnsi="Arial" w:cs="Arial"/>
          <w:i/>
          <w:sz w:val="24"/>
          <w:szCs w:val="24"/>
          <w:lang w:val="en-GB"/>
        </w:rPr>
        <w:t>pentruTrafic - străzi categ. A II-a</w:t>
      </w:r>
      <w:r w:rsidRPr="00934C02">
        <w:rPr>
          <w:rFonts w:ascii="Arial" w:eastAsia="SimSun" w:hAnsi="Arial" w:cs="Arial"/>
          <w:i/>
          <w:color w:val="000000"/>
          <w:sz w:val="24"/>
          <w:szCs w:val="24"/>
          <w:lang w:val="ro-RO"/>
        </w:rPr>
        <w:t>, Leq  - anul 2015</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276"/>
        <w:gridCol w:w="1701"/>
        <w:gridCol w:w="1843"/>
        <w:gridCol w:w="1843"/>
      </w:tblGrid>
      <w:tr w:rsidR="00934C02" w:rsidRPr="00934C02" w:rsidTr="00934C02">
        <w:tc>
          <w:tcPr>
            <w:tcW w:w="3402" w:type="dxa"/>
          </w:tcPr>
          <w:p w:rsidR="00934C02" w:rsidRPr="00934C02" w:rsidRDefault="00934C02" w:rsidP="00934C02">
            <w:pPr>
              <w:spacing w:after="0" w:line="240" w:lineRule="auto"/>
              <w:jc w:val="both"/>
              <w:rPr>
                <w:rFonts w:ascii="Arial" w:eastAsia="SimSun" w:hAnsi="Arial" w:cs="Arial"/>
                <w:b/>
                <w:sz w:val="24"/>
                <w:szCs w:val="24"/>
                <w:lang w:val="ro-RO"/>
              </w:rPr>
            </w:pPr>
            <w:r w:rsidRPr="00934C02">
              <w:rPr>
                <w:rFonts w:ascii="Arial" w:eastAsia="SimSun" w:hAnsi="Arial" w:cs="Arial"/>
                <w:b/>
                <w:sz w:val="24"/>
                <w:szCs w:val="24"/>
                <w:lang w:val="ro-RO"/>
              </w:rPr>
              <w:t>Punctul de măsurare</w:t>
            </w:r>
          </w:p>
        </w:tc>
        <w:tc>
          <w:tcPr>
            <w:tcW w:w="1276" w:type="dxa"/>
          </w:tcPr>
          <w:p w:rsidR="00934C02" w:rsidRPr="00934C02" w:rsidRDefault="00934C02" w:rsidP="00934C02">
            <w:pPr>
              <w:spacing w:after="0" w:line="240" w:lineRule="auto"/>
              <w:jc w:val="center"/>
              <w:rPr>
                <w:rFonts w:ascii="Arial" w:eastAsia="SimSun" w:hAnsi="Arial" w:cs="Arial"/>
                <w:b/>
                <w:sz w:val="24"/>
                <w:szCs w:val="24"/>
                <w:lang w:val="ro-RO"/>
              </w:rPr>
            </w:pPr>
            <w:r w:rsidRPr="00934C02">
              <w:rPr>
                <w:rFonts w:ascii="Arial" w:eastAsia="SimSun" w:hAnsi="Arial" w:cs="Arial"/>
                <w:b/>
                <w:sz w:val="24"/>
                <w:szCs w:val="24"/>
                <w:lang w:val="ro-RO"/>
              </w:rPr>
              <w:t>Trim. I</w:t>
            </w:r>
          </w:p>
        </w:tc>
        <w:tc>
          <w:tcPr>
            <w:tcW w:w="1701" w:type="dxa"/>
          </w:tcPr>
          <w:p w:rsidR="00934C02" w:rsidRPr="00934C02" w:rsidRDefault="00934C02" w:rsidP="00934C02">
            <w:pPr>
              <w:spacing w:after="0" w:line="240" w:lineRule="auto"/>
              <w:jc w:val="center"/>
              <w:rPr>
                <w:rFonts w:ascii="Arial" w:eastAsia="SimSun" w:hAnsi="Arial" w:cs="Arial"/>
                <w:b/>
                <w:sz w:val="24"/>
                <w:szCs w:val="24"/>
                <w:lang w:val="ro-RO"/>
              </w:rPr>
            </w:pPr>
            <w:r w:rsidRPr="00934C02">
              <w:rPr>
                <w:rFonts w:ascii="Arial" w:eastAsia="SimSun" w:hAnsi="Arial" w:cs="Arial"/>
                <w:b/>
                <w:sz w:val="24"/>
                <w:szCs w:val="24"/>
                <w:lang w:val="ro-RO"/>
              </w:rPr>
              <w:t>Trim. al II-lea</w:t>
            </w:r>
          </w:p>
        </w:tc>
        <w:tc>
          <w:tcPr>
            <w:tcW w:w="1843" w:type="dxa"/>
          </w:tcPr>
          <w:p w:rsidR="00934C02" w:rsidRPr="00934C02" w:rsidRDefault="00934C02" w:rsidP="00934C02">
            <w:pPr>
              <w:spacing w:after="0" w:line="240" w:lineRule="auto"/>
              <w:jc w:val="center"/>
              <w:rPr>
                <w:rFonts w:ascii="Arial" w:eastAsia="SimSun" w:hAnsi="Arial" w:cs="Arial"/>
                <w:b/>
                <w:sz w:val="24"/>
                <w:szCs w:val="24"/>
                <w:lang w:val="ro-RO"/>
              </w:rPr>
            </w:pPr>
            <w:r w:rsidRPr="00934C02">
              <w:rPr>
                <w:rFonts w:ascii="Arial" w:eastAsia="SimSun" w:hAnsi="Arial" w:cs="Arial"/>
                <w:b/>
                <w:sz w:val="24"/>
                <w:szCs w:val="24"/>
                <w:lang w:val="ro-RO"/>
              </w:rPr>
              <w:t>Trim. al III-lea</w:t>
            </w:r>
          </w:p>
        </w:tc>
        <w:tc>
          <w:tcPr>
            <w:tcW w:w="1843" w:type="dxa"/>
          </w:tcPr>
          <w:p w:rsidR="00934C02" w:rsidRPr="00934C02" w:rsidRDefault="00934C02" w:rsidP="00934C02">
            <w:pPr>
              <w:spacing w:after="0" w:line="240" w:lineRule="auto"/>
              <w:jc w:val="center"/>
              <w:rPr>
                <w:rFonts w:ascii="Arial" w:eastAsia="SimSun" w:hAnsi="Arial" w:cs="Arial"/>
                <w:b/>
                <w:sz w:val="24"/>
                <w:szCs w:val="24"/>
                <w:lang w:val="ro-RO"/>
              </w:rPr>
            </w:pPr>
            <w:r w:rsidRPr="00934C02">
              <w:rPr>
                <w:rFonts w:ascii="Arial" w:eastAsia="SimSun" w:hAnsi="Arial" w:cs="Arial"/>
                <w:b/>
                <w:sz w:val="24"/>
                <w:szCs w:val="24"/>
                <w:lang w:val="ro-RO"/>
              </w:rPr>
              <w:t>Trim. al IV-lea</w:t>
            </w:r>
          </w:p>
        </w:tc>
      </w:tr>
      <w:tr w:rsidR="00934C02" w:rsidRPr="00934C02" w:rsidTr="00934C02">
        <w:tc>
          <w:tcPr>
            <w:tcW w:w="3402" w:type="dxa"/>
          </w:tcPr>
          <w:p w:rsidR="00934C02" w:rsidRPr="00934C02" w:rsidRDefault="00934C02" w:rsidP="00934C02">
            <w:pPr>
              <w:spacing w:after="0" w:line="240" w:lineRule="auto"/>
              <w:jc w:val="both"/>
              <w:rPr>
                <w:rFonts w:ascii="Arial" w:eastAsia="SimSun" w:hAnsi="Arial" w:cs="Arial"/>
                <w:color w:val="000000"/>
                <w:sz w:val="24"/>
                <w:szCs w:val="24"/>
                <w:lang w:val="ro-RO"/>
              </w:rPr>
            </w:pPr>
            <w:r w:rsidRPr="00934C02">
              <w:rPr>
                <w:rFonts w:ascii="Arial" w:eastAsia="SimSun" w:hAnsi="Arial" w:cs="Arial"/>
                <w:color w:val="000000"/>
                <w:sz w:val="24"/>
                <w:szCs w:val="24"/>
                <w:lang w:val="ro-RO"/>
              </w:rPr>
              <w:t>Strada Ştefan cel Mare Vaslui</w:t>
            </w:r>
          </w:p>
        </w:tc>
        <w:tc>
          <w:tcPr>
            <w:tcW w:w="1276"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66,8</w:t>
            </w:r>
          </w:p>
        </w:tc>
        <w:tc>
          <w:tcPr>
            <w:tcW w:w="1701"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67,3</w:t>
            </w:r>
          </w:p>
        </w:tc>
        <w:tc>
          <w:tcPr>
            <w:tcW w:w="1843"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66,0</w:t>
            </w:r>
          </w:p>
        </w:tc>
        <w:tc>
          <w:tcPr>
            <w:tcW w:w="1843"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64,2</w:t>
            </w:r>
          </w:p>
        </w:tc>
      </w:tr>
      <w:tr w:rsidR="00934C02" w:rsidRPr="00934C02" w:rsidTr="00934C02">
        <w:tc>
          <w:tcPr>
            <w:tcW w:w="3402" w:type="dxa"/>
          </w:tcPr>
          <w:p w:rsidR="00934C02" w:rsidRPr="00934C02" w:rsidRDefault="00934C02" w:rsidP="00934C02">
            <w:pPr>
              <w:spacing w:after="0" w:line="240" w:lineRule="auto"/>
              <w:jc w:val="both"/>
              <w:rPr>
                <w:rFonts w:ascii="Arial" w:eastAsia="SimSun" w:hAnsi="Arial" w:cs="Arial"/>
                <w:color w:val="000000"/>
                <w:sz w:val="24"/>
                <w:szCs w:val="24"/>
                <w:lang w:val="ro-RO"/>
              </w:rPr>
            </w:pPr>
            <w:r w:rsidRPr="00934C02">
              <w:rPr>
                <w:rFonts w:ascii="Arial" w:eastAsia="SimSun" w:hAnsi="Arial" w:cs="Arial"/>
                <w:color w:val="000000"/>
                <w:sz w:val="24"/>
                <w:szCs w:val="24"/>
                <w:lang w:val="ro-RO"/>
              </w:rPr>
              <w:t>B-dul Epureanu Bârlad (1)</w:t>
            </w:r>
          </w:p>
        </w:tc>
        <w:tc>
          <w:tcPr>
            <w:tcW w:w="1276"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66,7</w:t>
            </w:r>
          </w:p>
        </w:tc>
        <w:tc>
          <w:tcPr>
            <w:tcW w:w="1701"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67,0</w:t>
            </w:r>
          </w:p>
        </w:tc>
        <w:tc>
          <w:tcPr>
            <w:tcW w:w="1843"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66,8</w:t>
            </w:r>
          </w:p>
        </w:tc>
        <w:tc>
          <w:tcPr>
            <w:tcW w:w="1843"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66,0</w:t>
            </w:r>
          </w:p>
        </w:tc>
      </w:tr>
      <w:tr w:rsidR="00934C02" w:rsidRPr="00934C02" w:rsidTr="00934C02">
        <w:tc>
          <w:tcPr>
            <w:tcW w:w="3402" w:type="dxa"/>
          </w:tcPr>
          <w:p w:rsidR="00934C02" w:rsidRPr="00934C02" w:rsidRDefault="00934C02" w:rsidP="00934C02">
            <w:pPr>
              <w:spacing w:after="0" w:line="240" w:lineRule="auto"/>
              <w:jc w:val="both"/>
              <w:rPr>
                <w:rFonts w:ascii="Arial" w:eastAsia="SimSun" w:hAnsi="Arial" w:cs="Arial"/>
                <w:color w:val="000000"/>
                <w:sz w:val="24"/>
                <w:szCs w:val="24"/>
                <w:lang w:val="ro-RO"/>
              </w:rPr>
            </w:pPr>
            <w:r w:rsidRPr="00934C02">
              <w:rPr>
                <w:rFonts w:ascii="Arial" w:eastAsia="SimSun" w:hAnsi="Arial" w:cs="Arial"/>
                <w:color w:val="000000"/>
                <w:sz w:val="24"/>
                <w:szCs w:val="24"/>
                <w:lang w:val="ro-RO"/>
              </w:rPr>
              <w:t>Strada Republicii Bârlad (2)</w:t>
            </w:r>
          </w:p>
        </w:tc>
        <w:tc>
          <w:tcPr>
            <w:tcW w:w="1276"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66,9</w:t>
            </w:r>
          </w:p>
        </w:tc>
        <w:tc>
          <w:tcPr>
            <w:tcW w:w="1701"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67,0</w:t>
            </w:r>
          </w:p>
        </w:tc>
        <w:tc>
          <w:tcPr>
            <w:tcW w:w="1843"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67,3</w:t>
            </w:r>
          </w:p>
        </w:tc>
        <w:tc>
          <w:tcPr>
            <w:tcW w:w="1843"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66,1</w:t>
            </w:r>
          </w:p>
        </w:tc>
      </w:tr>
      <w:tr w:rsidR="00934C02" w:rsidRPr="00934C02" w:rsidTr="00934C02">
        <w:tc>
          <w:tcPr>
            <w:tcW w:w="3402" w:type="dxa"/>
          </w:tcPr>
          <w:p w:rsidR="00934C02" w:rsidRPr="00934C02" w:rsidRDefault="00934C02" w:rsidP="00934C02">
            <w:pPr>
              <w:spacing w:after="0" w:line="240" w:lineRule="auto"/>
              <w:jc w:val="both"/>
              <w:rPr>
                <w:rFonts w:ascii="Arial" w:eastAsia="SimSun" w:hAnsi="Arial" w:cs="Arial"/>
                <w:color w:val="000000"/>
                <w:sz w:val="24"/>
                <w:szCs w:val="24"/>
                <w:lang w:val="ro-RO"/>
              </w:rPr>
            </w:pPr>
            <w:r w:rsidRPr="00934C02">
              <w:rPr>
                <w:rFonts w:ascii="Arial" w:eastAsia="SimSun" w:hAnsi="Arial" w:cs="Arial"/>
                <w:color w:val="000000"/>
                <w:sz w:val="24"/>
                <w:szCs w:val="24"/>
                <w:lang w:val="ro-RO"/>
              </w:rPr>
              <w:t>Strada Calea Basarabiei Huşi</w:t>
            </w:r>
          </w:p>
        </w:tc>
        <w:tc>
          <w:tcPr>
            <w:tcW w:w="1276"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65,8</w:t>
            </w:r>
          </w:p>
        </w:tc>
        <w:tc>
          <w:tcPr>
            <w:tcW w:w="1701"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65,1</w:t>
            </w:r>
          </w:p>
        </w:tc>
        <w:tc>
          <w:tcPr>
            <w:tcW w:w="1843"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62,5</w:t>
            </w:r>
          </w:p>
        </w:tc>
        <w:tc>
          <w:tcPr>
            <w:tcW w:w="1843" w:type="dxa"/>
          </w:tcPr>
          <w:p w:rsidR="00934C02" w:rsidRPr="00934C02" w:rsidRDefault="00934C02" w:rsidP="00934C02">
            <w:pPr>
              <w:spacing w:after="0" w:line="240" w:lineRule="auto"/>
              <w:jc w:val="center"/>
              <w:rPr>
                <w:rFonts w:ascii="Arial" w:eastAsia="SimSun" w:hAnsi="Arial" w:cs="Arial"/>
                <w:color w:val="000000"/>
                <w:sz w:val="24"/>
                <w:szCs w:val="24"/>
                <w:lang w:val="ro-RO"/>
              </w:rPr>
            </w:pPr>
            <w:r w:rsidRPr="00934C02">
              <w:rPr>
                <w:rFonts w:ascii="Arial" w:eastAsia="SimSun" w:hAnsi="Arial" w:cs="Arial"/>
                <w:color w:val="000000"/>
                <w:sz w:val="24"/>
                <w:szCs w:val="24"/>
                <w:lang w:val="ro-RO"/>
              </w:rPr>
              <w:t>64,8</w:t>
            </w:r>
          </w:p>
        </w:tc>
      </w:tr>
    </w:tbl>
    <w:p w:rsidR="00934C02" w:rsidRPr="00934C02" w:rsidRDefault="00934C02" w:rsidP="00934C02">
      <w:pPr>
        <w:spacing w:after="0" w:line="240" w:lineRule="auto"/>
        <w:rPr>
          <w:rFonts w:ascii="Arial" w:eastAsia="SimSun" w:hAnsi="Arial" w:cs="Arial"/>
          <w:i/>
          <w:color w:val="000000"/>
          <w:sz w:val="24"/>
          <w:szCs w:val="24"/>
          <w:lang w:val="ro-RO"/>
        </w:rPr>
      </w:pPr>
    </w:p>
    <w:p w:rsidR="00934C02" w:rsidRPr="00934C02" w:rsidRDefault="00934C02" w:rsidP="00934C02">
      <w:pPr>
        <w:spacing w:after="0" w:line="240" w:lineRule="auto"/>
        <w:jc w:val="center"/>
        <w:rPr>
          <w:rFonts w:ascii="Arial" w:eastAsia="SimSun" w:hAnsi="Arial" w:cs="Arial"/>
          <w:sz w:val="24"/>
          <w:szCs w:val="24"/>
          <w:lang w:val="en-GB"/>
        </w:rPr>
      </w:pPr>
      <w:r>
        <w:rPr>
          <w:rFonts w:ascii="Arial" w:eastAsia="SimSun" w:hAnsi="Arial" w:cs="Arial"/>
          <w:noProof/>
          <w:sz w:val="24"/>
          <w:szCs w:val="24"/>
        </w:rPr>
        <w:drawing>
          <wp:inline distT="0" distB="0" distL="0" distR="0">
            <wp:extent cx="5019675" cy="2809875"/>
            <wp:effectExtent l="0" t="0" r="0" b="0"/>
            <wp:docPr id="269" name="Chart 26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934C02" w:rsidRPr="00934C02" w:rsidRDefault="00934C02" w:rsidP="00934C02">
      <w:pPr>
        <w:spacing w:after="0" w:line="240" w:lineRule="auto"/>
        <w:jc w:val="center"/>
        <w:rPr>
          <w:rFonts w:ascii="Arial" w:eastAsia="SimSun" w:hAnsi="Arial" w:cs="Arial"/>
          <w:i/>
          <w:color w:val="000000"/>
          <w:sz w:val="24"/>
          <w:szCs w:val="24"/>
          <w:lang w:val="ro-RO"/>
        </w:rPr>
      </w:pPr>
      <w:r w:rsidRPr="00934C02">
        <w:rPr>
          <w:rFonts w:ascii="Arial" w:eastAsia="SimSun" w:hAnsi="Arial" w:cs="Arial"/>
          <w:sz w:val="24"/>
          <w:szCs w:val="24"/>
          <w:lang w:val="en-GB"/>
        </w:rPr>
        <w:t xml:space="preserve">Figura </w:t>
      </w:r>
      <w:r w:rsidRPr="00934C02">
        <w:rPr>
          <w:rFonts w:ascii="Arial" w:eastAsia="SimSun" w:hAnsi="Arial" w:cs="Arial"/>
          <w:sz w:val="24"/>
          <w:szCs w:val="24"/>
          <w:lang w:val="ro-RO"/>
        </w:rPr>
        <w:t>VIII</w:t>
      </w:r>
      <w:r w:rsidRPr="00934C02">
        <w:rPr>
          <w:rFonts w:ascii="Arial" w:eastAsia="SimSun" w:hAnsi="Arial" w:cs="Arial"/>
          <w:sz w:val="24"/>
          <w:szCs w:val="24"/>
          <w:lang w:val="en-GB"/>
        </w:rPr>
        <w:t xml:space="preserve">.3. Variaţia Leq pentru Trafic - </w:t>
      </w:r>
      <w:r w:rsidRPr="00934C02">
        <w:rPr>
          <w:rFonts w:ascii="Arial" w:eastAsia="SimSun" w:hAnsi="Arial" w:cs="Arial"/>
          <w:i/>
          <w:color w:val="000000"/>
          <w:sz w:val="24"/>
          <w:szCs w:val="24"/>
          <w:lang w:val="ro-RO"/>
        </w:rPr>
        <w:t>Străzi de categoria a II-a</w:t>
      </w:r>
    </w:p>
    <w:p w:rsidR="00934C02" w:rsidRPr="00934C02" w:rsidRDefault="00934C02" w:rsidP="00934C02">
      <w:pPr>
        <w:spacing w:after="0" w:line="240" w:lineRule="auto"/>
        <w:rPr>
          <w:rFonts w:ascii="Arial" w:eastAsia="SimSun" w:hAnsi="Arial" w:cs="Arial"/>
          <w:i/>
          <w:color w:val="000000"/>
          <w:sz w:val="24"/>
          <w:szCs w:val="24"/>
          <w:lang w:val="ro-RO"/>
        </w:rPr>
      </w:pPr>
    </w:p>
    <w:p w:rsidR="00934C02" w:rsidRPr="00934C02" w:rsidRDefault="00934C02" w:rsidP="00934C02">
      <w:pPr>
        <w:spacing w:after="0" w:line="240" w:lineRule="auto"/>
        <w:rPr>
          <w:rFonts w:ascii="Arial" w:eastAsia="SimSun" w:hAnsi="Arial" w:cs="Arial"/>
          <w:i/>
          <w:color w:val="000000"/>
          <w:sz w:val="24"/>
          <w:szCs w:val="24"/>
          <w:lang w:val="ro-RO"/>
        </w:rPr>
      </w:pPr>
      <w:r w:rsidRPr="00934C02">
        <w:rPr>
          <w:rFonts w:ascii="Arial" w:eastAsia="SimSun" w:hAnsi="Arial" w:cs="Arial"/>
          <w:sz w:val="24"/>
          <w:szCs w:val="24"/>
          <w:lang w:val="en-GB"/>
        </w:rPr>
        <w:lastRenderedPageBreak/>
        <w:t xml:space="preserve">Tabelul </w:t>
      </w:r>
      <w:r w:rsidRPr="00934C02">
        <w:rPr>
          <w:rFonts w:ascii="Arial" w:eastAsia="SimSun" w:hAnsi="Arial" w:cs="Arial"/>
          <w:sz w:val="24"/>
          <w:szCs w:val="24"/>
          <w:lang w:val="ro-RO"/>
        </w:rPr>
        <w:t>VIII</w:t>
      </w:r>
      <w:r w:rsidRPr="00934C02">
        <w:rPr>
          <w:rFonts w:ascii="Arial" w:eastAsia="SimSun" w:hAnsi="Arial" w:cs="Arial"/>
          <w:sz w:val="24"/>
          <w:szCs w:val="24"/>
          <w:lang w:val="en-GB"/>
        </w:rPr>
        <w:t xml:space="preserve">.5. Variaţia nivelului de zgomot pentru zona de măsurare </w:t>
      </w:r>
      <w:r w:rsidRPr="00934C02">
        <w:rPr>
          <w:rFonts w:ascii="Arial" w:eastAsia="SimSun" w:hAnsi="Arial" w:cs="Arial"/>
          <w:i/>
          <w:color w:val="000000"/>
          <w:sz w:val="24"/>
          <w:szCs w:val="24"/>
          <w:lang w:val="ro-RO"/>
        </w:rPr>
        <w:t xml:space="preserve">Pieţe, spaţii comerciale, restaurante în aer liber, valoarea maximă măsurată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812"/>
        <w:gridCol w:w="767"/>
        <w:gridCol w:w="879"/>
        <w:gridCol w:w="762"/>
        <w:gridCol w:w="834"/>
        <w:gridCol w:w="797"/>
        <w:gridCol w:w="845"/>
        <w:gridCol w:w="777"/>
        <w:gridCol w:w="645"/>
        <w:gridCol w:w="767"/>
      </w:tblGrid>
      <w:tr w:rsidR="00934C02" w:rsidRPr="00934C02" w:rsidTr="00934C02">
        <w:trPr>
          <w:jc w:val="center"/>
        </w:trPr>
        <w:tc>
          <w:tcPr>
            <w:tcW w:w="1713" w:type="dxa"/>
            <w:vMerge w:val="restart"/>
          </w:tcPr>
          <w:p w:rsidR="00934C02" w:rsidRPr="00934C02" w:rsidRDefault="00934C02" w:rsidP="00934C02">
            <w:pPr>
              <w:spacing w:after="0" w:line="240" w:lineRule="auto"/>
              <w:rPr>
                <w:rFonts w:ascii="Arial" w:eastAsia="SimSun" w:hAnsi="Arial" w:cs="Arial"/>
                <w:b/>
                <w:color w:val="000000"/>
                <w:lang w:val="ro-RO"/>
              </w:rPr>
            </w:pPr>
            <w:r w:rsidRPr="00934C02">
              <w:rPr>
                <w:rFonts w:ascii="Arial" w:eastAsia="SimSun" w:hAnsi="Arial" w:cs="Arial"/>
                <w:b/>
                <w:color w:val="000000"/>
                <w:lang w:val="ro-RO"/>
              </w:rPr>
              <w:t>Tip de măsurătoare</w:t>
            </w:r>
          </w:p>
        </w:tc>
        <w:tc>
          <w:tcPr>
            <w:tcW w:w="1612" w:type="dxa"/>
            <w:gridSpan w:val="2"/>
            <w:shd w:val="clear" w:color="auto" w:fill="auto"/>
          </w:tcPr>
          <w:p w:rsidR="00934C02" w:rsidRPr="00934C02" w:rsidRDefault="00934C02" w:rsidP="00934C02">
            <w:pPr>
              <w:spacing w:after="0" w:line="240" w:lineRule="auto"/>
              <w:jc w:val="center"/>
              <w:rPr>
                <w:rFonts w:ascii="Arial" w:eastAsia="SimSun" w:hAnsi="Arial" w:cs="Arial"/>
                <w:b/>
                <w:color w:val="000000"/>
                <w:lang w:val="ro-RO"/>
              </w:rPr>
            </w:pPr>
            <w:r w:rsidRPr="00934C02">
              <w:rPr>
                <w:rFonts w:ascii="Arial" w:eastAsia="SimSun" w:hAnsi="Arial" w:cs="Arial"/>
                <w:b/>
                <w:color w:val="000000"/>
                <w:lang w:val="ro-RO"/>
              </w:rPr>
              <w:t>2011</w:t>
            </w:r>
          </w:p>
        </w:tc>
        <w:tc>
          <w:tcPr>
            <w:tcW w:w="1729" w:type="dxa"/>
            <w:gridSpan w:val="2"/>
          </w:tcPr>
          <w:p w:rsidR="00934C02" w:rsidRPr="00934C02" w:rsidRDefault="00934C02" w:rsidP="00934C02">
            <w:pPr>
              <w:spacing w:after="0" w:line="240" w:lineRule="auto"/>
              <w:jc w:val="center"/>
              <w:rPr>
                <w:rFonts w:ascii="Arial" w:eastAsia="SimSun" w:hAnsi="Arial" w:cs="Arial"/>
                <w:b/>
                <w:color w:val="000000"/>
                <w:lang w:val="ro-RO"/>
              </w:rPr>
            </w:pPr>
            <w:r w:rsidRPr="00934C02">
              <w:rPr>
                <w:rFonts w:ascii="Arial" w:eastAsia="SimSun" w:hAnsi="Arial" w:cs="Arial"/>
                <w:b/>
                <w:color w:val="000000"/>
                <w:lang w:val="ro-RO"/>
              </w:rPr>
              <w:t>2012</w:t>
            </w:r>
          </w:p>
        </w:tc>
        <w:tc>
          <w:tcPr>
            <w:tcW w:w="1681" w:type="dxa"/>
            <w:gridSpan w:val="2"/>
          </w:tcPr>
          <w:p w:rsidR="00934C02" w:rsidRPr="00934C02" w:rsidRDefault="00934C02" w:rsidP="00934C02">
            <w:pPr>
              <w:spacing w:after="0" w:line="240" w:lineRule="auto"/>
              <w:jc w:val="center"/>
              <w:rPr>
                <w:rFonts w:ascii="Arial" w:eastAsia="SimSun" w:hAnsi="Arial" w:cs="Arial"/>
                <w:b/>
                <w:color w:val="000000"/>
                <w:lang w:val="ro-RO"/>
              </w:rPr>
            </w:pPr>
            <w:r w:rsidRPr="00934C02">
              <w:rPr>
                <w:rFonts w:ascii="Arial" w:eastAsia="SimSun" w:hAnsi="Arial" w:cs="Arial"/>
                <w:b/>
                <w:color w:val="000000"/>
                <w:lang w:val="ro-RO"/>
              </w:rPr>
              <w:t>2013</w:t>
            </w:r>
          </w:p>
        </w:tc>
        <w:tc>
          <w:tcPr>
            <w:tcW w:w="1704" w:type="dxa"/>
            <w:gridSpan w:val="2"/>
          </w:tcPr>
          <w:p w:rsidR="00934C02" w:rsidRPr="00934C02" w:rsidRDefault="00934C02" w:rsidP="00934C02">
            <w:pPr>
              <w:spacing w:after="0" w:line="240" w:lineRule="auto"/>
              <w:jc w:val="center"/>
              <w:rPr>
                <w:rFonts w:ascii="Arial" w:eastAsia="SimSun" w:hAnsi="Arial" w:cs="Arial"/>
                <w:b/>
                <w:color w:val="000000"/>
                <w:lang w:val="ro-RO"/>
              </w:rPr>
            </w:pPr>
            <w:r w:rsidRPr="00934C02">
              <w:rPr>
                <w:rFonts w:ascii="Arial" w:eastAsia="SimSun" w:hAnsi="Arial" w:cs="Arial"/>
                <w:b/>
                <w:color w:val="000000"/>
                <w:lang w:val="ro-RO"/>
              </w:rPr>
              <w:t>2014</w:t>
            </w:r>
          </w:p>
        </w:tc>
        <w:tc>
          <w:tcPr>
            <w:tcW w:w="1399" w:type="dxa"/>
            <w:gridSpan w:val="2"/>
          </w:tcPr>
          <w:p w:rsidR="00934C02" w:rsidRPr="00934C02" w:rsidRDefault="00934C02" w:rsidP="00934C02">
            <w:pPr>
              <w:spacing w:after="0" w:line="240" w:lineRule="auto"/>
              <w:jc w:val="center"/>
              <w:rPr>
                <w:rFonts w:ascii="Arial" w:eastAsia="SimSun" w:hAnsi="Arial" w:cs="Arial"/>
                <w:b/>
                <w:color w:val="000000"/>
                <w:lang w:val="ro-RO"/>
              </w:rPr>
            </w:pPr>
            <w:r w:rsidRPr="00934C02">
              <w:rPr>
                <w:rFonts w:ascii="Arial" w:eastAsia="SimSun" w:hAnsi="Arial" w:cs="Arial"/>
                <w:b/>
                <w:color w:val="000000"/>
                <w:lang w:val="ro-RO"/>
              </w:rPr>
              <w:t>2015</w:t>
            </w:r>
          </w:p>
        </w:tc>
      </w:tr>
      <w:tr w:rsidR="00934C02" w:rsidRPr="00934C02" w:rsidTr="00934C02">
        <w:trPr>
          <w:jc w:val="center"/>
        </w:trPr>
        <w:tc>
          <w:tcPr>
            <w:tcW w:w="1713" w:type="dxa"/>
            <w:vMerge/>
          </w:tcPr>
          <w:p w:rsidR="00934C02" w:rsidRPr="00934C02" w:rsidRDefault="00934C02" w:rsidP="00934C02">
            <w:pPr>
              <w:spacing w:after="0" w:line="240" w:lineRule="auto"/>
              <w:jc w:val="both"/>
              <w:rPr>
                <w:rFonts w:ascii="Arial" w:eastAsia="SimSun" w:hAnsi="Arial" w:cs="Arial"/>
                <w:color w:val="000000"/>
                <w:lang w:val="ro-RO"/>
              </w:rPr>
            </w:pPr>
          </w:p>
        </w:tc>
        <w:tc>
          <w:tcPr>
            <w:tcW w:w="845"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Val. Max.</w:t>
            </w:r>
          </w:p>
        </w:tc>
        <w:tc>
          <w:tcPr>
            <w:tcW w:w="767"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 dep.</w:t>
            </w:r>
          </w:p>
        </w:tc>
        <w:tc>
          <w:tcPr>
            <w:tcW w:w="933"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Val. Max.</w:t>
            </w:r>
          </w:p>
        </w:tc>
        <w:tc>
          <w:tcPr>
            <w:tcW w:w="796"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 dep.</w:t>
            </w:r>
          </w:p>
        </w:tc>
        <w:tc>
          <w:tcPr>
            <w:tcW w:w="875"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Val. Max.</w:t>
            </w:r>
          </w:p>
        </w:tc>
        <w:tc>
          <w:tcPr>
            <w:tcW w:w="806"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 dep.</w:t>
            </w:r>
          </w:p>
        </w:tc>
        <w:tc>
          <w:tcPr>
            <w:tcW w:w="889"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Val. Max.</w:t>
            </w:r>
          </w:p>
        </w:tc>
        <w:tc>
          <w:tcPr>
            <w:tcW w:w="815"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 dep.</w:t>
            </w:r>
          </w:p>
        </w:tc>
        <w:tc>
          <w:tcPr>
            <w:tcW w:w="643"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Val. Max</w:t>
            </w:r>
          </w:p>
        </w:tc>
        <w:tc>
          <w:tcPr>
            <w:tcW w:w="756"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 dep.</w:t>
            </w:r>
          </w:p>
        </w:tc>
      </w:tr>
      <w:tr w:rsidR="00934C02" w:rsidRPr="00934C02" w:rsidTr="00934C02">
        <w:trPr>
          <w:jc w:val="center"/>
        </w:trPr>
        <w:tc>
          <w:tcPr>
            <w:tcW w:w="1713" w:type="dxa"/>
          </w:tcPr>
          <w:p w:rsidR="00934C02" w:rsidRPr="00934C02" w:rsidRDefault="00934C02" w:rsidP="00934C02">
            <w:pPr>
              <w:spacing w:after="0" w:line="240" w:lineRule="auto"/>
              <w:rPr>
                <w:rFonts w:ascii="Arial" w:eastAsia="SimSun" w:hAnsi="Arial" w:cs="Arial"/>
                <w:color w:val="000000"/>
                <w:lang w:val="ro-RO"/>
              </w:rPr>
            </w:pPr>
            <w:r w:rsidRPr="00934C02">
              <w:rPr>
                <w:rFonts w:ascii="Arial" w:eastAsia="SimSun" w:hAnsi="Arial" w:cs="Arial"/>
                <w:color w:val="000000"/>
                <w:lang w:val="ro-RO"/>
              </w:rPr>
              <w:t xml:space="preserve">Pieţe, spaţii comerciale, restaurante în aer liber </w:t>
            </w:r>
          </w:p>
        </w:tc>
        <w:tc>
          <w:tcPr>
            <w:tcW w:w="845" w:type="dxa"/>
          </w:tcPr>
          <w:p w:rsidR="00934C02" w:rsidRPr="00934C02" w:rsidRDefault="00934C02" w:rsidP="00934C02">
            <w:pPr>
              <w:spacing w:after="0" w:line="240" w:lineRule="auto"/>
              <w:jc w:val="center"/>
              <w:rPr>
                <w:rFonts w:ascii="Arial" w:eastAsia="Times New Roman" w:hAnsi="Arial" w:cs="Arial"/>
                <w:color w:val="000000"/>
                <w:lang w:val="fr-FR"/>
              </w:rPr>
            </w:pPr>
            <w:r w:rsidRPr="00934C02">
              <w:rPr>
                <w:rFonts w:ascii="Arial" w:eastAsia="Times New Roman" w:hAnsi="Arial" w:cs="Arial"/>
                <w:color w:val="000000"/>
                <w:lang w:val="fr-FR"/>
              </w:rPr>
              <w:t>71,6</w:t>
            </w:r>
          </w:p>
        </w:tc>
        <w:tc>
          <w:tcPr>
            <w:tcW w:w="767" w:type="dxa"/>
          </w:tcPr>
          <w:p w:rsidR="00934C02" w:rsidRPr="00934C02" w:rsidRDefault="00934C02" w:rsidP="00934C02">
            <w:pPr>
              <w:spacing w:after="0" w:line="240" w:lineRule="auto"/>
              <w:jc w:val="center"/>
              <w:rPr>
                <w:rFonts w:ascii="Arial" w:eastAsia="Times New Roman" w:hAnsi="Arial" w:cs="Arial"/>
                <w:color w:val="000000"/>
                <w:lang w:val="fr-FR"/>
              </w:rPr>
            </w:pPr>
            <w:r w:rsidRPr="00934C02">
              <w:rPr>
                <w:rFonts w:ascii="Arial" w:eastAsia="Times New Roman" w:hAnsi="Arial" w:cs="Arial"/>
                <w:color w:val="000000"/>
                <w:lang w:val="fr-FR"/>
              </w:rPr>
              <w:t>44,17</w:t>
            </w:r>
          </w:p>
        </w:tc>
        <w:tc>
          <w:tcPr>
            <w:tcW w:w="933" w:type="dxa"/>
          </w:tcPr>
          <w:p w:rsidR="00934C02" w:rsidRPr="00934C02" w:rsidRDefault="00934C02" w:rsidP="00934C02">
            <w:pPr>
              <w:spacing w:after="0" w:line="240" w:lineRule="auto"/>
              <w:jc w:val="center"/>
              <w:rPr>
                <w:rFonts w:ascii="Arial" w:eastAsia="Times New Roman" w:hAnsi="Arial" w:cs="Arial"/>
                <w:color w:val="000000"/>
                <w:lang w:val="fr-FR"/>
              </w:rPr>
            </w:pPr>
            <w:r w:rsidRPr="00934C02">
              <w:rPr>
                <w:rFonts w:ascii="Arial" w:eastAsia="Times New Roman" w:hAnsi="Arial" w:cs="Arial"/>
                <w:color w:val="000000"/>
                <w:lang w:val="fr-FR"/>
              </w:rPr>
              <w:t>73,0</w:t>
            </w:r>
          </w:p>
        </w:tc>
        <w:tc>
          <w:tcPr>
            <w:tcW w:w="796" w:type="dxa"/>
          </w:tcPr>
          <w:p w:rsidR="00934C02" w:rsidRPr="00934C02" w:rsidRDefault="00934C02" w:rsidP="00934C02">
            <w:pPr>
              <w:spacing w:after="0" w:line="240" w:lineRule="auto"/>
              <w:jc w:val="center"/>
              <w:rPr>
                <w:rFonts w:ascii="Arial" w:eastAsia="Times New Roman" w:hAnsi="Arial" w:cs="Arial"/>
                <w:color w:val="000000"/>
                <w:lang w:val="fr-FR"/>
              </w:rPr>
            </w:pPr>
            <w:r w:rsidRPr="00934C02">
              <w:rPr>
                <w:rFonts w:ascii="Arial" w:eastAsia="Times New Roman" w:hAnsi="Arial" w:cs="Arial"/>
                <w:color w:val="000000"/>
                <w:lang w:val="fr-FR"/>
              </w:rPr>
              <w:t>43,3</w:t>
            </w:r>
          </w:p>
        </w:tc>
        <w:tc>
          <w:tcPr>
            <w:tcW w:w="875" w:type="dxa"/>
          </w:tcPr>
          <w:p w:rsidR="00934C02" w:rsidRPr="00934C02" w:rsidRDefault="00934C02" w:rsidP="00934C02">
            <w:pPr>
              <w:spacing w:after="0" w:line="240" w:lineRule="auto"/>
              <w:jc w:val="center"/>
              <w:rPr>
                <w:rFonts w:ascii="Arial" w:eastAsia="Times New Roman" w:hAnsi="Arial" w:cs="Arial"/>
                <w:lang w:val="fr-FR"/>
              </w:rPr>
            </w:pPr>
            <w:r w:rsidRPr="00934C02">
              <w:rPr>
                <w:rFonts w:ascii="Arial" w:eastAsia="Times New Roman" w:hAnsi="Arial" w:cs="Arial"/>
                <w:lang w:val="fr-FR"/>
              </w:rPr>
              <w:t>71,8</w:t>
            </w:r>
          </w:p>
        </w:tc>
        <w:tc>
          <w:tcPr>
            <w:tcW w:w="806" w:type="dxa"/>
          </w:tcPr>
          <w:p w:rsidR="00934C02" w:rsidRPr="00934C02" w:rsidRDefault="00934C02" w:rsidP="00934C02">
            <w:pPr>
              <w:spacing w:after="0" w:line="240" w:lineRule="auto"/>
              <w:jc w:val="center"/>
              <w:rPr>
                <w:rFonts w:ascii="Arial" w:eastAsia="Times New Roman" w:hAnsi="Arial" w:cs="Arial"/>
                <w:lang w:val="fr-FR"/>
              </w:rPr>
            </w:pPr>
            <w:r w:rsidRPr="00934C02">
              <w:rPr>
                <w:rFonts w:ascii="Arial" w:eastAsia="Times New Roman" w:hAnsi="Arial" w:cs="Arial"/>
                <w:lang w:val="fr-FR"/>
              </w:rPr>
              <w:t>40.0</w:t>
            </w:r>
          </w:p>
        </w:tc>
        <w:tc>
          <w:tcPr>
            <w:tcW w:w="889" w:type="dxa"/>
          </w:tcPr>
          <w:p w:rsidR="00934C02" w:rsidRPr="00934C02" w:rsidRDefault="00934C02" w:rsidP="00934C02">
            <w:pPr>
              <w:spacing w:after="0" w:line="240" w:lineRule="auto"/>
              <w:jc w:val="center"/>
              <w:rPr>
                <w:rFonts w:ascii="Arial" w:eastAsia="Times New Roman" w:hAnsi="Arial" w:cs="Arial"/>
                <w:color w:val="000000"/>
                <w:lang w:val="fr-FR"/>
              </w:rPr>
            </w:pPr>
            <w:r w:rsidRPr="00934C02">
              <w:rPr>
                <w:rFonts w:ascii="Arial" w:eastAsia="Times New Roman" w:hAnsi="Arial" w:cs="Arial"/>
                <w:color w:val="000000"/>
                <w:lang w:val="fr-FR"/>
              </w:rPr>
              <w:t>71,9</w:t>
            </w:r>
          </w:p>
        </w:tc>
        <w:tc>
          <w:tcPr>
            <w:tcW w:w="815" w:type="dxa"/>
          </w:tcPr>
          <w:p w:rsidR="00934C02" w:rsidRPr="00934C02" w:rsidRDefault="00934C02" w:rsidP="00934C02">
            <w:pPr>
              <w:spacing w:after="0" w:line="240" w:lineRule="auto"/>
              <w:jc w:val="center"/>
              <w:rPr>
                <w:rFonts w:ascii="Arial" w:eastAsia="Times New Roman" w:hAnsi="Arial" w:cs="Arial"/>
                <w:color w:val="000000"/>
                <w:lang w:val="fr-FR"/>
              </w:rPr>
            </w:pPr>
            <w:r w:rsidRPr="00934C02">
              <w:rPr>
                <w:rFonts w:ascii="Arial" w:eastAsia="Times New Roman" w:hAnsi="Arial" w:cs="Arial"/>
                <w:color w:val="000000"/>
                <w:lang w:val="fr-FR"/>
              </w:rPr>
              <w:t>60</w:t>
            </w:r>
          </w:p>
        </w:tc>
        <w:tc>
          <w:tcPr>
            <w:tcW w:w="643" w:type="dxa"/>
          </w:tcPr>
          <w:p w:rsidR="00934C02" w:rsidRPr="00934C02" w:rsidRDefault="00934C02" w:rsidP="00934C02">
            <w:pPr>
              <w:spacing w:after="0" w:line="240" w:lineRule="auto"/>
              <w:jc w:val="center"/>
              <w:rPr>
                <w:rFonts w:ascii="Arial" w:eastAsia="Times New Roman" w:hAnsi="Arial" w:cs="Arial"/>
                <w:color w:val="000000"/>
                <w:lang w:val="fr-FR"/>
              </w:rPr>
            </w:pPr>
            <w:r w:rsidRPr="00934C02">
              <w:rPr>
                <w:rFonts w:ascii="Arial" w:eastAsia="Times New Roman" w:hAnsi="Arial" w:cs="Arial"/>
                <w:color w:val="000000"/>
                <w:lang w:val="fr-FR"/>
              </w:rPr>
              <w:t>70,4</w:t>
            </w:r>
          </w:p>
        </w:tc>
        <w:tc>
          <w:tcPr>
            <w:tcW w:w="756" w:type="dxa"/>
          </w:tcPr>
          <w:p w:rsidR="00934C02" w:rsidRPr="00934C02" w:rsidRDefault="00934C02" w:rsidP="00934C02">
            <w:pPr>
              <w:spacing w:after="0" w:line="240" w:lineRule="auto"/>
              <w:jc w:val="center"/>
              <w:rPr>
                <w:rFonts w:ascii="Arial" w:eastAsia="Times New Roman" w:hAnsi="Arial" w:cs="Arial"/>
                <w:color w:val="000000"/>
                <w:lang w:val="fr-FR"/>
              </w:rPr>
            </w:pPr>
            <w:r w:rsidRPr="00934C02">
              <w:rPr>
                <w:rFonts w:ascii="Arial" w:eastAsia="Times New Roman" w:hAnsi="Arial" w:cs="Arial"/>
                <w:color w:val="000000"/>
                <w:lang w:val="fr-FR"/>
              </w:rPr>
              <w:t>31,66</w:t>
            </w:r>
          </w:p>
        </w:tc>
      </w:tr>
      <w:tr w:rsidR="00934C02" w:rsidRPr="00934C02" w:rsidTr="00934C02">
        <w:trPr>
          <w:jc w:val="center"/>
        </w:trPr>
        <w:tc>
          <w:tcPr>
            <w:tcW w:w="1713" w:type="dxa"/>
          </w:tcPr>
          <w:p w:rsidR="00934C02" w:rsidRPr="00934C02" w:rsidRDefault="00934C02" w:rsidP="00934C02">
            <w:pPr>
              <w:spacing w:after="0" w:line="240" w:lineRule="auto"/>
              <w:rPr>
                <w:rFonts w:ascii="Arial" w:eastAsia="SimSun" w:hAnsi="Arial" w:cs="Arial"/>
                <w:color w:val="000000"/>
                <w:lang w:val="ro-RO"/>
              </w:rPr>
            </w:pPr>
            <w:r w:rsidRPr="00934C02">
              <w:rPr>
                <w:rFonts w:ascii="Arial" w:eastAsia="SimSun" w:hAnsi="Arial" w:cs="Arial"/>
                <w:color w:val="000000"/>
                <w:lang w:val="ro-RO"/>
              </w:rPr>
              <w:t>Incinte de şcoli şi creşe, grădiniţe, spaţii de joacă pentru copii</w:t>
            </w:r>
          </w:p>
        </w:tc>
        <w:tc>
          <w:tcPr>
            <w:tcW w:w="845"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68,5</w:t>
            </w:r>
          </w:p>
        </w:tc>
        <w:tc>
          <w:tcPr>
            <w:tcW w:w="767"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0</w:t>
            </w:r>
          </w:p>
        </w:tc>
        <w:tc>
          <w:tcPr>
            <w:tcW w:w="933"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65.1</w:t>
            </w:r>
          </w:p>
        </w:tc>
        <w:tc>
          <w:tcPr>
            <w:tcW w:w="796"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0</w:t>
            </w:r>
          </w:p>
        </w:tc>
        <w:tc>
          <w:tcPr>
            <w:tcW w:w="875" w:type="dxa"/>
          </w:tcPr>
          <w:p w:rsidR="00934C02" w:rsidRPr="00934C02" w:rsidRDefault="00934C02" w:rsidP="00934C02">
            <w:pPr>
              <w:spacing w:after="0" w:line="240" w:lineRule="auto"/>
              <w:jc w:val="center"/>
              <w:rPr>
                <w:rFonts w:ascii="Arial" w:eastAsia="SimSun" w:hAnsi="Arial" w:cs="Arial"/>
                <w:lang w:val="ro-RO"/>
              </w:rPr>
            </w:pPr>
            <w:r w:rsidRPr="00934C02">
              <w:rPr>
                <w:rFonts w:ascii="Arial" w:eastAsia="SimSun" w:hAnsi="Arial" w:cs="Arial"/>
                <w:lang w:val="ro-RO"/>
              </w:rPr>
              <w:t>70,1</w:t>
            </w:r>
          </w:p>
        </w:tc>
        <w:tc>
          <w:tcPr>
            <w:tcW w:w="806" w:type="dxa"/>
          </w:tcPr>
          <w:p w:rsidR="00934C02" w:rsidRPr="00934C02" w:rsidRDefault="00934C02" w:rsidP="00934C02">
            <w:pPr>
              <w:spacing w:after="0" w:line="240" w:lineRule="auto"/>
              <w:jc w:val="center"/>
              <w:rPr>
                <w:rFonts w:ascii="Arial" w:eastAsia="SimSun" w:hAnsi="Arial" w:cs="Arial"/>
                <w:lang w:val="ro-RO"/>
              </w:rPr>
            </w:pPr>
            <w:r w:rsidRPr="00934C02">
              <w:rPr>
                <w:rFonts w:ascii="Arial" w:eastAsia="SimSun" w:hAnsi="Arial" w:cs="Arial"/>
                <w:lang w:val="ro-RO"/>
              </w:rPr>
              <w:t>0</w:t>
            </w:r>
          </w:p>
        </w:tc>
        <w:tc>
          <w:tcPr>
            <w:tcW w:w="889"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71</w:t>
            </w:r>
          </w:p>
        </w:tc>
        <w:tc>
          <w:tcPr>
            <w:tcW w:w="815"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0</w:t>
            </w:r>
          </w:p>
        </w:tc>
        <w:tc>
          <w:tcPr>
            <w:tcW w:w="643"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70,5</w:t>
            </w:r>
          </w:p>
        </w:tc>
        <w:tc>
          <w:tcPr>
            <w:tcW w:w="756"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0</w:t>
            </w:r>
          </w:p>
        </w:tc>
      </w:tr>
      <w:tr w:rsidR="00934C02" w:rsidRPr="00934C02" w:rsidTr="00934C02">
        <w:trPr>
          <w:jc w:val="center"/>
        </w:trPr>
        <w:tc>
          <w:tcPr>
            <w:tcW w:w="1713" w:type="dxa"/>
          </w:tcPr>
          <w:p w:rsidR="00934C02" w:rsidRPr="00934C02" w:rsidRDefault="00934C02" w:rsidP="00934C02">
            <w:pPr>
              <w:spacing w:after="0" w:line="240" w:lineRule="auto"/>
              <w:rPr>
                <w:rFonts w:ascii="Arial" w:eastAsia="SimSun" w:hAnsi="Arial" w:cs="Arial"/>
                <w:color w:val="000000"/>
                <w:lang w:val="ro-RO"/>
              </w:rPr>
            </w:pPr>
            <w:r w:rsidRPr="00934C02">
              <w:rPr>
                <w:rFonts w:ascii="Arial" w:eastAsia="SimSun" w:hAnsi="Arial" w:cs="Arial"/>
                <w:color w:val="000000"/>
                <w:lang w:val="ro-RO"/>
              </w:rPr>
              <w:t xml:space="preserve">Parcuri, zone de recreere şi odihnă </w:t>
            </w:r>
          </w:p>
        </w:tc>
        <w:tc>
          <w:tcPr>
            <w:tcW w:w="845"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68,9</w:t>
            </w:r>
          </w:p>
        </w:tc>
        <w:tc>
          <w:tcPr>
            <w:tcW w:w="767"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100</w:t>
            </w:r>
          </w:p>
        </w:tc>
        <w:tc>
          <w:tcPr>
            <w:tcW w:w="933"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64,5</w:t>
            </w:r>
          </w:p>
        </w:tc>
        <w:tc>
          <w:tcPr>
            <w:tcW w:w="796"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95,6</w:t>
            </w:r>
          </w:p>
        </w:tc>
        <w:tc>
          <w:tcPr>
            <w:tcW w:w="875" w:type="dxa"/>
          </w:tcPr>
          <w:p w:rsidR="00934C02" w:rsidRPr="00934C02" w:rsidRDefault="00934C02" w:rsidP="00934C02">
            <w:pPr>
              <w:spacing w:after="0" w:line="240" w:lineRule="auto"/>
              <w:jc w:val="center"/>
              <w:rPr>
                <w:rFonts w:ascii="Arial" w:eastAsia="SimSun" w:hAnsi="Arial" w:cs="Arial"/>
                <w:lang w:val="ro-RO"/>
              </w:rPr>
            </w:pPr>
            <w:r w:rsidRPr="00934C02">
              <w:rPr>
                <w:rFonts w:ascii="Arial" w:eastAsia="SimSun" w:hAnsi="Arial" w:cs="Arial"/>
                <w:lang w:val="ro-RO"/>
              </w:rPr>
              <w:t>64,0</w:t>
            </w:r>
          </w:p>
        </w:tc>
        <w:tc>
          <w:tcPr>
            <w:tcW w:w="806" w:type="dxa"/>
          </w:tcPr>
          <w:p w:rsidR="00934C02" w:rsidRPr="00934C02" w:rsidRDefault="00934C02" w:rsidP="00934C02">
            <w:pPr>
              <w:spacing w:after="0" w:line="240" w:lineRule="auto"/>
              <w:jc w:val="center"/>
              <w:rPr>
                <w:rFonts w:ascii="Arial" w:eastAsia="SimSun" w:hAnsi="Arial" w:cs="Arial"/>
                <w:lang w:val="ro-RO"/>
              </w:rPr>
            </w:pPr>
            <w:r w:rsidRPr="00934C02">
              <w:rPr>
                <w:rFonts w:ascii="Arial" w:eastAsia="SimSun" w:hAnsi="Arial" w:cs="Arial"/>
                <w:lang w:val="ro-RO"/>
              </w:rPr>
              <w:t>100</w:t>
            </w:r>
          </w:p>
        </w:tc>
        <w:tc>
          <w:tcPr>
            <w:tcW w:w="889"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69</w:t>
            </w:r>
          </w:p>
        </w:tc>
        <w:tc>
          <w:tcPr>
            <w:tcW w:w="815"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90,3</w:t>
            </w:r>
          </w:p>
        </w:tc>
        <w:tc>
          <w:tcPr>
            <w:tcW w:w="643"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71,3</w:t>
            </w:r>
          </w:p>
        </w:tc>
        <w:tc>
          <w:tcPr>
            <w:tcW w:w="756"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93,05</w:t>
            </w:r>
          </w:p>
        </w:tc>
      </w:tr>
      <w:tr w:rsidR="00934C02" w:rsidRPr="00934C02" w:rsidTr="00934C02">
        <w:trPr>
          <w:jc w:val="center"/>
        </w:trPr>
        <w:tc>
          <w:tcPr>
            <w:tcW w:w="1713" w:type="dxa"/>
          </w:tcPr>
          <w:p w:rsidR="00934C02" w:rsidRPr="00934C02" w:rsidRDefault="00934C02" w:rsidP="00934C02">
            <w:pPr>
              <w:spacing w:after="0" w:line="240" w:lineRule="auto"/>
              <w:rPr>
                <w:rFonts w:ascii="Arial" w:eastAsia="SimSun" w:hAnsi="Arial" w:cs="Arial"/>
                <w:color w:val="000000"/>
                <w:lang w:val="ro-RO"/>
              </w:rPr>
            </w:pPr>
            <w:r w:rsidRPr="00934C02">
              <w:rPr>
                <w:rFonts w:ascii="Arial" w:eastAsia="SimSun" w:hAnsi="Arial" w:cs="Arial"/>
                <w:color w:val="000000"/>
                <w:lang w:val="ro-RO"/>
              </w:rPr>
              <w:t>Incinta industrială</w:t>
            </w:r>
          </w:p>
        </w:tc>
        <w:tc>
          <w:tcPr>
            <w:tcW w:w="845"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c>
          <w:tcPr>
            <w:tcW w:w="767"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c>
          <w:tcPr>
            <w:tcW w:w="933"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c>
          <w:tcPr>
            <w:tcW w:w="796"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c>
          <w:tcPr>
            <w:tcW w:w="875" w:type="dxa"/>
          </w:tcPr>
          <w:p w:rsidR="00934C02" w:rsidRPr="00934C02" w:rsidRDefault="00934C02" w:rsidP="00934C02">
            <w:pPr>
              <w:spacing w:after="0" w:line="240" w:lineRule="auto"/>
              <w:jc w:val="center"/>
              <w:rPr>
                <w:rFonts w:ascii="Arial" w:eastAsia="SimSun" w:hAnsi="Arial" w:cs="Arial"/>
                <w:lang w:val="ro-RO"/>
              </w:rPr>
            </w:pPr>
            <w:r w:rsidRPr="00934C02">
              <w:rPr>
                <w:rFonts w:ascii="Arial" w:eastAsia="SimSun" w:hAnsi="Arial" w:cs="Arial"/>
                <w:lang w:val="ro-RO"/>
              </w:rPr>
              <w:t>-</w:t>
            </w:r>
          </w:p>
        </w:tc>
        <w:tc>
          <w:tcPr>
            <w:tcW w:w="806" w:type="dxa"/>
          </w:tcPr>
          <w:p w:rsidR="00934C02" w:rsidRPr="00934C02" w:rsidRDefault="00934C02" w:rsidP="00934C02">
            <w:pPr>
              <w:spacing w:after="0" w:line="240" w:lineRule="auto"/>
              <w:jc w:val="center"/>
              <w:rPr>
                <w:rFonts w:ascii="Arial" w:eastAsia="SimSun" w:hAnsi="Arial" w:cs="Arial"/>
                <w:lang w:val="ro-RO"/>
              </w:rPr>
            </w:pPr>
            <w:r w:rsidRPr="00934C02">
              <w:rPr>
                <w:rFonts w:ascii="Arial" w:eastAsia="SimSun" w:hAnsi="Arial" w:cs="Arial"/>
                <w:lang w:val="ro-RO"/>
              </w:rPr>
              <w:t>-</w:t>
            </w:r>
          </w:p>
        </w:tc>
        <w:tc>
          <w:tcPr>
            <w:tcW w:w="889"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c>
          <w:tcPr>
            <w:tcW w:w="815"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c>
          <w:tcPr>
            <w:tcW w:w="643"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c>
          <w:tcPr>
            <w:tcW w:w="756"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r>
      <w:tr w:rsidR="00934C02" w:rsidRPr="00934C02" w:rsidTr="00934C02">
        <w:trPr>
          <w:jc w:val="center"/>
        </w:trPr>
        <w:tc>
          <w:tcPr>
            <w:tcW w:w="1713" w:type="dxa"/>
          </w:tcPr>
          <w:p w:rsidR="00934C02" w:rsidRPr="00934C02" w:rsidRDefault="00934C02" w:rsidP="00934C02">
            <w:pPr>
              <w:spacing w:after="0" w:line="240" w:lineRule="auto"/>
              <w:rPr>
                <w:rFonts w:ascii="Arial" w:eastAsia="SimSun" w:hAnsi="Arial" w:cs="Arial"/>
                <w:color w:val="000000"/>
                <w:lang w:val="ro-RO"/>
              </w:rPr>
            </w:pPr>
            <w:r w:rsidRPr="00934C02">
              <w:rPr>
                <w:rFonts w:ascii="Arial" w:eastAsia="SimSun" w:hAnsi="Arial" w:cs="Arial"/>
                <w:color w:val="000000"/>
                <w:lang w:val="ro-RO"/>
              </w:rPr>
              <w:t xml:space="preserve">Zone feroviare  </w:t>
            </w:r>
          </w:p>
        </w:tc>
        <w:tc>
          <w:tcPr>
            <w:tcW w:w="845"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69,5</w:t>
            </w:r>
          </w:p>
        </w:tc>
        <w:tc>
          <w:tcPr>
            <w:tcW w:w="767"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0</w:t>
            </w:r>
          </w:p>
        </w:tc>
        <w:tc>
          <w:tcPr>
            <w:tcW w:w="933"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69,5</w:t>
            </w:r>
          </w:p>
        </w:tc>
        <w:tc>
          <w:tcPr>
            <w:tcW w:w="796"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0</w:t>
            </w:r>
          </w:p>
        </w:tc>
        <w:tc>
          <w:tcPr>
            <w:tcW w:w="875" w:type="dxa"/>
          </w:tcPr>
          <w:p w:rsidR="00934C02" w:rsidRPr="00934C02" w:rsidRDefault="00934C02" w:rsidP="00934C02">
            <w:pPr>
              <w:spacing w:after="0" w:line="240" w:lineRule="auto"/>
              <w:jc w:val="center"/>
              <w:rPr>
                <w:rFonts w:ascii="Arial" w:eastAsia="SimSun" w:hAnsi="Arial" w:cs="Arial"/>
                <w:lang w:val="ro-RO"/>
              </w:rPr>
            </w:pPr>
            <w:r w:rsidRPr="00934C02">
              <w:rPr>
                <w:rFonts w:ascii="Arial" w:eastAsia="SimSun" w:hAnsi="Arial" w:cs="Arial"/>
                <w:lang w:val="ro-RO"/>
              </w:rPr>
              <w:t>69,6</w:t>
            </w:r>
          </w:p>
        </w:tc>
        <w:tc>
          <w:tcPr>
            <w:tcW w:w="806" w:type="dxa"/>
          </w:tcPr>
          <w:p w:rsidR="00934C02" w:rsidRPr="00934C02" w:rsidRDefault="00934C02" w:rsidP="00934C02">
            <w:pPr>
              <w:spacing w:after="0" w:line="240" w:lineRule="auto"/>
              <w:jc w:val="center"/>
              <w:rPr>
                <w:rFonts w:ascii="Arial" w:eastAsia="SimSun" w:hAnsi="Arial" w:cs="Arial"/>
                <w:lang w:val="ro-RO"/>
              </w:rPr>
            </w:pPr>
            <w:r w:rsidRPr="00934C02">
              <w:rPr>
                <w:rFonts w:ascii="Arial" w:eastAsia="SimSun" w:hAnsi="Arial" w:cs="Arial"/>
                <w:lang w:val="ro-RO"/>
              </w:rPr>
              <w:t>0</w:t>
            </w:r>
          </w:p>
        </w:tc>
        <w:tc>
          <w:tcPr>
            <w:tcW w:w="889"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69,8</w:t>
            </w:r>
          </w:p>
        </w:tc>
        <w:tc>
          <w:tcPr>
            <w:tcW w:w="815"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0</w:t>
            </w:r>
          </w:p>
        </w:tc>
        <w:tc>
          <w:tcPr>
            <w:tcW w:w="643"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71,0</w:t>
            </w:r>
          </w:p>
        </w:tc>
        <w:tc>
          <w:tcPr>
            <w:tcW w:w="756"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3,75</w:t>
            </w:r>
          </w:p>
        </w:tc>
      </w:tr>
      <w:tr w:rsidR="00934C02" w:rsidRPr="00934C02" w:rsidTr="00934C02">
        <w:trPr>
          <w:jc w:val="center"/>
        </w:trPr>
        <w:tc>
          <w:tcPr>
            <w:tcW w:w="1713" w:type="dxa"/>
          </w:tcPr>
          <w:p w:rsidR="00934C02" w:rsidRPr="00934C02" w:rsidRDefault="00934C02" w:rsidP="00934C02">
            <w:pPr>
              <w:spacing w:after="0" w:line="240" w:lineRule="auto"/>
              <w:rPr>
                <w:rFonts w:ascii="Arial" w:eastAsia="SimSun" w:hAnsi="Arial" w:cs="Arial"/>
                <w:color w:val="000000"/>
                <w:lang w:val="ro-RO"/>
              </w:rPr>
            </w:pPr>
            <w:r w:rsidRPr="00934C02">
              <w:rPr>
                <w:rFonts w:ascii="Arial" w:eastAsia="SimSun" w:hAnsi="Arial" w:cs="Arial"/>
                <w:color w:val="000000"/>
                <w:lang w:val="ro-RO"/>
              </w:rPr>
              <w:t xml:space="preserve">Aeroporturi </w:t>
            </w:r>
          </w:p>
        </w:tc>
        <w:tc>
          <w:tcPr>
            <w:tcW w:w="845"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c>
          <w:tcPr>
            <w:tcW w:w="767"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c>
          <w:tcPr>
            <w:tcW w:w="933"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c>
          <w:tcPr>
            <w:tcW w:w="796"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c>
          <w:tcPr>
            <w:tcW w:w="875" w:type="dxa"/>
          </w:tcPr>
          <w:p w:rsidR="00934C02" w:rsidRPr="00934C02" w:rsidRDefault="00934C02" w:rsidP="00934C02">
            <w:pPr>
              <w:spacing w:after="0" w:line="240" w:lineRule="auto"/>
              <w:jc w:val="center"/>
              <w:rPr>
                <w:rFonts w:ascii="Arial" w:eastAsia="SimSun" w:hAnsi="Arial" w:cs="Arial"/>
                <w:lang w:val="ro-RO"/>
              </w:rPr>
            </w:pPr>
            <w:r w:rsidRPr="00934C02">
              <w:rPr>
                <w:rFonts w:ascii="Arial" w:eastAsia="SimSun" w:hAnsi="Arial" w:cs="Arial"/>
                <w:lang w:val="ro-RO"/>
              </w:rPr>
              <w:t>-</w:t>
            </w:r>
          </w:p>
        </w:tc>
        <w:tc>
          <w:tcPr>
            <w:tcW w:w="806" w:type="dxa"/>
          </w:tcPr>
          <w:p w:rsidR="00934C02" w:rsidRPr="00934C02" w:rsidRDefault="00934C02" w:rsidP="00934C02">
            <w:pPr>
              <w:spacing w:after="0" w:line="240" w:lineRule="auto"/>
              <w:jc w:val="center"/>
              <w:rPr>
                <w:rFonts w:ascii="Arial" w:eastAsia="SimSun" w:hAnsi="Arial" w:cs="Arial"/>
                <w:lang w:val="ro-RO"/>
              </w:rPr>
            </w:pPr>
            <w:r w:rsidRPr="00934C02">
              <w:rPr>
                <w:rFonts w:ascii="Arial" w:eastAsia="SimSun" w:hAnsi="Arial" w:cs="Arial"/>
                <w:lang w:val="ro-RO"/>
              </w:rPr>
              <w:t>-</w:t>
            </w:r>
          </w:p>
        </w:tc>
        <w:tc>
          <w:tcPr>
            <w:tcW w:w="889"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c>
          <w:tcPr>
            <w:tcW w:w="815"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c>
          <w:tcPr>
            <w:tcW w:w="643"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c>
          <w:tcPr>
            <w:tcW w:w="756"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r>
      <w:tr w:rsidR="00934C02" w:rsidRPr="00934C02" w:rsidTr="00934C02">
        <w:trPr>
          <w:jc w:val="center"/>
        </w:trPr>
        <w:tc>
          <w:tcPr>
            <w:tcW w:w="1713" w:type="dxa"/>
          </w:tcPr>
          <w:p w:rsidR="00934C02" w:rsidRPr="00934C02" w:rsidRDefault="00934C02" w:rsidP="00934C02">
            <w:pPr>
              <w:spacing w:after="0" w:line="240" w:lineRule="auto"/>
              <w:rPr>
                <w:rFonts w:ascii="Arial" w:eastAsia="SimSun" w:hAnsi="Arial" w:cs="Arial"/>
                <w:color w:val="000000"/>
                <w:lang w:val="ro-RO"/>
              </w:rPr>
            </w:pPr>
            <w:r w:rsidRPr="00934C02">
              <w:rPr>
                <w:rFonts w:ascii="Arial" w:eastAsia="SimSun" w:hAnsi="Arial" w:cs="Arial"/>
                <w:color w:val="000000"/>
                <w:lang w:val="ro-RO"/>
              </w:rPr>
              <w:t>Parcaje auto</w:t>
            </w:r>
          </w:p>
        </w:tc>
        <w:tc>
          <w:tcPr>
            <w:tcW w:w="845"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c>
          <w:tcPr>
            <w:tcW w:w="767"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c>
          <w:tcPr>
            <w:tcW w:w="933"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c>
          <w:tcPr>
            <w:tcW w:w="796"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c>
          <w:tcPr>
            <w:tcW w:w="875" w:type="dxa"/>
          </w:tcPr>
          <w:p w:rsidR="00934C02" w:rsidRPr="00934C02" w:rsidRDefault="00934C02" w:rsidP="00934C02">
            <w:pPr>
              <w:spacing w:after="0" w:line="240" w:lineRule="auto"/>
              <w:jc w:val="center"/>
              <w:rPr>
                <w:rFonts w:ascii="Arial" w:eastAsia="SimSun" w:hAnsi="Arial" w:cs="Arial"/>
                <w:lang w:val="ro-RO"/>
              </w:rPr>
            </w:pPr>
            <w:r w:rsidRPr="00934C02">
              <w:rPr>
                <w:rFonts w:ascii="Arial" w:eastAsia="SimSun" w:hAnsi="Arial" w:cs="Arial"/>
                <w:lang w:val="ro-RO"/>
              </w:rPr>
              <w:t>-</w:t>
            </w:r>
          </w:p>
        </w:tc>
        <w:tc>
          <w:tcPr>
            <w:tcW w:w="806" w:type="dxa"/>
          </w:tcPr>
          <w:p w:rsidR="00934C02" w:rsidRPr="00934C02" w:rsidRDefault="00934C02" w:rsidP="00934C02">
            <w:pPr>
              <w:spacing w:after="0" w:line="240" w:lineRule="auto"/>
              <w:jc w:val="center"/>
              <w:rPr>
                <w:rFonts w:ascii="Arial" w:eastAsia="SimSun" w:hAnsi="Arial" w:cs="Arial"/>
                <w:lang w:val="ro-RO"/>
              </w:rPr>
            </w:pPr>
            <w:r w:rsidRPr="00934C02">
              <w:rPr>
                <w:rFonts w:ascii="Arial" w:eastAsia="SimSun" w:hAnsi="Arial" w:cs="Arial"/>
                <w:lang w:val="ro-RO"/>
              </w:rPr>
              <w:t>-</w:t>
            </w:r>
          </w:p>
        </w:tc>
        <w:tc>
          <w:tcPr>
            <w:tcW w:w="889"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c>
          <w:tcPr>
            <w:tcW w:w="815"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c>
          <w:tcPr>
            <w:tcW w:w="643"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c>
          <w:tcPr>
            <w:tcW w:w="756"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r>
      <w:tr w:rsidR="00934C02" w:rsidRPr="00934C02" w:rsidTr="00934C02">
        <w:trPr>
          <w:jc w:val="center"/>
        </w:trPr>
        <w:tc>
          <w:tcPr>
            <w:tcW w:w="1713" w:type="dxa"/>
          </w:tcPr>
          <w:p w:rsidR="00934C02" w:rsidRPr="00934C02" w:rsidRDefault="00934C02" w:rsidP="00934C02">
            <w:pPr>
              <w:spacing w:after="0" w:line="240" w:lineRule="auto"/>
              <w:rPr>
                <w:rFonts w:ascii="Arial" w:eastAsia="SimSun" w:hAnsi="Arial" w:cs="Arial"/>
                <w:color w:val="000000"/>
                <w:lang w:val="ro-RO"/>
              </w:rPr>
            </w:pPr>
            <w:r w:rsidRPr="00934C02">
              <w:rPr>
                <w:rFonts w:ascii="Arial" w:eastAsia="SimSun" w:hAnsi="Arial" w:cs="Arial"/>
                <w:color w:val="000000"/>
                <w:lang w:val="ro-RO"/>
              </w:rPr>
              <w:t>Stadioane, cinematografe în aer liber</w:t>
            </w:r>
          </w:p>
        </w:tc>
        <w:tc>
          <w:tcPr>
            <w:tcW w:w="845"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c>
          <w:tcPr>
            <w:tcW w:w="767"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c>
          <w:tcPr>
            <w:tcW w:w="933"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c>
          <w:tcPr>
            <w:tcW w:w="796"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c>
          <w:tcPr>
            <w:tcW w:w="875" w:type="dxa"/>
          </w:tcPr>
          <w:p w:rsidR="00934C02" w:rsidRPr="00934C02" w:rsidRDefault="00934C02" w:rsidP="00934C02">
            <w:pPr>
              <w:spacing w:after="0" w:line="240" w:lineRule="auto"/>
              <w:jc w:val="center"/>
              <w:rPr>
                <w:rFonts w:ascii="Arial" w:eastAsia="SimSun" w:hAnsi="Arial" w:cs="Arial"/>
                <w:lang w:val="ro-RO"/>
              </w:rPr>
            </w:pPr>
            <w:r w:rsidRPr="00934C02">
              <w:rPr>
                <w:rFonts w:ascii="Arial" w:eastAsia="SimSun" w:hAnsi="Arial" w:cs="Arial"/>
                <w:lang w:val="ro-RO"/>
              </w:rPr>
              <w:t>-</w:t>
            </w:r>
          </w:p>
        </w:tc>
        <w:tc>
          <w:tcPr>
            <w:tcW w:w="806" w:type="dxa"/>
          </w:tcPr>
          <w:p w:rsidR="00934C02" w:rsidRPr="00934C02" w:rsidRDefault="00934C02" w:rsidP="00934C02">
            <w:pPr>
              <w:spacing w:after="0" w:line="240" w:lineRule="auto"/>
              <w:jc w:val="center"/>
              <w:rPr>
                <w:rFonts w:ascii="Arial" w:eastAsia="SimSun" w:hAnsi="Arial" w:cs="Arial"/>
                <w:lang w:val="ro-RO"/>
              </w:rPr>
            </w:pPr>
            <w:r w:rsidRPr="00934C02">
              <w:rPr>
                <w:rFonts w:ascii="Arial" w:eastAsia="SimSun" w:hAnsi="Arial" w:cs="Arial"/>
                <w:lang w:val="ro-RO"/>
              </w:rPr>
              <w:t>-</w:t>
            </w:r>
          </w:p>
        </w:tc>
        <w:tc>
          <w:tcPr>
            <w:tcW w:w="889"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c>
          <w:tcPr>
            <w:tcW w:w="815"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c>
          <w:tcPr>
            <w:tcW w:w="643"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c>
          <w:tcPr>
            <w:tcW w:w="756"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r>
      <w:tr w:rsidR="00934C02" w:rsidRPr="00934C02" w:rsidTr="00934C02">
        <w:trPr>
          <w:jc w:val="center"/>
        </w:trPr>
        <w:tc>
          <w:tcPr>
            <w:tcW w:w="1713" w:type="dxa"/>
          </w:tcPr>
          <w:p w:rsidR="00934C02" w:rsidRPr="00934C02" w:rsidRDefault="00934C02" w:rsidP="00934C02">
            <w:pPr>
              <w:spacing w:after="0" w:line="240" w:lineRule="auto"/>
              <w:rPr>
                <w:rFonts w:ascii="Arial" w:eastAsia="SimSun" w:hAnsi="Arial" w:cs="Arial"/>
                <w:color w:val="000000"/>
                <w:lang w:val="ro-RO"/>
              </w:rPr>
            </w:pPr>
            <w:r w:rsidRPr="00934C02">
              <w:rPr>
                <w:rFonts w:ascii="Arial" w:eastAsia="SimSun" w:hAnsi="Arial" w:cs="Arial"/>
                <w:color w:val="000000"/>
                <w:lang w:val="ro-RO"/>
              </w:rPr>
              <w:t xml:space="preserve">Trafic </w:t>
            </w:r>
          </w:p>
        </w:tc>
        <w:tc>
          <w:tcPr>
            <w:tcW w:w="845"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75,0</w:t>
            </w:r>
          </w:p>
        </w:tc>
        <w:tc>
          <w:tcPr>
            <w:tcW w:w="767"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41,11</w:t>
            </w:r>
          </w:p>
        </w:tc>
        <w:tc>
          <w:tcPr>
            <w:tcW w:w="933"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75,5</w:t>
            </w:r>
          </w:p>
        </w:tc>
        <w:tc>
          <w:tcPr>
            <w:tcW w:w="796"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27,5</w:t>
            </w:r>
          </w:p>
        </w:tc>
        <w:tc>
          <w:tcPr>
            <w:tcW w:w="875" w:type="dxa"/>
          </w:tcPr>
          <w:p w:rsidR="00934C02" w:rsidRPr="00934C02" w:rsidRDefault="00934C02" w:rsidP="00934C02">
            <w:pPr>
              <w:spacing w:after="0" w:line="240" w:lineRule="auto"/>
              <w:jc w:val="center"/>
              <w:rPr>
                <w:rFonts w:ascii="Arial" w:eastAsia="SimSun" w:hAnsi="Arial" w:cs="Arial"/>
                <w:lang w:val="ro-RO"/>
              </w:rPr>
            </w:pPr>
            <w:r w:rsidRPr="00934C02">
              <w:rPr>
                <w:rFonts w:ascii="Arial" w:eastAsia="SimSun" w:hAnsi="Arial" w:cs="Arial"/>
                <w:lang w:val="ro-RO"/>
              </w:rPr>
              <w:t>73,8</w:t>
            </w:r>
          </w:p>
        </w:tc>
        <w:tc>
          <w:tcPr>
            <w:tcW w:w="806" w:type="dxa"/>
          </w:tcPr>
          <w:p w:rsidR="00934C02" w:rsidRPr="00934C02" w:rsidRDefault="00934C02" w:rsidP="00934C02">
            <w:pPr>
              <w:spacing w:after="0" w:line="240" w:lineRule="auto"/>
              <w:jc w:val="center"/>
              <w:rPr>
                <w:rFonts w:ascii="Arial" w:eastAsia="SimSun" w:hAnsi="Arial" w:cs="Arial"/>
                <w:lang w:val="ro-RO"/>
              </w:rPr>
            </w:pPr>
            <w:r w:rsidRPr="00934C02">
              <w:rPr>
                <w:rFonts w:ascii="Arial" w:eastAsia="SimSun" w:hAnsi="Arial" w:cs="Arial"/>
                <w:lang w:val="ro-RO"/>
              </w:rPr>
              <w:t>29.20</w:t>
            </w:r>
          </w:p>
        </w:tc>
        <w:tc>
          <w:tcPr>
            <w:tcW w:w="889"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74,2</w:t>
            </w:r>
          </w:p>
        </w:tc>
        <w:tc>
          <w:tcPr>
            <w:tcW w:w="815"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24,4</w:t>
            </w:r>
          </w:p>
        </w:tc>
        <w:tc>
          <w:tcPr>
            <w:tcW w:w="643"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72,3</w:t>
            </w:r>
          </w:p>
        </w:tc>
        <w:tc>
          <w:tcPr>
            <w:tcW w:w="756" w:type="dxa"/>
            <w:shd w:val="clear" w:color="auto" w:fill="auto"/>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lang w:val="ro-RO"/>
              </w:rPr>
              <w:t>35,0</w:t>
            </w:r>
          </w:p>
        </w:tc>
      </w:tr>
      <w:tr w:rsidR="00934C02" w:rsidRPr="00934C02" w:rsidTr="00934C02">
        <w:trPr>
          <w:jc w:val="center"/>
        </w:trPr>
        <w:tc>
          <w:tcPr>
            <w:tcW w:w="1713" w:type="dxa"/>
          </w:tcPr>
          <w:p w:rsidR="00934C02" w:rsidRPr="00934C02" w:rsidRDefault="00934C02" w:rsidP="00934C02">
            <w:pPr>
              <w:spacing w:after="0" w:line="240" w:lineRule="auto"/>
              <w:rPr>
                <w:rFonts w:ascii="Arial" w:eastAsia="SimSun" w:hAnsi="Arial" w:cs="Arial"/>
                <w:color w:val="000000"/>
                <w:lang w:val="ro-RO"/>
              </w:rPr>
            </w:pPr>
            <w:r w:rsidRPr="00934C02">
              <w:rPr>
                <w:rFonts w:ascii="Arial" w:eastAsia="SimSun" w:hAnsi="Arial" w:cs="Arial"/>
                <w:color w:val="000000"/>
                <w:lang w:val="ro-RO"/>
              </w:rPr>
              <w:t>Altele - zone locuibile</w:t>
            </w:r>
          </w:p>
        </w:tc>
        <w:tc>
          <w:tcPr>
            <w:tcW w:w="845"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c>
          <w:tcPr>
            <w:tcW w:w="767"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c>
          <w:tcPr>
            <w:tcW w:w="933"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c>
          <w:tcPr>
            <w:tcW w:w="796"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c>
          <w:tcPr>
            <w:tcW w:w="875" w:type="dxa"/>
          </w:tcPr>
          <w:p w:rsidR="00934C02" w:rsidRPr="00934C02" w:rsidRDefault="00934C02" w:rsidP="00934C02">
            <w:pPr>
              <w:spacing w:after="0" w:line="240" w:lineRule="auto"/>
              <w:jc w:val="center"/>
              <w:rPr>
                <w:rFonts w:ascii="Arial" w:eastAsia="SimSun" w:hAnsi="Arial" w:cs="Arial"/>
                <w:color w:val="FF0000"/>
                <w:lang w:val="ro-RO"/>
              </w:rPr>
            </w:pPr>
            <w:r w:rsidRPr="00934C02">
              <w:rPr>
                <w:rFonts w:ascii="Arial" w:eastAsia="SimSun" w:hAnsi="Arial" w:cs="Arial"/>
                <w:color w:val="FF0000"/>
                <w:lang w:val="ro-RO"/>
              </w:rPr>
              <w:t>-</w:t>
            </w:r>
          </w:p>
        </w:tc>
        <w:tc>
          <w:tcPr>
            <w:tcW w:w="806" w:type="dxa"/>
          </w:tcPr>
          <w:p w:rsidR="00934C02" w:rsidRPr="00934C02" w:rsidRDefault="00934C02" w:rsidP="00934C02">
            <w:pPr>
              <w:spacing w:after="0" w:line="240" w:lineRule="auto"/>
              <w:jc w:val="center"/>
              <w:rPr>
                <w:rFonts w:ascii="Arial" w:eastAsia="SimSun" w:hAnsi="Arial" w:cs="Arial"/>
                <w:color w:val="FF0000"/>
                <w:lang w:val="ro-RO"/>
              </w:rPr>
            </w:pPr>
            <w:r w:rsidRPr="00934C02">
              <w:rPr>
                <w:rFonts w:ascii="Arial" w:eastAsia="SimSun" w:hAnsi="Arial" w:cs="Arial"/>
                <w:color w:val="FF0000"/>
                <w:lang w:val="ro-RO"/>
              </w:rPr>
              <w:t>-</w:t>
            </w:r>
          </w:p>
        </w:tc>
        <w:tc>
          <w:tcPr>
            <w:tcW w:w="889"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c>
          <w:tcPr>
            <w:tcW w:w="815"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c>
          <w:tcPr>
            <w:tcW w:w="643"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c>
          <w:tcPr>
            <w:tcW w:w="756" w:type="dxa"/>
          </w:tcPr>
          <w:p w:rsidR="00934C02" w:rsidRPr="00934C02" w:rsidRDefault="00934C02" w:rsidP="00934C02">
            <w:pPr>
              <w:spacing w:after="0" w:line="240" w:lineRule="auto"/>
              <w:jc w:val="center"/>
              <w:rPr>
                <w:rFonts w:ascii="Arial" w:eastAsia="SimSun" w:hAnsi="Arial" w:cs="Arial"/>
                <w:color w:val="000000"/>
                <w:lang w:val="ro-RO"/>
              </w:rPr>
            </w:pPr>
            <w:r w:rsidRPr="00934C02">
              <w:rPr>
                <w:rFonts w:ascii="Arial" w:eastAsia="SimSun" w:hAnsi="Arial" w:cs="Arial"/>
                <w:color w:val="000000"/>
                <w:lang w:val="ro-RO"/>
              </w:rPr>
              <w:t>-</w:t>
            </w:r>
          </w:p>
        </w:tc>
      </w:tr>
    </w:tbl>
    <w:p w:rsidR="00934C02" w:rsidRPr="00934C02" w:rsidRDefault="00934C02" w:rsidP="00934C02">
      <w:pPr>
        <w:spacing w:after="0" w:line="240" w:lineRule="auto"/>
        <w:rPr>
          <w:rFonts w:ascii="Arial" w:eastAsia="SimSun" w:hAnsi="Arial" w:cs="Arial"/>
          <w:color w:val="000000"/>
          <w:lang w:val="ro-RO"/>
        </w:rPr>
      </w:pPr>
    </w:p>
    <w:p w:rsidR="00934C02" w:rsidRPr="00934C02" w:rsidRDefault="00934C02" w:rsidP="00934C02">
      <w:pPr>
        <w:spacing w:after="0" w:line="240" w:lineRule="auto"/>
        <w:jc w:val="center"/>
        <w:rPr>
          <w:rFonts w:ascii="Arial" w:eastAsia="SimSun" w:hAnsi="Arial" w:cs="Arial"/>
          <w:sz w:val="24"/>
          <w:szCs w:val="24"/>
          <w:lang w:val="en-GB"/>
        </w:rPr>
      </w:pPr>
      <w:r>
        <w:rPr>
          <w:rFonts w:ascii="Arial" w:eastAsia="SimSun" w:hAnsi="Arial" w:cs="Arial"/>
          <w:noProof/>
          <w:sz w:val="24"/>
          <w:szCs w:val="24"/>
        </w:rPr>
        <w:drawing>
          <wp:inline distT="0" distB="0" distL="0" distR="0">
            <wp:extent cx="5934974" cy="2829465"/>
            <wp:effectExtent l="0" t="0" r="0" b="0"/>
            <wp:docPr id="268" name="Chart 2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934C02" w:rsidRPr="00934C02" w:rsidRDefault="00934C02" w:rsidP="00934C02">
      <w:pPr>
        <w:spacing w:after="0" w:line="240" w:lineRule="auto"/>
        <w:jc w:val="center"/>
        <w:rPr>
          <w:rFonts w:ascii="Arial" w:eastAsia="SimSun" w:hAnsi="Arial" w:cs="Arial"/>
          <w:sz w:val="24"/>
          <w:szCs w:val="24"/>
          <w:lang w:val="en-GB"/>
        </w:rPr>
      </w:pPr>
      <w:r w:rsidRPr="00934C02">
        <w:rPr>
          <w:rFonts w:ascii="Arial" w:eastAsia="SimSun" w:hAnsi="Arial" w:cs="Arial"/>
          <w:sz w:val="24"/>
          <w:szCs w:val="24"/>
          <w:lang w:val="en-GB"/>
        </w:rPr>
        <w:t xml:space="preserve">Figura </w:t>
      </w:r>
      <w:r w:rsidRPr="00934C02">
        <w:rPr>
          <w:rFonts w:ascii="Arial" w:eastAsia="SimSun" w:hAnsi="Arial" w:cs="Arial"/>
          <w:sz w:val="24"/>
          <w:szCs w:val="24"/>
          <w:lang w:val="ro-RO"/>
        </w:rPr>
        <w:t>VIII</w:t>
      </w:r>
      <w:r w:rsidRPr="00934C02">
        <w:rPr>
          <w:rFonts w:ascii="Arial" w:eastAsia="SimSun" w:hAnsi="Arial" w:cs="Arial"/>
          <w:sz w:val="24"/>
          <w:szCs w:val="24"/>
          <w:lang w:val="en-GB"/>
        </w:rPr>
        <w:t>.4. Variaţia nivelului de zgomot pentru Pieţe, spaţii comerciale şi restaurante în aer liber</w:t>
      </w:r>
    </w:p>
    <w:p w:rsidR="00934C02" w:rsidRPr="00934C02" w:rsidRDefault="00934C02" w:rsidP="00934C02">
      <w:pPr>
        <w:spacing w:after="0" w:line="240" w:lineRule="auto"/>
        <w:jc w:val="center"/>
        <w:rPr>
          <w:rFonts w:ascii="Arial" w:eastAsia="SimSun" w:hAnsi="Arial" w:cs="Arial"/>
          <w:sz w:val="24"/>
          <w:szCs w:val="24"/>
          <w:lang w:val="en-GB"/>
        </w:rPr>
      </w:pPr>
      <w:r>
        <w:rPr>
          <w:rFonts w:ascii="Arial" w:eastAsia="SimSun" w:hAnsi="Arial" w:cs="Arial"/>
          <w:noProof/>
          <w:sz w:val="24"/>
          <w:szCs w:val="24"/>
        </w:rPr>
        <w:lastRenderedPageBreak/>
        <w:drawing>
          <wp:inline distT="0" distB="0" distL="0" distR="0">
            <wp:extent cx="6191250" cy="3333750"/>
            <wp:effectExtent l="0" t="0" r="0" b="0"/>
            <wp:docPr id="267" name="Chart 2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934C02" w:rsidRPr="00934C02" w:rsidRDefault="00934C02" w:rsidP="00934C02">
      <w:pPr>
        <w:spacing w:after="0" w:line="240" w:lineRule="auto"/>
        <w:jc w:val="center"/>
        <w:rPr>
          <w:rFonts w:ascii="Arial" w:eastAsia="SimSun" w:hAnsi="Arial" w:cs="Arial"/>
          <w:sz w:val="24"/>
          <w:szCs w:val="24"/>
          <w:lang w:val="en-GB"/>
        </w:rPr>
      </w:pPr>
      <w:r w:rsidRPr="00934C02">
        <w:rPr>
          <w:rFonts w:ascii="Arial" w:eastAsia="SimSun" w:hAnsi="Arial" w:cs="Arial"/>
          <w:sz w:val="24"/>
          <w:szCs w:val="24"/>
          <w:lang w:val="en-GB"/>
        </w:rPr>
        <w:t xml:space="preserve">Figura </w:t>
      </w:r>
      <w:r w:rsidRPr="00934C02">
        <w:rPr>
          <w:rFonts w:ascii="Arial" w:eastAsia="SimSun" w:hAnsi="Arial" w:cs="Arial"/>
          <w:sz w:val="24"/>
          <w:szCs w:val="24"/>
          <w:lang w:val="ro-RO"/>
        </w:rPr>
        <w:t>VIII</w:t>
      </w:r>
      <w:r w:rsidRPr="00934C02">
        <w:rPr>
          <w:rFonts w:ascii="Arial" w:eastAsia="SimSun" w:hAnsi="Arial" w:cs="Arial"/>
          <w:sz w:val="24"/>
          <w:szCs w:val="24"/>
          <w:lang w:val="en-GB"/>
        </w:rPr>
        <w:t>.5. Variaţia nivelului de zgomot pentru Parcuri, zone de recreere şi odihnă</w:t>
      </w:r>
    </w:p>
    <w:p w:rsidR="00934C02" w:rsidRPr="00934C02" w:rsidRDefault="00934C02" w:rsidP="00934C02">
      <w:pPr>
        <w:spacing w:after="0" w:line="240" w:lineRule="auto"/>
        <w:rPr>
          <w:rFonts w:ascii="Arial" w:eastAsia="SimSun" w:hAnsi="Arial" w:cs="Arial"/>
          <w:sz w:val="24"/>
          <w:szCs w:val="24"/>
          <w:lang w:val="en-GB"/>
        </w:rPr>
      </w:pPr>
    </w:p>
    <w:p w:rsidR="00934C02" w:rsidRPr="00934C02" w:rsidRDefault="00934C02" w:rsidP="00934C02">
      <w:pPr>
        <w:spacing w:after="0" w:line="240" w:lineRule="auto"/>
        <w:rPr>
          <w:rFonts w:ascii="Arial" w:eastAsia="SimSun" w:hAnsi="Arial" w:cs="Arial"/>
          <w:sz w:val="24"/>
          <w:szCs w:val="24"/>
          <w:lang w:val="en-GB"/>
        </w:rPr>
      </w:pPr>
    </w:p>
    <w:p w:rsidR="00934C02" w:rsidRPr="00934C02" w:rsidRDefault="00934C02" w:rsidP="00934C02">
      <w:pPr>
        <w:spacing w:after="0" w:line="240" w:lineRule="auto"/>
        <w:jc w:val="center"/>
        <w:rPr>
          <w:rFonts w:ascii="Arial" w:eastAsia="SimSun" w:hAnsi="Arial" w:cs="Arial"/>
          <w:sz w:val="24"/>
          <w:szCs w:val="24"/>
          <w:lang w:val="en-GB"/>
        </w:rPr>
      </w:pPr>
      <w:r>
        <w:rPr>
          <w:rFonts w:ascii="Arial" w:eastAsia="SimSun" w:hAnsi="Arial" w:cs="Arial"/>
          <w:noProof/>
          <w:sz w:val="24"/>
          <w:szCs w:val="24"/>
        </w:rPr>
        <w:drawing>
          <wp:inline distT="0" distB="0" distL="0" distR="0">
            <wp:extent cx="5591175" cy="2762250"/>
            <wp:effectExtent l="0" t="0" r="0" b="0"/>
            <wp:docPr id="266" name="Chart 26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934C02" w:rsidRPr="00934C02" w:rsidRDefault="00934C02" w:rsidP="00934C02">
      <w:pPr>
        <w:spacing w:after="0" w:line="240" w:lineRule="auto"/>
        <w:jc w:val="center"/>
        <w:rPr>
          <w:rFonts w:ascii="Arial" w:eastAsia="SimSun" w:hAnsi="Arial" w:cs="Arial"/>
          <w:sz w:val="24"/>
          <w:szCs w:val="24"/>
          <w:lang w:val="en-GB"/>
        </w:rPr>
      </w:pPr>
      <w:r w:rsidRPr="00934C02">
        <w:rPr>
          <w:rFonts w:ascii="Arial" w:eastAsia="SimSun" w:hAnsi="Arial" w:cs="Arial"/>
          <w:sz w:val="24"/>
          <w:szCs w:val="24"/>
          <w:lang w:val="en-GB"/>
        </w:rPr>
        <w:t xml:space="preserve">Figura </w:t>
      </w:r>
      <w:r w:rsidRPr="00934C02">
        <w:rPr>
          <w:rFonts w:ascii="Arial" w:eastAsia="SimSun" w:hAnsi="Arial" w:cs="Arial"/>
          <w:sz w:val="24"/>
          <w:szCs w:val="24"/>
          <w:lang w:val="ro-RO"/>
        </w:rPr>
        <w:t>VIII</w:t>
      </w:r>
      <w:r w:rsidRPr="00934C02">
        <w:rPr>
          <w:rFonts w:ascii="Arial" w:eastAsia="SimSun" w:hAnsi="Arial" w:cs="Arial"/>
          <w:sz w:val="24"/>
          <w:szCs w:val="24"/>
          <w:lang w:val="en-GB"/>
        </w:rPr>
        <w:t>.6. Variaţia nivelului de zgomot pentru Trafic – străzi de categoria a II-a</w:t>
      </w:r>
    </w:p>
    <w:p w:rsidR="00934C02" w:rsidRPr="00934C02" w:rsidRDefault="00934C02" w:rsidP="00934C02">
      <w:pPr>
        <w:spacing w:after="0" w:line="240" w:lineRule="auto"/>
        <w:rPr>
          <w:rFonts w:ascii="Arial" w:eastAsia="SimSun" w:hAnsi="Arial" w:cs="Arial"/>
          <w:sz w:val="24"/>
          <w:szCs w:val="24"/>
          <w:lang w:val="en-GB"/>
        </w:rPr>
      </w:pPr>
    </w:p>
    <w:p w:rsidR="00934C02" w:rsidRPr="00934C02" w:rsidRDefault="00934C02" w:rsidP="00934C02">
      <w:pPr>
        <w:spacing w:after="0" w:line="240" w:lineRule="auto"/>
        <w:rPr>
          <w:rFonts w:ascii="Arial" w:eastAsia="SimSun" w:hAnsi="Arial" w:cs="Arial"/>
          <w:color w:val="000000"/>
          <w:sz w:val="24"/>
          <w:szCs w:val="24"/>
          <w:lang w:val="ro-RO"/>
        </w:rPr>
      </w:pPr>
      <w:r w:rsidRPr="00934C02">
        <w:rPr>
          <w:rFonts w:ascii="Arial" w:eastAsia="SimSun" w:hAnsi="Arial" w:cs="Arial"/>
          <w:sz w:val="24"/>
          <w:szCs w:val="24"/>
          <w:lang w:val="ro-RO"/>
        </w:rPr>
        <w:t>VIII</w:t>
      </w:r>
      <w:r w:rsidRPr="00934C02">
        <w:rPr>
          <w:rFonts w:ascii="Arial" w:eastAsia="SimSun" w:hAnsi="Arial" w:cs="Arial"/>
          <w:color w:val="000000"/>
          <w:sz w:val="24"/>
          <w:szCs w:val="24"/>
          <w:lang w:val="ro-RO"/>
        </w:rPr>
        <w:t>.1.2.1. Expunerea la poluarea sonoră a aglomerărilor urbane cu peste 250.000 locuitori – nu este cazul judeţului Vaslui</w:t>
      </w:r>
      <w:r w:rsidRPr="00934C02">
        <w:rPr>
          <w:rFonts w:ascii="Arial" w:eastAsia="SimSun" w:hAnsi="Arial" w:cs="Arial"/>
          <w:color w:val="000000"/>
          <w:sz w:val="24"/>
          <w:szCs w:val="24"/>
          <w:lang w:val="ro-RO"/>
        </w:rPr>
        <w:tab/>
      </w:r>
    </w:p>
    <w:p w:rsidR="00934C02" w:rsidRDefault="00934C02" w:rsidP="00934C02">
      <w:pPr>
        <w:tabs>
          <w:tab w:val="left" w:pos="1276"/>
        </w:tabs>
        <w:spacing w:after="0" w:line="240" w:lineRule="auto"/>
        <w:ind w:left="28"/>
        <w:rPr>
          <w:rFonts w:ascii="Arial" w:eastAsia="SimSun" w:hAnsi="Arial" w:cs="Arial"/>
          <w:i/>
          <w:color w:val="FF0000"/>
          <w:sz w:val="24"/>
          <w:szCs w:val="24"/>
          <w:lang w:val="ro-RO"/>
        </w:rPr>
      </w:pPr>
    </w:p>
    <w:p w:rsidR="0084419D" w:rsidRPr="00934C02" w:rsidRDefault="0084419D" w:rsidP="00934C02">
      <w:pPr>
        <w:tabs>
          <w:tab w:val="left" w:pos="1276"/>
        </w:tabs>
        <w:spacing w:after="0" w:line="240" w:lineRule="auto"/>
        <w:ind w:left="28"/>
        <w:rPr>
          <w:rFonts w:ascii="Arial" w:eastAsia="SimSun" w:hAnsi="Arial" w:cs="Arial"/>
          <w:i/>
          <w:color w:val="FF0000"/>
          <w:sz w:val="24"/>
          <w:szCs w:val="24"/>
          <w:lang w:val="ro-RO"/>
        </w:rPr>
      </w:pPr>
    </w:p>
    <w:p w:rsidR="00934C02" w:rsidRPr="00934C02" w:rsidRDefault="00934C02" w:rsidP="00477FE7">
      <w:pPr>
        <w:tabs>
          <w:tab w:val="left" w:pos="1276"/>
        </w:tabs>
        <w:spacing w:after="0" w:line="240" w:lineRule="auto"/>
        <w:jc w:val="both"/>
        <w:rPr>
          <w:rFonts w:ascii="Arial" w:eastAsia="SimSun" w:hAnsi="Arial" w:cs="Arial"/>
          <w:i/>
          <w:sz w:val="24"/>
          <w:szCs w:val="24"/>
          <w:lang w:val="ro-RO"/>
        </w:rPr>
      </w:pPr>
      <w:r w:rsidRPr="00934C02">
        <w:rPr>
          <w:rFonts w:ascii="Arial" w:eastAsia="SimSun" w:hAnsi="Arial" w:cs="Arial"/>
          <w:i/>
          <w:sz w:val="24"/>
          <w:szCs w:val="24"/>
          <w:lang w:val="ro-RO"/>
        </w:rPr>
        <w:t>Situaţia accidentelor/incidentelor de mediul la nivelul judeţului Vaslui, aferente anului 2015</w:t>
      </w:r>
    </w:p>
    <w:p w:rsidR="00934C02" w:rsidRPr="00934C02" w:rsidRDefault="0084419D" w:rsidP="00477FE7">
      <w:pPr>
        <w:tabs>
          <w:tab w:val="left" w:pos="1276"/>
        </w:tabs>
        <w:spacing w:after="0" w:line="240" w:lineRule="auto"/>
        <w:ind w:left="28"/>
        <w:jc w:val="both"/>
        <w:rPr>
          <w:rFonts w:ascii="Arial" w:eastAsia="SimSun" w:hAnsi="Arial" w:cs="Arial"/>
          <w:sz w:val="24"/>
          <w:szCs w:val="24"/>
          <w:lang w:val="ro-RO"/>
        </w:rPr>
      </w:pPr>
      <w:r>
        <w:rPr>
          <w:rFonts w:ascii="Arial" w:eastAsia="SimSun" w:hAnsi="Arial" w:cs="Arial"/>
          <w:sz w:val="24"/>
          <w:szCs w:val="24"/>
          <w:lang w:val="ro-RO"/>
        </w:rPr>
        <w:lastRenderedPageBreak/>
        <w:tab/>
      </w:r>
      <w:r w:rsidR="00934C02" w:rsidRPr="00934C02">
        <w:rPr>
          <w:rFonts w:ascii="Arial" w:eastAsia="SimSun" w:hAnsi="Arial" w:cs="Arial"/>
          <w:sz w:val="24"/>
          <w:szCs w:val="24"/>
          <w:lang w:val="ro-RO"/>
        </w:rPr>
        <w:t>La nivelul judeţului Vaslui, în cursul anul</w:t>
      </w:r>
      <w:r w:rsidR="00477FE7">
        <w:rPr>
          <w:rFonts w:ascii="Arial" w:eastAsia="SimSun" w:hAnsi="Arial" w:cs="Arial"/>
          <w:sz w:val="24"/>
          <w:szCs w:val="24"/>
          <w:lang w:val="ro-RO"/>
        </w:rPr>
        <w:t xml:space="preserve">ui 2015 nu au fost înregistrate </w:t>
      </w:r>
      <w:r w:rsidR="00934C02" w:rsidRPr="00934C02">
        <w:rPr>
          <w:rFonts w:ascii="Arial" w:eastAsia="SimSun" w:hAnsi="Arial" w:cs="Arial"/>
          <w:sz w:val="24"/>
          <w:szCs w:val="24"/>
          <w:lang w:val="ro-RO"/>
        </w:rPr>
        <w:t xml:space="preserve">accidente/incidente de mediu. </w:t>
      </w:r>
    </w:p>
    <w:p w:rsidR="00477FE7" w:rsidRDefault="00934C02" w:rsidP="00934C02">
      <w:pPr>
        <w:tabs>
          <w:tab w:val="left" w:pos="1276"/>
        </w:tabs>
        <w:spacing w:after="0" w:line="240" w:lineRule="auto"/>
        <w:ind w:left="28"/>
        <w:jc w:val="both"/>
        <w:rPr>
          <w:rFonts w:ascii="Arial" w:eastAsia="SimSun" w:hAnsi="Arial" w:cs="Arial"/>
          <w:sz w:val="24"/>
          <w:szCs w:val="24"/>
          <w:lang w:val="ro-RO"/>
        </w:rPr>
      </w:pPr>
      <w:r w:rsidRPr="00934C02">
        <w:rPr>
          <w:rFonts w:ascii="Arial" w:eastAsia="SimSun" w:hAnsi="Arial" w:cs="Arial"/>
          <w:sz w:val="24"/>
          <w:szCs w:val="24"/>
          <w:lang w:val="ro-RO"/>
        </w:rPr>
        <w:t xml:space="preserve">          </w:t>
      </w:r>
    </w:p>
    <w:p w:rsidR="00934C02" w:rsidRPr="00934C02" w:rsidRDefault="00477FE7" w:rsidP="00477FE7">
      <w:pPr>
        <w:spacing w:after="0" w:line="240" w:lineRule="auto"/>
        <w:jc w:val="both"/>
        <w:rPr>
          <w:rFonts w:ascii="Arial" w:eastAsia="SimSun" w:hAnsi="Arial" w:cs="Arial"/>
          <w:sz w:val="24"/>
          <w:szCs w:val="24"/>
          <w:lang w:val="ro-RO"/>
        </w:rPr>
      </w:pPr>
      <w:r>
        <w:rPr>
          <w:rFonts w:ascii="Arial" w:eastAsia="SimSun" w:hAnsi="Arial" w:cs="Arial"/>
          <w:sz w:val="24"/>
          <w:szCs w:val="24"/>
          <w:lang w:val="ro-RO"/>
        </w:rPr>
        <w:tab/>
      </w:r>
      <w:r w:rsidR="00934C02" w:rsidRPr="00934C02">
        <w:rPr>
          <w:rFonts w:ascii="Arial" w:eastAsia="SimSun" w:hAnsi="Arial" w:cs="Arial"/>
          <w:sz w:val="24"/>
          <w:szCs w:val="24"/>
          <w:lang w:val="ro-RO"/>
        </w:rPr>
        <w:t xml:space="preserve">În ceea ce priveşte situaţia sesizărilor primite de la cetăţeni privind zgomotul datorat surselor fixe şi mobile, în următorul tabel sunt prezentate informaţiile deţinute de Garda Naţională de Mediu – Comisariatul General - Serviciul Comisariatul Judeţean Vaslui:   </w:t>
      </w:r>
    </w:p>
    <w:p w:rsidR="00934C02" w:rsidRPr="00934C02" w:rsidRDefault="00934C02" w:rsidP="00934C02">
      <w:pPr>
        <w:tabs>
          <w:tab w:val="left" w:pos="1276"/>
        </w:tabs>
        <w:spacing w:after="0" w:line="240" w:lineRule="auto"/>
        <w:ind w:left="28"/>
        <w:rPr>
          <w:rFonts w:ascii="Arial" w:eastAsia="SimSun" w:hAnsi="Arial" w:cs="Arial"/>
          <w:sz w:val="24"/>
          <w:szCs w:val="24"/>
          <w:lang w:val="ro-RO"/>
        </w:rPr>
      </w:pPr>
    </w:p>
    <w:p w:rsidR="00934C02" w:rsidRPr="00934C02" w:rsidRDefault="00934C02" w:rsidP="00934C02">
      <w:pPr>
        <w:tabs>
          <w:tab w:val="left" w:pos="1276"/>
        </w:tabs>
        <w:spacing w:after="0" w:line="240" w:lineRule="auto"/>
        <w:ind w:left="28"/>
        <w:rPr>
          <w:rFonts w:ascii="Arial" w:eastAsia="SimSun" w:hAnsi="Arial" w:cs="Arial"/>
          <w:sz w:val="24"/>
          <w:szCs w:val="24"/>
          <w:lang w:val="ro-RO"/>
        </w:rPr>
      </w:pPr>
      <w:r w:rsidRPr="00934C02">
        <w:rPr>
          <w:rFonts w:ascii="Arial" w:eastAsia="SimSun" w:hAnsi="Arial" w:cs="Arial"/>
          <w:sz w:val="24"/>
          <w:szCs w:val="24"/>
          <w:lang w:val="ro-RO"/>
        </w:rPr>
        <w:t>Tabelul VIII.6. Reclamaţii referitoare la poluarea sonoră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706"/>
        <w:gridCol w:w="1284"/>
        <w:gridCol w:w="1199"/>
        <w:gridCol w:w="1847"/>
        <w:gridCol w:w="1833"/>
        <w:gridCol w:w="1137"/>
      </w:tblGrid>
      <w:tr w:rsidR="00934C02" w:rsidRPr="00934C02" w:rsidTr="00934C02">
        <w:trPr>
          <w:trHeight w:val="192"/>
        </w:trPr>
        <w:tc>
          <w:tcPr>
            <w:tcW w:w="596" w:type="dxa"/>
            <w:vMerge w:val="restart"/>
            <w:shd w:val="clear" w:color="auto" w:fill="auto"/>
          </w:tcPr>
          <w:p w:rsidR="00934C02" w:rsidRPr="00934C02" w:rsidRDefault="00934C02" w:rsidP="00934C02">
            <w:pPr>
              <w:tabs>
                <w:tab w:val="left" w:pos="1276"/>
              </w:tabs>
              <w:spacing w:after="0" w:line="240" w:lineRule="auto"/>
              <w:jc w:val="center"/>
              <w:rPr>
                <w:rFonts w:ascii="Arial" w:eastAsia="SimSun" w:hAnsi="Arial" w:cs="Arial"/>
                <w:b/>
                <w:sz w:val="20"/>
                <w:szCs w:val="20"/>
                <w:lang w:val="ro-RO"/>
              </w:rPr>
            </w:pPr>
            <w:r w:rsidRPr="00934C02">
              <w:rPr>
                <w:rFonts w:ascii="Arial" w:eastAsia="SimSun" w:hAnsi="Arial" w:cs="Arial"/>
                <w:b/>
                <w:sz w:val="20"/>
                <w:szCs w:val="20"/>
                <w:lang w:val="ro-RO"/>
              </w:rPr>
              <w:t>Nr. crt.</w:t>
            </w:r>
          </w:p>
        </w:tc>
        <w:tc>
          <w:tcPr>
            <w:tcW w:w="1706" w:type="dxa"/>
            <w:vMerge w:val="restart"/>
            <w:shd w:val="clear" w:color="auto" w:fill="auto"/>
          </w:tcPr>
          <w:p w:rsidR="00934C02" w:rsidRPr="00934C02" w:rsidRDefault="00934C02" w:rsidP="00934C02">
            <w:pPr>
              <w:tabs>
                <w:tab w:val="left" w:pos="1276"/>
              </w:tabs>
              <w:spacing w:after="0" w:line="240" w:lineRule="auto"/>
              <w:jc w:val="center"/>
              <w:rPr>
                <w:rFonts w:ascii="Arial" w:eastAsia="SimSun" w:hAnsi="Arial" w:cs="Arial"/>
                <w:b/>
                <w:sz w:val="20"/>
                <w:szCs w:val="20"/>
                <w:lang w:val="ro-RO"/>
              </w:rPr>
            </w:pPr>
            <w:r w:rsidRPr="00934C02">
              <w:rPr>
                <w:rFonts w:ascii="Arial" w:eastAsia="SimSun" w:hAnsi="Arial" w:cs="Arial"/>
                <w:b/>
                <w:sz w:val="20"/>
                <w:szCs w:val="20"/>
                <w:lang w:val="ro-RO"/>
              </w:rPr>
              <w:t>Agentul poluator</w:t>
            </w:r>
          </w:p>
        </w:tc>
        <w:tc>
          <w:tcPr>
            <w:tcW w:w="1337" w:type="dxa"/>
            <w:vMerge w:val="restart"/>
            <w:shd w:val="clear" w:color="auto" w:fill="auto"/>
          </w:tcPr>
          <w:p w:rsidR="00934C02" w:rsidRPr="00934C02" w:rsidRDefault="00934C02" w:rsidP="00934C02">
            <w:pPr>
              <w:tabs>
                <w:tab w:val="left" w:pos="1276"/>
              </w:tabs>
              <w:spacing w:after="0" w:line="240" w:lineRule="auto"/>
              <w:jc w:val="center"/>
              <w:rPr>
                <w:rFonts w:ascii="Arial" w:eastAsia="SimSun" w:hAnsi="Arial" w:cs="Arial"/>
                <w:b/>
                <w:sz w:val="20"/>
                <w:szCs w:val="20"/>
                <w:lang w:val="ro-RO"/>
              </w:rPr>
            </w:pPr>
            <w:r w:rsidRPr="00934C02">
              <w:rPr>
                <w:rFonts w:ascii="Arial" w:eastAsia="SimSun" w:hAnsi="Arial" w:cs="Arial"/>
                <w:b/>
                <w:sz w:val="20"/>
                <w:szCs w:val="20"/>
                <w:lang w:val="ro-RO"/>
              </w:rPr>
              <w:t>Localizare</w:t>
            </w:r>
          </w:p>
        </w:tc>
        <w:tc>
          <w:tcPr>
            <w:tcW w:w="3220" w:type="dxa"/>
            <w:gridSpan w:val="2"/>
            <w:shd w:val="clear" w:color="auto" w:fill="auto"/>
          </w:tcPr>
          <w:p w:rsidR="00934C02" w:rsidRPr="00934C02" w:rsidRDefault="00934C02" w:rsidP="00934C02">
            <w:pPr>
              <w:tabs>
                <w:tab w:val="left" w:pos="1276"/>
              </w:tabs>
              <w:spacing w:after="0" w:line="240" w:lineRule="auto"/>
              <w:jc w:val="center"/>
              <w:rPr>
                <w:rFonts w:ascii="Arial" w:eastAsia="SimSun" w:hAnsi="Arial" w:cs="Arial"/>
                <w:b/>
                <w:sz w:val="20"/>
                <w:szCs w:val="20"/>
                <w:lang w:val="ro-RO"/>
              </w:rPr>
            </w:pPr>
            <w:r w:rsidRPr="00934C02">
              <w:rPr>
                <w:rFonts w:ascii="Arial" w:eastAsia="SimSun" w:hAnsi="Arial" w:cs="Arial"/>
                <w:b/>
                <w:sz w:val="20"/>
                <w:szCs w:val="20"/>
                <w:lang w:val="ro-RO"/>
              </w:rPr>
              <w:t>Reclamaţie</w:t>
            </w:r>
          </w:p>
        </w:tc>
        <w:tc>
          <w:tcPr>
            <w:tcW w:w="1896" w:type="dxa"/>
            <w:vMerge w:val="restart"/>
            <w:shd w:val="clear" w:color="auto" w:fill="auto"/>
          </w:tcPr>
          <w:p w:rsidR="00934C02" w:rsidRPr="00934C02" w:rsidRDefault="00934C02" w:rsidP="00934C02">
            <w:pPr>
              <w:tabs>
                <w:tab w:val="left" w:pos="1276"/>
              </w:tabs>
              <w:spacing w:after="0" w:line="240" w:lineRule="auto"/>
              <w:jc w:val="center"/>
              <w:rPr>
                <w:rFonts w:ascii="Arial" w:eastAsia="SimSun" w:hAnsi="Arial" w:cs="Arial"/>
                <w:b/>
                <w:sz w:val="20"/>
                <w:szCs w:val="20"/>
                <w:lang w:val="ro-RO"/>
              </w:rPr>
            </w:pPr>
            <w:r w:rsidRPr="00934C02">
              <w:rPr>
                <w:rFonts w:ascii="Arial" w:eastAsia="SimSun" w:hAnsi="Arial" w:cs="Arial"/>
                <w:b/>
                <w:sz w:val="20"/>
                <w:szCs w:val="20"/>
                <w:lang w:val="ro-RO"/>
              </w:rPr>
              <w:t>Măsuri luate</w:t>
            </w:r>
          </w:p>
        </w:tc>
        <w:tc>
          <w:tcPr>
            <w:tcW w:w="1149" w:type="dxa"/>
            <w:vMerge w:val="restart"/>
            <w:shd w:val="clear" w:color="auto" w:fill="auto"/>
          </w:tcPr>
          <w:p w:rsidR="00934C02" w:rsidRPr="00934C02" w:rsidRDefault="00934C02" w:rsidP="00934C02">
            <w:pPr>
              <w:tabs>
                <w:tab w:val="left" w:pos="1276"/>
              </w:tabs>
              <w:spacing w:after="0" w:line="240" w:lineRule="auto"/>
              <w:jc w:val="center"/>
              <w:rPr>
                <w:rFonts w:ascii="Arial" w:eastAsia="SimSun" w:hAnsi="Arial" w:cs="Arial"/>
                <w:b/>
                <w:sz w:val="20"/>
                <w:szCs w:val="20"/>
                <w:lang w:val="ro-RO"/>
              </w:rPr>
            </w:pPr>
            <w:r w:rsidRPr="00934C02">
              <w:rPr>
                <w:rFonts w:ascii="Arial" w:eastAsia="SimSun" w:hAnsi="Arial" w:cs="Arial"/>
                <w:b/>
                <w:sz w:val="20"/>
                <w:szCs w:val="20"/>
                <w:lang w:val="ro-RO"/>
              </w:rPr>
              <w:t>Sancţiuni GNM</w:t>
            </w:r>
          </w:p>
        </w:tc>
      </w:tr>
      <w:tr w:rsidR="00934C02" w:rsidRPr="00934C02" w:rsidTr="00934C02">
        <w:trPr>
          <w:trHeight w:val="270"/>
        </w:trPr>
        <w:tc>
          <w:tcPr>
            <w:tcW w:w="596" w:type="dxa"/>
            <w:vMerge/>
            <w:shd w:val="clear" w:color="auto" w:fill="auto"/>
          </w:tcPr>
          <w:p w:rsidR="00934C02" w:rsidRPr="00934C02" w:rsidRDefault="00934C02" w:rsidP="00934C02">
            <w:pPr>
              <w:tabs>
                <w:tab w:val="left" w:pos="1276"/>
              </w:tabs>
              <w:spacing w:after="0" w:line="240" w:lineRule="auto"/>
              <w:rPr>
                <w:rFonts w:ascii="Arial" w:eastAsia="SimSun" w:hAnsi="Arial" w:cs="Arial"/>
                <w:b/>
                <w:sz w:val="20"/>
                <w:szCs w:val="20"/>
                <w:lang w:val="ro-RO"/>
              </w:rPr>
            </w:pPr>
          </w:p>
        </w:tc>
        <w:tc>
          <w:tcPr>
            <w:tcW w:w="1706" w:type="dxa"/>
            <w:vMerge/>
            <w:shd w:val="clear" w:color="auto" w:fill="auto"/>
          </w:tcPr>
          <w:p w:rsidR="00934C02" w:rsidRPr="00934C02" w:rsidRDefault="00934C02" w:rsidP="00934C02">
            <w:pPr>
              <w:tabs>
                <w:tab w:val="left" w:pos="1276"/>
              </w:tabs>
              <w:spacing w:after="0" w:line="240" w:lineRule="auto"/>
              <w:rPr>
                <w:rFonts w:ascii="Arial" w:eastAsia="SimSun" w:hAnsi="Arial" w:cs="Arial"/>
                <w:b/>
                <w:sz w:val="20"/>
                <w:szCs w:val="20"/>
                <w:lang w:val="ro-RO"/>
              </w:rPr>
            </w:pPr>
          </w:p>
        </w:tc>
        <w:tc>
          <w:tcPr>
            <w:tcW w:w="1337" w:type="dxa"/>
            <w:vMerge/>
            <w:shd w:val="clear" w:color="auto" w:fill="auto"/>
          </w:tcPr>
          <w:p w:rsidR="00934C02" w:rsidRPr="00934C02" w:rsidRDefault="00934C02" w:rsidP="00934C02">
            <w:pPr>
              <w:tabs>
                <w:tab w:val="left" w:pos="1276"/>
              </w:tabs>
              <w:spacing w:after="0" w:line="240" w:lineRule="auto"/>
              <w:rPr>
                <w:rFonts w:ascii="Arial" w:eastAsia="SimSun" w:hAnsi="Arial" w:cs="Arial"/>
                <w:b/>
                <w:sz w:val="20"/>
                <w:szCs w:val="20"/>
                <w:lang w:val="ro-RO"/>
              </w:rPr>
            </w:pPr>
          </w:p>
        </w:tc>
        <w:tc>
          <w:tcPr>
            <w:tcW w:w="1228" w:type="dxa"/>
            <w:shd w:val="clear" w:color="auto" w:fill="auto"/>
          </w:tcPr>
          <w:p w:rsidR="00934C02" w:rsidRPr="00934C02" w:rsidRDefault="00934C02" w:rsidP="00934C02">
            <w:pPr>
              <w:tabs>
                <w:tab w:val="left" w:pos="1276"/>
              </w:tabs>
              <w:spacing w:after="0" w:line="240" w:lineRule="auto"/>
              <w:rPr>
                <w:rFonts w:ascii="Arial" w:eastAsia="SimSun" w:hAnsi="Arial" w:cs="Arial"/>
                <w:b/>
                <w:sz w:val="20"/>
                <w:szCs w:val="20"/>
                <w:lang w:val="ro-RO"/>
              </w:rPr>
            </w:pPr>
            <w:r w:rsidRPr="00934C02">
              <w:rPr>
                <w:rFonts w:ascii="Arial" w:eastAsia="SimSun" w:hAnsi="Arial" w:cs="Arial"/>
                <w:b/>
                <w:sz w:val="20"/>
                <w:szCs w:val="20"/>
                <w:lang w:val="ro-RO"/>
              </w:rPr>
              <w:t>Rezolvată</w:t>
            </w:r>
          </w:p>
        </w:tc>
        <w:tc>
          <w:tcPr>
            <w:tcW w:w="1992" w:type="dxa"/>
            <w:shd w:val="clear" w:color="auto" w:fill="auto"/>
          </w:tcPr>
          <w:p w:rsidR="00934C02" w:rsidRPr="00934C02" w:rsidRDefault="00934C02" w:rsidP="00934C02">
            <w:pPr>
              <w:tabs>
                <w:tab w:val="left" w:pos="1276"/>
              </w:tabs>
              <w:spacing w:after="0" w:line="240" w:lineRule="auto"/>
              <w:rPr>
                <w:rFonts w:ascii="Arial" w:eastAsia="SimSun" w:hAnsi="Arial" w:cs="Arial"/>
                <w:b/>
                <w:sz w:val="20"/>
                <w:szCs w:val="20"/>
                <w:lang w:val="ro-RO"/>
              </w:rPr>
            </w:pPr>
            <w:r w:rsidRPr="00934C02">
              <w:rPr>
                <w:rFonts w:ascii="Arial" w:eastAsia="SimSun" w:hAnsi="Arial" w:cs="Arial"/>
                <w:b/>
                <w:sz w:val="20"/>
                <w:szCs w:val="20"/>
                <w:lang w:val="ro-RO"/>
              </w:rPr>
              <w:t>Redirecţionată</w:t>
            </w:r>
          </w:p>
        </w:tc>
        <w:tc>
          <w:tcPr>
            <w:tcW w:w="1896" w:type="dxa"/>
            <w:vMerge/>
            <w:shd w:val="clear" w:color="auto" w:fill="auto"/>
          </w:tcPr>
          <w:p w:rsidR="00934C02" w:rsidRPr="00934C02" w:rsidRDefault="00934C02" w:rsidP="00934C02">
            <w:pPr>
              <w:tabs>
                <w:tab w:val="left" w:pos="1276"/>
              </w:tabs>
              <w:spacing w:after="0" w:line="240" w:lineRule="auto"/>
              <w:rPr>
                <w:rFonts w:ascii="Arial" w:eastAsia="SimSun" w:hAnsi="Arial" w:cs="Arial"/>
                <w:b/>
                <w:sz w:val="20"/>
                <w:szCs w:val="20"/>
                <w:lang w:val="ro-RO"/>
              </w:rPr>
            </w:pPr>
          </w:p>
        </w:tc>
        <w:tc>
          <w:tcPr>
            <w:tcW w:w="1149" w:type="dxa"/>
            <w:vMerge/>
            <w:shd w:val="clear" w:color="auto" w:fill="auto"/>
          </w:tcPr>
          <w:p w:rsidR="00934C02" w:rsidRPr="00934C02" w:rsidRDefault="00934C02" w:rsidP="00934C02">
            <w:pPr>
              <w:tabs>
                <w:tab w:val="left" w:pos="1276"/>
              </w:tabs>
              <w:spacing w:after="0" w:line="240" w:lineRule="auto"/>
              <w:rPr>
                <w:rFonts w:ascii="Arial" w:eastAsia="SimSun" w:hAnsi="Arial" w:cs="Arial"/>
                <w:b/>
                <w:sz w:val="20"/>
                <w:szCs w:val="20"/>
                <w:lang w:val="ro-RO"/>
              </w:rPr>
            </w:pPr>
          </w:p>
        </w:tc>
      </w:tr>
      <w:tr w:rsidR="00934C02" w:rsidRPr="00934C02" w:rsidTr="00934C02">
        <w:trPr>
          <w:trHeight w:val="583"/>
        </w:trPr>
        <w:tc>
          <w:tcPr>
            <w:tcW w:w="596"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1.</w:t>
            </w:r>
          </w:p>
        </w:tc>
        <w:tc>
          <w:tcPr>
            <w:tcW w:w="1706" w:type="dxa"/>
            <w:shd w:val="clear" w:color="auto" w:fill="auto"/>
          </w:tcPr>
          <w:p w:rsidR="00934C02" w:rsidRPr="00934C02" w:rsidRDefault="00934C02" w:rsidP="00934C02">
            <w:pPr>
              <w:spacing w:after="0" w:line="240" w:lineRule="auto"/>
              <w:rPr>
                <w:rFonts w:ascii="Arial" w:eastAsia="SimSun" w:hAnsi="Arial" w:cs="Arial"/>
                <w:sz w:val="20"/>
                <w:szCs w:val="20"/>
                <w:lang w:val="en-GB"/>
              </w:rPr>
            </w:pPr>
            <w:r w:rsidRPr="00934C02">
              <w:rPr>
                <w:rFonts w:ascii="Arial" w:eastAsia="SimSun" w:hAnsi="Arial" w:cs="Arial"/>
                <w:sz w:val="20"/>
                <w:szCs w:val="20"/>
                <w:lang w:val="en-GB"/>
              </w:rPr>
              <w:t>Ciornovali Nicu</w:t>
            </w:r>
          </w:p>
        </w:tc>
        <w:tc>
          <w:tcPr>
            <w:tcW w:w="1337"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Loc. Puieşti, com. Puieşti, jud. Vaslui</w:t>
            </w:r>
          </w:p>
        </w:tc>
        <w:tc>
          <w:tcPr>
            <w:tcW w:w="1228"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Da</w:t>
            </w:r>
          </w:p>
        </w:tc>
        <w:tc>
          <w:tcPr>
            <w:tcW w:w="1992"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w:t>
            </w:r>
          </w:p>
        </w:tc>
        <w:tc>
          <w:tcPr>
            <w:tcW w:w="1896"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Efectuarea de măsuratori sonometrice</w:t>
            </w:r>
          </w:p>
        </w:tc>
        <w:tc>
          <w:tcPr>
            <w:tcW w:w="1149"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w:t>
            </w:r>
          </w:p>
        </w:tc>
      </w:tr>
      <w:tr w:rsidR="00934C02" w:rsidRPr="00934C02" w:rsidTr="00934C02">
        <w:trPr>
          <w:trHeight w:val="154"/>
        </w:trPr>
        <w:tc>
          <w:tcPr>
            <w:tcW w:w="596"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2.</w:t>
            </w:r>
          </w:p>
        </w:tc>
        <w:tc>
          <w:tcPr>
            <w:tcW w:w="1706"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Gaiş Elena</w:t>
            </w:r>
          </w:p>
        </w:tc>
        <w:tc>
          <w:tcPr>
            <w:tcW w:w="1337"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Mun. Vaslui</w:t>
            </w:r>
          </w:p>
        </w:tc>
        <w:tc>
          <w:tcPr>
            <w:tcW w:w="1228"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w:t>
            </w:r>
          </w:p>
        </w:tc>
        <w:tc>
          <w:tcPr>
            <w:tcW w:w="1992"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 xml:space="preserve">Da, către DSP Vaslui </w:t>
            </w:r>
          </w:p>
        </w:tc>
        <w:tc>
          <w:tcPr>
            <w:tcW w:w="1896"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w:t>
            </w:r>
          </w:p>
        </w:tc>
        <w:tc>
          <w:tcPr>
            <w:tcW w:w="1149"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w:t>
            </w:r>
          </w:p>
        </w:tc>
      </w:tr>
      <w:tr w:rsidR="00934C02" w:rsidRPr="00934C02" w:rsidTr="00934C02">
        <w:trPr>
          <w:trHeight w:val="199"/>
        </w:trPr>
        <w:tc>
          <w:tcPr>
            <w:tcW w:w="596"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3.</w:t>
            </w:r>
          </w:p>
        </w:tc>
        <w:tc>
          <w:tcPr>
            <w:tcW w:w="1706"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Ionescu Victoria</w:t>
            </w:r>
          </w:p>
        </w:tc>
        <w:tc>
          <w:tcPr>
            <w:tcW w:w="1337"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Loc. Duda-Epureni, com. Duda-Epureni, jud. Vaslui</w:t>
            </w:r>
          </w:p>
        </w:tc>
        <w:tc>
          <w:tcPr>
            <w:tcW w:w="1228"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w:t>
            </w:r>
          </w:p>
        </w:tc>
        <w:tc>
          <w:tcPr>
            <w:tcW w:w="1992"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 xml:space="preserve">Da, către DSP Vaslui </w:t>
            </w:r>
          </w:p>
        </w:tc>
        <w:tc>
          <w:tcPr>
            <w:tcW w:w="1896"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w:t>
            </w:r>
          </w:p>
        </w:tc>
        <w:tc>
          <w:tcPr>
            <w:tcW w:w="1149"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w:t>
            </w:r>
          </w:p>
        </w:tc>
      </w:tr>
      <w:tr w:rsidR="00934C02" w:rsidRPr="00934C02" w:rsidTr="00934C02">
        <w:trPr>
          <w:trHeight w:val="246"/>
        </w:trPr>
        <w:tc>
          <w:tcPr>
            <w:tcW w:w="596"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4.</w:t>
            </w:r>
          </w:p>
        </w:tc>
        <w:tc>
          <w:tcPr>
            <w:tcW w:w="1706"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Zaharia Vasilică</w:t>
            </w:r>
          </w:p>
        </w:tc>
        <w:tc>
          <w:tcPr>
            <w:tcW w:w="1337"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Mun. Bârlad, jud. Vaslui</w:t>
            </w:r>
          </w:p>
        </w:tc>
        <w:tc>
          <w:tcPr>
            <w:tcW w:w="1228"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Da</w:t>
            </w:r>
          </w:p>
        </w:tc>
        <w:tc>
          <w:tcPr>
            <w:tcW w:w="1992"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w:t>
            </w:r>
          </w:p>
        </w:tc>
        <w:tc>
          <w:tcPr>
            <w:tcW w:w="1896"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Activitatea se desfăşoară conform normelor în vigoare, astfel încât să nu fie prejudiciat ambientul, spaţiile de odihnă, tratament şi recreere, starea de sănătate şi de confort a populaţiei</w:t>
            </w:r>
          </w:p>
        </w:tc>
        <w:tc>
          <w:tcPr>
            <w:tcW w:w="1149"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p>
        </w:tc>
      </w:tr>
      <w:tr w:rsidR="00934C02" w:rsidRPr="00934C02" w:rsidTr="00934C02">
        <w:trPr>
          <w:trHeight w:val="136"/>
        </w:trPr>
        <w:tc>
          <w:tcPr>
            <w:tcW w:w="596"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5.</w:t>
            </w:r>
          </w:p>
        </w:tc>
        <w:tc>
          <w:tcPr>
            <w:tcW w:w="1706"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 xml:space="preserve">Bugeag Maria/Gheorghiu Mihai/GNM-CG Bucureşti </w:t>
            </w:r>
          </w:p>
        </w:tc>
        <w:tc>
          <w:tcPr>
            <w:tcW w:w="1337"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Mun. Huşi, jud. Vaslui</w:t>
            </w:r>
          </w:p>
        </w:tc>
        <w:tc>
          <w:tcPr>
            <w:tcW w:w="1228"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Da</w:t>
            </w:r>
          </w:p>
        </w:tc>
        <w:tc>
          <w:tcPr>
            <w:tcW w:w="1992"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w:t>
            </w:r>
          </w:p>
        </w:tc>
        <w:tc>
          <w:tcPr>
            <w:tcW w:w="1896"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Efectuarea de buletine de analize imisii şi zgomot</w:t>
            </w:r>
          </w:p>
        </w:tc>
        <w:tc>
          <w:tcPr>
            <w:tcW w:w="1149"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w:t>
            </w:r>
          </w:p>
        </w:tc>
      </w:tr>
      <w:tr w:rsidR="00934C02" w:rsidRPr="00934C02" w:rsidTr="00934C02">
        <w:trPr>
          <w:trHeight w:val="136"/>
        </w:trPr>
        <w:tc>
          <w:tcPr>
            <w:tcW w:w="596"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6.</w:t>
            </w:r>
          </w:p>
        </w:tc>
        <w:tc>
          <w:tcPr>
            <w:tcW w:w="1706"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Fecioru Valentin</w:t>
            </w:r>
          </w:p>
        </w:tc>
        <w:tc>
          <w:tcPr>
            <w:tcW w:w="1337"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Mun. Vaslui, jud. Vaslui</w:t>
            </w:r>
          </w:p>
        </w:tc>
        <w:tc>
          <w:tcPr>
            <w:tcW w:w="1228"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 xml:space="preserve">Da </w:t>
            </w:r>
          </w:p>
        </w:tc>
        <w:tc>
          <w:tcPr>
            <w:tcW w:w="1992"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w:t>
            </w:r>
          </w:p>
        </w:tc>
        <w:tc>
          <w:tcPr>
            <w:tcW w:w="1896"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Nu se confirmă</w:t>
            </w:r>
          </w:p>
        </w:tc>
        <w:tc>
          <w:tcPr>
            <w:tcW w:w="1149"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w:t>
            </w:r>
          </w:p>
        </w:tc>
      </w:tr>
      <w:tr w:rsidR="00934C02" w:rsidRPr="00934C02" w:rsidTr="00934C02">
        <w:trPr>
          <w:trHeight w:val="136"/>
        </w:trPr>
        <w:tc>
          <w:tcPr>
            <w:tcW w:w="596"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7.</w:t>
            </w:r>
          </w:p>
        </w:tc>
        <w:tc>
          <w:tcPr>
            <w:tcW w:w="1706"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en-GB"/>
              </w:rPr>
              <w:t>Ciornovali Nicu</w:t>
            </w:r>
          </w:p>
        </w:tc>
        <w:tc>
          <w:tcPr>
            <w:tcW w:w="1337"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Loc. Puieşti, com. Puieşti, jud. Vaslui</w:t>
            </w:r>
          </w:p>
        </w:tc>
        <w:tc>
          <w:tcPr>
            <w:tcW w:w="1228"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w:t>
            </w:r>
          </w:p>
        </w:tc>
        <w:tc>
          <w:tcPr>
            <w:tcW w:w="1992"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 xml:space="preserve">Da, către DSP Vaslui </w:t>
            </w:r>
          </w:p>
        </w:tc>
        <w:tc>
          <w:tcPr>
            <w:tcW w:w="1896"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w:t>
            </w:r>
          </w:p>
        </w:tc>
        <w:tc>
          <w:tcPr>
            <w:tcW w:w="1149"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w:t>
            </w:r>
          </w:p>
        </w:tc>
      </w:tr>
      <w:tr w:rsidR="00934C02" w:rsidRPr="00934C02" w:rsidTr="00934C02">
        <w:trPr>
          <w:trHeight w:val="136"/>
        </w:trPr>
        <w:tc>
          <w:tcPr>
            <w:tcW w:w="596"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8.</w:t>
            </w:r>
          </w:p>
        </w:tc>
        <w:tc>
          <w:tcPr>
            <w:tcW w:w="1706"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Ţiplea Lucian</w:t>
            </w:r>
          </w:p>
        </w:tc>
        <w:tc>
          <w:tcPr>
            <w:tcW w:w="1337"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Mun. Vaslui, jud. Vaslui</w:t>
            </w:r>
          </w:p>
        </w:tc>
        <w:tc>
          <w:tcPr>
            <w:tcW w:w="1228"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Da</w:t>
            </w:r>
          </w:p>
        </w:tc>
        <w:tc>
          <w:tcPr>
            <w:tcW w:w="1992"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w:t>
            </w:r>
          </w:p>
        </w:tc>
        <w:tc>
          <w:tcPr>
            <w:tcW w:w="1896"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 xml:space="preserve">Nu se va desfăşura activitatea de -spălătorie auto fără deţinerea </w:t>
            </w:r>
            <w:r w:rsidRPr="00934C02">
              <w:rPr>
                <w:rFonts w:ascii="Arial" w:eastAsia="SimSun" w:hAnsi="Arial" w:cs="Arial"/>
                <w:sz w:val="20"/>
                <w:szCs w:val="20"/>
                <w:lang w:val="ro-RO"/>
              </w:rPr>
              <w:lastRenderedPageBreak/>
              <w:t>autorizaţiei de mediu</w:t>
            </w:r>
          </w:p>
        </w:tc>
        <w:tc>
          <w:tcPr>
            <w:tcW w:w="1149"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p>
        </w:tc>
      </w:tr>
      <w:tr w:rsidR="00934C02" w:rsidRPr="00934C02" w:rsidTr="00934C02">
        <w:trPr>
          <w:trHeight w:val="136"/>
        </w:trPr>
        <w:tc>
          <w:tcPr>
            <w:tcW w:w="596"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lastRenderedPageBreak/>
              <w:t>9.</w:t>
            </w:r>
          </w:p>
        </w:tc>
        <w:tc>
          <w:tcPr>
            <w:tcW w:w="1706"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Cozma Ionuţ</w:t>
            </w:r>
          </w:p>
        </w:tc>
        <w:tc>
          <w:tcPr>
            <w:tcW w:w="1337"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Mun. Huşi, jud. Vaslui</w:t>
            </w:r>
          </w:p>
        </w:tc>
        <w:tc>
          <w:tcPr>
            <w:tcW w:w="1228"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Da</w:t>
            </w:r>
          </w:p>
        </w:tc>
        <w:tc>
          <w:tcPr>
            <w:tcW w:w="1992"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w:t>
            </w:r>
          </w:p>
        </w:tc>
        <w:tc>
          <w:tcPr>
            <w:tcW w:w="1896"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Se vor lua toate măsurile necesare în vederea evitării oricărui tip de poluare fonică sau a factorilor de mediu (apă, aer, sol) pe amplasament şi în zonele imediat adiacente.</w:t>
            </w:r>
          </w:p>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Se vor efectua buletine de analiză a zgomotului în zona amplasamentului spălătoriei auto, cu un agent economic autorizat şi se vor prezenta la GNM-CJ Vaslui.</w:t>
            </w:r>
          </w:p>
        </w:tc>
        <w:tc>
          <w:tcPr>
            <w:tcW w:w="1149"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p>
        </w:tc>
      </w:tr>
      <w:tr w:rsidR="00934C02" w:rsidRPr="00934C02" w:rsidTr="00934C02">
        <w:trPr>
          <w:trHeight w:val="136"/>
        </w:trPr>
        <w:tc>
          <w:tcPr>
            <w:tcW w:w="596"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10.</w:t>
            </w:r>
          </w:p>
        </w:tc>
        <w:tc>
          <w:tcPr>
            <w:tcW w:w="1706"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Diaconu Ionuţ</w:t>
            </w:r>
          </w:p>
        </w:tc>
        <w:tc>
          <w:tcPr>
            <w:tcW w:w="1337"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Mun. Bârlad, jud. Vaslui</w:t>
            </w:r>
          </w:p>
        </w:tc>
        <w:tc>
          <w:tcPr>
            <w:tcW w:w="1228"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Da</w:t>
            </w:r>
          </w:p>
        </w:tc>
        <w:tc>
          <w:tcPr>
            <w:tcW w:w="1992"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w:t>
            </w:r>
          </w:p>
        </w:tc>
        <w:tc>
          <w:tcPr>
            <w:tcW w:w="1896"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Nu se confirmă</w:t>
            </w:r>
          </w:p>
        </w:tc>
        <w:tc>
          <w:tcPr>
            <w:tcW w:w="1149"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w:t>
            </w:r>
          </w:p>
        </w:tc>
      </w:tr>
      <w:tr w:rsidR="00934C02" w:rsidRPr="00934C02" w:rsidTr="00934C02">
        <w:trPr>
          <w:trHeight w:val="136"/>
        </w:trPr>
        <w:tc>
          <w:tcPr>
            <w:tcW w:w="596"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11.</w:t>
            </w:r>
          </w:p>
        </w:tc>
        <w:tc>
          <w:tcPr>
            <w:tcW w:w="1706"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Cătună Ionel</w:t>
            </w:r>
          </w:p>
        </w:tc>
        <w:tc>
          <w:tcPr>
            <w:tcW w:w="1337"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Mun. Bârlad, jud. Vaslui</w:t>
            </w:r>
          </w:p>
        </w:tc>
        <w:tc>
          <w:tcPr>
            <w:tcW w:w="1228"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 xml:space="preserve">Da </w:t>
            </w:r>
          </w:p>
        </w:tc>
        <w:tc>
          <w:tcPr>
            <w:tcW w:w="1992"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w:t>
            </w:r>
          </w:p>
        </w:tc>
        <w:tc>
          <w:tcPr>
            <w:tcW w:w="1896"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Nu se confirmă</w:t>
            </w:r>
          </w:p>
        </w:tc>
        <w:tc>
          <w:tcPr>
            <w:tcW w:w="1149"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w:t>
            </w:r>
          </w:p>
        </w:tc>
      </w:tr>
      <w:tr w:rsidR="00934C02" w:rsidRPr="00934C02" w:rsidTr="00934C02">
        <w:trPr>
          <w:trHeight w:val="136"/>
        </w:trPr>
        <w:tc>
          <w:tcPr>
            <w:tcW w:w="596"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12.</w:t>
            </w:r>
          </w:p>
        </w:tc>
        <w:tc>
          <w:tcPr>
            <w:tcW w:w="1706"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Rânceanu Ionuţ</w:t>
            </w:r>
          </w:p>
        </w:tc>
        <w:tc>
          <w:tcPr>
            <w:tcW w:w="1337"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Mun. Bârlad, jud. Vaslui</w:t>
            </w:r>
          </w:p>
        </w:tc>
        <w:tc>
          <w:tcPr>
            <w:tcW w:w="1228"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Da</w:t>
            </w:r>
          </w:p>
        </w:tc>
        <w:tc>
          <w:tcPr>
            <w:tcW w:w="1992"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w:t>
            </w:r>
          </w:p>
        </w:tc>
        <w:tc>
          <w:tcPr>
            <w:tcW w:w="1896"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Nu se confirmă</w:t>
            </w:r>
          </w:p>
        </w:tc>
        <w:tc>
          <w:tcPr>
            <w:tcW w:w="1149" w:type="dxa"/>
            <w:shd w:val="clear" w:color="auto" w:fill="auto"/>
          </w:tcPr>
          <w:p w:rsidR="00934C02" w:rsidRPr="00934C02" w:rsidRDefault="00934C02" w:rsidP="00934C02">
            <w:pPr>
              <w:tabs>
                <w:tab w:val="left" w:pos="1276"/>
              </w:tabs>
              <w:spacing w:after="0" w:line="240" w:lineRule="auto"/>
              <w:rPr>
                <w:rFonts w:ascii="Arial" w:eastAsia="SimSun" w:hAnsi="Arial" w:cs="Arial"/>
                <w:sz w:val="20"/>
                <w:szCs w:val="20"/>
                <w:lang w:val="ro-RO"/>
              </w:rPr>
            </w:pPr>
            <w:r w:rsidRPr="00934C02">
              <w:rPr>
                <w:rFonts w:ascii="Arial" w:eastAsia="SimSun" w:hAnsi="Arial" w:cs="Arial"/>
                <w:sz w:val="20"/>
                <w:szCs w:val="20"/>
                <w:lang w:val="ro-RO"/>
              </w:rPr>
              <w:t>-</w:t>
            </w:r>
          </w:p>
        </w:tc>
      </w:tr>
    </w:tbl>
    <w:p w:rsidR="00934C02" w:rsidRPr="00934C02" w:rsidRDefault="00934C02" w:rsidP="00934C02">
      <w:pPr>
        <w:tabs>
          <w:tab w:val="left" w:pos="1276"/>
        </w:tabs>
        <w:spacing w:after="0" w:line="240" w:lineRule="auto"/>
        <w:ind w:left="28"/>
        <w:rPr>
          <w:rFonts w:ascii="Arial" w:eastAsia="SimSun" w:hAnsi="Arial" w:cs="Arial"/>
          <w:sz w:val="20"/>
          <w:szCs w:val="20"/>
          <w:lang w:val="ro-RO"/>
        </w:rPr>
      </w:pPr>
      <w:r w:rsidRPr="00934C02">
        <w:rPr>
          <w:rFonts w:ascii="Arial" w:eastAsia="SimSun" w:hAnsi="Arial" w:cs="Arial"/>
          <w:sz w:val="20"/>
          <w:szCs w:val="20"/>
          <w:lang w:val="ro-RO"/>
        </w:rPr>
        <w:t xml:space="preserve">(Sursa: Garda Naţională de Mediu – Comisariatul General - </w:t>
      </w:r>
      <w:r w:rsidRPr="00934C02">
        <w:rPr>
          <w:rFonts w:ascii="Arial" w:eastAsia="SimSun" w:hAnsi="Arial" w:cs="Arial"/>
          <w:i/>
          <w:sz w:val="20"/>
          <w:szCs w:val="20"/>
          <w:lang w:val="ro-RO"/>
        </w:rPr>
        <w:t xml:space="preserve">Serviciul </w:t>
      </w:r>
      <w:r w:rsidRPr="00934C02">
        <w:rPr>
          <w:rFonts w:ascii="Arial" w:eastAsia="SimSun" w:hAnsi="Arial" w:cs="Arial"/>
          <w:sz w:val="20"/>
          <w:szCs w:val="20"/>
          <w:lang w:val="ro-RO"/>
        </w:rPr>
        <w:t>Comisariatul Judeţean Vaslui)</w:t>
      </w:r>
    </w:p>
    <w:p w:rsidR="00934C02" w:rsidRPr="00934C02" w:rsidRDefault="00934C02" w:rsidP="00934C02">
      <w:pPr>
        <w:tabs>
          <w:tab w:val="left" w:pos="1276"/>
        </w:tabs>
        <w:spacing w:after="0" w:line="240" w:lineRule="auto"/>
        <w:ind w:left="28"/>
        <w:rPr>
          <w:rFonts w:ascii="Arial" w:eastAsia="SimSun" w:hAnsi="Arial" w:cs="Arial"/>
          <w:b/>
          <w:i/>
          <w:sz w:val="24"/>
          <w:szCs w:val="24"/>
          <w:lang w:val="ro-RO"/>
        </w:rPr>
      </w:pPr>
    </w:p>
    <w:p w:rsidR="00934C02" w:rsidRPr="00934C02" w:rsidRDefault="00934C02" w:rsidP="00934C02">
      <w:pPr>
        <w:tabs>
          <w:tab w:val="left" w:pos="1276"/>
        </w:tabs>
        <w:spacing w:after="0" w:line="240" w:lineRule="auto"/>
        <w:ind w:left="28"/>
        <w:rPr>
          <w:rFonts w:ascii="Arial" w:eastAsia="SimSun" w:hAnsi="Arial" w:cs="Arial"/>
          <w:b/>
          <w:i/>
          <w:sz w:val="24"/>
          <w:szCs w:val="24"/>
          <w:lang w:val="ro-RO"/>
        </w:rPr>
      </w:pPr>
      <w:r w:rsidRPr="00934C02">
        <w:rPr>
          <w:rFonts w:ascii="Arial" w:eastAsia="SimSun" w:hAnsi="Arial" w:cs="Arial"/>
          <w:b/>
          <w:i/>
          <w:sz w:val="24"/>
          <w:szCs w:val="24"/>
          <w:lang w:val="ro-RO"/>
        </w:rPr>
        <w:t>VIII.1.3. Calitatea apei potabile şi efectele asupra sănătăţii</w:t>
      </w:r>
      <w:r w:rsidRPr="00934C02">
        <w:rPr>
          <w:rFonts w:ascii="Arial" w:eastAsia="SimSun" w:hAnsi="Arial" w:cs="Arial"/>
          <w:b/>
          <w:i/>
          <w:sz w:val="24"/>
          <w:szCs w:val="24"/>
          <w:lang w:val="ro-RO"/>
        </w:rPr>
        <w:tab/>
      </w:r>
    </w:p>
    <w:p w:rsidR="00934C02" w:rsidRPr="00934C02" w:rsidRDefault="00934C02" w:rsidP="00934C02">
      <w:pPr>
        <w:tabs>
          <w:tab w:val="left" w:pos="1276"/>
        </w:tabs>
        <w:spacing w:after="0" w:line="240" w:lineRule="auto"/>
        <w:ind w:left="28"/>
        <w:rPr>
          <w:rFonts w:ascii="Arial" w:eastAsia="SimSun" w:hAnsi="Arial" w:cs="Arial"/>
          <w:b/>
          <w:i/>
          <w:sz w:val="24"/>
          <w:szCs w:val="24"/>
          <w:lang w:val="ro-RO"/>
        </w:rPr>
      </w:pPr>
    </w:p>
    <w:p w:rsidR="00934C02" w:rsidRPr="00934C02" w:rsidRDefault="00934C02" w:rsidP="00934C02">
      <w:pPr>
        <w:spacing w:after="0" w:line="240" w:lineRule="auto"/>
        <w:jc w:val="both"/>
        <w:rPr>
          <w:rFonts w:ascii="Arial" w:eastAsia="SimSun" w:hAnsi="Arial" w:cs="Arial"/>
          <w:color w:val="000000"/>
          <w:sz w:val="24"/>
          <w:szCs w:val="24"/>
          <w:lang w:val="en-GB"/>
        </w:rPr>
      </w:pPr>
      <w:r w:rsidRPr="00934C02">
        <w:rPr>
          <w:rFonts w:ascii="Times New Roman" w:eastAsia="SimSun" w:hAnsi="Times New Roman" w:cs="Times New Roman"/>
          <w:color w:val="000000"/>
          <w:sz w:val="24"/>
          <w:szCs w:val="24"/>
          <w:lang w:val="ro-RO"/>
        </w:rPr>
        <w:t xml:space="preserve">           </w:t>
      </w:r>
      <w:r w:rsidRPr="00934C02">
        <w:rPr>
          <w:rFonts w:ascii="Arial" w:eastAsia="SimSun" w:hAnsi="Arial" w:cs="Arial"/>
          <w:color w:val="000000"/>
          <w:sz w:val="24"/>
          <w:szCs w:val="24"/>
          <w:lang w:val="en-GB"/>
        </w:rPr>
        <w:t>Factorul de mediu cu cel mai mare impact asupra sănătăţii populaţiei este apa, având în vedere importanţa vitală a prezenţei apei potabile pentru procesele fiziologice, biochimice etc. ce au loc în organismul uman, precum şi pentru necesităţile igienice şi menajere.</w:t>
      </w:r>
    </w:p>
    <w:p w:rsidR="00934C02" w:rsidRPr="00934C02" w:rsidRDefault="00934C02" w:rsidP="00934C02">
      <w:pPr>
        <w:spacing w:after="0" w:line="240" w:lineRule="auto"/>
        <w:ind w:firstLine="720"/>
        <w:jc w:val="both"/>
        <w:rPr>
          <w:rFonts w:ascii="Arial" w:eastAsia="SimSun" w:hAnsi="Arial" w:cs="Arial"/>
          <w:color w:val="000000"/>
          <w:sz w:val="24"/>
          <w:szCs w:val="24"/>
          <w:lang w:val="en-GB"/>
        </w:rPr>
      </w:pPr>
    </w:p>
    <w:p w:rsidR="00934C02" w:rsidRPr="00934C02" w:rsidRDefault="00934C02" w:rsidP="00934C02">
      <w:pPr>
        <w:spacing w:after="0" w:line="240" w:lineRule="auto"/>
        <w:rPr>
          <w:rFonts w:ascii="Arial" w:eastAsia="SimSun" w:hAnsi="Arial" w:cs="Arial"/>
          <w:sz w:val="24"/>
          <w:szCs w:val="24"/>
          <w:lang w:val="it-IT"/>
        </w:rPr>
      </w:pPr>
      <w:r w:rsidRPr="00934C02">
        <w:rPr>
          <w:rFonts w:ascii="Arial" w:eastAsia="SimSun" w:hAnsi="Arial" w:cs="Arial"/>
          <w:sz w:val="24"/>
          <w:szCs w:val="24"/>
          <w:lang w:val="it-IT"/>
        </w:rPr>
        <w:t xml:space="preserve">Tabelul </w:t>
      </w:r>
      <w:r w:rsidRPr="00934C02">
        <w:rPr>
          <w:rFonts w:ascii="Arial" w:eastAsia="SimSun" w:hAnsi="Arial" w:cs="Arial"/>
          <w:sz w:val="24"/>
          <w:szCs w:val="24"/>
          <w:lang w:val="ro-RO"/>
        </w:rPr>
        <w:t>VIII</w:t>
      </w:r>
      <w:r w:rsidRPr="00934C02">
        <w:rPr>
          <w:rFonts w:ascii="Arial" w:eastAsia="SimSun" w:hAnsi="Arial" w:cs="Arial"/>
          <w:sz w:val="24"/>
          <w:szCs w:val="24"/>
          <w:lang w:val="it-IT"/>
        </w:rPr>
        <w:t>.7. Număr total probe recoltate din reţeaua de distribuţie - 2015</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560"/>
        <w:gridCol w:w="3402"/>
        <w:gridCol w:w="3260"/>
      </w:tblGrid>
      <w:tr w:rsidR="00934C02" w:rsidRPr="00934C02" w:rsidTr="00934C02">
        <w:trPr>
          <w:jc w:val="center"/>
        </w:trPr>
        <w:tc>
          <w:tcPr>
            <w:tcW w:w="1242" w:type="dxa"/>
          </w:tcPr>
          <w:p w:rsidR="00934C02" w:rsidRPr="00934C02" w:rsidRDefault="00934C02" w:rsidP="00934C02">
            <w:pPr>
              <w:spacing w:after="0" w:line="240" w:lineRule="auto"/>
              <w:jc w:val="center"/>
              <w:rPr>
                <w:rFonts w:ascii="Arial" w:eastAsia="SimSun" w:hAnsi="Arial" w:cs="Arial"/>
                <w:b/>
                <w:sz w:val="20"/>
                <w:szCs w:val="20"/>
                <w:lang w:val="fr-FR"/>
              </w:rPr>
            </w:pPr>
            <w:r w:rsidRPr="00934C02">
              <w:rPr>
                <w:rFonts w:ascii="Arial" w:eastAsia="SimSun" w:hAnsi="Arial" w:cs="Arial"/>
                <w:b/>
                <w:sz w:val="20"/>
                <w:szCs w:val="20"/>
                <w:lang w:val="fr-FR"/>
              </w:rPr>
              <w:t>Judeţul</w:t>
            </w:r>
          </w:p>
        </w:tc>
        <w:tc>
          <w:tcPr>
            <w:tcW w:w="1560" w:type="dxa"/>
          </w:tcPr>
          <w:p w:rsidR="00934C02" w:rsidRPr="00934C02" w:rsidRDefault="00934C02" w:rsidP="00934C02">
            <w:pPr>
              <w:spacing w:after="0" w:line="240" w:lineRule="auto"/>
              <w:jc w:val="center"/>
              <w:rPr>
                <w:rFonts w:ascii="Arial" w:eastAsia="SimSun" w:hAnsi="Arial" w:cs="Arial"/>
                <w:b/>
                <w:sz w:val="20"/>
                <w:szCs w:val="20"/>
                <w:lang w:val="fr-FR"/>
              </w:rPr>
            </w:pPr>
            <w:r w:rsidRPr="00934C02">
              <w:rPr>
                <w:rFonts w:ascii="Arial" w:eastAsia="SimSun" w:hAnsi="Arial" w:cs="Arial"/>
                <w:b/>
                <w:sz w:val="20"/>
                <w:szCs w:val="20"/>
                <w:lang w:val="fr-FR"/>
              </w:rPr>
              <w:t>Nr.total probe</w:t>
            </w:r>
          </w:p>
        </w:tc>
        <w:tc>
          <w:tcPr>
            <w:tcW w:w="3402" w:type="dxa"/>
          </w:tcPr>
          <w:p w:rsidR="00934C02" w:rsidRPr="00934C02" w:rsidRDefault="00934C02" w:rsidP="00934C02">
            <w:pPr>
              <w:spacing w:after="0" w:line="240" w:lineRule="auto"/>
              <w:jc w:val="center"/>
              <w:rPr>
                <w:rFonts w:ascii="Arial" w:eastAsia="SimSun" w:hAnsi="Arial" w:cs="Arial"/>
                <w:b/>
                <w:sz w:val="20"/>
                <w:szCs w:val="20"/>
                <w:lang w:val="fr-FR"/>
              </w:rPr>
            </w:pPr>
            <w:r w:rsidRPr="00934C02">
              <w:rPr>
                <w:rFonts w:ascii="Arial" w:eastAsia="SimSun" w:hAnsi="Arial" w:cs="Arial"/>
                <w:b/>
                <w:sz w:val="20"/>
                <w:szCs w:val="20"/>
                <w:lang w:val="fr-FR"/>
              </w:rPr>
              <w:t>Nr.determinări fizico-chimice</w:t>
            </w:r>
          </w:p>
        </w:tc>
        <w:tc>
          <w:tcPr>
            <w:tcW w:w="3260" w:type="dxa"/>
          </w:tcPr>
          <w:p w:rsidR="00934C02" w:rsidRPr="00934C02" w:rsidRDefault="00934C02" w:rsidP="00934C02">
            <w:pPr>
              <w:spacing w:after="0" w:line="240" w:lineRule="auto"/>
              <w:jc w:val="center"/>
              <w:rPr>
                <w:rFonts w:ascii="Arial" w:eastAsia="SimSun" w:hAnsi="Arial" w:cs="Arial"/>
                <w:b/>
                <w:sz w:val="20"/>
                <w:szCs w:val="20"/>
                <w:lang w:val="fr-FR"/>
              </w:rPr>
            </w:pPr>
            <w:r w:rsidRPr="00934C02">
              <w:rPr>
                <w:rFonts w:ascii="Arial" w:eastAsia="SimSun" w:hAnsi="Arial" w:cs="Arial"/>
                <w:b/>
                <w:sz w:val="20"/>
                <w:szCs w:val="20"/>
                <w:lang w:val="fr-FR"/>
              </w:rPr>
              <w:t>Nr.determinări bacteriologice</w:t>
            </w:r>
          </w:p>
        </w:tc>
      </w:tr>
      <w:tr w:rsidR="00934C02" w:rsidRPr="00934C02" w:rsidTr="00934C02">
        <w:trPr>
          <w:jc w:val="center"/>
        </w:trPr>
        <w:tc>
          <w:tcPr>
            <w:tcW w:w="1242" w:type="dxa"/>
          </w:tcPr>
          <w:p w:rsidR="00934C02" w:rsidRPr="00934C02" w:rsidRDefault="00934C02" w:rsidP="00934C02">
            <w:pPr>
              <w:spacing w:after="0" w:line="240" w:lineRule="auto"/>
              <w:jc w:val="center"/>
              <w:rPr>
                <w:rFonts w:ascii="Arial" w:eastAsia="SimSun" w:hAnsi="Arial" w:cs="Arial"/>
                <w:sz w:val="20"/>
                <w:szCs w:val="20"/>
                <w:lang w:val="fr-FR"/>
              </w:rPr>
            </w:pPr>
            <w:r w:rsidRPr="00934C02">
              <w:rPr>
                <w:rFonts w:ascii="Arial" w:eastAsia="SimSun" w:hAnsi="Arial" w:cs="Arial"/>
                <w:sz w:val="20"/>
                <w:szCs w:val="20"/>
                <w:lang w:val="fr-FR"/>
              </w:rPr>
              <w:t>Vaslui</w:t>
            </w:r>
          </w:p>
        </w:tc>
        <w:tc>
          <w:tcPr>
            <w:tcW w:w="1560" w:type="dxa"/>
          </w:tcPr>
          <w:p w:rsidR="00934C02" w:rsidRPr="00934C02" w:rsidRDefault="00934C02" w:rsidP="00934C02">
            <w:pPr>
              <w:spacing w:after="0" w:line="240" w:lineRule="auto"/>
              <w:jc w:val="center"/>
              <w:rPr>
                <w:rFonts w:ascii="Arial" w:eastAsia="SimSun" w:hAnsi="Arial" w:cs="Arial"/>
                <w:sz w:val="20"/>
                <w:szCs w:val="20"/>
                <w:lang w:val="fr-FR"/>
              </w:rPr>
            </w:pPr>
            <w:r w:rsidRPr="00934C02">
              <w:rPr>
                <w:rFonts w:ascii="Arial" w:eastAsia="SimSun" w:hAnsi="Arial" w:cs="Arial"/>
                <w:sz w:val="20"/>
                <w:szCs w:val="20"/>
                <w:lang w:val="fr-FR"/>
              </w:rPr>
              <w:t>534</w:t>
            </w:r>
          </w:p>
        </w:tc>
        <w:tc>
          <w:tcPr>
            <w:tcW w:w="3402" w:type="dxa"/>
          </w:tcPr>
          <w:p w:rsidR="00934C02" w:rsidRPr="00934C02" w:rsidRDefault="00934C02" w:rsidP="00934C02">
            <w:pPr>
              <w:spacing w:after="0" w:line="240" w:lineRule="auto"/>
              <w:jc w:val="center"/>
              <w:rPr>
                <w:rFonts w:ascii="Arial" w:eastAsia="SimSun" w:hAnsi="Arial" w:cs="Arial"/>
                <w:sz w:val="20"/>
                <w:szCs w:val="20"/>
                <w:lang w:val="fr-FR"/>
              </w:rPr>
            </w:pPr>
            <w:r w:rsidRPr="00934C02">
              <w:rPr>
                <w:rFonts w:ascii="Arial" w:eastAsia="SimSun" w:hAnsi="Arial" w:cs="Arial"/>
                <w:sz w:val="20"/>
                <w:szCs w:val="20"/>
                <w:lang w:val="fr-FR"/>
              </w:rPr>
              <w:t>1854</w:t>
            </w:r>
          </w:p>
        </w:tc>
        <w:tc>
          <w:tcPr>
            <w:tcW w:w="3260" w:type="dxa"/>
          </w:tcPr>
          <w:p w:rsidR="00934C02" w:rsidRPr="00934C02" w:rsidRDefault="00934C02" w:rsidP="00934C02">
            <w:pPr>
              <w:spacing w:after="0" w:line="240" w:lineRule="auto"/>
              <w:jc w:val="center"/>
              <w:rPr>
                <w:rFonts w:ascii="Arial" w:eastAsia="SimSun" w:hAnsi="Arial" w:cs="Arial"/>
                <w:sz w:val="20"/>
                <w:szCs w:val="20"/>
                <w:lang w:val="fr-FR"/>
              </w:rPr>
            </w:pPr>
            <w:r w:rsidRPr="00934C02">
              <w:rPr>
                <w:rFonts w:ascii="Arial" w:eastAsia="SimSun" w:hAnsi="Arial" w:cs="Arial"/>
                <w:sz w:val="20"/>
                <w:szCs w:val="20"/>
                <w:lang w:val="fr-FR"/>
              </w:rPr>
              <w:t>982</w:t>
            </w:r>
          </w:p>
        </w:tc>
      </w:tr>
    </w:tbl>
    <w:p w:rsidR="00934C02" w:rsidRPr="00934C02" w:rsidRDefault="00934C02" w:rsidP="00934C02">
      <w:pPr>
        <w:tabs>
          <w:tab w:val="left" w:pos="1260"/>
          <w:tab w:val="left" w:leader="dot" w:pos="8640"/>
        </w:tabs>
        <w:spacing w:after="0" w:line="240" w:lineRule="auto"/>
        <w:ind w:right="360"/>
        <w:jc w:val="both"/>
        <w:rPr>
          <w:rFonts w:ascii="Arial" w:eastAsia="SimSun" w:hAnsi="Arial" w:cs="Arial"/>
          <w:sz w:val="24"/>
          <w:szCs w:val="24"/>
          <w:lang w:val="ro-RO"/>
        </w:rPr>
      </w:pPr>
    </w:p>
    <w:p w:rsidR="00934C02" w:rsidRPr="00934C02" w:rsidRDefault="00934C02" w:rsidP="00934C02">
      <w:pPr>
        <w:tabs>
          <w:tab w:val="left" w:pos="1260"/>
          <w:tab w:val="left" w:leader="dot" w:pos="8640"/>
        </w:tabs>
        <w:spacing w:after="0" w:line="240" w:lineRule="auto"/>
        <w:ind w:right="360"/>
        <w:rPr>
          <w:rFonts w:ascii="Arial" w:eastAsia="SimSun" w:hAnsi="Arial" w:cs="Arial"/>
          <w:sz w:val="24"/>
          <w:szCs w:val="24"/>
          <w:lang w:val="ro-RO"/>
        </w:rPr>
      </w:pPr>
      <w:r w:rsidRPr="00934C02">
        <w:rPr>
          <w:rFonts w:ascii="Arial" w:eastAsia="SimSun" w:hAnsi="Arial" w:cs="Arial"/>
          <w:sz w:val="24"/>
          <w:szCs w:val="24"/>
          <w:lang w:val="ro-RO"/>
        </w:rPr>
        <w:t>Tabelul VIII.8. Monitorizarea calităţii apei potabile la sursă:</w:t>
      </w:r>
    </w:p>
    <w:tbl>
      <w:tblPr>
        <w:tblW w:w="0" w:type="auto"/>
        <w:jc w:val="center"/>
        <w:tblInd w:w="-1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2693"/>
        <w:gridCol w:w="2410"/>
      </w:tblGrid>
      <w:tr w:rsidR="00934C02" w:rsidRPr="00934C02" w:rsidTr="00934C02">
        <w:trPr>
          <w:jc w:val="center"/>
        </w:trPr>
        <w:tc>
          <w:tcPr>
            <w:tcW w:w="1642" w:type="dxa"/>
          </w:tcPr>
          <w:p w:rsidR="00934C02" w:rsidRPr="00934C02" w:rsidRDefault="00934C02" w:rsidP="00934C02">
            <w:pPr>
              <w:spacing w:after="0" w:line="240" w:lineRule="auto"/>
              <w:rPr>
                <w:rFonts w:ascii="Arial" w:eastAsia="SimSun" w:hAnsi="Arial" w:cs="Arial"/>
                <w:b/>
                <w:sz w:val="20"/>
                <w:szCs w:val="20"/>
                <w:lang w:val="pt-BR"/>
              </w:rPr>
            </w:pPr>
            <w:r w:rsidRPr="00934C02">
              <w:rPr>
                <w:rFonts w:ascii="Arial" w:eastAsia="SimSun" w:hAnsi="Arial" w:cs="Arial"/>
                <w:b/>
                <w:sz w:val="20"/>
                <w:szCs w:val="20"/>
                <w:lang w:val="pt-BR"/>
              </w:rPr>
              <w:t>Judeţul</w:t>
            </w:r>
          </w:p>
        </w:tc>
        <w:tc>
          <w:tcPr>
            <w:tcW w:w="2693" w:type="dxa"/>
          </w:tcPr>
          <w:p w:rsidR="00934C02" w:rsidRPr="00934C02" w:rsidRDefault="00934C02" w:rsidP="00934C02">
            <w:pPr>
              <w:spacing w:after="0" w:line="240" w:lineRule="auto"/>
              <w:rPr>
                <w:rFonts w:ascii="Arial" w:eastAsia="SimSun" w:hAnsi="Arial" w:cs="Arial"/>
                <w:b/>
                <w:sz w:val="20"/>
                <w:szCs w:val="20"/>
                <w:lang w:val="pt-BR"/>
              </w:rPr>
            </w:pPr>
            <w:r w:rsidRPr="00934C02">
              <w:rPr>
                <w:rFonts w:ascii="Arial" w:eastAsia="SimSun" w:hAnsi="Arial" w:cs="Arial"/>
                <w:b/>
                <w:sz w:val="20"/>
                <w:szCs w:val="20"/>
                <w:lang w:val="pt-BR"/>
              </w:rPr>
              <w:t>Coliformi totali (%)</w:t>
            </w:r>
          </w:p>
        </w:tc>
        <w:tc>
          <w:tcPr>
            <w:tcW w:w="2410" w:type="dxa"/>
          </w:tcPr>
          <w:p w:rsidR="00934C02" w:rsidRPr="00934C02" w:rsidRDefault="00934C02" w:rsidP="00934C02">
            <w:pPr>
              <w:spacing w:after="0" w:line="240" w:lineRule="auto"/>
              <w:rPr>
                <w:rFonts w:ascii="Arial" w:eastAsia="SimSun" w:hAnsi="Arial" w:cs="Arial"/>
                <w:b/>
                <w:sz w:val="20"/>
                <w:szCs w:val="20"/>
                <w:lang w:val="pt-BR"/>
              </w:rPr>
            </w:pPr>
            <w:r w:rsidRPr="00934C02">
              <w:rPr>
                <w:rFonts w:ascii="Arial" w:eastAsia="SimSun" w:hAnsi="Arial" w:cs="Arial"/>
                <w:b/>
                <w:sz w:val="20"/>
                <w:szCs w:val="20"/>
                <w:lang w:val="pt-BR"/>
              </w:rPr>
              <w:t>Coliformi fecali (%)</w:t>
            </w:r>
          </w:p>
        </w:tc>
      </w:tr>
      <w:tr w:rsidR="00934C02" w:rsidRPr="00934C02" w:rsidTr="00934C02">
        <w:trPr>
          <w:jc w:val="center"/>
        </w:trPr>
        <w:tc>
          <w:tcPr>
            <w:tcW w:w="1642" w:type="dxa"/>
          </w:tcPr>
          <w:p w:rsidR="00934C02" w:rsidRPr="00934C02" w:rsidRDefault="00934C02" w:rsidP="00934C02">
            <w:pPr>
              <w:spacing w:after="0" w:line="240" w:lineRule="auto"/>
              <w:rPr>
                <w:rFonts w:ascii="Arial" w:eastAsia="SimSun" w:hAnsi="Arial" w:cs="Arial"/>
                <w:b/>
                <w:sz w:val="20"/>
                <w:szCs w:val="20"/>
                <w:lang w:val="pt-BR"/>
              </w:rPr>
            </w:pPr>
            <w:r w:rsidRPr="00934C02">
              <w:rPr>
                <w:rFonts w:ascii="Arial" w:eastAsia="SimSun" w:hAnsi="Arial" w:cs="Arial"/>
                <w:b/>
                <w:sz w:val="20"/>
                <w:szCs w:val="20"/>
                <w:lang w:val="pt-BR"/>
              </w:rPr>
              <w:t>Vaslui</w:t>
            </w:r>
          </w:p>
        </w:tc>
        <w:tc>
          <w:tcPr>
            <w:tcW w:w="2693" w:type="dxa"/>
          </w:tcPr>
          <w:p w:rsidR="00934C02" w:rsidRPr="00934C02" w:rsidRDefault="00934C02" w:rsidP="00934C02">
            <w:pPr>
              <w:spacing w:after="0" w:line="240" w:lineRule="auto"/>
              <w:jc w:val="center"/>
              <w:rPr>
                <w:rFonts w:ascii="Arial" w:eastAsia="SimSun" w:hAnsi="Arial" w:cs="Arial"/>
                <w:sz w:val="20"/>
                <w:szCs w:val="20"/>
                <w:lang w:val="pt-BR"/>
              </w:rPr>
            </w:pPr>
            <w:r w:rsidRPr="00934C02">
              <w:rPr>
                <w:rFonts w:ascii="Arial" w:eastAsia="SimSun" w:hAnsi="Arial" w:cs="Arial"/>
                <w:sz w:val="20"/>
                <w:szCs w:val="20"/>
                <w:lang w:val="pt-BR"/>
              </w:rPr>
              <w:t>100</w:t>
            </w:r>
          </w:p>
        </w:tc>
        <w:tc>
          <w:tcPr>
            <w:tcW w:w="2410" w:type="dxa"/>
          </w:tcPr>
          <w:p w:rsidR="00934C02" w:rsidRPr="00934C02" w:rsidRDefault="00934C02" w:rsidP="00934C02">
            <w:pPr>
              <w:spacing w:after="0" w:line="240" w:lineRule="auto"/>
              <w:jc w:val="center"/>
              <w:rPr>
                <w:rFonts w:ascii="Arial" w:eastAsia="SimSun" w:hAnsi="Arial" w:cs="Arial"/>
                <w:sz w:val="20"/>
                <w:szCs w:val="20"/>
                <w:lang w:val="pt-BR"/>
              </w:rPr>
            </w:pPr>
            <w:r w:rsidRPr="00934C02">
              <w:rPr>
                <w:rFonts w:ascii="Arial" w:eastAsia="SimSun" w:hAnsi="Arial" w:cs="Arial"/>
                <w:sz w:val="20"/>
                <w:szCs w:val="20"/>
                <w:lang w:val="pt-BR"/>
              </w:rPr>
              <w:t>100</w:t>
            </w:r>
          </w:p>
        </w:tc>
      </w:tr>
    </w:tbl>
    <w:p w:rsidR="00934C02" w:rsidRPr="00934C02" w:rsidRDefault="00934C02" w:rsidP="00934C02">
      <w:pPr>
        <w:shd w:val="clear" w:color="auto" w:fill="FFFFFF"/>
        <w:spacing w:after="0" w:line="240" w:lineRule="auto"/>
        <w:rPr>
          <w:rFonts w:ascii="Arial" w:eastAsia="SimSun" w:hAnsi="Arial" w:cs="Times New Roman"/>
          <w:sz w:val="24"/>
          <w:szCs w:val="24"/>
          <w:shd w:val="clear" w:color="auto" w:fill="FFFFFF"/>
          <w:lang w:val="it-IT"/>
        </w:rPr>
      </w:pPr>
      <w:r w:rsidRPr="00934C02">
        <w:rPr>
          <w:rFonts w:ascii="Arial" w:eastAsia="SimSun" w:hAnsi="Arial" w:cs="Times New Roman"/>
          <w:sz w:val="24"/>
          <w:szCs w:val="24"/>
          <w:shd w:val="clear" w:color="auto" w:fill="FFFFFF"/>
          <w:lang w:val="it-IT"/>
        </w:rPr>
        <w:t xml:space="preserve">Tabelul </w:t>
      </w:r>
      <w:r w:rsidRPr="00934C02">
        <w:rPr>
          <w:rFonts w:ascii="Arial" w:eastAsia="SimSun" w:hAnsi="Arial" w:cs="Arial"/>
          <w:sz w:val="24"/>
          <w:szCs w:val="24"/>
          <w:lang w:val="ro-RO"/>
        </w:rPr>
        <w:t>VIII</w:t>
      </w:r>
      <w:r w:rsidRPr="00934C02">
        <w:rPr>
          <w:rFonts w:ascii="Arial" w:eastAsia="SimSun" w:hAnsi="Arial" w:cs="Times New Roman"/>
          <w:sz w:val="24"/>
          <w:szCs w:val="24"/>
          <w:shd w:val="clear" w:color="auto" w:fill="FFFFFF"/>
          <w:lang w:val="it-IT"/>
        </w:rPr>
        <w:t>.9. Calitatea chimică şi bacteriologică a apei potabile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0"/>
        <w:gridCol w:w="1965"/>
        <w:gridCol w:w="851"/>
        <w:gridCol w:w="1275"/>
        <w:gridCol w:w="993"/>
        <w:gridCol w:w="1842"/>
        <w:gridCol w:w="1701"/>
      </w:tblGrid>
      <w:tr w:rsidR="00934C02" w:rsidRPr="00934C02" w:rsidTr="00934C02">
        <w:trPr>
          <w:cantSplit/>
          <w:trHeight w:val="248"/>
          <w:jc w:val="center"/>
        </w:trPr>
        <w:tc>
          <w:tcPr>
            <w:tcW w:w="1120" w:type="dxa"/>
            <w:vMerge w:val="restart"/>
            <w:vAlign w:val="center"/>
          </w:tcPr>
          <w:p w:rsidR="00934C02" w:rsidRPr="00934C02" w:rsidRDefault="00934C02" w:rsidP="00934C02">
            <w:pPr>
              <w:spacing w:after="0" w:line="240" w:lineRule="auto"/>
              <w:jc w:val="center"/>
              <w:rPr>
                <w:rFonts w:ascii="Arial" w:eastAsia="SimSun" w:hAnsi="Arial" w:cs="Arial"/>
                <w:b/>
                <w:sz w:val="20"/>
                <w:szCs w:val="20"/>
                <w:lang w:val="it-IT"/>
              </w:rPr>
            </w:pPr>
            <w:r w:rsidRPr="00934C02">
              <w:rPr>
                <w:rFonts w:ascii="Arial" w:eastAsia="SimSun" w:hAnsi="Arial" w:cs="Arial"/>
                <w:b/>
                <w:sz w:val="20"/>
                <w:szCs w:val="20"/>
                <w:lang w:val="it-IT"/>
              </w:rPr>
              <w:lastRenderedPageBreak/>
              <w:t>Judeţul</w:t>
            </w:r>
          </w:p>
        </w:tc>
        <w:tc>
          <w:tcPr>
            <w:tcW w:w="8627" w:type="dxa"/>
            <w:gridSpan w:val="6"/>
            <w:vAlign w:val="center"/>
          </w:tcPr>
          <w:p w:rsidR="00934C02" w:rsidRPr="00934C02" w:rsidRDefault="00934C02" w:rsidP="00934C02">
            <w:pPr>
              <w:spacing w:after="0" w:line="240" w:lineRule="auto"/>
              <w:jc w:val="center"/>
              <w:rPr>
                <w:rFonts w:ascii="Arial" w:eastAsia="SimSun" w:hAnsi="Arial" w:cs="Arial"/>
                <w:b/>
                <w:sz w:val="20"/>
                <w:szCs w:val="20"/>
                <w:lang w:val="es-ES"/>
              </w:rPr>
            </w:pPr>
            <w:r w:rsidRPr="00934C02">
              <w:rPr>
                <w:rFonts w:ascii="Arial" w:eastAsia="SimSun" w:hAnsi="Arial" w:cs="Arial"/>
                <w:b/>
                <w:sz w:val="20"/>
                <w:szCs w:val="20"/>
                <w:lang w:val="es-ES"/>
              </w:rPr>
              <w:t>Frecvenţa depăşirilor CMA la nr. total de probe efectuate (%)</w:t>
            </w:r>
          </w:p>
        </w:tc>
      </w:tr>
      <w:tr w:rsidR="00934C02" w:rsidRPr="00934C02" w:rsidTr="00934C02">
        <w:trPr>
          <w:cantSplit/>
          <w:trHeight w:val="132"/>
          <w:jc w:val="center"/>
        </w:trPr>
        <w:tc>
          <w:tcPr>
            <w:tcW w:w="1120" w:type="dxa"/>
            <w:vMerge/>
          </w:tcPr>
          <w:p w:rsidR="00934C02" w:rsidRPr="00934C02" w:rsidRDefault="00934C02" w:rsidP="00934C02">
            <w:pPr>
              <w:spacing w:after="0" w:line="240" w:lineRule="auto"/>
              <w:rPr>
                <w:rFonts w:ascii="Arial" w:eastAsia="SimSun" w:hAnsi="Arial" w:cs="Arial"/>
                <w:b/>
                <w:sz w:val="20"/>
                <w:szCs w:val="20"/>
                <w:lang w:val="es-ES"/>
              </w:rPr>
            </w:pPr>
          </w:p>
        </w:tc>
        <w:tc>
          <w:tcPr>
            <w:tcW w:w="1965" w:type="dxa"/>
            <w:vAlign w:val="center"/>
          </w:tcPr>
          <w:p w:rsidR="00934C02" w:rsidRPr="00934C02" w:rsidRDefault="00934C02" w:rsidP="00934C02">
            <w:pPr>
              <w:spacing w:after="0" w:line="240" w:lineRule="auto"/>
              <w:jc w:val="center"/>
              <w:rPr>
                <w:rFonts w:ascii="Arial" w:eastAsia="SimSun" w:hAnsi="Arial" w:cs="Arial"/>
                <w:b/>
                <w:sz w:val="20"/>
                <w:szCs w:val="20"/>
                <w:lang w:val="it-IT"/>
              </w:rPr>
            </w:pPr>
            <w:r w:rsidRPr="00934C02">
              <w:rPr>
                <w:rFonts w:ascii="Arial" w:eastAsia="SimSun" w:hAnsi="Arial" w:cs="Arial"/>
                <w:b/>
                <w:sz w:val="20"/>
                <w:szCs w:val="20"/>
                <w:lang w:val="it-IT"/>
              </w:rPr>
              <w:t>Substanţe toxice</w:t>
            </w:r>
          </w:p>
        </w:tc>
        <w:tc>
          <w:tcPr>
            <w:tcW w:w="851" w:type="dxa"/>
            <w:vAlign w:val="center"/>
          </w:tcPr>
          <w:p w:rsidR="00934C02" w:rsidRPr="00934C02" w:rsidRDefault="00934C02" w:rsidP="00934C02">
            <w:pPr>
              <w:spacing w:after="0" w:line="240" w:lineRule="auto"/>
              <w:jc w:val="center"/>
              <w:rPr>
                <w:rFonts w:ascii="Arial" w:eastAsia="SimSun" w:hAnsi="Arial" w:cs="Arial"/>
                <w:b/>
                <w:sz w:val="20"/>
                <w:szCs w:val="20"/>
                <w:lang w:val="it-IT"/>
              </w:rPr>
            </w:pPr>
            <w:r w:rsidRPr="00934C02">
              <w:rPr>
                <w:rFonts w:ascii="Arial" w:eastAsia="SimSun" w:hAnsi="Arial" w:cs="Arial"/>
                <w:b/>
                <w:sz w:val="20"/>
                <w:szCs w:val="20"/>
                <w:lang w:val="it-IT"/>
              </w:rPr>
              <w:t>CCO</w:t>
            </w:r>
          </w:p>
        </w:tc>
        <w:tc>
          <w:tcPr>
            <w:tcW w:w="1275" w:type="dxa"/>
            <w:vAlign w:val="center"/>
          </w:tcPr>
          <w:p w:rsidR="00934C02" w:rsidRPr="00934C02" w:rsidRDefault="00934C02" w:rsidP="00934C02">
            <w:pPr>
              <w:spacing w:after="0" w:line="240" w:lineRule="auto"/>
              <w:jc w:val="center"/>
              <w:rPr>
                <w:rFonts w:ascii="Arial" w:eastAsia="SimSun" w:hAnsi="Arial" w:cs="Arial"/>
                <w:b/>
                <w:sz w:val="20"/>
                <w:szCs w:val="20"/>
                <w:lang w:val="it-IT"/>
              </w:rPr>
            </w:pPr>
            <w:r w:rsidRPr="00934C02">
              <w:rPr>
                <w:rFonts w:ascii="Arial" w:eastAsia="SimSun" w:hAnsi="Arial" w:cs="Arial"/>
                <w:b/>
                <w:sz w:val="20"/>
                <w:szCs w:val="20"/>
                <w:lang w:val="it-IT"/>
              </w:rPr>
              <w:t>Amoniac</w:t>
            </w:r>
          </w:p>
        </w:tc>
        <w:tc>
          <w:tcPr>
            <w:tcW w:w="993" w:type="dxa"/>
            <w:shd w:val="clear" w:color="auto" w:fill="auto"/>
            <w:vAlign w:val="center"/>
          </w:tcPr>
          <w:p w:rsidR="00934C02" w:rsidRPr="00934C02" w:rsidRDefault="00934C02" w:rsidP="00934C02">
            <w:pPr>
              <w:spacing w:after="0" w:line="240" w:lineRule="auto"/>
              <w:jc w:val="center"/>
              <w:rPr>
                <w:rFonts w:ascii="Arial" w:eastAsia="SimSun" w:hAnsi="Arial" w:cs="Arial"/>
                <w:b/>
                <w:sz w:val="20"/>
                <w:szCs w:val="20"/>
                <w:lang w:val="it-IT"/>
              </w:rPr>
            </w:pPr>
            <w:r w:rsidRPr="00934C02">
              <w:rPr>
                <w:rFonts w:ascii="Arial" w:eastAsia="SimSun" w:hAnsi="Arial" w:cs="Arial"/>
                <w:b/>
                <w:sz w:val="20"/>
                <w:szCs w:val="20"/>
                <w:lang w:val="it-IT"/>
              </w:rPr>
              <w:t>Azotaţi</w:t>
            </w:r>
          </w:p>
        </w:tc>
        <w:tc>
          <w:tcPr>
            <w:tcW w:w="1842" w:type="dxa"/>
            <w:shd w:val="clear" w:color="auto" w:fill="auto"/>
            <w:vAlign w:val="center"/>
          </w:tcPr>
          <w:p w:rsidR="00934C02" w:rsidRPr="00934C02" w:rsidRDefault="00934C02" w:rsidP="00934C02">
            <w:pPr>
              <w:spacing w:after="0" w:line="240" w:lineRule="auto"/>
              <w:jc w:val="center"/>
              <w:rPr>
                <w:rFonts w:ascii="Arial" w:eastAsia="SimSun" w:hAnsi="Arial" w:cs="Arial"/>
                <w:b/>
                <w:sz w:val="20"/>
                <w:szCs w:val="20"/>
                <w:lang w:val="it-IT"/>
              </w:rPr>
            </w:pPr>
            <w:r w:rsidRPr="00934C02">
              <w:rPr>
                <w:rFonts w:ascii="Arial" w:eastAsia="SimSun" w:hAnsi="Arial" w:cs="Arial"/>
                <w:b/>
                <w:sz w:val="20"/>
                <w:szCs w:val="20"/>
                <w:lang w:val="it-IT"/>
              </w:rPr>
              <w:t>Coliformi fecali</w:t>
            </w:r>
          </w:p>
        </w:tc>
        <w:tc>
          <w:tcPr>
            <w:tcW w:w="1701" w:type="dxa"/>
            <w:shd w:val="clear" w:color="auto" w:fill="auto"/>
            <w:vAlign w:val="center"/>
          </w:tcPr>
          <w:p w:rsidR="00934C02" w:rsidRPr="00934C02" w:rsidRDefault="00934C02" w:rsidP="00934C02">
            <w:pPr>
              <w:spacing w:after="0" w:line="240" w:lineRule="auto"/>
              <w:jc w:val="center"/>
              <w:rPr>
                <w:rFonts w:ascii="Arial" w:eastAsia="SimSun" w:hAnsi="Arial" w:cs="Arial"/>
                <w:b/>
                <w:sz w:val="20"/>
                <w:szCs w:val="20"/>
                <w:lang w:val="it-IT"/>
              </w:rPr>
            </w:pPr>
            <w:r w:rsidRPr="00934C02">
              <w:rPr>
                <w:rFonts w:ascii="Arial" w:eastAsia="SimSun" w:hAnsi="Arial" w:cs="Arial"/>
                <w:b/>
                <w:sz w:val="20"/>
                <w:szCs w:val="20"/>
                <w:lang w:val="it-IT"/>
              </w:rPr>
              <w:t>Coliformi totali</w:t>
            </w:r>
          </w:p>
        </w:tc>
      </w:tr>
      <w:tr w:rsidR="00934C02" w:rsidRPr="00934C02" w:rsidTr="00934C02">
        <w:trPr>
          <w:trHeight w:val="220"/>
          <w:jc w:val="center"/>
        </w:trPr>
        <w:tc>
          <w:tcPr>
            <w:tcW w:w="1120" w:type="dxa"/>
          </w:tcPr>
          <w:p w:rsidR="00934C02" w:rsidRPr="00934C02" w:rsidRDefault="00934C02" w:rsidP="00934C02">
            <w:pPr>
              <w:spacing w:after="0" w:line="240" w:lineRule="auto"/>
              <w:rPr>
                <w:rFonts w:ascii="Arial" w:eastAsia="SimSun" w:hAnsi="Arial" w:cs="Arial"/>
                <w:b/>
                <w:sz w:val="20"/>
                <w:szCs w:val="20"/>
                <w:lang w:val="it-IT"/>
              </w:rPr>
            </w:pPr>
            <w:r w:rsidRPr="00934C02">
              <w:rPr>
                <w:rFonts w:ascii="Arial" w:eastAsia="SimSun" w:hAnsi="Arial" w:cs="Arial"/>
                <w:b/>
                <w:sz w:val="20"/>
                <w:szCs w:val="20"/>
                <w:lang w:val="it-IT"/>
              </w:rPr>
              <w:t>Vaslui</w:t>
            </w:r>
          </w:p>
        </w:tc>
        <w:tc>
          <w:tcPr>
            <w:tcW w:w="1965" w:type="dxa"/>
          </w:tcPr>
          <w:p w:rsidR="00934C02" w:rsidRPr="00934C02" w:rsidRDefault="00934C02" w:rsidP="00934C02">
            <w:pPr>
              <w:spacing w:after="0" w:line="240" w:lineRule="auto"/>
              <w:jc w:val="center"/>
              <w:rPr>
                <w:rFonts w:ascii="Arial" w:eastAsia="SimSun" w:hAnsi="Arial" w:cs="Arial"/>
                <w:sz w:val="20"/>
                <w:szCs w:val="20"/>
                <w:lang w:val="it-IT"/>
              </w:rPr>
            </w:pPr>
            <w:r w:rsidRPr="00934C02">
              <w:rPr>
                <w:rFonts w:ascii="Arial" w:eastAsia="SimSun" w:hAnsi="Arial" w:cs="Arial"/>
                <w:sz w:val="20"/>
                <w:szCs w:val="20"/>
                <w:lang w:val="it-IT"/>
              </w:rPr>
              <w:t>0</w:t>
            </w:r>
          </w:p>
        </w:tc>
        <w:tc>
          <w:tcPr>
            <w:tcW w:w="851" w:type="dxa"/>
          </w:tcPr>
          <w:p w:rsidR="00934C02" w:rsidRPr="00934C02" w:rsidRDefault="00934C02" w:rsidP="00934C02">
            <w:pPr>
              <w:spacing w:after="0" w:line="240" w:lineRule="auto"/>
              <w:jc w:val="center"/>
              <w:rPr>
                <w:rFonts w:ascii="Arial" w:eastAsia="SimSun" w:hAnsi="Arial" w:cs="Arial"/>
                <w:sz w:val="20"/>
                <w:szCs w:val="20"/>
                <w:lang w:val="it-IT"/>
              </w:rPr>
            </w:pPr>
            <w:r w:rsidRPr="00934C02">
              <w:rPr>
                <w:rFonts w:ascii="Arial" w:eastAsia="SimSun" w:hAnsi="Arial" w:cs="Arial"/>
                <w:sz w:val="20"/>
                <w:szCs w:val="20"/>
                <w:lang w:val="it-IT"/>
              </w:rPr>
              <w:t>0</w:t>
            </w:r>
          </w:p>
        </w:tc>
        <w:tc>
          <w:tcPr>
            <w:tcW w:w="1275" w:type="dxa"/>
          </w:tcPr>
          <w:p w:rsidR="00934C02" w:rsidRPr="00934C02" w:rsidRDefault="00934C02" w:rsidP="00934C02">
            <w:pPr>
              <w:spacing w:after="0" w:line="240" w:lineRule="auto"/>
              <w:jc w:val="center"/>
              <w:rPr>
                <w:rFonts w:ascii="Arial" w:eastAsia="SimSun" w:hAnsi="Arial" w:cs="Arial"/>
                <w:sz w:val="20"/>
                <w:szCs w:val="20"/>
                <w:lang w:val="it-IT"/>
              </w:rPr>
            </w:pPr>
            <w:r w:rsidRPr="00934C02">
              <w:rPr>
                <w:rFonts w:ascii="Arial" w:eastAsia="SimSun" w:hAnsi="Arial" w:cs="Arial"/>
                <w:sz w:val="20"/>
                <w:szCs w:val="20"/>
                <w:lang w:val="it-IT"/>
              </w:rPr>
              <w:t>0</w:t>
            </w:r>
          </w:p>
        </w:tc>
        <w:tc>
          <w:tcPr>
            <w:tcW w:w="993" w:type="dxa"/>
            <w:shd w:val="clear" w:color="auto" w:fill="auto"/>
          </w:tcPr>
          <w:p w:rsidR="00934C02" w:rsidRPr="00934C02" w:rsidRDefault="00934C02" w:rsidP="00934C02">
            <w:pPr>
              <w:spacing w:after="0" w:line="240" w:lineRule="auto"/>
              <w:jc w:val="center"/>
              <w:rPr>
                <w:rFonts w:ascii="Arial" w:eastAsia="SimSun" w:hAnsi="Arial" w:cs="Arial"/>
                <w:sz w:val="20"/>
                <w:szCs w:val="20"/>
                <w:lang w:val="it-IT"/>
              </w:rPr>
            </w:pPr>
            <w:r w:rsidRPr="00934C02">
              <w:rPr>
                <w:rFonts w:ascii="Arial" w:eastAsia="SimSun" w:hAnsi="Arial" w:cs="Arial"/>
                <w:sz w:val="20"/>
                <w:szCs w:val="20"/>
                <w:lang w:val="it-IT"/>
              </w:rPr>
              <w:t>0</w:t>
            </w:r>
          </w:p>
        </w:tc>
        <w:tc>
          <w:tcPr>
            <w:tcW w:w="1842" w:type="dxa"/>
            <w:shd w:val="clear" w:color="auto" w:fill="auto"/>
          </w:tcPr>
          <w:p w:rsidR="00934C02" w:rsidRPr="00934C02" w:rsidRDefault="00934C02" w:rsidP="00934C02">
            <w:pPr>
              <w:spacing w:after="0" w:line="240" w:lineRule="auto"/>
              <w:jc w:val="center"/>
              <w:rPr>
                <w:rFonts w:ascii="Arial" w:eastAsia="SimSun" w:hAnsi="Arial" w:cs="Arial"/>
                <w:sz w:val="20"/>
                <w:szCs w:val="20"/>
                <w:lang w:val="ro-RO"/>
              </w:rPr>
            </w:pPr>
            <w:r w:rsidRPr="00934C02">
              <w:rPr>
                <w:rFonts w:ascii="Arial" w:eastAsia="SimSun" w:hAnsi="Arial" w:cs="Arial"/>
                <w:sz w:val="20"/>
                <w:szCs w:val="20"/>
                <w:lang w:val="it-IT"/>
              </w:rPr>
              <w:t>0,88</w:t>
            </w:r>
          </w:p>
        </w:tc>
        <w:tc>
          <w:tcPr>
            <w:tcW w:w="1701" w:type="dxa"/>
            <w:shd w:val="clear" w:color="auto" w:fill="auto"/>
          </w:tcPr>
          <w:p w:rsidR="00934C02" w:rsidRPr="00934C02" w:rsidRDefault="00934C02" w:rsidP="00934C02">
            <w:pPr>
              <w:spacing w:after="0" w:line="240" w:lineRule="auto"/>
              <w:jc w:val="center"/>
              <w:rPr>
                <w:rFonts w:ascii="Arial" w:eastAsia="SimSun" w:hAnsi="Arial" w:cs="Arial"/>
                <w:sz w:val="20"/>
                <w:szCs w:val="20"/>
                <w:lang w:val="it-IT"/>
              </w:rPr>
            </w:pPr>
            <w:r w:rsidRPr="00934C02">
              <w:rPr>
                <w:rFonts w:ascii="Arial" w:eastAsia="SimSun" w:hAnsi="Arial" w:cs="Arial"/>
                <w:sz w:val="20"/>
                <w:szCs w:val="20"/>
                <w:lang w:val="it-IT"/>
              </w:rPr>
              <w:t>1,43</w:t>
            </w:r>
          </w:p>
        </w:tc>
      </w:tr>
    </w:tbl>
    <w:p w:rsidR="00934C02" w:rsidRPr="00934C02" w:rsidRDefault="00934C02" w:rsidP="00934C02">
      <w:pPr>
        <w:spacing w:after="0" w:line="240" w:lineRule="auto"/>
        <w:rPr>
          <w:rFonts w:ascii="Arial" w:eastAsia="SimSun" w:hAnsi="Arial" w:cs="Arial"/>
          <w:b/>
          <w:sz w:val="24"/>
          <w:szCs w:val="24"/>
          <w:lang w:val="ro-RO"/>
        </w:rPr>
      </w:pPr>
    </w:p>
    <w:p w:rsidR="00934C02" w:rsidRPr="00934C02" w:rsidRDefault="00934C02" w:rsidP="00934C02">
      <w:pPr>
        <w:spacing w:after="0" w:line="240" w:lineRule="auto"/>
        <w:rPr>
          <w:rFonts w:ascii="Arial" w:eastAsia="SimSun" w:hAnsi="Arial" w:cs="Arial"/>
          <w:sz w:val="24"/>
          <w:szCs w:val="24"/>
          <w:lang w:val="ro-RO"/>
        </w:rPr>
      </w:pPr>
      <w:r w:rsidRPr="00934C02">
        <w:rPr>
          <w:rFonts w:ascii="Arial" w:eastAsia="SimSun" w:hAnsi="Arial" w:cs="Arial"/>
          <w:sz w:val="24"/>
          <w:szCs w:val="24"/>
          <w:lang w:val="ro-RO"/>
        </w:rPr>
        <w:t>Tabelul VIII.10. Calitatea chimică a apei distribuite prin sistemul public de aprovizionare în anul 2015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268"/>
        <w:gridCol w:w="1276"/>
        <w:gridCol w:w="1559"/>
        <w:gridCol w:w="1701"/>
      </w:tblGrid>
      <w:tr w:rsidR="00934C02" w:rsidRPr="00934C02" w:rsidTr="00934C02">
        <w:trPr>
          <w:jc w:val="center"/>
        </w:trPr>
        <w:tc>
          <w:tcPr>
            <w:tcW w:w="959" w:type="dxa"/>
          </w:tcPr>
          <w:p w:rsidR="00934C02" w:rsidRPr="00934C02" w:rsidRDefault="00934C02" w:rsidP="00934C02">
            <w:pPr>
              <w:spacing w:after="0" w:line="240" w:lineRule="auto"/>
              <w:rPr>
                <w:rFonts w:ascii="Arial" w:eastAsia="SimSun" w:hAnsi="Arial" w:cs="Arial"/>
                <w:b/>
                <w:sz w:val="20"/>
                <w:szCs w:val="20"/>
                <w:lang w:val="ro-RO"/>
              </w:rPr>
            </w:pPr>
            <w:r w:rsidRPr="00934C02">
              <w:rPr>
                <w:rFonts w:ascii="Arial" w:eastAsia="SimSun" w:hAnsi="Arial" w:cs="Arial"/>
                <w:b/>
                <w:sz w:val="20"/>
                <w:szCs w:val="20"/>
                <w:lang w:val="ro-RO"/>
              </w:rPr>
              <w:t>Judeţul</w:t>
            </w:r>
          </w:p>
        </w:tc>
        <w:tc>
          <w:tcPr>
            <w:tcW w:w="2268" w:type="dxa"/>
          </w:tcPr>
          <w:p w:rsidR="00934C02" w:rsidRPr="00934C02" w:rsidRDefault="00934C02" w:rsidP="00934C02">
            <w:pPr>
              <w:spacing w:after="0" w:line="240" w:lineRule="auto"/>
              <w:rPr>
                <w:rFonts w:ascii="Arial" w:eastAsia="SimSun" w:hAnsi="Arial" w:cs="Arial"/>
                <w:b/>
                <w:sz w:val="20"/>
                <w:szCs w:val="20"/>
                <w:lang w:val="ro-RO"/>
              </w:rPr>
            </w:pPr>
            <w:r w:rsidRPr="00934C02">
              <w:rPr>
                <w:rFonts w:ascii="Arial" w:eastAsia="SimSun" w:hAnsi="Arial" w:cs="Arial"/>
                <w:b/>
                <w:sz w:val="20"/>
                <w:szCs w:val="20"/>
                <w:lang w:val="ro-RO"/>
              </w:rPr>
              <w:t>Substanţe toxice (%)</w:t>
            </w:r>
          </w:p>
        </w:tc>
        <w:tc>
          <w:tcPr>
            <w:tcW w:w="1276" w:type="dxa"/>
          </w:tcPr>
          <w:p w:rsidR="00934C02" w:rsidRPr="00934C02" w:rsidRDefault="00934C02" w:rsidP="00934C02">
            <w:pPr>
              <w:spacing w:after="0" w:line="240" w:lineRule="auto"/>
              <w:rPr>
                <w:rFonts w:ascii="Arial" w:eastAsia="SimSun" w:hAnsi="Arial" w:cs="Arial"/>
                <w:b/>
                <w:sz w:val="20"/>
                <w:szCs w:val="20"/>
                <w:lang w:val="ro-RO"/>
              </w:rPr>
            </w:pPr>
            <w:r w:rsidRPr="00934C02">
              <w:rPr>
                <w:rFonts w:ascii="Arial" w:eastAsia="SimSun" w:hAnsi="Arial" w:cs="Arial"/>
                <w:b/>
                <w:sz w:val="20"/>
                <w:szCs w:val="20"/>
                <w:lang w:val="ro-RO"/>
              </w:rPr>
              <w:t>CCO (%)</w:t>
            </w:r>
          </w:p>
        </w:tc>
        <w:tc>
          <w:tcPr>
            <w:tcW w:w="1559" w:type="dxa"/>
          </w:tcPr>
          <w:p w:rsidR="00934C02" w:rsidRPr="00934C02" w:rsidRDefault="00934C02" w:rsidP="00934C02">
            <w:pPr>
              <w:spacing w:after="0" w:line="240" w:lineRule="auto"/>
              <w:rPr>
                <w:rFonts w:ascii="Arial" w:eastAsia="SimSun" w:hAnsi="Arial" w:cs="Arial"/>
                <w:b/>
                <w:sz w:val="20"/>
                <w:szCs w:val="20"/>
                <w:lang w:val="ro-RO"/>
              </w:rPr>
            </w:pPr>
            <w:r w:rsidRPr="00934C02">
              <w:rPr>
                <w:rFonts w:ascii="Arial" w:eastAsia="SimSun" w:hAnsi="Arial" w:cs="Arial"/>
                <w:b/>
                <w:sz w:val="20"/>
                <w:szCs w:val="20"/>
                <w:lang w:val="ro-RO"/>
              </w:rPr>
              <w:t>Amoniac (%)</w:t>
            </w:r>
          </w:p>
        </w:tc>
        <w:tc>
          <w:tcPr>
            <w:tcW w:w="1701" w:type="dxa"/>
          </w:tcPr>
          <w:p w:rsidR="00934C02" w:rsidRPr="00934C02" w:rsidRDefault="00934C02" w:rsidP="00934C02">
            <w:pPr>
              <w:spacing w:after="0" w:line="240" w:lineRule="auto"/>
              <w:rPr>
                <w:rFonts w:ascii="Arial" w:eastAsia="SimSun" w:hAnsi="Arial" w:cs="Arial"/>
                <w:b/>
                <w:sz w:val="20"/>
                <w:szCs w:val="20"/>
                <w:lang w:val="ro-RO"/>
              </w:rPr>
            </w:pPr>
            <w:r w:rsidRPr="00934C02">
              <w:rPr>
                <w:rFonts w:ascii="Arial" w:eastAsia="SimSun" w:hAnsi="Arial" w:cs="Arial"/>
                <w:b/>
                <w:sz w:val="20"/>
                <w:szCs w:val="20"/>
                <w:lang w:val="ro-RO"/>
              </w:rPr>
              <w:t>Azotaţi (%)</w:t>
            </w:r>
          </w:p>
        </w:tc>
      </w:tr>
      <w:tr w:rsidR="00934C02" w:rsidRPr="00934C02" w:rsidTr="00934C02">
        <w:trPr>
          <w:jc w:val="center"/>
        </w:trPr>
        <w:tc>
          <w:tcPr>
            <w:tcW w:w="959" w:type="dxa"/>
          </w:tcPr>
          <w:p w:rsidR="00934C02" w:rsidRPr="00934C02" w:rsidRDefault="00934C02" w:rsidP="00934C02">
            <w:pPr>
              <w:spacing w:after="0" w:line="240" w:lineRule="auto"/>
              <w:rPr>
                <w:rFonts w:ascii="Arial" w:eastAsia="SimSun" w:hAnsi="Arial" w:cs="Arial"/>
                <w:b/>
                <w:sz w:val="20"/>
                <w:szCs w:val="20"/>
                <w:lang w:val="ro-RO"/>
              </w:rPr>
            </w:pPr>
            <w:r w:rsidRPr="00934C02">
              <w:rPr>
                <w:rFonts w:ascii="Arial" w:eastAsia="SimSun" w:hAnsi="Arial" w:cs="Arial"/>
                <w:b/>
                <w:sz w:val="20"/>
                <w:szCs w:val="20"/>
                <w:lang w:val="ro-RO"/>
              </w:rPr>
              <w:t>Vaslui</w:t>
            </w:r>
          </w:p>
        </w:tc>
        <w:tc>
          <w:tcPr>
            <w:tcW w:w="2268" w:type="dxa"/>
          </w:tcPr>
          <w:p w:rsidR="00934C02" w:rsidRPr="00934C02" w:rsidRDefault="00934C02" w:rsidP="00934C02">
            <w:pPr>
              <w:spacing w:after="0" w:line="240" w:lineRule="auto"/>
              <w:jc w:val="center"/>
              <w:rPr>
                <w:rFonts w:ascii="Arial" w:eastAsia="SimSun" w:hAnsi="Arial" w:cs="Arial"/>
                <w:sz w:val="20"/>
                <w:szCs w:val="20"/>
                <w:lang w:val="ro-RO"/>
              </w:rPr>
            </w:pPr>
            <w:r w:rsidRPr="00934C02">
              <w:rPr>
                <w:rFonts w:ascii="Arial" w:eastAsia="SimSun" w:hAnsi="Arial" w:cs="Arial"/>
                <w:sz w:val="20"/>
                <w:szCs w:val="20"/>
                <w:lang w:val="ro-RO"/>
              </w:rPr>
              <w:t>0</w:t>
            </w:r>
          </w:p>
        </w:tc>
        <w:tc>
          <w:tcPr>
            <w:tcW w:w="1276" w:type="dxa"/>
          </w:tcPr>
          <w:p w:rsidR="00934C02" w:rsidRPr="00934C02" w:rsidRDefault="00934C02" w:rsidP="00934C02">
            <w:pPr>
              <w:spacing w:after="0" w:line="240" w:lineRule="auto"/>
              <w:jc w:val="center"/>
              <w:rPr>
                <w:rFonts w:ascii="Arial" w:eastAsia="SimSun" w:hAnsi="Arial" w:cs="Arial"/>
                <w:sz w:val="20"/>
                <w:szCs w:val="20"/>
                <w:lang w:val="ro-RO"/>
              </w:rPr>
            </w:pPr>
            <w:r w:rsidRPr="00934C02">
              <w:rPr>
                <w:rFonts w:ascii="Arial" w:eastAsia="SimSun" w:hAnsi="Arial" w:cs="Arial"/>
                <w:sz w:val="20"/>
                <w:szCs w:val="20"/>
                <w:lang w:val="ro-RO"/>
              </w:rPr>
              <w:t>0</w:t>
            </w:r>
          </w:p>
        </w:tc>
        <w:tc>
          <w:tcPr>
            <w:tcW w:w="1559" w:type="dxa"/>
          </w:tcPr>
          <w:p w:rsidR="00934C02" w:rsidRPr="00934C02" w:rsidRDefault="00934C02" w:rsidP="00934C02">
            <w:pPr>
              <w:spacing w:after="0" w:line="240" w:lineRule="auto"/>
              <w:jc w:val="center"/>
              <w:rPr>
                <w:rFonts w:ascii="Arial" w:eastAsia="SimSun" w:hAnsi="Arial" w:cs="Arial"/>
                <w:sz w:val="20"/>
                <w:szCs w:val="20"/>
                <w:lang w:val="ro-RO"/>
              </w:rPr>
            </w:pPr>
            <w:r w:rsidRPr="00934C02">
              <w:rPr>
                <w:rFonts w:ascii="Arial" w:eastAsia="SimSun" w:hAnsi="Arial" w:cs="Arial"/>
                <w:sz w:val="20"/>
                <w:szCs w:val="20"/>
                <w:lang w:val="ro-RO"/>
              </w:rPr>
              <w:t>0</w:t>
            </w:r>
          </w:p>
        </w:tc>
        <w:tc>
          <w:tcPr>
            <w:tcW w:w="1701" w:type="dxa"/>
          </w:tcPr>
          <w:p w:rsidR="00934C02" w:rsidRPr="00934C02" w:rsidRDefault="00934C02" w:rsidP="00934C02">
            <w:pPr>
              <w:spacing w:after="0" w:line="240" w:lineRule="auto"/>
              <w:jc w:val="center"/>
              <w:rPr>
                <w:rFonts w:ascii="Arial" w:eastAsia="SimSun" w:hAnsi="Arial" w:cs="Arial"/>
                <w:sz w:val="20"/>
                <w:szCs w:val="20"/>
                <w:lang w:val="ro-RO"/>
              </w:rPr>
            </w:pPr>
            <w:r w:rsidRPr="00934C02">
              <w:rPr>
                <w:rFonts w:ascii="Arial" w:eastAsia="SimSun" w:hAnsi="Arial" w:cs="Arial"/>
                <w:sz w:val="20"/>
                <w:szCs w:val="20"/>
                <w:lang w:val="ro-RO"/>
              </w:rPr>
              <w:t>0</w:t>
            </w:r>
          </w:p>
        </w:tc>
      </w:tr>
    </w:tbl>
    <w:p w:rsidR="00934C02" w:rsidRPr="00934C02" w:rsidRDefault="00934C02" w:rsidP="00934C02">
      <w:pPr>
        <w:autoSpaceDE w:val="0"/>
        <w:autoSpaceDN w:val="0"/>
        <w:adjustRightInd w:val="0"/>
        <w:spacing w:after="0" w:line="240" w:lineRule="auto"/>
        <w:ind w:firstLine="720"/>
        <w:jc w:val="both"/>
        <w:rPr>
          <w:rFonts w:ascii="Arial" w:eastAsia="SimSun" w:hAnsi="Arial" w:cs="Arial"/>
          <w:sz w:val="24"/>
          <w:szCs w:val="24"/>
          <w:lang w:val="ro-RO"/>
        </w:rPr>
      </w:pPr>
      <w:r w:rsidRPr="00934C02">
        <w:rPr>
          <w:rFonts w:ascii="Arial" w:eastAsia="SimSun" w:hAnsi="Arial" w:cs="Arial"/>
          <w:sz w:val="24"/>
          <w:szCs w:val="24"/>
          <w:lang w:val="ro-RO"/>
        </w:rPr>
        <w:t xml:space="preserve">În cadrul patologiei hidrice, un loc important îl ocupă </w:t>
      </w:r>
      <w:r w:rsidRPr="00934C02">
        <w:rPr>
          <w:rFonts w:ascii="Arial" w:eastAsia="SimSun" w:hAnsi="Arial" w:cs="Arial"/>
          <w:bCs/>
          <w:sz w:val="24"/>
          <w:szCs w:val="24"/>
          <w:lang w:val="ro-RO"/>
        </w:rPr>
        <w:t>patologia infecţioasă</w:t>
      </w:r>
      <w:r w:rsidRPr="00934C02">
        <w:rPr>
          <w:rFonts w:ascii="Arial" w:eastAsia="SimSun" w:hAnsi="Arial" w:cs="Arial"/>
          <w:sz w:val="24"/>
          <w:szCs w:val="24"/>
          <w:lang w:val="ro-RO"/>
        </w:rPr>
        <w:t xml:space="preserve">. Din punct de vedere epidemiologic, patologia infecţioasă transmisă prin apă se manifestă prin boli bacteriene şi boli virotice. </w:t>
      </w:r>
    </w:p>
    <w:p w:rsidR="00934C02" w:rsidRPr="00934C02" w:rsidRDefault="00934C02" w:rsidP="00934C02">
      <w:pPr>
        <w:spacing w:after="0" w:line="240" w:lineRule="auto"/>
        <w:rPr>
          <w:rFonts w:ascii="Arial" w:eastAsia="SimSun" w:hAnsi="Arial" w:cs="Arial"/>
          <w:b/>
          <w:sz w:val="24"/>
          <w:szCs w:val="24"/>
          <w:lang w:val="ro-RO"/>
        </w:rPr>
      </w:pPr>
    </w:p>
    <w:p w:rsidR="00934C02" w:rsidRPr="00934C02" w:rsidRDefault="00934C02" w:rsidP="00934C02">
      <w:pPr>
        <w:spacing w:after="0" w:line="240" w:lineRule="auto"/>
        <w:rPr>
          <w:rFonts w:ascii="Arial" w:eastAsia="SimSun" w:hAnsi="Arial" w:cs="Arial"/>
          <w:sz w:val="24"/>
          <w:szCs w:val="24"/>
          <w:lang w:val="ro-RO"/>
        </w:rPr>
      </w:pPr>
      <w:r w:rsidRPr="00934C02">
        <w:rPr>
          <w:rFonts w:ascii="Arial" w:eastAsia="SimSun" w:hAnsi="Arial" w:cs="Arial"/>
          <w:sz w:val="24"/>
          <w:szCs w:val="24"/>
          <w:lang w:val="ro-RO"/>
        </w:rPr>
        <w:t>Tabelul VIII.11. Indicatori cu impact asupra sănătăţii la nivelul judeţului Vaslui (număr cazuri îmbolnăviri)</w:t>
      </w:r>
    </w:p>
    <w:tbl>
      <w:tblPr>
        <w:tblW w:w="8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4"/>
        <w:gridCol w:w="1555"/>
        <w:gridCol w:w="1799"/>
        <w:gridCol w:w="1476"/>
        <w:gridCol w:w="1660"/>
      </w:tblGrid>
      <w:tr w:rsidR="00934C02" w:rsidRPr="00934C02" w:rsidTr="00934C02">
        <w:trPr>
          <w:trHeight w:val="439"/>
          <w:jc w:val="center"/>
        </w:trPr>
        <w:tc>
          <w:tcPr>
            <w:tcW w:w="1584" w:type="dxa"/>
            <w:vAlign w:val="center"/>
          </w:tcPr>
          <w:p w:rsidR="00934C02" w:rsidRPr="00934C02" w:rsidRDefault="00934C02" w:rsidP="00934C02">
            <w:pPr>
              <w:spacing w:after="0" w:line="240" w:lineRule="auto"/>
              <w:jc w:val="center"/>
              <w:rPr>
                <w:rFonts w:ascii="Arial" w:eastAsia="Times New Roman" w:hAnsi="Arial" w:cs="Arial"/>
                <w:bCs/>
                <w:sz w:val="24"/>
                <w:szCs w:val="24"/>
                <w:lang w:val="ro-RO"/>
              </w:rPr>
            </w:pPr>
            <w:r w:rsidRPr="00934C02">
              <w:rPr>
                <w:rFonts w:ascii="Arial" w:eastAsia="Times New Roman" w:hAnsi="Arial" w:cs="Arial"/>
                <w:b/>
                <w:bCs/>
                <w:sz w:val="24"/>
                <w:szCs w:val="24"/>
                <w:lang w:val="ro-RO"/>
              </w:rPr>
              <w:t>Judeţul</w:t>
            </w:r>
          </w:p>
        </w:tc>
        <w:tc>
          <w:tcPr>
            <w:tcW w:w="1555" w:type="dxa"/>
            <w:vAlign w:val="center"/>
          </w:tcPr>
          <w:p w:rsidR="00934C02" w:rsidRPr="00934C02" w:rsidRDefault="00934C02" w:rsidP="00934C02">
            <w:pPr>
              <w:spacing w:after="0" w:line="240" w:lineRule="auto"/>
              <w:jc w:val="center"/>
              <w:rPr>
                <w:rFonts w:ascii="Arial" w:eastAsia="Times New Roman" w:hAnsi="Arial" w:cs="Arial"/>
                <w:b/>
                <w:bCs/>
                <w:sz w:val="24"/>
                <w:szCs w:val="24"/>
                <w:lang w:val="ro-RO"/>
              </w:rPr>
            </w:pPr>
            <w:r w:rsidRPr="00934C02">
              <w:rPr>
                <w:rFonts w:ascii="Arial" w:eastAsia="Times New Roman" w:hAnsi="Arial" w:cs="Arial"/>
                <w:b/>
                <w:bCs/>
                <w:sz w:val="24"/>
                <w:szCs w:val="24"/>
                <w:lang w:val="ro-RO"/>
              </w:rPr>
              <w:t>Dizenterii         (nr. cazuri)</w:t>
            </w:r>
          </w:p>
        </w:tc>
        <w:tc>
          <w:tcPr>
            <w:tcW w:w="1799" w:type="dxa"/>
            <w:vAlign w:val="center"/>
          </w:tcPr>
          <w:p w:rsidR="00934C02" w:rsidRPr="00934C02" w:rsidRDefault="00934C02" w:rsidP="00934C02">
            <w:pPr>
              <w:spacing w:after="0" w:line="240" w:lineRule="auto"/>
              <w:jc w:val="center"/>
              <w:rPr>
                <w:rFonts w:ascii="Arial" w:eastAsia="Times New Roman" w:hAnsi="Arial" w:cs="Arial"/>
                <w:b/>
                <w:bCs/>
                <w:sz w:val="24"/>
                <w:szCs w:val="24"/>
                <w:lang w:val="ro-RO"/>
              </w:rPr>
            </w:pPr>
            <w:r w:rsidRPr="00934C02">
              <w:rPr>
                <w:rFonts w:ascii="Arial" w:eastAsia="Times New Roman" w:hAnsi="Arial" w:cs="Arial"/>
                <w:b/>
                <w:bCs/>
                <w:sz w:val="24"/>
                <w:szCs w:val="24"/>
                <w:lang w:val="ro-RO"/>
              </w:rPr>
              <w:t>Hepatită A            (nr. cazuri)</w:t>
            </w:r>
          </w:p>
        </w:tc>
        <w:tc>
          <w:tcPr>
            <w:tcW w:w="1476" w:type="dxa"/>
            <w:vAlign w:val="center"/>
          </w:tcPr>
          <w:p w:rsidR="00934C02" w:rsidRPr="00934C02" w:rsidRDefault="00934C02" w:rsidP="00934C02">
            <w:pPr>
              <w:spacing w:after="0" w:line="240" w:lineRule="auto"/>
              <w:jc w:val="center"/>
              <w:rPr>
                <w:rFonts w:ascii="Arial" w:eastAsia="Times New Roman" w:hAnsi="Arial" w:cs="Arial"/>
                <w:b/>
                <w:bCs/>
                <w:sz w:val="24"/>
                <w:szCs w:val="24"/>
                <w:lang w:val="ro-RO"/>
              </w:rPr>
            </w:pPr>
            <w:r w:rsidRPr="00934C02">
              <w:rPr>
                <w:rFonts w:ascii="Arial" w:eastAsia="Times New Roman" w:hAnsi="Arial" w:cs="Arial"/>
                <w:b/>
                <w:bCs/>
                <w:sz w:val="24"/>
                <w:szCs w:val="24"/>
                <w:lang w:val="ro-RO"/>
              </w:rPr>
              <w:t>BDA                           (nr. cazuri)</w:t>
            </w:r>
          </w:p>
        </w:tc>
        <w:tc>
          <w:tcPr>
            <w:tcW w:w="1660" w:type="dxa"/>
            <w:vAlign w:val="center"/>
          </w:tcPr>
          <w:p w:rsidR="00934C02" w:rsidRPr="00934C02" w:rsidRDefault="00934C02" w:rsidP="00934C02">
            <w:pPr>
              <w:spacing w:after="0" w:line="240" w:lineRule="auto"/>
              <w:jc w:val="center"/>
              <w:rPr>
                <w:rFonts w:ascii="Arial" w:eastAsia="Times New Roman" w:hAnsi="Arial" w:cs="Arial"/>
                <w:b/>
                <w:bCs/>
                <w:sz w:val="24"/>
                <w:szCs w:val="24"/>
                <w:lang w:val="ro-RO"/>
              </w:rPr>
            </w:pPr>
            <w:r w:rsidRPr="00934C02">
              <w:rPr>
                <w:rFonts w:ascii="Arial" w:eastAsia="Times New Roman" w:hAnsi="Arial" w:cs="Arial"/>
                <w:b/>
                <w:bCs/>
                <w:sz w:val="24"/>
                <w:szCs w:val="24"/>
                <w:lang w:val="ro-RO"/>
              </w:rPr>
              <w:t>Febră tifoidă              (nr. cazuri)</w:t>
            </w:r>
          </w:p>
        </w:tc>
      </w:tr>
      <w:tr w:rsidR="00934C02" w:rsidRPr="00934C02" w:rsidTr="00934C02">
        <w:trPr>
          <w:trHeight w:val="248"/>
          <w:jc w:val="center"/>
        </w:trPr>
        <w:tc>
          <w:tcPr>
            <w:tcW w:w="1584" w:type="dxa"/>
            <w:vAlign w:val="center"/>
          </w:tcPr>
          <w:p w:rsidR="00934C02" w:rsidRPr="00934C02" w:rsidRDefault="00934C02" w:rsidP="00934C02">
            <w:pPr>
              <w:spacing w:after="0" w:line="240" w:lineRule="auto"/>
              <w:jc w:val="center"/>
              <w:rPr>
                <w:rFonts w:ascii="Arial" w:eastAsia="Times New Roman" w:hAnsi="Arial" w:cs="Arial"/>
                <w:bCs/>
                <w:sz w:val="24"/>
                <w:szCs w:val="24"/>
                <w:lang w:val="ro-RO"/>
              </w:rPr>
            </w:pPr>
            <w:r w:rsidRPr="00934C02">
              <w:rPr>
                <w:rFonts w:ascii="Arial" w:eastAsia="Times New Roman" w:hAnsi="Arial" w:cs="Arial"/>
                <w:bCs/>
                <w:sz w:val="24"/>
                <w:szCs w:val="24"/>
                <w:lang w:val="ro-RO"/>
              </w:rPr>
              <w:t>Vaslui</w:t>
            </w:r>
          </w:p>
        </w:tc>
        <w:tc>
          <w:tcPr>
            <w:tcW w:w="1555" w:type="dxa"/>
            <w:vAlign w:val="center"/>
          </w:tcPr>
          <w:p w:rsidR="00934C02" w:rsidRPr="00934C02" w:rsidRDefault="00934C02" w:rsidP="00934C02">
            <w:pPr>
              <w:spacing w:after="0" w:line="240" w:lineRule="auto"/>
              <w:jc w:val="center"/>
              <w:rPr>
                <w:rFonts w:ascii="Arial" w:eastAsia="Times New Roman" w:hAnsi="Arial" w:cs="Arial"/>
                <w:bCs/>
                <w:sz w:val="24"/>
                <w:szCs w:val="24"/>
                <w:lang w:val="ro-RO"/>
              </w:rPr>
            </w:pPr>
            <w:r w:rsidRPr="00934C02">
              <w:rPr>
                <w:rFonts w:ascii="Arial" w:eastAsia="Times New Roman" w:hAnsi="Arial" w:cs="Arial"/>
                <w:bCs/>
                <w:sz w:val="24"/>
                <w:szCs w:val="24"/>
                <w:lang w:val="ro-RO"/>
              </w:rPr>
              <w:t>0</w:t>
            </w:r>
          </w:p>
        </w:tc>
        <w:tc>
          <w:tcPr>
            <w:tcW w:w="1799" w:type="dxa"/>
            <w:vAlign w:val="center"/>
          </w:tcPr>
          <w:p w:rsidR="00934C02" w:rsidRPr="00934C02" w:rsidRDefault="00934C02" w:rsidP="00934C02">
            <w:pPr>
              <w:spacing w:after="0" w:line="240" w:lineRule="auto"/>
              <w:jc w:val="center"/>
              <w:rPr>
                <w:rFonts w:ascii="Arial" w:eastAsia="Times New Roman" w:hAnsi="Arial" w:cs="Arial"/>
                <w:bCs/>
                <w:sz w:val="24"/>
                <w:szCs w:val="24"/>
                <w:lang w:val="ro-RO"/>
              </w:rPr>
            </w:pPr>
            <w:r w:rsidRPr="00934C02">
              <w:rPr>
                <w:rFonts w:ascii="Arial" w:eastAsia="Times New Roman" w:hAnsi="Arial" w:cs="Arial"/>
                <w:bCs/>
                <w:sz w:val="24"/>
                <w:szCs w:val="24"/>
                <w:lang w:val="ro-RO"/>
              </w:rPr>
              <w:t>0</w:t>
            </w:r>
          </w:p>
        </w:tc>
        <w:tc>
          <w:tcPr>
            <w:tcW w:w="1476" w:type="dxa"/>
            <w:vAlign w:val="center"/>
          </w:tcPr>
          <w:p w:rsidR="00934C02" w:rsidRPr="00934C02" w:rsidRDefault="00934C02" w:rsidP="00934C02">
            <w:pPr>
              <w:spacing w:after="0" w:line="240" w:lineRule="auto"/>
              <w:jc w:val="center"/>
              <w:rPr>
                <w:rFonts w:ascii="Arial" w:eastAsia="Times New Roman" w:hAnsi="Arial" w:cs="Arial"/>
                <w:bCs/>
                <w:sz w:val="24"/>
                <w:szCs w:val="24"/>
                <w:lang w:val="ro-RO"/>
              </w:rPr>
            </w:pPr>
            <w:r w:rsidRPr="00934C02">
              <w:rPr>
                <w:rFonts w:ascii="Arial" w:eastAsia="Times New Roman" w:hAnsi="Arial" w:cs="Arial"/>
                <w:bCs/>
                <w:sz w:val="24"/>
                <w:szCs w:val="24"/>
                <w:lang w:val="ro-RO"/>
              </w:rPr>
              <w:t>0</w:t>
            </w:r>
          </w:p>
        </w:tc>
        <w:tc>
          <w:tcPr>
            <w:tcW w:w="1660" w:type="dxa"/>
            <w:vAlign w:val="center"/>
          </w:tcPr>
          <w:p w:rsidR="00934C02" w:rsidRPr="00934C02" w:rsidRDefault="00934C02" w:rsidP="00934C02">
            <w:pPr>
              <w:spacing w:after="0" w:line="240" w:lineRule="auto"/>
              <w:jc w:val="center"/>
              <w:rPr>
                <w:rFonts w:ascii="Arial" w:eastAsia="Times New Roman" w:hAnsi="Arial" w:cs="Arial"/>
                <w:bCs/>
                <w:sz w:val="24"/>
                <w:szCs w:val="24"/>
                <w:lang w:val="ro-RO"/>
              </w:rPr>
            </w:pPr>
            <w:r w:rsidRPr="00934C02">
              <w:rPr>
                <w:rFonts w:ascii="Arial" w:eastAsia="Times New Roman" w:hAnsi="Arial" w:cs="Arial"/>
                <w:bCs/>
                <w:sz w:val="24"/>
                <w:szCs w:val="24"/>
                <w:lang w:val="ro-RO"/>
              </w:rPr>
              <w:t>0</w:t>
            </w:r>
          </w:p>
        </w:tc>
      </w:tr>
    </w:tbl>
    <w:p w:rsidR="00934C02" w:rsidRPr="00934C02" w:rsidRDefault="00934C02" w:rsidP="00934C02">
      <w:pPr>
        <w:autoSpaceDE w:val="0"/>
        <w:autoSpaceDN w:val="0"/>
        <w:adjustRightInd w:val="0"/>
        <w:spacing w:after="0" w:line="240" w:lineRule="auto"/>
        <w:ind w:firstLine="720"/>
        <w:jc w:val="both"/>
        <w:rPr>
          <w:rFonts w:ascii="Arial" w:eastAsia="SimSun" w:hAnsi="Arial" w:cs="Arial"/>
          <w:sz w:val="24"/>
          <w:szCs w:val="24"/>
          <w:lang w:val="ro-RO"/>
        </w:rPr>
      </w:pPr>
    </w:p>
    <w:p w:rsidR="00934C02" w:rsidRPr="00934C02" w:rsidRDefault="00934C02" w:rsidP="00934C02">
      <w:pPr>
        <w:autoSpaceDE w:val="0"/>
        <w:autoSpaceDN w:val="0"/>
        <w:adjustRightInd w:val="0"/>
        <w:spacing w:after="0" w:line="240" w:lineRule="auto"/>
        <w:ind w:firstLine="720"/>
        <w:jc w:val="both"/>
        <w:rPr>
          <w:rFonts w:ascii="Arial" w:eastAsia="SimSun" w:hAnsi="Arial" w:cs="Arial"/>
          <w:sz w:val="24"/>
          <w:szCs w:val="24"/>
          <w:lang w:val="ro-RO"/>
        </w:rPr>
      </w:pPr>
      <w:r w:rsidRPr="00934C02">
        <w:rPr>
          <w:rFonts w:ascii="Arial" w:eastAsia="SimSun" w:hAnsi="Arial" w:cs="Arial"/>
          <w:sz w:val="24"/>
          <w:szCs w:val="24"/>
          <w:lang w:val="ro-RO"/>
        </w:rPr>
        <w:t>Alături de aer, apa reprezintă un element de o covârşitoare importanţă în condiţionarea vieţii şi dezvoltării colectivităţilor umane, fiind un constituent fundamental şi indispensabil al organismului uman, resursă naturală esenţială cu rol multiplu în viaţa economică şi cu o mare  influenţă asupra stării de sănătate a organismului uman.</w:t>
      </w:r>
    </w:p>
    <w:p w:rsidR="00934C02" w:rsidRPr="00934C02" w:rsidRDefault="00934C02" w:rsidP="00934C02">
      <w:pPr>
        <w:autoSpaceDE w:val="0"/>
        <w:autoSpaceDN w:val="0"/>
        <w:adjustRightInd w:val="0"/>
        <w:spacing w:after="0" w:line="240" w:lineRule="auto"/>
        <w:ind w:firstLine="720"/>
        <w:jc w:val="both"/>
        <w:rPr>
          <w:rFonts w:ascii="Arial" w:eastAsia="SimSun" w:hAnsi="Arial" w:cs="Arial"/>
          <w:sz w:val="24"/>
          <w:szCs w:val="24"/>
          <w:lang w:val="ro-RO"/>
        </w:rPr>
      </w:pPr>
      <w:r w:rsidRPr="00934C02">
        <w:rPr>
          <w:rFonts w:ascii="Arial" w:eastAsia="SimSun" w:hAnsi="Arial" w:cs="Arial"/>
          <w:sz w:val="24"/>
          <w:szCs w:val="24"/>
          <w:lang w:val="ro-RO"/>
        </w:rPr>
        <w:t xml:space="preserve">Pe primul plan al acţiunii apei asupra sănătăţii omului stă patologia infecţioasă de transmitere pe cale hidrică a unor </w:t>
      </w:r>
      <w:r w:rsidRPr="00934C02">
        <w:rPr>
          <w:rFonts w:ascii="Arial" w:eastAsia="SimSun" w:hAnsi="Arial" w:cs="Arial"/>
          <w:i/>
          <w:sz w:val="24"/>
          <w:szCs w:val="24"/>
          <w:lang w:val="ro-RO"/>
        </w:rPr>
        <w:t>boli microbiene</w:t>
      </w:r>
      <w:r w:rsidRPr="00934C02">
        <w:rPr>
          <w:rFonts w:ascii="Arial" w:eastAsia="SimSun" w:hAnsi="Arial" w:cs="Arial"/>
          <w:sz w:val="24"/>
          <w:szCs w:val="24"/>
          <w:lang w:val="ro-RO"/>
        </w:rPr>
        <w:t xml:space="preserve"> ca: febra tifoidă şi paratifoidă, dizenteria bacilară, holera, enterocolitele, leptospiroza, bruceloza, tularemia, tuberculoza, antraxul, febra Q; </w:t>
      </w:r>
      <w:r w:rsidRPr="00934C02">
        <w:rPr>
          <w:rFonts w:ascii="Arial" w:eastAsia="SimSun" w:hAnsi="Arial" w:cs="Arial"/>
          <w:i/>
          <w:sz w:val="24"/>
          <w:szCs w:val="24"/>
          <w:lang w:val="ro-RO"/>
        </w:rPr>
        <w:t>boli virale</w:t>
      </w:r>
      <w:r w:rsidRPr="00934C02">
        <w:rPr>
          <w:rFonts w:ascii="Arial" w:eastAsia="SimSun" w:hAnsi="Arial" w:cs="Arial"/>
          <w:sz w:val="24"/>
          <w:szCs w:val="24"/>
          <w:lang w:val="ro-RO"/>
        </w:rPr>
        <w:t xml:space="preserve"> ca: poliomielita, hepatita tip A, gastroenterita virală, febra aftoasă; precum şi </w:t>
      </w:r>
      <w:r w:rsidRPr="00934C02">
        <w:rPr>
          <w:rFonts w:ascii="Arial" w:eastAsia="SimSun" w:hAnsi="Arial" w:cs="Arial"/>
          <w:i/>
          <w:sz w:val="24"/>
          <w:szCs w:val="24"/>
          <w:lang w:val="ro-RO"/>
        </w:rPr>
        <w:t>boli parazitare</w:t>
      </w:r>
      <w:r w:rsidRPr="00934C02">
        <w:rPr>
          <w:rFonts w:ascii="Arial" w:eastAsia="SimSun" w:hAnsi="Arial" w:cs="Arial"/>
          <w:sz w:val="24"/>
          <w:szCs w:val="24"/>
          <w:lang w:val="ro-RO"/>
        </w:rPr>
        <w:t xml:space="preserve"> ca: amibiaza (dizenteria amibiană), giardioză sau lambliază, coccidioză intestinală şi hepatică, balantidioza sau dizenteria balantidiană, trichomoniaza, cisticercoza, echinococoza sau chistul hidatic, himenolepidoza umană, ascaridioza.</w:t>
      </w:r>
    </w:p>
    <w:p w:rsidR="00934C02" w:rsidRPr="00934C02" w:rsidRDefault="00934C02" w:rsidP="00934C02">
      <w:pPr>
        <w:autoSpaceDE w:val="0"/>
        <w:autoSpaceDN w:val="0"/>
        <w:adjustRightInd w:val="0"/>
        <w:spacing w:after="0" w:line="240" w:lineRule="auto"/>
        <w:ind w:firstLine="720"/>
        <w:jc w:val="both"/>
        <w:rPr>
          <w:rFonts w:ascii="Arial" w:eastAsia="SimSun" w:hAnsi="Arial" w:cs="Arial"/>
          <w:sz w:val="24"/>
          <w:szCs w:val="24"/>
          <w:lang w:val="ro-RO"/>
        </w:rPr>
      </w:pPr>
      <w:r w:rsidRPr="00934C02">
        <w:rPr>
          <w:rFonts w:ascii="Arial" w:eastAsia="SimSun" w:hAnsi="Arial" w:cs="Arial"/>
          <w:sz w:val="24"/>
          <w:szCs w:val="24"/>
          <w:lang w:val="ro-RO"/>
        </w:rPr>
        <w:t>Diverse substanţe chimice dizolvate în apă pot avea importante efecte asupra sănătăţii organismelor vii în general şi asupra omului în particular, semnalându-se cazuri de intoxicaţie cu substanţe chimice vehiculate în apă, ca urmare a poluării ei, ceea ce reduce rezistenţă generală a organismului, facându-l susceptibil diverselor agresiuni din afară, sau poate acţiona lent ducând la manisfestări de intoxicaţie cronică sau favorizând unele fenomene mutagene şi cancerigene.</w:t>
      </w:r>
    </w:p>
    <w:p w:rsidR="00934C02" w:rsidRPr="00934C02" w:rsidRDefault="00934C02" w:rsidP="00934C02">
      <w:pPr>
        <w:autoSpaceDE w:val="0"/>
        <w:autoSpaceDN w:val="0"/>
        <w:adjustRightInd w:val="0"/>
        <w:spacing w:after="0" w:line="240" w:lineRule="auto"/>
        <w:ind w:firstLine="720"/>
        <w:jc w:val="both"/>
        <w:rPr>
          <w:rFonts w:ascii="Arial" w:eastAsia="SimSun" w:hAnsi="Arial" w:cs="Arial"/>
          <w:sz w:val="24"/>
          <w:szCs w:val="24"/>
          <w:lang w:val="ro-RO"/>
        </w:rPr>
      </w:pPr>
      <w:r w:rsidRPr="00934C02">
        <w:rPr>
          <w:rFonts w:ascii="Arial" w:eastAsia="SimSun" w:hAnsi="Arial" w:cs="Arial"/>
          <w:sz w:val="24"/>
          <w:szCs w:val="24"/>
          <w:lang w:val="ro-RO"/>
        </w:rPr>
        <w:t>Astfel de substanţe sunt cianurile sau nitraţii, care devin toxice peste o anumită concentraţie, în timp ce în cazul altor substanţe chimice lipsa lor sau cantitatea prea redusă afectează sănătatea, astfel de substanţe esenţiale sunt pentru om: seleniul, fluorul, iodul, cum sunt şi substanţe toxice ce produc efecte nocive prin apariţia cancerului, mutaţiilor genetice şi a malformaţiilor, posibil la orice concentraţie cum ar fi arsenul şi unele pesticide. Uneori, poluarea este chiar consecinţa nedorită a măsurilor luate în scop de depoluare. Asfel, la clorinarea apei se formează trihalometani, incriminaţi pentru efecte cancerigene, fiind necesară respectarea dozei corecte de clorinare.</w:t>
      </w:r>
    </w:p>
    <w:p w:rsidR="00934C02" w:rsidRPr="00934C02" w:rsidRDefault="00934C02" w:rsidP="00934C02">
      <w:pPr>
        <w:spacing w:after="0" w:line="240" w:lineRule="auto"/>
        <w:ind w:firstLine="720"/>
        <w:jc w:val="both"/>
        <w:rPr>
          <w:rFonts w:ascii="Arial" w:eastAsia="Times New Roman" w:hAnsi="Arial" w:cs="Arial"/>
          <w:sz w:val="24"/>
          <w:szCs w:val="24"/>
          <w:lang w:val="it-IT"/>
        </w:rPr>
      </w:pPr>
      <w:r w:rsidRPr="00934C02">
        <w:rPr>
          <w:rFonts w:ascii="Arial" w:eastAsia="Times New Roman" w:hAnsi="Arial" w:cs="Arial"/>
          <w:sz w:val="24"/>
          <w:szCs w:val="24"/>
          <w:lang w:val="it-IT"/>
        </w:rPr>
        <w:t>Morbiditatea şi mortalitatea  au o cauzalitate multifactorial</w:t>
      </w:r>
      <w:r w:rsidRPr="00934C02">
        <w:rPr>
          <w:rFonts w:ascii="Arial" w:eastAsia="Times New Roman" w:hAnsi="Arial" w:cs="Arial"/>
          <w:sz w:val="24"/>
          <w:szCs w:val="24"/>
          <w:lang w:val="ro-RO"/>
        </w:rPr>
        <w:t xml:space="preserve">ă, astfel că, monitorizarea influenţei exclusive a calității apei asupra stării de sănătate a populaţiei, </w:t>
      </w:r>
      <w:r w:rsidRPr="00934C02">
        <w:rPr>
          <w:rFonts w:ascii="Arial" w:eastAsia="Times New Roman" w:hAnsi="Arial" w:cs="Arial"/>
          <w:sz w:val="24"/>
          <w:szCs w:val="24"/>
          <w:lang w:val="ro-RO"/>
        </w:rPr>
        <w:lastRenderedPageBreak/>
        <w:t>poate fi făcută numai prin studii populaţionale complexe.</w:t>
      </w:r>
      <w:r w:rsidRPr="00934C02">
        <w:rPr>
          <w:rFonts w:ascii="Arial" w:eastAsia="Times New Roman" w:hAnsi="Arial" w:cs="Arial"/>
          <w:sz w:val="24"/>
          <w:szCs w:val="24"/>
          <w:lang w:val="it-IT"/>
        </w:rPr>
        <w:t xml:space="preserve"> Nu deţinem date specifice  privind starea de sănătate a populaţiei în legatură cu calitatea apei, îmbolnăviri asociate factorilor de risc din apa pentru consum 0 cazuri la 1000 locuitori.</w:t>
      </w:r>
    </w:p>
    <w:p w:rsidR="00934C02" w:rsidRPr="00934C02" w:rsidRDefault="00934C02" w:rsidP="00934C02">
      <w:pPr>
        <w:autoSpaceDE w:val="0"/>
        <w:autoSpaceDN w:val="0"/>
        <w:adjustRightInd w:val="0"/>
        <w:spacing w:after="0" w:line="240" w:lineRule="auto"/>
        <w:ind w:firstLine="720"/>
        <w:jc w:val="both"/>
        <w:rPr>
          <w:rFonts w:ascii="Arial" w:eastAsia="SimSun" w:hAnsi="Arial" w:cs="Arial"/>
          <w:sz w:val="24"/>
          <w:szCs w:val="24"/>
          <w:lang w:val="ro-RO"/>
        </w:rPr>
      </w:pPr>
      <w:r w:rsidRPr="00934C02">
        <w:rPr>
          <w:rFonts w:ascii="Arial" w:eastAsia="SimSun" w:hAnsi="Arial" w:cs="Arial"/>
          <w:sz w:val="24"/>
          <w:szCs w:val="24"/>
          <w:lang w:val="ro-RO"/>
        </w:rPr>
        <w:t>O apă potabilă de calitate nu trebuie să conţină organisme animale şi vegetale şi să satisfacă cerinţe de calitate superioară privind indicatorii fizico-chimici, biologici şi bacteriologici, în acest sens este semnificativ faptul că în localităţile în care condiţiile de alimentare cu apă potabilă au fost îmbunătăţite, se constată o tendinţă de reducere a indicatorilor de morbiditate specifică prin afecţiuni hidrice.</w:t>
      </w:r>
    </w:p>
    <w:p w:rsidR="00934C02" w:rsidRPr="00934C02" w:rsidRDefault="00934C02" w:rsidP="00934C02">
      <w:pPr>
        <w:spacing w:after="0" w:line="240" w:lineRule="auto"/>
        <w:ind w:firstLine="720"/>
        <w:jc w:val="both"/>
        <w:rPr>
          <w:rFonts w:ascii="Arial" w:eastAsia="SimSun" w:hAnsi="Arial" w:cs="Arial"/>
          <w:sz w:val="24"/>
          <w:szCs w:val="24"/>
          <w:lang w:val="ro-RO"/>
        </w:rPr>
      </w:pPr>
      <w:r w:rsidRPr="00934C02">
        <w:rPr>
          <w:rFonts w:ascii="Arial" w:eastAsia="SimSun" w:hAnsi="Arial" w:cs="Arial"/>
          <w:sz w:val="24"/>
          <w:szCs w:val="24"/>
          <w:lang w:val="ro-RO"/>
        </w:rPr>
        <w:t xml:space="preserve">În anul 2015, în judeţul Vaslui, s-au înregistrat un număr de 2 cazuri de methemoglobinemie acută infantilă, generate de apa de fântană la o populaţie 0-1 an în mediul rural de 2.303 (media trimestrială), toate cazurile înregistrându-se în mediul rural. </w:t>
      </w:r>
    </w:p>
    <w:p w:rsidR="00934C02" w:rsidRPr="00934C02" w:rsidRDefault="00934C02" w:rsidP="00934C02">
      <w:pPr>
        <w:spacing w:after="0" w:line="240" w:lineRule="auto"/>
        <w:ind w:firstLine="720"/>
        <w:jc w:val="both"/>
        <w:rPr>
          <w:rFonts w:ascii="Arial" w:eastAsia="Times New Roman" w:hAnsi="Arial" w:cs="Arial"/>
          <w:sz w:val="20"/>
          <w:szCs w:val="20"/>
          <w:lang w:val="ro-RO"/>
        </w:rPr>
      </w:pPr>
      <w:r w:rsidRPr="00934C02">
        <w:rPr>
          <w:rFonts w:ascii="Arial" w:eastAsia="Times New Roman" w:hAnsi="Arial" w:cs="Arial"/>
          <w:sz w:val="24"/>
          <w:szCs w:val="24"/>
          <w:lang w:val="ro-RO"/>
        </w:rPr>
        <w:t>În perioada 2011-2015, la nivelul judeţului Vaslui nu s-au înregistrat cazuri de îmbolnăviri hidrice.</w:t>
      </w:r>
      <w:r w:rsidRPr="00934C02">
        <w:rPr>
          <w:rFonts w:ascii="Arial" w:eastAsia="Times New Roman" w:hAnsi="Arial" w:cs="Arial"/>
          <w:sz w:val="20"/>
          <w:szCs w:val="20"/>
          <w:lang w:val="ro-RO"/>
        </w:rPr>
        <w:t xml:space="preserve"> (Sursa: Direcţia de Sănătate Publică Vaslui)</w:t>
      </w:r>
    </w:p>
    <w:p w:rsidR="00934C02" w:rsidRPr="00934C02" w:rsidRDefault="00934C02" w:rsidP="00934C02">
      <w:pPr>
        <w:spacing w:after="0" w:line="240" w:lineRule="auto"/>
        <w:jc w:val="both"/>
        <w:rPr>
          <w:rFonts w:ascii="Arial" w:eastAsia="Times New Roman" w:hAnsi="Arial" w:cs="Arial"/>
          <w:sz w:val="24"/>
          <w:szCs w:val="24"/>
          <w:lang w:val="ro-RO"/>
        </w:rPr>
      </w:pPr>
    </w:p>
    <w:p w:rsidR="00934C02" w:rsidRPr="00934C02" w:rsidRDefault="00934C02" w:rsidP="00934C02">
      <w:pPr>
        <w:spacing w:after="0" w:line="240" w:lineRule="auto"/>
        <w:jc w:val="both"/>
        <w:rPr>
          <w:rFonts w:ascii="Arial" w:eastAsia="Times New Roman" w:hAnsi="Arial" w:cs="Arial"/>
          <w:sz w:val="24"/>
          <w:szCs w:val="24"/>
          <w:lang w:val="ro-RO"/>
        </w:rPr>
      </w:pPr>
      <w:r w:rsidRPr="00934C02">
        <w:rPr>
          <w:rFonts w:ascii="Arial" w:eastAsia="Times New Roman" w:hAnsi="Arial" w:cs="Arial"/>
          <w:sz w:val="24"/>
          <w:szCs w:val="24"/>
          <w:lang w:val="ro-RO"/>
        </w:rPr>
        <w:t>Tabelul VIII.12. Distribuţia cazurilor de methemoglobinemie</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1134"/>
        <w:gridCol w:w="1276"/>
        <w:gridCol w:w="1276"/>
        <w:gridCol w:w="1134"/>
        <w:gridCol w:w="1701"/>
      </w:tblGrid>
      <w:tr w:rsidR="00934C02" w:rsidRPr="00934C02" w:rsidTr="00934C02">
        <w:tc>
          <w:tcPr>
            <w:tcW w:w="3260" w:type="dxa"/>
          </w:tcPr>
          <w:p w:rsidR="00934C02" w:rsidRPr="00934C02" w:rsidRDefault="00934C02" w:rsidP="00934C02">
            <w:pPr>
              <w:spacing w:after="0" w:line="240" w:lineRule="auto"/>
              <w:rPr>
                <w:rFonts w:ascii="Arial" w:eastAsia="Times New Roman" w:hAnsi="Arial" w:cs="Arial"/>
                <w:b/>
                <w:lang w:val="ro-RO"/>
              </w:rPr>
            </w:pPr>
            <w:r w:rsidRPr="00934C02">
              <w:rPr>
                <w:rFonts w:ascii="Arial" w:eastAsia="Times New Roman" w:hAnsi="Arial" w:cs="Arial"/>
                <w:b/>
                <w:lang w:val="ro-RO"/>
              </w:rPr>
              <w:t>Anul 2015</w:t>
            </w:r>
          </w:p>
        </w:tc>
        <w:tc>
          <w:tcPr>
            <w:tcW w:w="1134" w:type="dxa"/>
          </w:tcPr>
          <w:p w:rsidR="00934C02" w:rsidRPr="00934C02" w:rsidRDefault="00934C02" w:rsidP="00934C02">
            <w:pPr>
              <w:spacing w:after="0" w:line="240" w:lineRule="auto"/>
              <w:jc w:val="both"/>
              <w:rPr>
                <w:rFonts w:ascii="Arial" w:eastAsia="Times New Roman" w:hAnsi="Arial" w:cs="Arial"/>
                <w:b/>
                <w:lang w:val="ro-RO"/>
              </w:rPr>
            </w:pPr>
            <w:r w:rsidRPr="00934C02">
              <w:rPr>
                <w:rFonts w:ascii="Arial" w:eastAsia="Times New Roman" w:hAnsi="Arial" w:cs="Arial"/>
                <w:b/>
                <w:lang w:val="ro-RO"/>
              </w:rPr>
              <w:t>Trim. I</w:t>
            </w:r>
          </w:p>
        </w:tc>
        <w:tc>
          <w:tcPr>
            <w:tcW w:w="1276" w:type="dxa"/>
          </w:tcPr>
          <w:p w:rsidR="00934C02" w:rsidRPr="00934C02" w:rsidRDefault="00934C02" w:rsidP="00934C02">
            <w:pPr>
              <w:spacing w:after="0" w:line="240" w:lineRule="auto"/>
              <w:jc w:val="both"/>
              <w:rPr>
                <w:rFonts w:ascii="Arial" w:eastAsia="Times New Roman" w:hAnsi="Arial" w:cs="Arial"/>
                <w:b/>
                <w:lang w:val="ro-RO"/>
              </w:rPr>
            </w:pPr>
            <w:r w:rsidRPr="00934C02">
              <w:rPr>
                <w:rFonts w:ascii="Arial" w:eastAsia="Times New Roman" w:hAnsi="Arial" w:cs="Arial"/>
                <w:b/>
                <w:lang w:val="ro-RO"/>
              </w:rPr>
              <w:t>Trim. II</w:t>
            </w:r>
          </w:p>
        </w:tc>
        <w:tc>
          <w:tcPr>
            <w:tcW w:w="1276" w:type="dxa"/>
          </w:tcPr>
          <w:p w:rsidR="00934C02" w:rsidRPr="00934C02" w:rsidRDefault="00934C02" w:rsidP="00934C02">
            <w:pPr>
              <w:spacing w:after="0" w:line="240" w:lineRule="auto"/>
              <w:jc w:val="both"/>
              <w:rPr>
                <w:rFonts w:ascii="Arial" w:eastAsia="Times New Roman" w:hAnsi="Arial" w:cs="Arial"/>
                <w:b/>
                <w:lang w:val="ro-RO"/>
              </w:rPr>
            </w:pPr>
            <w:r w:rsidRPr="00934C02">
              <w:rPr>
                <w:rFonts w:ascii="Arial" w:eastAsia="Times New Roman" w:hAnsi="Arial" w:cs="Arial"/>
                <w:b/>
                <w:lang w:val="ro-RO"/>
              </w:rPr>
              <w:t>Trim. III</w:t>
            </w:r>
          </w:p>
        </w:tc>
        <w:tc>
          <w:tcPr>
            <w:tcW w:w="1134" w:type="dxa"/>
          </w:tcPr>
          <w:p w:rsidR="00934C02" w:rsidRPr="00934C02" w:rsidRDefault="00934C02" w:rsidP="00934C02">
            <w:pPr>
              <w:spacing w:after="0" w:line="240" w:lineRule="auto"/>
              <w:jc w:val="both"/>
              <w:rPr>
                <w:rFonts w:ascii="Arial" w:eastAsia="Times New Roman" w:hAnsi="Arial" w:cs="Arial"/>
                <w:b/>
                <w:lang w:val="ro-RO"/>
              </w:rPr>
            </w:pPr>
            <w:r w:rsidRPr="00934C02">
              <w:rPr>
                <w:rFonts w:ascii="Arial" w:eastAsia="Times New Roman" w:hAnsi="Arial" w:cs="Arial"/>
                <w:b/>
                <w:lang w:val="ro-RO"/>
              </w:rPr>
              <w:t>Trim. IV</w:t>
            </w:r>
          </w:p>
        </w:tc>
        <w:tc>
          <w:tcPr>
            <w:tcW w:w="1701" w:type="dxa"/>
          </w:tcPr>
          <w:p w:rsidR="00934C02" w:rsidRPr="00934C02" w:rsidRDefault="00934C02" w:rsidP="00934C02">
            <w:pPr>
              <w:spacing w:after="0" w:line="240" w:lineRule="auto"/>
              <w:jc w:val="both"/>
              <w:rPr>
                <w:rFonts w:ascii="Arial" w:eastAsia="Times New Roman" w:hAnsi="Arial" w:cs="Arial"/>
                <w:b/>
                <w:lang w:val="ro-RO"/>
              </w:rPr>
            </w:pPr>
            <w:r w:rsidRPr="00934C02">
              <w:rPr>
                <w:rFonts w:ascii="Arial" w:eastAsia="Times New Roman" w:hAnsi="Arial" w:cs="Arial"/>
                <w:b/>
                <w:lang w:val="ro-RO"/>
              </w:rPr>
              <w:t>Total an 2015</w:t>
            </w:r>
          </w:p>
        </w:tc>
      </w:tr>
      <w:tr w:rsidR="00934C02" w:rsidRPr="00934C02" w:rsidTr="00934C02">
        <w:tc>
          <w:tcPr>
            <w:tcW w:w="3260" w:type="dxa"/>
          </w:tcPr>
          <w:p w:rsidR="00934C02" w:rsidRPr="00934C02" w:rsidRDefault="00934C02" w:rsidP="00934C02">
            <w:pPr>
              <w:spacing w:after="0" w:line="240" w:lineRule="auto"/>
              <w:rPr>
                <w:rFonts w:ascii="Arial" w:eastAsia="Times New Roman" w:hAnsi="Arial" w:cs="Arial"/>
                <w:lang w:val="ro-RO"/>
              </w:rPr>
            </w:pPr>
            <w:r w:rsidRPr="00934C02">
              <w:rPr>
                <w:rFonts w:ascii="Arial" w:eastAsia="Times New Roman" w:hAnsi="Arial" w:cs="Arial"/>
                <w:lang w:val="ro-RO"/>
              </w:rPr>
              <w:t>Nr. cazuri de methemoglobinemie</w:t>
            </w:r>
          </w:p>
        </w:tc>
        <w:tc>
          <w:tcPr>
            <w:tcW w:w="1134" w:type="dxa"/>
          </w:tcPr>
          <w:p w:rsidR="00934C02" w:rsidRPr="00934C02" w:rsidRDefault="00934C02" w:rsidP="00934C02">
            <w:pPr>
              <w:spacing w:after="0" w:line="240" w:lineRule="auto"/>
              <w:jc w:val="center"/>
              <w:rPr>
                <w:rFonts w:ascii="Arial" w:eastAsia="Times New Roman" w:hAnsi="Arial" w:cs="Arial"/>
                <w:lang w:val="ro-RO"/>
              </w:rPr>
            </w:pPr>
            <w:r w:rsidRPr="00934C02">
              <w:rPr>
                <w:rFonts w:ascii="Arial" w:eastAsia="Times New Roman" w:hAnsi="Arial" w:cs="Arial"/>
                <w:lang w:val="ro-RO"/>
              </w:rPr>
              <w:t>0</w:t>
            </w:r>
          </w:p>
        </w:tc>
        <w:tc>
          <w:tcPr>
            <w:tcW w:w="1276" w:type="dxa"/>
          </w:tcPr>
          <w:p w:rsidR="00934C02" w:rsidRPr="00934C02" w:rsidRDefault="00934C02" w:rsidP="00934C02">
            <w:pPr>
              <w:spacing w:after="0" w:line="240" w:lineRule="auto"/>
              <w:jc w:val="center"/>
              <w:rPr>
                <w:rFonts w:ascii="Arial" w:eastAsia="Times New Roman" w:hAnsi="Arial" w:cs="Arial"/>
                <w:lang w:val="ro-RO"/>
              </w:rPr>
            </w:pPr>
            <w:r w:rsidRPr="00934C02">
              <w:rPr>
                <w:rFonts w:ascii="Arial" w:eastAsia="Times New Roman" w:hAnsi="Arial" w:cs="Arial"/>
                <w:lang w:val="ro-RO"/>
              </w:rPr>
              <w:t>1</w:t>
            </w:r>
          </w:p>
        </w:tc>
        <w:tc>
          <w:tcPr>
            <w:tcW w:w="1276" w:type="dxa"/>
          </w:tcPr>
          <w:p w:rsidR="00934C02" w:rsidRPr="00934C02" w:rsidRDefault="00934C02" w:rsidP="00934C02">
            <w:pPr>
              <w:spacing w:after="0" w:line="240" w:lineRule="auto"/>
              <w:jc w:val="center"/>
              <w:rPr>
                <w:rFonts w:ascii="Arial" w:eastAsia="Times New Roman" w:hAnsi="Arial" w:cs="Arial"/>
                <w:lang w:val="ro-RO"/>
              </w:rPr>
            </w:pPr>
            <w:r w:rsidRPr="00934C02">
              <w:rPr>
                <w:rFonts w:ascii="Arial" w:eastAsia="Times New Roman" w:hAnsi="Arial" w:cs="Arial"/>
                <w:lang w:val="ro-RO"/>
              </w:rPr>
              <w:t>1</w:t>
            </w:r>
          </w:p>
        </w:tc>
        <w:tc>
          <w:tcPr>
            <w:tcW w:w="1134" w:type="dxa"/>
          </w:tcPr>
          <w:p w:rsidR="00934C02" w:rsidRPr="00934C02" w:rsidRDefault="00934C02" w:rsidP="00934C02">
            <w:pPr>
              <w:spacing w:after="0" w:line="240" w:lineRule="auto"/>
              <w:jc w:val="center"/>
              <w:rPr>
                <w:rFonts w:ascii="Arial" w:eastAsia="Times New Roman" w:hAnsi="Arial" w:cs="Arial"/>
                <w:lang w:val="ro-RO"/>
              </w:rPr>
            </w:pPr>
            <w:r w:rsidRPr="00934C02">
              <w:rPr>
                <w:rFonts w:ascii="Arial" w:eastAsia="Times New Roman" w:hAnsi="Arial" w:cs="Arial"/>
                <w:lang w:val="ro-RO"/>
              </w:rPr>
              <w:t>0</w:t>
            </w:r>
          </w:p>
        </w:tc>
        <w:tc>
          <w:tcPr>
            <w:tcW w:w="1701" w:type="dxa"/>
          </w:tcPr>
          <w:p w:rsidR="00934C02" w:rsidRPr="00934C02" w:rsidRDefault="00934C02" w:rsidP="00934C02">
            <w:pPr>
              <w:spacing w:after="0" w:line="240" w:lineRule="auto"/>
              <w:jc w:val="center"/>
              <w:rPr>
                <w:rFonts w:ascii="Arial" w:eastAsia="Times New Roman" w:hAnsi="Arial" w:cs="Arial"/>
                <w:lang w:val="ro-RO"/>
              </w:rPr>
            </w:pPr>
            <w:r w:rsidRPr="00934C02">
              <w:rPr>
                <w:rFonts w:ascii="Arial" w:eastAsia="Times New Roman" w:hAnsi="Arial" w:cs="Arial"/>
                <w:lang w:val="ro-RO"/>
              </w:rPr>
              <w:t>2</w:t>
            </w:r>
          </w:p>
        </w:tc>
      </w:tr>
    </w:tbl>
    <w:p w:rsidR="00934C02" w:rsidRPr="00934C02" w:rsidRDefault="00934C02" w:rsidP="00934C02">
      <w:pPr>
        <w:spacing w:after="0" w:line="240" w:lineRule="auto"/>
        <w:jc w:val="both"/>
        <w:rPr>
          <w:rFonts w:ascii="Arial" w:eastAsia="Times New Roman" w:hAnsi="Arial" w:cs="Arial"/>
          <w:sz w:val="20"/>
          <w:szCs w:val="20"/>
          <w:lang w:val="ro-RO"/>
        </w:rPr>
      </w:pPr>
      <w:r w:rsidRPr="00934C02">
        <w:rPr>
          <w:rFonts w:ascii="Arial" w:eastAsia="Times New Roman" w:hAnsi="Arial" w:cs="Arial"/>
          <w:sz w:val="20"/>
          <w:szCs w:val="20"/>
          <w:lang w:val="ro-RO"/>
        </w:rPr>
        <w:t xml:space="preserve">  (Sursa: Direcţia de Sănătate Publică Vaslui)</w:t>
      </w:r>
    </w:p>
    <w:p w:rsidR="00934C02" w:rsidRPr="00934C02" w:rsidRDefault="00934C02" w:rsidP="00934C02">
      <w:pPr>
        <w:spacing w:after="0" w:line="240" w:lineRule="auto"/>
        <w:rPr>
          <w:rFonts w:ascii="Arial" w:eastAsia="SimSun" w:hAnsi="Arial" w:cs="Times New Roman"/>
          <w:sz w:val="24"/>
          <w:szCs w:val="24"/>
          <w:shd w:val="clear" w:color="auto" w:fill="FFFFFF"/>
          <w:lang w:val="pt-BR"/>
        </w:rPr>
      </w:pPr>
    </w:p>
    <w:p w:rsidR="00934C02" w:rsidRPr="00934C02" w:rsidRDefault="00934C02" w:rsidP="00934C02">
      <w:pPr>
        <w:spacing w:after="0" w:line="240" w:lineRule="auto"/>
        <w:rPr>
          <w:rFonts w:ascii="Arial" w:eastAsia="SimSun" w:hAnsi="Arial" w:cs="Times New Roman"/>
          <w:sz w:val="24"/>
          <w:szCs w:val="24"/>
          <w:shd w:val="clear" w:color="auto" w:fill="FFFFFF"/>
          <w:lang w:val="pt-BR"/>
        </w:rPr>
      </w:pPr>
      <w:r w:rsidRPr="00934C02">
        <w:rPr>
          <w:rFonts w:ascii="Arial" w:eastAsia="SimSun" w:hAnsi="Arial" w:cs="Times New Roman"/>
          <w:sz w:val="24"/>
          <w:szCs w:val="24"/>
          <w:shd w:val="clear" w:color="auto" w:fill="FFFFFF"/>
          <w:lang w:val="pt-BR"/>
        </w:rPr>
        <w:t xml:space="preserve">Tabelul </w:t>
      </w:r>
      <w:r w:rsidRPr="00934C02">
        <w:rPr>
          <w:rFonts w:ascii="Arial" w:eastAsia="SimSun" w:hAnsi="Arial" w:cs="Arial"/>
          <w:sz w:val="24"/>
          <w:szCs w:val="24"/>
          <w:lang w:val="ro-RO"/>
        </w:rPr>
        <w:t>VIII</w:t>
      </w:r>
      <w:r w:rsidRPr="00934C02">
        <w:rPr>
          <w:rFonts w:ascii="Arial" w:eastAsia="SimSun" w:hAnsi="Arial" w:cs="Times New Roman"/>
          <w:sz w:val="24"/>
          <w:szCs w:val="24"/>
          <w:shd w:val="clear" w:color="auto" w:fill="FFFFFF"/>
          <w:lang w:val="pt-BR"/>
        </w:rPr>
        <w:t xml:space="preserve">.13. Numărul de cazuri de methemoglobinemie în perioada 2011-2015, la nivelul judeţului Vaslui     </w:t>
      </w:r>
    </w:p>
    <w:tbl>
      <w:tblPr>
        <w:tblW w:w="6878" w:type="dxa"/>
        <w:jc w:val="center"/>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26"/>
        <w:gridCol w:w="1092"/>
        <w:gridCol w:w="900"/>
        <w:gridCol w:w="900"/>
        <w:gridCol w:w="900"/>
        <w:gridCol w:w="960"/>
      </w:tblGrid>
      <w:tr w:rsidR="00934C02" w:rsidRPr="00934C02" w:rsidTr="00934C02">
        <w:trPr>
          <w:jc w:val="center"/>
        </w:trPr>
        <w:tc>
          <w:tcPr>
            <w:tcW w:w="2126" w:type="dxa"/>
          </w:tcPr>
          <w:p w:rsidR="00934C02" w:rsidRPr="00934C02" w:rsidRDefault="00934C02" w:rsidP="00934C02">
            <w:pPr>
              <w:spacing w:after="0" w:line="240" w:lineRule="auto"/>
              <w:jc w:val="center"/>
              <w:rPr>
                <w:rFonts w:ascii="Arial" w:eastAsia="SimSun" w:hAnsi="Arial" w:cs="Arial"/>
                <w:b/>
                <w:sz w:val="24"/>
                <w:szCs w:val="24"/>
                <w:lang w:val="pt-BR"/>
              </w:rPr>
            </w:pPr>
            <w:r w:rsidRPr="00934C02">
              <w:rPr>
                <w:rFonts w:ascii="Arial" w:eastAsia="SimSun" w:hAnsi="Arial" w:cs="Arial"/>
                <w:b/>
                <w:sz w:val="24"/>
                <w:szCs w:val="24"/>
                <w:lang w:val="pt-BR"/>
              </w:rPr>
              <w:t>Judeţ</w:t>
            </w:r>
          </w:p>
        </w:tc>
        <w:tc>
          <w:tcPr>
            <w:tcW w:w="1092" w:type="dxa"/>
          </w:tcPr>
          <w:p w:rsidR="00934C02" w:rsidRPr="00934C02" w:rsidRDefault="00934C02" w:rsidP="00934C02">
            <w:pPr>
              <w:spacing w:after="0" w:line="240" w:lineRule="auto"/>
              <w:jc w:val="center"/>
              <w:rPr>
                <w:rFonts w:ascii="Arial" w:eastAsia="SimSun" w:hAnsi="Arial" w:cs="Arial"/>
                <w:b/>
                <w:sz w:val="24"/>
                <w:szCs w:val="24"/>
                <w:lang w:val="pt-BR"/>
              </w:rPr>
            </w:pPr>
            <w:r w:rsidRPr="00934C02">
              <w:rPr>
                <w:rFonts w:ascii="Arial" w:eastAsia="SimSun" w:hAnsi="Arial" w:cs="Arial"/>
                <w:b/>
                <w:sz w:val="24"/>
                <w:szCs w:val="24"/>
                <w:lang w:val="pt-BR"/>
              </w:rPr>
              <w:t>2011</w:t>
            </w:r>
          </w:p>
        </w:tc>
        <w:tc>
          <w:tcPr>
            <w:tcW w:w="900" w:type="dxa"/>
          </w:tcPr>
          <w:p w:rsidR="00934C02" w:rsidRPr="00934C02" w:rsidRDefault="00934C02" w:rsidP="00934C02">
            <w:pPr>
              <w:spacing w:after="0" w:line="240" w:lineRule="auto"/>
              <w:jc w:val="center"/>
              <w:rPr>
                <w:rFonts w:ascii="Arial" w:eastAsia="SimSun" w:hAnsi="Arial" w:cs="Arial"/>
                <w:b/>
                <w:sz w:val="24"/>
                <w:szCs w:val="24"/>
                <w:lang w:val="pt-BR"/>
              </w:rPr>
            </w:pPr>
            <w:r w:rsidRPr="00934C02">
              <w:rPr>
                <w:rFonts w:ascii="Arial" w:eastAsia="SimSun" w:hAnsi="Arial" w:cs="Arial"/>
                <w:b/>
                <w:sz w:val="24"/>
                <w:szCs w:val="24"/>
                <w:lang w:val="pt-BR"/>
              </w:rPr>
              <w:t>2012</w:t>
            </w:r>
          </w:p>
        </w:tc>
        <w:tc>
          <w:tcPr>
            <w:tcW w:w="900" w:type="dxa"/>
          </w:tcPr>
          <w:p w:rsidR="00934C02" w:rsidRPr="00934C02" w:rsidRDefault="00934C02" w:rsidP="00934C02">
            <w:pPr>
              <w:spacing w:after="0" w:line="240" w:lineRule="auto"/>
              <w:jc w:val="center"/>
              <w:rPr>
                <w:rFonts w:ascii="Arial" w:eastAsia="SimSun" w:hAnsi="Arial" w:cs="Arial"/>
                <w:b/>
                <w:sz w:val="24"/>
                <w:szCs w:val="24"/>
                <w:lang w:val="pt-BR"/>
              </w:rPr>
            </w:pPr>
            <w:r w:rsidRPr="00934C02">
              <w:rPr>
                <w:rFonts w:ascii="Arial" w:eastAsia="SimSun" w:hAnsi="Arial" w:cs="Arial"/>
                <w:b/>
                <w:sz w:val="24"/>
                <w:szCs w:val="24"/>
                <w:lang w:val="pt-BR"/>
              </w:rPr>
              <w:t>2013</w:t>
            </w:r>
          </w:p>
        </w:tc>
        <w:tc>
          <w:tcPr>
            <w:tcW w:w="900" w:type="dxa"/>
            <w:tcBorders>
              <w:right w:val="single" w:sz="4" w:space="0" w:color="auto"/>
            </w:tcBorders>
          </w:tcPr>
          <w:p w:rsidR="00934C02" w:rsidRPr="00934C02" w:rsidRDefault="00934C02" w:rsidP="00934C02">
            <w:pPr>
              <w:spacing w:after="0" w:line="240" w:lineRule="auto"/>
              <w:jc w:val="center"/>
              <w:rPr>
                <w:rFonts w:ascii="Arial" w:eastAsia="SimSun" w:hAnsi="Arial" w:cs="Arial"/>
                <w:b/>
                <w:sz w:val="24"/>
                <w:szCs w:val="24"/>
                <w:lang w:val="pt-BR"/>
              </w:rPr>
            </w:pPr>
            <w:r w:rsidRPr="00934C02">
              <w:rPr>
                <w:rFonts w:ascii="Arial" w:eastAsia="SimSun" w:hAnsi="Arial" w:cs="Arial"/>
                <w:b/>
                <w:sz w:val="24"/>
                <w:szCs w:val="24"/>
                <w:lang w:val="pt-BR"/>
              </w:rPr>
              <w:t>2014</w:t>
            </w:r>
          </w:p>
        </w:tc>
        <w:tc>
          <w:tcPr>
            <w:tcW w:w="960" w:type="dxa"/>
            <w:tcBorders>
              <w:left w:val="single" w:sz="4" w:space="0" w:color="auto"/>
              <w:right w:val="single" w:sz="4" w:space="0" w:color="auto"/>
            </w:tcBorders>
          </w:tcPr>
          <w:p w:rsidR="00934C02" w:rsidRPr="00934C02" w:rsidRDefault="00934C02" w:rsidP="00934C02">
            <w:pPr>
              <w:spacing w:after="0" w:line="240" w:lineRule="auto"/>
              <w:jc w:val="center"/>
              <w:rPr>
                <w:rFonts w:ascii="Arial" w:eastAsia="SimSun" w:hAnsi="Arial" w:cs="Arial"/>
                <w:b/>
                <w:sz w:val="24"/>
                <w:szCs w:val="24"/>
                <w:lang w:val="pt-BR"/>
              </w:rPr>
            </w:pPr>
            <w:r w:rsidRPr="00934C02">
              <w:rPr>
                <w:rFonts w:ascii="Arial" w:eastAsia="SimSun" w:hAnsi="Arial" w:cs="Arial"/>
                <w:b/>
                <w:sz w:val="24"/>
                <w:szCs w:val="24"/>
                <w:lang w:val="pt-BR"/>
              </w:rPr>
              <w:t>2015</w:t>
            </w:r>
          </w:p>
        </w:tc>
      </w:tr>
      <w:tr w:rsidR="00934C02" w:rsidRPr="00934C02" w:rsidTr="00934C02">
        <w:trPr>
          <w:jc w:val="center"/>
        </w:trPr>
        <w:tc>
          <w:tcPr>
            <w:tcW w:w="2126" w:type="dxa"/>
          </w:tcPr>
          <w:p w:rsidR="00934C02" w:rsidRPr="00934C02" w:rsidRDefault="00934C02" w:rsidP="00934C02">
            <w:pPr>
              <w:spacing w:after="0" w:line="240" w:lineRule="auto"/>
              <w:jc w:val="both"/>
              <w:rPr>
                <w:rFonts w:ascii="Arial" w:eastAsia="SimSun" w:hAnsi="Arial" w:cs="Arial"/>
                <w:b/>
                <w:sz w:val="24"/>
                <w:szCs w:val="24"/>
                <w:lang w:val="pt-BR"/>
              </w:rPr>
            </w:pPr>
            <w:r w:rsidRPr="00934C02">
              <w:rPr>
                <w:rFonts w:ascii="Arial" w:eastAsia="SimSun" w:hAnsi="Arial" w:cs="Arial"/>
                <w:b/>
                <w:sz w:val="24"/>
                <w:szCs w:val="24"/>
                <w:lang w:val="pt-BR"/>
              </w:rPr>
              <w:t>Vaslui</w:t>
            </w:r>
          </w:p>
        </w:tc>
        <w:tc>
          <w:tcPr>
            <w:tcW w:w="1092" w:type="dxa"/>
          </w:tcPr>
          <w:p w:rsidR="00934C02" w:rsidRPr="00934C02" w:rsidRDefault="00934C02" w:rsidP="00934C02">
            <w:pPr>
              <w:spacing w:after="0" w:line="240" w:lineRule="auto"/>
              <w:jc w:val="center"/>
              <w:rPr>
                <w:rFonts w:ascii="Arial" w:eastAsia="SimSun" w:hAnsi="Arial" w:cs="Arial"/>
                <w:sz w:val="24"/>
                <w:szCs w:val="24"/>
                <w:lang w:val="pt-BR"/>
              </w:rPr>
            </w:pPr>
            <w:r w:rsidRPr="00934C02">
              <w:rPr>
                <w:rFonts w:ascii="Arial" w:eastAsia="SimSun" w:hAnsi="Arial" w:cs="Arial"/>
                <w:sz w:val="24"/>
                <w:szCs w:val="24"/>
                <w:lang w:val="pt-BR"/>
              </w:rPr>
              <w:t>6</w:t>
            </w:r>
          </w:p>
        </w:tc>
        <w:tc>
          <w:tcPr>
            <w:tcW w:w="900" w:type="dxa"/>
          </w:tcPr>
          <w:p w:rsidR="00934C02" w:rsidRPr="00934C02" w:rsidRDefault="00934C02" w:rsidP="00934C02">
            <w:pPr>
              <w:spacing w:after="0" w:line="240" w:lineRule="auto"/>
              <w:jc w:val="center"/>
              <w:rPr>
                <w:rFonts w:ascii="Arial" w:eastAsia="SimSun" w:hAnsi="Arial" w:cs="Arial"/>
                <w:sz w:val="24"/>
                <w:szCs w:val="24"/>
                <w:lang w:val="pt-BR"/>
              </w:rPr>
            </w:pPr>
            <w:r w:rsidRPr="00934C02">
              <w:rPr>
                <w:rFonts w:ascii="Arial" w:eastAsia="SimSun" w:hAnsi="Arial" w:cs="Arial"/>
                <w:sz w:val="24"/>
                <w:szCs w:val="24"/>
                <w:lang w:val="pt-BR"/>
              </w:rPr>
              <w:t>7</w:t>
            </w:r>
          </w:p>
        </w:tc>
        <w:tc>
          <w:tcPr>
            <w:tcW w:w="900" w:type="dxa"/>
          </w:tcPr>
          <w:p w:rsidR="00934C02" w:rsidRPr="00934C02" w:rsidRDefault="00934C02" w:rsidP="00934C02">
            <w:pPr>
              <w:spacing w:after="0" w:line="240" w:lineRule="auto"/>
              <w:jc w:val="center"/>
              <w:rPr>
                <w:rFonts w:ascii="Arial" w:eastAsia="SimSun" w:hAnsi="Arial" w:cs="Arial"/>
                <w:sz w:val="24"/>
                <w:szCs w:val="24"/>
                <w:lang w:val="pt-BR"/>
              </w:rPr>
            </w:pPr>
            <w:r w:rsidRPr="00934C02">
              <w:rPr>
                <w:rFonts w:ascii="Arial" w:eastAsia="SimSun" w:hAnsi="Arial" w:cs="Arial"/>
                <w:sz w:val="24"/>
                <w:szCs w:val="24"/>
                <w:lang w:val="pt-BR"/>
              </w:rPr>
              <w:t>5</w:t>
            </w:r>
          </w:p>
        </w:tc>
        <w:tc>
          <w:tcPr>
            <w:tcW w:w="900" w:type="dxa"/>
            <w:tcBorders>
              <w:right w:val="single" w:sz="4" w:space="0" w:color="auto"/>
            </w:tcBorders>
          </w:tcPr>
          <w:p w:rsidR="00934C02" w:rsidRPr="00934C02" w:rsidRDefault="00934C02" w:rsidP="00934C02">
            <w:pPr>
              <w:spacing w:after="0" w:line="240" w:lineRule="auto"/>
              <w:jc w:val="center"/>
              <w:rPr>
                <w:rFonts w:ascii="Arial" w:eastAsia="SimSun" w:hAnsi="Arial" w:cs="Arial"/>
                <w:sz w:val="24"/>
                <w:szCs w:val="24"/>
                <w:lang w:val="pt-BR"/>
              </w:rPr>
            </w:pPr>
            <w:r w:rsidRPr="00934C02">
              <w:rPr>
                <w:rFonts w:ascii="Arial" w:eastAsia="SimSun" w:hAnsi="Arial" w:cs="Arial"/>
                <w:sz w:val="24"/>
                <w:szCs w:val="24"/>
                <w:lang w:val="pt-BR"/>
              </w:rPr>
              <w:t>2</w:t>
            </w:r>
          </w:p>
        </w:tc>
        <w:tc>
          <w:tcPr>
            <w:tcW w:w="960" w:type="dxa"/>
            <w:tcBorders>
              <w:left w:val="single" w:sz="4" w:space="0" w:color="auto"/>
              <w:right w:val="single" w:sz="4" w:space="0" w:color="auto"/>
            </w:tcBorders>
          </w:tcPr>
          <w:p w:rsidR="00934C02" w:rsidRPr="00934C02" w:rsidRDefault="00934C02" w:rsidP="00934C02">
            <w:pPr>
              <w:spacing w:after="0" w:line="240" w:lineRule="auto"/>
              <w:jc w:val="center"/>
              <w:rPr>
                <w:rFonts w:ascii="Arial" w:eastAsia="SimSun" w:hAnsi="Arial" w:cs="Arial"/>
                <w:sz w:val="24"/>
                <w:szCs w:val="24"/>
                <w:lang w:val="pt-BR"/>
              </w:rPr>
            </w:pPr>
            <w:r w:rsidRPr="00934C02">
              <w:rPr>
                <w:rFonts w:ascii="Arial" w:eastAsia="SimSun" w:hAnsi="Arial" w:cs="Arial"/>
                <w:sz w:val="24"/>
                <w:szCs w:val="24"/>
                <w:lang w:val="pt-BR"/>
              </w:rPr>
              <w:t>2</w:t>
            </w:r>
          </w:p>
        </w:tc>
      </w:tr>
    </w:tbl>
    <w:p w:rsidR="00934C02" w:rsidRPr="00934C02" w:rsidRDefault="00934C02" w:rsidP="00934C02">
      <w:pPr>
        <w:spacing w:after="0" w:line="240" w:lineRule="auto"/>
        <w:rPr>
          <w:rFonts w:ascii="Arial" w:eastAsia="SimSun" w:hAnsi="Arial" w:cs="Arial"/>
          <w:i/>
          <w:sz w:val="20"/>
          <w:szCs w:val="20"/>
          <w:lang w:val="it-IT"/>
        </w:rPr>
      </w:pPr>
      <w:r w:rsidRPr="00934C02">
        <w:rPr>
          <w:rFonts w:ascii="Arial" w:eastAsia="SimSun" w:hAnsi="Arial" w:cs="Arial"/>
          <w:i/>
          <w:sz w:val="20"/>
          <w:szCs w:val="20"/>
          <w:lang w:val="it-IT"/>
        </w:rPr>
        <w:t xml:space="preserve">  </w:t>
      </w:r>
      <w:r w:rsidRPr="00934C02">
        <w:rPr>
          <w:rFonts w:ascii="Arial" w:eastAsia="SimSun" w:hAnsi="Arial" w:cs="Arial"/>
          <w:i/>
          <w:sz w:val="20"/>
          <w:szCs w:val="20"/>
          <w:lang w:val="it-IT"/>
        </w:rPr>
        <w:tab/>
      </w:r>
      <w:r w:rsidRPr="00934C02">
        <w:rPr>
          <w:rFonts w:ascii="Arial" w:eastAsia="SimSun" w:hAnsi="Arial" w:cs="Arial"/>
          <w:i/>
          <w:sz w:val="20"/>
          <w:szCs w:val="20"/>
          <w:lang w:val="it-IT"/>
        </w:rPr>
        <w:tab/>
        <w:t>(Sursa: Direcţia de Sănătate Publică Vaslui)</w:t>
      </w:r>
    </w:p>
    <w:p w:rsidR="00934C02" w:rsidRPr="00934C02" w:rsidRDefault="00934C02" w:rsidP="00934C02">
      <w:pPr>
        <w:spacing w:after="0" w:line="240" w:lineRule="auto"/>
        <w:rPr>
          <w:rFonts w:ascii="Arial" w:eastAsia="SimSun" w:hAnsi="Arial" w:cs="Arial"/>
          <w:sz w:val="24"/>
          <w:szCs w:val="24"/>
          <w:lang w:val="en-GB"/>
        </w:rPr>
      </w:pPr>
    </w:p>
    <w:p w:rsidR="00934C02" w:rsidRPr="00934C02" w:rsidRDefault="00934C02" w:rsidP="00934C02">
      <w:pPr>
        <w:spacing w:after="0" w:line="240" w:lineRule="auto"/>
        <w:rPr>
          <w:rFonts w:ascii="Arial" w:eastAsia="SimSun" w:hAnsi="Arial" w:cs="Times New Roman"/>
          <w:sz w:val="24"/>
          <w:szCs w:val="24"/>
          <w:shd w:val="clear" w:color="auto" w:fill="FFFFFF"/>
          <w:lang w:val="pt-BR"/>
        </w:rPr>
      </w:pPr>
      <w:r w:rsidRPr="00934C02">
        <w:rPr>
          <w:rFonts w:ascii="Arial" w:eastAsia="SimSun" w:hAnsi="Arial" w:cs="Arial"/>
          <w:sz w:val="24"/>
          <w:szCs w:val="24"/>
          <w:lang w:val="en-GB"/>
        </w:rPr>
        <w:t xml:space="preserve">Figura </w:t>
      </w:r>
      <w:r w:rsidRPr="00934C02">
        <w:rPr>
          <w:rFonts w:ascii="Arial" w:eastAsia="SimSun" w:hAnsi="Arial" w:cs="Arial"/>
          <w:sz w:val="24"/>
          <w:szCs w:val="24"/>
          <w:lang w:val="ro-RO"/>
        </w:rPr>
        <w:t>VIII</w:t>
      </w:r>
      <w:r w:rsidRPr="00934C02">
        <w:rPr>
          <w:rFonts w:ascii="Arial" w:eastAsia="SimSun" w:hAnsi="Arial" w:cs="Arial"/>
          <w:sz w:val="24"/>
          <w:szCs w:val="24"/>
          <w:lang w:val="en-GB"/>
        </w:rPr>
        <w:t xml:space="preserve">.7. </w:t>
      </w:r>
      <w:r w:rsidRPr="00934C02">
        <w:rPr>
          <w:rFonts w:ascii="Arial" w:eastAsia="SimSun" w:hAnsi="Arial" w:cs="Times New Roman"/>
          <w:sz w:val="24"/>
          <w:szCs w:val="24"/>
          <w:shd w:val="clear" w:color="auto" w:fill="FFFFFF"/>
          <w:lang w:val="pt-BR"/>
        </w:rPr>
        <w:t xml:space="preserve">Evoluţia cazurilor de methemoglobinemie, în perioada 2011-2015, la nivelul judeţului Vaslui     </w:t>
      </w:r>
    </w:p>
    <w:p w:rsidR="00934C02" w:rsidRPr="00934C02" w:rsidRDefault="00934C02" w:rsidP="00934C02">
      <w:pPr>
        <w:spacing w:after="0" w:line="240" w:lineRule="auto"/>
        <w:jc w:val="both"/>
        <w:rPr>
          <w:rFonts w:ascii="Arial" w:eastAsia="Times New Roman" w:hAnsi="Arial" w:cs="Arial"/>
          <w:sz w:val="24"/>
          <w:szCs w:val="24"/>
          <w:lang w:val="ro-RO"/>
        </w:rPr>
      </w:pPr>
      <w:r>
        <w:rPr>
          <w:rFonts w:ascii="Arial" w:eastAsia="Times New Roman" w:hAnsi="Arial" w:cs="Arial"/>
          <w:noProof/>
          <w:sz w:val="24"/>
          <w:szCs w:val="24"/>
        </w:rPr>
        <w:drawing>
          <wp:inline distT="0" distB="0" distL="0" distR="0">
            <wp:extent cx="6086475" cy="3000375"/>
            <wp:effectExtent l="0" t="0" r="0" b="0"/>
            <wp:docPr id="265" name="Chart 2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934C02" w:rsidRPr="00934C02" w:rsidRDefault="00934C02" w:rsidP="00934C02">
      <w:pPr>
        <w:tabs>
          <w:tab w:val="left" w:pos="1276"/>
        </w:tabs>
        <w:spacing w:after="0" w:line="240" w:lineRule="auto"/>
        <w:ind w:left="28"/>
        <w:rPr>
          <w:rFonts w:ascii="Arial" w:eastAsia="SimSun" w:hAnsi="Arial" w:cs="Arial"/>
          <w:i/>
          <w:szCs w:val="26"/>
          <w:lang w:val="ro-RO"/>
        </w:rPr>
      </w:pPr>
      <w:r w:rsidRPr="00934C02">
        <w:rPr>
          <w:rFonts w:ascii="Arial" w:eastAsia="SimSun" w:hAnsi="Arial" w:cs="Arial"/>
          <w:b/>
          <w:i/>
          <w:sz w:val="24"/>
          <w:szCs w:val="24"/>
          <w:lang w:val="ro-RO"/>
        </w:rPr>
        <w:lastRenderedPageBreak/>
        <w:t>VIII</w:t>
      </w:r>
      <w:r w:rsidRPr="00934C02">
        <w:rPr>
          <w:rFonts w:ascii="Arial" w:eastAsia="SimSun" w:hAnsi="Arial" w:cs="Arial"/>
          <w:b/>
          <w:i/>
          <w:szCs w:val="26"/>
          <w:lang w:val="ro-RO"/>
        </w:rPr>
        <w:t>.1.4. Spaţiile verzi şi efectele asupra sănătăţii şi calităţii vieţii</w:t>
      </w:r>
      <w:r w:rsidRPr="00934C02">
        <w:rPr>
          <w:rFonts w:ascii="Arial" w:eastAsia="SimSun" w:hAnsi="Arial" w:cs="Arial"/>
          <w:b/>
          <w:i/>
          <w:szCs w:val="26"/>
          <w:lang w:val="ro-RO"/>
        </w:rPr>
        <w:tab/>
      </w:r>
    </w:p>
    <w:p w:rsidR="00934C02" w:rsidRPr="00934C02" w:rsidRDefault="00934C02" w:rsidP="00934C02">
      <w:pPr>
        <w:spacing w:after="0" w:line="240" w:lineRule="auto"/>
        <w:ind w:firstLine="720"/>
        <w:jc w:val="both"/>
        <w:rPr>
          <w:rFonts w:ascii="Arial" w:eastAsia="Times New Roman" w:hAnsi="Arial" w:cs="Arial"/>
          <w:sz w:val="24"/>
          <w:szCs w:val="24"/>
          <w:lang w:val="ro-RO"/>
        </w:rPr>
      </w:pPr>
    </w:p>
    <w:p w:rsidR="00934C02" w:rsidRPr="00934C02" w:rsidRDefault="00934C02" w:rsidP="00934C02">
      <w:pPr>
        <w:spacing w:after="0" w:line="240" w:lineRule="auto"/>
        <w:ind w:firstLine="720"/>
        <w:jc w:val="both"/>
        <w:rPr>
          <w:rFonts w:ascii="Arial" w:eastAsia="Times New Roman" w:hAnsi="Arial" w:cs="Arial"/>
          <w:sz w:val="24"/>
          <w:szCs w:val="24"/>
          <w:lang w:val="ro-RO"/>
        </w:rPr>
      </w:pPr>
      <w:r w:rsidRPr="00934C02">
        <w:rPr>
          <w:rFonts w:ascii="Arial" w:eastAsia="Times New Roman" w:hAnsi="Arial" w:cs="Arial"/>
          <w:sz w:val="24"/>
          <w:szCs w:val="24"/>
          <w:lang w:val="ro-RO"/>
        </w:rPr>
        <w:t>Spaţiile verzi sunt un element esenţial al habitatului uman. Gama spaţiilor verzi este foarte largă, luându-se în evidenţă două mari categorii: spaţiile verzi extravilane şi intravilane (sau spaţiile verzi urbane).</w:t>
      </w:r>
    </w:p>
    <w:p w:rsidR="00934C02" w:rsidRPr="00934C02" w:rsidRDefault="00934C02" w:rsidP="00934C02">
      <w:pPr>
        <w:autoSpaceDE w:val="0"/>
        <w:autoSpaceDN w:val="0"/>
        <w:adjustRightInd w:val="0"/>
        <w:spacing w:after="0" w:line="240" w:lineRule="auto"/>
        <w:ind w:firstLine="720"/>
        <w:jc w:val="both"/>
        <w:rPr>
          <w:rFonts w:ascii="Arial" w:eastAsia="Times New Roman" w:hAnsi="Arial" w:cs="Arial"/>
          <w:iCs/>
          <w:sz w:val="24"/>
          <w:szCs w:val="24"/>
          <w:lang w:val="ro-RO" w:eastAsia="ro-RO"/>
        </w:rPr>
      </w:pPr>
      <w:r w:rsidRPr="00934C02">
        <w:rPr>
          <w:rFonts w:ascii="Arial" w:eastAsia="Times New Roman" w:hAnsi="Arial" w:cs="Arial"/>
          <w:iCs/>
          <w:sz w:val="24"/>
          <w:szCs w:val="24"/>
          <w:lang w:val="ro-RO" w:eastAsia="ro-RO"/>
        </w:rPr>
        <w:t>Restrângerea spaţiilor verzi accentuează puternic riscurile ecologice urbane şi are un impact negativ imediat asupra calităţii vieţii şi stării de sănătate a populaţiei. De aceea, în ultima vreme, lumea luptă sub diverse forme pentru crearea de noi spaţii verzi, în special în zonele urbane cele mai aglomerate.</w:t>
      </w:r>
    </w:p>
    <w:p w:rsidR="00934C02" w:rsidRPr="00934C02" w:rsidRDefault="00934C02" w:rsidP="00934C02">
      <w:pPr>
        <w:tabs>
          <w:tab w:val="left" w:pos="1276"/>
        </w:tabs>
        <w:spacing w:after="0" w:line="240" w:lineRule="auto"/>
        <w:ind w:left="28"/>
        <w:rPr>
          <w:rFonts w:ascii="Arial" w:eastAsia="SimSun" w:hAnsi="Arial" w:cs="Arial"/>
          <w:i/>
          <w:szCs w:val="26"/>
          <w:lang w:val="ro-RO"/>
        </w:rPr>
      </w:pPr>
    </w:p>
    <w:p w:rsidR="00934C02" w:rsidRDefault="00934C02" w:rsidP="00934C02">
      <w:pPr>
        <w:tabs>
          <w:tab w:val="left" w:pos="1276"/>
        </w:tabs>
        <w:spacing w:after="0" w:line="240" w:lineRule="auto"/>
        <w:ind w:left="28"/>
        <w:rPr>
          <w:rFonts w:ascii="Arial" w:eastAsia="SimSun" w:hAnsi="Arial" w:cs="Arial"/>
          <w:sz w:val="24"/>
          <w:szCs w:val="24"/>
          <w:lang w:val="ro-RO"/>
        </w:rPr>
      </w:pPr>
      <w:r w:rsidRPr="00934C02">
        <w:rPr>
          <w:rFonts w:ascii="Arial" w:eastAsia="SimSun" w:hAnsi="Arial" w:cs="Arial"/>
          <w:sz w:val="24"/>
          <w:szCs w:val="24"/>
          <w:lang w:val="ro-RO"/>
        </w:rPr>
        <w:t>VIII.1.4.1. Suprafaţa ocupată de spaţiile verzi în aglomerările urbane</w:t>
      </w:r>
    </w:p>
    <w:p w:rsidR="00006A97" w:rsidRPr="00934C02" w:rsidRDefault="00006A97" w:rsidP="00934C02">
      <w:pPr>
        <w:tabs>
          <w:tab w:val="left" w:pos="1276"/>
        </w:tabs>
        <w:spacing w:after="0" w:line="240" w:lineRule="auto"/>
        <w:ind w:left="28"/>
        <w:rPr>
          <w:rFonts w:ascii="Arial" w:eastAsia="SimSun" w:hAnsi="Arial" w:cs="Arial"/>
          <w:sz w:val="24"/>
          <w:szCs w:val="24"/>
          <w:lang w:val="ro-RO"/>
        </w:rPr>
      </w:pPr>
    </w:p>
    <w:p w:rsidR="00934C02" w:rsidRPr="00934C02" w:rsidRDefault="00934C02" w:rsidP="00934C02">
      <w:pPr>
        <w:autoSpaceDE w:val="0"/>
        <w:autoSpaceDN w:val="0"/>
        <w:adjustRightInd w:val="0"/>
        <w:spacing w:after="0" w:line="240" w:lineRule="auto"/>
        <w:jc w:val="both"/>
        <w:rPr>
          <w:rFonts w:ascii="Arial" w:eastAsia="Times New Roman" w:hAnsi="Arial" w:cs="Arial"/>
          <w:color w:val="000000"/>
          <w:sz w:val="24"/>
          <w:szCs w:val="24"/>
        </w:rPr>
      </w:pPr>
      <w:r w:rsidRPr="00934C02">
        <w:rPr>
          <w:rFonts w:ascii="Arial" w:eastAsia="SimSun" w:hAnsi="Arial" w:cs="Arial"/>
          <w:color w:val="000000"/>
          <w:sz w:val="24"/>
          <w:szCs w:val="24"/>
          <w:lang w:val="en-GB"/>
        </w:rPr>
        <w:tab/>
      </w:r>
      <w:r w:rsidRPr="00934C02">
        <w:rPr>
          <w:rFonts w:ascii="Arial" w:eastAsia="Times New Roman" w:hAnsi="Arial" w:cs="Arial"/>
          <w:color w:val="000000"/>
          <w:sz w:val="24"/>
          <w:szCs w:val="24"/>
        </w:rPr>
        <w:t xml:space="preserve">Conform </w:t>
      </w:r>
      <w:r w:rsidRPr="00934C02">
        <w:rPr>
          <w:rFonts w:ascii="Arial" w:eastAsia="Times New Roman" w:hAnsi="Arial" w:cs="Arial"/>
          <w:i/>
          <w:color w:val="000000"/>
          <w:sz w:val="24"/>
          <w:szCs w:val="24"/>
        </w:rPr>
        <w:t>Legii</w:t>
      </w:r>
      <w:r w:rsidRPr="00934C02">
        <w:rPr>
          <w:rFonts w:ascii="Arial" w:eastAsia="Times New Roman" w:hAnsi="Arial" w:cs="Arial"/>
          <w:i/>
          <w:iCs/>
          <w:color w:val="000000"/>
          <w:sz w:val="24"/>
          <w:szCs w:val="24"/>
        </w:rPr>
        <w:t xml:space="preserve"> 24/2007 privind reglementarea şi administrarea spaţiilor verzi din zonele urbane se </w:t>
      </w:r>
      <w:r w:rsidRPr="00934C02">
        <w:rPr>
          <w:rFonts w:ascii="Arial" w:eastAsia="Times New Roman" w:hAnsi="Arial" w:cs="Arial"/>
          <w:color w:val="000000"/>
          <w:sz w:val="24"/>
          <w:szCs w:val="24"/>
        </w:rPr>
        <w:t xml:space="preserve">precizează că prin </w:t>
      </w:r>
      <w:r w:rsidRPr="00934C02">
        <w:rPr>
          <w:rFonts w:ascii="Arial" w:eastAsia="Times New Roman" w:hAnsi="Arial" w:cs="Arial"/>
          <w:b/>
          <w:bCs/>
          <w:color w:val="000000"/>
          <w:sz w:val="24"/>
          <w:szCs w:val="24"/>
        </w:rPr>
        <w:t xml:space="preserve">spaţiu verde </w:t>
      </w:r>
      <w:r w:rsidRPr="00934C02">
        <w:rPr>
          <w:rFonts w:ascii="Arial" w:eastAsia="Times New Roman" w:hAnsi="Arial" w:cs="Arial"/>
          <w:color w:val="000000"/>
          <w:sz w:val="24"/>
          <w:szCs w:val="24"/>
        </w:rPr>
        <w:t>se înţelege „zona</w:t>
      </w:r>
      <w:r w:rsidRPr="00934C02">
        <w:rPr>
          <w:rFonts w:ascii="Arial" w:eastAsia="Times New Roman" w:hAnsi="Arial" w:cs="Arial"/>
          <w:i/>
          <w:iCs/>
          <w:color w:val="000000"/>
          <w:sz w:val="24"/>
          <w:szCs w:val="24"/>
        </w:rPr>
        <w:t xml:space="preserve"> </w:t>
      </w:r>
      <w:r w:rsidRPr="00934C02">
        <w:rPr>
          <w:rFonts w:ascii="Arial" w:eastAsia="Times New Roman" w:hAnsi="Arial" w:cs="Arial"/>
          <w:color w:val="000000"/>
          <w:sz w:val="24"/>
          <w:szCs w:val="24"/>
        </w:rPr>
        <w:t>verde din cadrul oraşelor şi municipiilor, definită ca o reţea mozaicată sau un</w:t>
      </w:r>
      <w:r w:rsidRPr="00934C02">
        <w:rPr>
          <w:rFonts w:ascii="Arial" w:eastAsia="Times New Roman" w:hAnsi="Arial" w:cs="Arial"/>
          <w:i/>
          <w:iCs/>
          <w:color w:val="000000"/>
          <w:sz w:val="24"/>
          <w:szCs w:val="24"/>
        </w:rPr>
        <w:t xml:space="preserve"> </w:t>
      </w:r>
      <w:r w:rsidRPr="00934C02">
        <w:rPr>
          <w:rFonts w:ascii="Arial" w:eastAsia="Times New Roman" w:hAnsi="Arial" w:cs="Arial"/>
          <w:color w:val="000000"/>
          <w:sz w:val="24"/>
          <w:szCs w:val="24"/>
        </w:rPr>
        <w:t>sistem de ecosisteme seminaturale, al cărei specific este determinat de vegetaţie</w:t>
      </w:r>
      <w:r w:rsidRPr="00934C02">
        <w:rPr>
          <w:rFonts w:ascii="Arial" w:eastAsia="Times New Roman" w:hAnsi="Arial" w:cs="Arial"/>
          <w:i/>
          <w:iCs/>
          <w:color w:val="000000"/>
          <w:sz w:val="24"/>
          <w:szCs w:val="24"/>
        </w:rPr>
        <w:t xml:space="preserve"> </w:t>
      </w:r>
      <w:r w:rsidRPr="00934C02">
        <w:rPr>
          <w:rFonts w:ascii="Arial" w:eastAsia="Times New Roman" w:hAnsi="Arial" w:cs="Arial"/>
          <w:color w:val="000000"/>
          <w:sz w:val="24"/>
          <w:szCs w:val="24"/>
        </w:rPr>
        <w:t>(lemnoasă, arborescentă, arbustivă, floricolă şi erbacee)” (art. 2). Prin această lege</w:t>
      </w:r>
      <w:r w:rsidRPr="00934C02">
        <w:rPr>
          <w:rFonts w:ascii="Arial" w:eastAsia="Times New Roman" w:hAnsi="Arial" w:cs="Arial"/>
          <w:i/>
          <w:iCs/>
          <w:color w:val="000000"/>
          <w:sz w:val="24"/>
          <w:szCs w:val="24"/>
        </w:rPr>
        <w:t xml:space="preserve"> </w:t>
      </w:r>
      <w:r w:rsidRPr="00934C02">
        <w:rPr>
          <w:rFonts w:ascii="Arial" w:eastAsia="Times New Roman" w:hAnsi="Arial" w:cs="Arial"/>
          <w:color w:val="000000"/>
          <w:sz w:val="24"/>
          <w:szCs w:val="24"/>
        </w:rPr>
        <w:t>se „reglementează administrarea spaţiilor verzi, ca obiective de interes public, în</w:t>
      </w:r>
      <w:r w:rsidRPr="00934C02">
        <w:rPr>
          <w:rFonts w:ascii="Arial" w:eastAsia="Times New Roman" w:hAnsi="Arial" w:cs="Arial"/>
          <w:i/>
          <w:iCs/>
          <w:color w:val="000000"/>
          <w:sz w:val="24"/>
          <w:szCs w:val="24"/>
        </w:rPr>
        <w:t xml:space="preserve"> </w:t>
      </w:r>
      <w:r w:rsidRPr="00934C02">
        <w:rPr>
          <w:rFonts w:ascii="Arial" w:eastAsia="Times New Roman" w:hAnsi="Arial" w:cs="Arial"/>
          <w:color w:val="000000"/>
          <w:sz w:val="24"/>
          <w:szCs w:val="24"/>
        </w:rPr>
        <w:t>vederea asigurării calităţii factorilor de mediu şi stării de sănătate a populaţiei” (art. 1).</w:t>
      </w:r>
    </w:p>
    <w:p w:rsidR="00934C02" w:rsidRPr="00934C02" w:rsidRDefault="00934C02" w:rsidP="00934C02">
      <w:pPr>
        <w:autoSpaceDE w:val="0"/>
        <w:autoSpaceDN w:val="0"/>
        <w:adjustRightInd w:val="0"/>
        <w:spacing w:after="0" w:line="240" w:lineRule="auto"/>
        <w:jc w:val="both"/>
        <w:rPr>
          <w:rFonts w:ascii="Arial" w:eastAsia="Times New Roman" w:hAnsi="Arial" w:cs="Arial"/>
          <w:i/>
          <w:iCs/>
          <w:color w:val="FF0000"/>
          <w:sz w:val="24"/>
          <w:szCs w:val="24"/>
        </w:rPr>
      </w:pPr>
    </w:p>
    <w:p w:rsidR="00934C02" w:rsidRPr="00934C02" w:rsidRDefault="00934C02" w:rsidP="00934C02">
      <w:pPr>
        <w:autoSpaceDE w:val="0"/>
        <w:autoSpaceDN w:val="0"/>
        <w:adjustRightInd w:val="0"/>
        <w:spacing w:after="27" w:line="240" w:lineRule="auto"/>
        <w:jc w:val="both"/>
        <w:rPr>
          <w:rFonts w:ascii="Arial" w:eastAsia="Times New Roman" w:hAnsi="Arial" w:cs="Arial"/>
          <w:color w:val="000000"/>
          <w:sz w:val="24"/>
          <w:szCs w:val="24"/>
        </w:rPr>
      </w:pPr>
      <w:r w:rsidRPr="00934C02">
        <w:rPr>
          <w:rFonts w:ascii="Arial" w:eastAsia="Times New Roman" w:hAnsi="Arial" w:cs="Arial"/>
          <w:color w:val="000000"/>
          <w:sz w:val="24"/>
          <w:szCs w:val="24"/>
        </w:rPr>
        <w:t xml:space="preserve">Figura </w:t>
      </w:r>
      <w:r w:rsidRPr="00934C02">
        <w:rPr>
          <w:rFonts w:ascii="Arial" w:eastAsia="Times New Roman" w:hAnsi="Arial" w:cs="Arial"/>
          <w:color w:val="000000"/>
          <w:sz w:val="24"/>
          <w:szCs w:val="24"/>
          <w:lang w:val="ro-RO"/>
        </w:rPr>
        <w:t>VIII</w:t>
      </w:r>
      <w:r w:rsidRPr="00934C02">
        <w:rPr>
          <w:rFonts w:ascii="Arial" w:eastAsia="Times New Roman" w:hAnsi="Arial" w:cs="Arial"/>
          <w:color w:val="000000"/>
          <w:sz w:val="24"/>
          <w:szCs w:val="24"/>
        </w:rPr>
        <w:t>.8. Evoluţia suprafeţei spaţiilor verzi din totalul intravilan, la nivel urban, în perioada 2011-2015, pentru judeţul Vaslui</w:t>
      </w:r>
    </w:p>
    <w:p w:rsidR="00934C02" w:rsidRPr="00934C02" w:rsidRDefault="00934C02" w:rsidP="00934C02">
      <w:pPr>
        <w:autoSpaceDE w:val="0"/>
        <w:autoSpaceDN w:val="0"/>
        <w:adjustRightInd w:val="0"/>
        <w:spacing w:after="27" w:line="240" w:lineRule="auto"/>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5981700" cy="1714500"/>
            <wp:effectExtent l="0" t="0" r="0" b="0"/>
            <wp:docPr id="264" name="Chart 2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934C02" w:rsidRPr="00934C02" w:rsidRDefault="00934C02" w:rsidP="00934C02">
      <w:pPr>
        <w:autoSpaceDE w:val="0"/>
        <w:autoSpaceDN w:val="0"/>
        <w:adjustRightInd w:val="0"/>
        <w:spacing w:after="0" w:line="240" w:lineRule="auto"/>
        <w:ind w:firstLine="720"/>
        <w:jc w:val="both"/>
        <w:rPr>
          <w:rFonts w:ascii="Arial" w:eastAsia="Times New Roman" w:hAnsi="Arial" w:cs="Arial"/>
          <w:sz w:val="24"/>
          <w:szCs w:val="24"/>
        </w:rPr>
      </w:pPr>
      <w:r w:rsidRPr="00934C02">
        <w:rPr>
          <w:rFonts w:ascii="Arial" w:eastAsia="Times New Roman" w:hAnsi="Arial" w:cs="Arial"/>
          <w:sz w:val="24"/>
          <w:szCs w:val="24"/>
        </w:rPr>
        <w:t xml:space="preserve">În ceea ce priveşte structura spaţiilor verzi din municipiul judeţului Vaslui, aceasta era formată, în anul 2015, în mod preponderent, din spaţiile verzi din cadrul ansamblurilor de locuinţe (85,92%) şi din parcuri şi grădini (14,08%). </w:t>
      </w:r>
    </w:p>
    <w:p w:rsidR="00934C02" w:rsidRPr="00934C02" w:rsidRDefault="00934C02" w:rsidP="00934C02">
      <w:pPr>
        <w:autoSpaceDE w:val="0"/>
        <w:autoSpaceDN w:val="0"/>
        <w:adjustRightInd w:val="0"/>
        <w:spacing w:after="0" w:line="240" w:lineRule="auto"/>
        <w:jc w:val="both"/>
        <w:rPr>
          <w:rFonts w:ascii="Arial" w:eastAsia="Times New Roman" w:hAnsi="Arial" w:cs="Arial"/>
          <w:sz w:val="24"/>
          <w:szCs w:val="24"/>
        </w:rPr>
      </w:pPr>
    </w:p>
    <w:p w:rsidR="00934C02" w:rsidRPr="00934C02" w:rsidRDefault="00934C02" w:rsidP="00934C02">
      <w:pPr>
        <w:widowControl w:val="0"/>
        <w:autoSpaceDE w:val="0"/>
        <w:autoSpaceDN w:val="0"/>
        <w:adjustRightInd w:val="0"/>
        <w:spacing w:after="0" w:line="240" w:lineRule="auto"/>
        <w:rPr>
          <w:rFonts w:ascii="Arial" w:eastAsia="Times New Roman" w:hAnsi="Arial" w:cs="Arial"/>
          <w:sz w:val="24"/>
          <w:szCs w:val="24"/>
          <w:lang w:val="ro-RO" w:eastAsia="ro-RO"/>
        </w:rPr>
      </w:pPr>
      <w:r w:rsidRPr="00934C02">
        <w:rPr>
          <w:rFonts w:ascii="Arial" w:eastAsia="Times New Roman" w:hAnsi="Arial" w:cs="Arial"/>
          <w:sz w:val="24"/>
          <w:szCs w:val="24"/>
          <w:lang w:val="ro-RO" w:eastAsia="ro-RO"/>
        </w:rPr>
        <w:t xml:space="preserve"> Tabelul VIII.14. Evoluţia suprafeţelor de spaţiile verzi pe cap de locuitor (</w:t>
      </w:r>
      <w:r w:rsidRPr="00934C02">
        <w:rPr>
          <w:rFonts w:ascii="Arial" w:eastAsia="SimSun" w:hAnsi="Arial" w:cs="Arial"/>
          <w:sz w:val="24"/>
          <w:szCs w:val="24"/>
          <w:lang w:val="ro-RO"/>
        </w:rPr>
        <w:t>mp/locuitor)</w:t>
      </w:r>
    </w:p>
    <w:p w:rsidR="00934C02" w:rsidRPr="00934C02" w:rsidRDefault="00934C02" w:rsidP="00934C02">
      <w:pPr>
        <w:widowControl w:val="0"/>
        <w:autoSpaceDE w:val="0"/>
        <w:autoSpaceDN w:val="0"/>
        <w:adjustRightInd w:val="0"/>
        <w:spacing w:after="0" w:line="240" w:lineRule="auto"/>
        <w:jc w:val="center"/>
        <w:rPr>
          <w:rFonts w:ascii="Arial" w:eastAsia="Times New Roman" w:hAnsi="Arial" w:cs="Arial"/>
          <w:sz w:val="6"/>
          <w:szCs w:val="6"/>
          <w:lang w:val="ro-RO" w:eastAsia="ro-RO"/>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565"/>
        <w:gridCol w:w="1273"/>
        <w:gridCol w:w="1273"/>
        <w:gridCol w:w="1273"/>
        <w:gridCol w:w="1273"/>
        <w:gridCol w:w="990"/>
      </w:tblGrid>
      <w:tr w:rsidR="00934C02" w:rsidRPr="00934C02" w:rsidTr="00934C02">
        <w:trPr>
          <w:trHeight w:val="507"/>
        </w:trPr>
        <w:tc>
          <w:tcPr>
            <w:tcW w:w="851" w:type="dxa"/>
            <w:shd w:val="clear" w:color="auto" w:fill="auto"/>
          </w:tcPr>
          <w:p w:rsidR="00934C02" w:rsidRPr="00934C02" w:rsidRDefault="00934C02" w:rsidP="00934C02">
            <w:pPr>
              <w:widowControl w:val="0"/>
              <w:spacing w:after="0" w:line="240" w:lineRule="auto"/>
              <w:jc w:val="both"/>
              <w:rPr>
                <w:rFonts w:ascii="Arial" w:eastAsia="SimSun" w:hAnsi="Arial" w:cs="Arial"/>
                <w:b/>
                <w:sz w:val="24"/>
                <w:szCs w:val="24"/>
                <w:lang w:val="ro-RO"/>
              </w:rPr>
            </w:pPr>
            <w:r w:rsidRPr="00934C02">
              <w:rPr>
                <w:rFonts w:ascii="Arial" w:eastAsia="SimSun" w:hAnsi="Arial" w:cs="Arial"/>
                <w:sz w:val="24"/>
                <w:szCs w:val="24"/>
                <w:lang w:val="ro-RO"/>
              </w:rPr>
              <w:t xml:space="preserve"> </w:t>
            </w:r>
            <w:r w:rsidRPr="00934C02">
              <w:rPr>
                <w:rFonts w:ascii="Arial" w:eastAsia="SimSun" w:hAnsi="Arial" w:cs="Arial"/>
                <w:b/>
                <w:sz w:val="24"/>
                <w:szCs w:val="24"/>
                <w:lang w:val="ro-RO"/>
              </w:rPr>
              <w:t>Nr. crt.</w:t>
            </w:r>
          </w:p>
        </w:tc>
        <w:tc>
          <w:tcPr>
            <w:tcW w:w="2565" w:type="dxa"/>
            <w:shd w:val="clear" w:color="auto" w:fill="auto"/>
            <w:vAlign w:val="center"/>
          </w:tcPr>
          <w:p w:rsidR="00934C02" w:rsidRPr="00934C02" w:rsidRDefault="00934C02" w:rsidP="00934C02">
            <w:pPr>
              <w:widowControl w:val="0"/>
              <w:spacing w:after="0" w:line="240" w:lineRule="auto"/>
              <w:jc w:val="both"/>
              <w:rPr>
                <w:rFonts w:ascii="Arial" w:eastAsia="SimSun" w:hAnsi="Arial" w:cs="Arial"/>
                <w:b/>
                <w:sz w:val="24"/>
                <w:szCs w:val="24"/>
                <w:lang w:val="ro-RO"/>
              </w:rPr>
            </w:pPr>
            <w:r w:rsidRPr="00934C02">
              <w:rPr>
                <w:rFonts w:ascii="Arial" w:eastAsia="SimSun" w:hAnsi="Arial" w:cs="Arial"/>
                <w:b/>
                <w:sz w:val="24"/>
                <w:szCs w:val="24"/>
                <w:lang w:val="ro-RO"/>
              </w:rPr>
              <w:t>Municipiu/Oraș</w:t>
            </w:r>
          </w:p>
        </w:tc>
        <w:tc>
          <w:tcPr>
            <w:tcW w:w="1273" w:type="dxa"/>
            <w:shd w:val="clear" w:color="auto" w:fill="auto"/>
            <w:vAlign w:val="center"/>
          </w:tcPr>
          <w:p w:rsidR="00934C02" w:rsidRPr="00934C02" w:rsidRDefault="00934C02" w:rsidP="00934C02">
            <w:pPr>
              <w:widowControl w:val="0"/>
              <w:spacing w:after="0" w:line="240" w:lineRule="auto"/>
              <w:jc w:val="center"/>
              <w:rPr>
                <w:rFonts w:ascii="Arial" w:eastAsia="SimSun" w:hAnsi="Arial" w:cs="Arial"/>
                <w:b/>
                <w:sz w:val="24"/>
                <w:szCs w:val="24"/>
                <w:lang w:val="ro-RO"/>
              </w:rPr>
            </w:pPr>
            <w:r w:rsidRPr="00934C02">
              <w:rPr>
                <w:rFonts w:ascii="Arial" w:eastAsia="SimSun" w:hAnsi="Arial" w:cs="Arial"/>
                <w:b/>
                <w:sz w:val="24"/>
                <w:szCs w:val="24"/>
                <w:lang w:val="ro-RO"/>
              </w:rPr>
              <w:t>2011</w:t>
            </w:r>
          </w:p>
        </w:tc>
        <w:tc>
          <w:tcPr>
            <w:tcW w:w="1273" w:type="dxa"/>
            <w:shd w:val="clear" w:color="auto" w:fill="auto"/>
            <w:vAlign w:val="center"/>
          </w:tcPr>
          <w:p w:rsidR="00934C02" w:rsidRPr="00934C02" w:rsidRDefault="00934C02" w:rsidP="00934C02">
            <w:pPr>
              <w:widowControl w:val="0"/>
              <w:spacing w:after="0" w:line="240" w:lineRule="auto"/>
              <w:jc w:val="center"/>
              <w:rPr>
                <w:rFonts w:ascii="Arial" w:eastAsia="SimSun" w:hAnsi="Arial" w:cs="Arial"/>
                <w:b/>
                <w:sz w:val="24"/>
                <w:szCs w:val="24"/>
                <w:lang w:val="ro-RO"/>
              </w:rPr>
            </w:pPr>
            <w:r w:rsidRPr="00934C02">
              <w:rPr>
                <w:rFonts w:ascii="Arial" w:eastAsia="SimSun" w:hAnsi="Arial" w:cs="Arial"/>
                <w:b/>
                <w:sz w:val="24"/>
                <w:szCs w:val="24"/>
                <w:lang w:val="ro-RO"/>
              </w:rPr>
              <w:t>2012</w:t>
            </w:r>
          </w:p>
        </w:tc>
        <w:tc>
          <w:tcPr>
            <w:tcW w:w="1273" w:type="dxa"/>
            <w:shd w:val="clear" w:color="auto" w:fill="auto"/>
            <w:vAlign w:val="center"/>
          </w:tcPr>
          <w:p w:rsidR="00934C02" w:rsidRPr="00934C02" w:rsidRDefault="00934C02" w:rsidP="00934C02">
            <w:pPr>
              <w:widowControl w:val="0"/>
              <w:spacing w:after="0" w:line="240" w:lineRule="auto"/>
              <w:jc w:val="center"/>
              <w:rPr>
                <w:rFonts w:ascii="Arial" w:eastAsia="SimSun" w:hAnsi="Arial" w:cs="Arial"/>
                <w:b/>
                <w:sz w:val="24"/>
                <w:szCs w:val="24"/>
                <w:lang w:val="ro-RO"/>
              </w:rPr>
            </w:pPr>
            <w:r w:rsidRPr="00934C02">
              <w:rPr>
                <w:rFonts w:ascii="Arial" w:eastAsia="SimSun" w:hAnsi="Arial" w:cs="Arial"/>
                <w:b/>
                <w:sz w:val="24"/>
                <w:szCs w:val="24"/>
                <w:lang w:val="ro-RO"/>
              </w:rPr>
              <w:t>2013</w:t>
            </w:r>
          </w:p>
        </w:tc>
        <w:tc>
          <w:tcPr>
            <w:tcW w:w="1273" w:type="dxa"/>
            <w:shd w:val="clear" w:color="auto" w:fill="auto"/>
            <w:vAlign w:val="center"/>
          </w:tcPr>
          <w:p w:rsidR="00934C02" w:rsidRPr="00934C02" w:rsidRDefault="00934C02" w:rsidP="00934C02">
            <w:pPr>
              <w:widowControl w:val="0"/>
              <w:spacing w:after="0" w:line="240" w:lineRule="auto"/>
              <w:jc w:val="center"/>
              <w:rPr>
                <w:rFonts w:ascii="Arial" w:eastAsia="SimSun" w:hAnsi="Arial" w:cs="Arial"/>
                <w:b/>
                <w:sz w:val="24"/>
                <w:szCs w:val="24"/>
                <w:lang w:val="ro-RO"/>
              </w:rPr>
            </w:pPr>
            <w:r w:rsidRPr="00934C02">
              <w:rPr>
                <w:rFonts w:ascii="Arial" w:eastAsia="SimSun" w:hAnsi="Arial" w:cs="Arial"/>
                <w:b/>
                <w:sz w:val="24"/>
                <w:szCs w:val="24"/>
                <w:lang w:val="ro-RO"/>
              </w:rPr>
              <w:t>2014</w:t>
            </w:r>
          </w:p>
        </w:tc>
        <w:tc>
          <w:tcPr>
            <w:tcW w:w="990" w:type="dxa"/>
            <w:shd w:val="clear" w:color="auto" w:fill="auto"/>
            <w:vAlign w:val="center"/>
          </w:tcPr>
          <w:p w:rsidR="00934C02" w:rsidRPr="00934C02" w:rsidRDefault="00934C02" w:rsidP="00934C02">
            <w:pPr>
              <w:widowControl w:val="0"/>
              <w:spacing w:after="0" w:line="240" w:lineRule="auto"/>
              <w:jc w:val="center"/>
              <w:rPr>
                <w:rFonts w:ascii="Arial" w:eastAsia="SimSun" w:hAnsi="Arial" w:cs="Arial"/>
                <w:b/>
                <w:sz w:val="24"/>
                <w:szCs w:val="24"/>
                <w:lang w:val="ro-RO"/>
              </w:rPr>
            </w:pPr>
            <w:r w:rsidRPr="00934C02">
              <w:rPr>
                <w:rFonts w:ascii="Arial" w:eastAsia="SimSun" w:hAnsi="Arial" w:cs="Arial"/>
                <w:b/>
                <w:sz w:val="24"/>
                <w:szCs w:val="24"/>
                <w:lang w:val="ro-RO"/>
              </w:rPr>
              <w:t>2015</w:t>
            </w:r>
          </w:p>
        </w:tc>
      </w:tr>
      <w:tr w:rsidR="00934C02" w:rsidRPr="00934C02" w:rsidTr="00934C02">
        <w:trPr>
          <w:trHeight w:val="253"/>
        </w:trPr>
        <w:tc>
          <w:tcPr>
            <w:tcW w:w="851" w:type="dxa"/>
            <w:shd w:val="clear" w:color="auto" w:fill="auto"/>
          </w:tcPr>
          <w:p w:rsidR="00934C02" w:rsidRPr="00934C02" w:rsidRDefault="00934C02" w:rsidP="005910C7">
            <w:pPr>
              <w:widowControl w:val="0"/>
              <w:numPr>
                <w:ilvl w:val="0"/>
                <w:numId w:val="24"/>
              </w:numPr>
              <w:overflowPunct w:val="0"/>
              <w:autoSpaceDE w:val="0"/>
              <w:autoSpaceDN w:val="0"/>
              <w:adjustRightInd w:val="0"/>
              <w:spacing w:after="0" w:line="240" w:lineRule="auto"/>
              <w:jc w:val="both"/>
              <w:textAlignment w:val="baseline"/>
              <w:rPr>
                <w:rFonts w:ascii="Arial" w:eastAsia="Times New Roman" w:hAnsi="Arial" w:cs="Arial"/>
                <w:lang w:val="ro-RO"/>
              </w:rPr>
            </w:pPr>
          </w:p>
        </w:tc>
        <w:tc>
          <w:tcPr>
            <w:tcW w:w="2565" w:type="dxa"/>
            <w:shd w:val="clear" w:color="auto" w:fill="auto"/>
          </w:tcPr>
          <w:p w:rsidR="00934C02" w:rsidRPr="00934C02" w:rsidRDefault="00934C02" w:rsidP="00934C02">
            <w:pPr>
              <w:widowControl w:val="0"/>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Vaslui</w:t>
            </w:r>
          </w:p>
        </w:tc>
        <w:tc>
          <w:tcPr>
            <w:tcW w:w="1273" w:type="dxa"/>
            <w:shd w:val="clear" w:color="auto" w:fill="auto"/>
          </w:tcPr>
          <w:p w:rsidR="00934C02" w:rsidRPr="00934C02" w:rsidRDefault="00934C02" w:rsidP="00934C02">
            <w:pPr>
              <w:widowControl w:val="0"/>
              <w:spacing w:after="0" w:line="240" w:lineRule="auto"/>
              <w:rPr>
                <w:rFonts w:ascii="Arial" w:eastAsia="SimSun" w:hAnsi="Arial" w:cs="Arial"/>
                <w:sz w:val="24"/>
                <w:szCs w:val="24"/>
                <w:lang w:val="ro-RO"/>
              </w:rPr>
            </w:pPr>
            <w:r w:rsidRPr="00934C02">
              <w:rPr>
                <w:rFonts w:ascii="Arial" w:eastAsia="SimSun" w:hAnsi="Arial" w:cs="Arial"/>
                <w:sz w:val="24"/>
                <w:szCs w:val="24"/>
                <w:lang w:val="ro-RO"/>
              </w:rPr>
              <w:t>13,06</w:t>
            </w:r>
          </w:p>
        </w:tc>
        <w:tc>
          <w:tcPr>
            <w:tcW w:w="1273" w:type="dxa"/>
            <w:shd w:val="clear" w:color="auto" w:fill="auto"/>
          </w:tcPr>
          <w:p w:rsidR="00934C02" w:rsidRPr="00934C02" w:rsidRDefault="00934C02" w:rsidP="00934C02">
            <w:pPr>
              <w:widowControl w:val="0"/>
              <w:spacing w:after="0" w:line="240" w:lineRule="auto"/>
              <w:rPr>
                <w:rFonts w:ascii="Arial" w:eastAsia="SimSun" w:hAnsi="Arial" w:cs="Arial"/>
                <w:sz w:val="24"/>
                <w:szCs w:val="24"/>
                <w:lang w:val="ro-RO"/>
              </w:rPr>
            </w:pPr>
            <w:r w:rsidRPr="00934C02">
              <w:rPr>
                <w:rFonts w:ascii="Arial" w:eastAsia="SimSun" w:hAnsi="Arial" w:cs="Arial"/>
                <w:sz w:val="24"/>
                <w:szCs w:val="24"/>
                <w:lang w:val="ro-RO"/>
              </w:rPr>
              <w:t>12,75</w:t>
            </w:r>
          </w:p>
        </w:tc>
        <w:tc>
          <w:tcPr>
            <w:tcW w:w="1273" w:type="dxa"/>
            <w:shd w:val="clear" w:color="auto" w:fill="auto"/>
          </w:tcPr>
          <w:p w:rsidR="00934C02" w:rsidRPr="00934C02" w:rsidRDefault="00934C02" w:rsidP="00934C02">
            <w:pPr>
              <w:widowControl w:val="0"/>
              <w:spacing w:after="0" w:line="240" w:lineRule="auto"/>
              <w:rPr>
                <w:rFonts w:ascii="Arial" w:eastAsia="SimSun" w:hAnsi="Arial" w:cs="Arial"/>
                <w:sz w:val="24"/>
                <w:szCs w:val="24"/>
                <w:lang w:val="ro-RO"/>
              </w:rPr>
            </w:pPr>
            <w:r w:rsidRPr="00934C02">
              <w:rPr>
                <w:rFonts w:ascii="Arial" w:eastAsia="SimSun" w:hAnsi="Arial" w:cs="Arial"/>
                <w:sz w:val="24"/>
                <w:szCs w:val="24"/>
                <w:lang w:val="ro-RO"/>
              </w:rPr>
              <w:t>16,05</w:t>
            </w:r>
          </w:p>
        </w:tc>
        <w:tc>
          <w:tcPr>
            <w:tcW w:w="1273" w:type="dxa"/>
            <w:shd w:val="clear" w:color="auto" w:fill="auto"/>
          </w:tcPr>
          <w:p w:rsidR="00934C02" w:rsidRPr="00934C02" w:rsidRDefault="00934C02" w:rsidP="00934C02">
            <w:pPr>
              <w:widowControl w:val="0"/>
              <w:spacing w:after="0" w:line="240" w:lineRule="auto"/>
              <w:rPr>
                <w:rFonts w:ascii="Arial" w:eastAsia="SimSun" w:hAnsi="Arial" w:cs="Arial"/>
                <w:sz w:val="24"/>
                <w:szCs w:val="24"/>
                <w:lang w:val="ro-RO"/>
              </w:rPr>
            </w:pPr>
            <w:r w:rsidRPr="00934C02">
              <w:rPr>
                <w:rFonts w:ascii="Arial" w:eastAsia="SimSun" w:hAnsi="Arial" w:cs="Arial"/>
                <w:sz w:val="24"/>
                <w:szCs w:val="24"/>
                <w:lang w:val="ro-RO"/>
              </w:rPr>
              <w:t>14,31</w:t>
            </w:r>
          </w:p>
        </w:tc>
        <w:tc>
          <w:tcPr>
            <w:tcW w:w="990" w:type="dxa"/>
            <w:shd w:val="clear" w:color="auto" w:fill="auto"/>
          </w:tcPr>
          <w:p w:rsidR="00934C02" w:rsidRPr="00934C02" w:rsidRDefault="00934C02" w:rsidP="00934C02">
            <w:pPr>
              <w:widowControl w:val="0"/>
              <w:spacing w:after="0" w:line="240" w:lineRule="auto"/>
              <w:rPr>
                <w:rFonts w:ascii="Arial" w:eastAsia="SimSun" w:hAnsi="Arial" w:cs="Arial"/>
                <w:sz w:val="24"/>
                <w:szCs w:val="24"/>
                <w:lang w:val="ro-RO"/>
              </w:rPr>
            </w:pPr>
            <w:r w:rsidRPr="00934C02">
              <w:rPr>
                <w:rFonts w:ascii="Arial" w:eastAsia="SimSun" w:hAnsi="Arial" w:cs="Arial"/>
                <w:sz w:val="24"/>
                <w:szCs w:val="24"/>
                <w:lang w:val="ro-RO"/>
              </w:rPr>
              <w:t>13,53</w:t>
            </w:r>
          </w:p>
        </w:tc>
      </w:tr>
      <w:tr w:rsidR="00934C02" w:rsidRPr="00934C02" w:rsidTr="00934C02">
        <w:trPr>
          <w:trHeight w:val="253"/>
        </w:trPr>
        <w:tc>
          <w:tcPr>
            <w:tcW w:w="851" w:type="dxa"/>
            <w:shd w:val="clear" w:color="auto" w:fill="auto"/>
          </w:tcPr>
          <w:p w:rsidR="00934C02" w:rsidRPr="00934C02" w:rsidRDefault="00934C02" w:rsidP="005910C7">
            <w:pPr>
              <w:widowControl w:val="0"/>
              <w:numPr>
                <w:ilvl w:val="0"/>
                <w:numId w:val="24"/>
              </w:numPr>
              <w:overflowPunct w:val="0"/>
              <w:autoSpaceDE w:val="0"/>
              <w:autoSpaceDN w:val="0"/>
              <w:adjustRightInd w:val="0"/>
              <w:spacing w:after="0" w:line="240" w:lineRule="auto"/>
              <w:jc w:val="both"/>
              <w:textAlignment w:val="baseline"/>
              <w:rPr>
                <w:rFonts w:ascii="Arial" w:eastAsia="Times New Roman" w:hAnsi="Arial" w:cs="Arial"/>
                <w:lang w:val="ro-RO"/>
              </w:rPr>
            </w:pPr>
          </w:p>
        </w:tc>
        <w:tc>
          <w:tcPr>
            <w:tcW w:w="2565" w:type="dxa"/>
            <w:shd w:val="clear" w:color="auto" w:fill="auto"/>
          </w:tcPr>
          <w:p w:rsidR="00934C02" w:rsidRPr="00934C02" w:rsidRDefault="00934C02" w:rsidP="00934C02">
            <w:pPr>
              <w:widowControl w:val="0"/>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Bârlad</w:t>
            </w:r>
          </w:p>
        </w:tc>
        <w:tc>
          <w:tcPr>
            <w:tcW w:w="1273" w:type="dxa"/>
            <w:shd w:val="clear" w:color="auto" w:fill="auto"/>
          </w:tcPr>
          <w:p w:rsidR="00934C02" w:rsidRPr="00934C02" w:rsidRDefault="00934C02" w:rsidP="00934C02">
            <w:pPr>
              <w:widowControl w:val="0"/>
              <w:spacing w:after="0" w:line="240" w:lineRule="auto"/>
              <w:rPr>
                <w:rFonts w:ascii="Arial" w:eastAsia="SimSun" w:hAnsi="Arial" w:cs="Arial"/>
                <w:sz w:val="24"/>
                <w:szCs w:val="24"/>
                <w:lang w:val="ro-RO"/>
              </w:rPr>
            </w:pPr>
            <w:r w:rsidRPr="00934C02">
              <w:rPr>
                <w:rFonts w:ascii="Arial" w:eastAsia="SimSun" w:hAnsi="Arial" w:cs="Arial"/>
                <w:sz w:val="24"/>
                <w:szCs w:val="24"/>
                <w:lang w:val="ro-RO"/>
              </w:rPr>
              <w:t>23,12</w:t>
            </w:r>
          </w:p>
        </w:tc>
        <w:tc>
          <w:tcPr>
            <w:tcW w:w="1273" w:type="dxa"/>
            <w:shd w:val="clear" w:color="auto" w:fill="auto"/>
          </w:tcPr>
          <w:p w:rsidR="00934C02" w:rsidRPr="00934C02" w:rsidRDefault="00934C02" w:rsidP="00934C02">
            <w:pPr>
              <w:widowControl w:val="0"/>
              <w:spacing w:after="0" w:line="240" w:lineRule="auto"/>
              <w:rPr>
                <w:rFonts w:ascii="Arial" w:eastAsia="SimSun" w:hAnsi="Arial" w:cs="Arial"/>
                <w:sz w:val="24"/>
                <w:szCs w:val="24"/>
                <w:lang w:val="ro-RO"/>
              </w:rPr>
            </w:pPr>
            <w:r w:rsidRPr="00934C02">
              <w:rPr>
                <w:rFonts w:ascii="Arial" w:eastAsia="SimSun" w:hAnsi="Arial" w:cs="Arial"/>
                <w:sz w:val="24"/>
                <w:szCs w:val="24"/>
                <w:lang w:val="ro-RO"/>
              </w:rPr>
              <w:t>23,25</w:t>
            </w:r>
          </w:p>
        </w:tc>
        <w:tc>
          <w:tcPr>
            <w:tcW w:w="1273" w:type="dxa"/>
            <w:shd w:val="clear" w:color="auto" w:fill="auto"/>
          </w:tcPr>
          <w:p w:rsidR="00934C02" w:rsidRPr="00934C02" w:rsidRDefault="00934C02" w:rsidP="00934C02">
            <w:pPr>
              <w:widowControl w:val="0"/>
              <w:spacing w:after="0" w:line="240" w:lineRule="auto"/>
              <w:rPr>
                <w:rFonts w:ascii="Arial" w:eastAsia="SimSun" w:hAnsi="Arial" w:cs="Arial"/>
                <w:sz w:val="24"/>
                <w:szCs w:val="24"/>
                <w:lang w:val="ro-RO"/>
              </w:rPr>
            </w:pPr>
            <w:r w:rsidRPr="00934C02">
              <w:rPr>
                <w:rFonts w:ascii="Arial" w:eastAsia="SimSun" w:hAnsi="Arial" w:cs="Arial"/>
                <w:sz w:val="24"/>
                <w:szCs w:val="24"/>
                <w:lang w:val="ro-RO"/>
              </w:rPr>
              <w:t>23,41</w:t>
            </w:r>
          </w:p>
        </w:tc>
        <w:tc>
          <w:tcPr>
            <w:tcW w:w="1273" w:type="dxa"/>
            <w:shd w:val="clear" w:color="auto" w:fill="auto"/>
          </w:tcPr>
          <w:p w:rsidR="00934C02" w:rsidRPr="00934C02" w:rsidRDefault="00934C02" w:rsidP="00934C02">
            <w:pPr>
              <w:widowControl w:val="0"/>
              <w:spacing w:after="0" w:line="240" w:lineRule="auto"/>
              <w:rPr>
                <w:rFonts w:ascii="Arial" w:eastAsia="SimSun" w:hAnsi="Arial" w:cs="Arial"/>
                <w:sz w:val="24"/>
                <w:szCs w:val="24"/>
                <w:lang w:val="ro-RO"/>
              </w:rPr>
            </w:pPr>
            <w:r w:rsidRPr="00934C02">
              <w:rPr>
                <w:rFonts w:ascii="Arial" w:eastAsia="SimSun" w:hAnsi="Arial" w:cs="Arial"/>
                <w:sz w:val="24"/>
                <w:szCs w:val="24"/>
                <w:lang w:val="ro-RO"/>
              </w:rPr>
              <w:t>23,55</w:t>
            </w:r>
          </w:p>
        </w:tc>
        <w:tc>
          <w:tcPr>
            <w:tcW w:w="990" w:type="dxa"/>
            <w:shd w:val="clear" w:color="auto" w:fill="auto"/>
          </w:tcPr>
          <w:p w:rsidR="00934C02" w:rsidRPr="00934C02" w:rsidRDefault="00934C02" w:rsidP="00934C02">
            <w:pPr>
              <w:widowControl w:val="0"/>
              <w:spacing w:after="0" w:line="240" w:lineRule="auto"/>
              <w:rPr>
                <w:rFonts w:ascii="Arial" w:eastAsia="SimSun" w:hAnsi="Arial" w:cs="Arial"/>
                <w:sz w:val="24"/>
                <w:szCs w:val="24"/>
                <w:lang w:val="ro-RO"/>
              </w:rPr>
            </w:pPr>
            <w:r w:rsidRPr="00934C02">
              <w:rPr>
                <w:rFonts w:ascii="Arial" w:eastAsia="SimSun" w:hAnsi="Arial" w:cs="Arial"/>
                <w:sz w:val="24"/>
                <w:szCs w:val="24"/>
                <w:lang w:val="ro-RO"/>
              </w:rPr>
              <w:t>23,70</w:t>
            </w:r>
          </w:p>
        </w:tc>
      </w:tr>
      <w:tr w:rsidR="00934C02" w:rsidRPr="00934C02" w:rsidTr="00934C02">
        <w:trPr>
          <w:trHeight w:val="253"/>
        </w:trPr>
        <w:tc>
          <w:tcPr>
            <w:tcW w:w="851" w:type="dxa"/>
            <w:shd w:val="clear" w:color="auto" w:fill="auto"/>
          </w:tcPr>
          <w:p w:rsidR="00934C02" w:rsidRPr="00934C02" w:rsidRDefault="00934C02" w:rsidP="005910C7">
            <w:pPr>
              <w:widowControl w:val="0"/>
              <w:numPr>
                <w:ilvl w:val="0"/>
                <w:numId w:val="24"/>
              </w:numPr>
              <w:overflowPunct w:val="0"/>
              <w:autoSpaceDE w:val="0"/>
              <w:autoSpaceDN w:val="0"/>
              <w:adjustRightInd w:val="0"/>
              <w:spacing w:after="0" w:line="240" w:lineRule="auto"/>
              <w:jc w:val="both"/>
              <w:textAlignment w:val="baseline"/>
              <w:rPr>
                <w:rFonts w:ascii="Arial" w:eastAsia="Times New Roman" w:hAnsi="Arial" w:cs="Arial"/>
                <w:lang w:val="ro-RO"/>
              </w:rPr>
            </w:pPr>
          </w:p>
        </w:tc>
        <w:tc>
          <w:tcPr>
            <w:tcW w:w="2565" w:type="dxa"/>
            <w:shd w:val="clear" w:color="auto" w:fill="auto"/>
          </w:tcPr>
          <w:p w:rsidR="00934C02" w:rsidRPr="00934C02" w:rsidRDefault="00934C02" w:rsidP="00934C02">
            <w:pPr>
              <w:widowControl w:val="0"/>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Huşi</w:t>
            </w:r>
          </w:p>
        </w:tc>
        <w:tc>
          <w:tcPr>
            <w:tcW w:w="1273" w:type="dxa"/>
            <w:shd w:val="clear" w:color="auto" w:fill="auto"/>
          </w:tcPr>
          <w:p w:rsidR="00934C02" w:rsidRPr="00934C02" w:rsidRDefault="00934C02" w:rsidP="00934C02">
            <w:pPr>
              <w:widowControl w:val="0"/>
              <w:spacing w:after="0" w:line="240" w:lineRule="auto"/>
              <w:rPr>
                <w:rFonts w:ascii="Arial" w:eastAsia="SimSun" w:hAnsi="Arial" w:cs="Arial"/>
                <w:sz w:val="24"/>
                <w:szCs w:val="24"/>
                <w:lang w:val="ro-RO"/>
              </w:rPr>
            </w:pPr>
            <w:r w:rsidRPr="00934C02">
              <w:rPr>
                <w:rFonts w:ascii="Arial" w:eastAsia="SimSun" w:hAnsi="Arial" w:cs="Arial"/>
                <w:sz w:val="24"/>
                <w:szCs w:val="24"/>
                <w:lang w:val="ro-RO"/>
              </w:rPr>
              <w:t>9,37</w:t>
            </w:r>
          </w:p>
        </w:tc>
        <w:tc>
          <w:tcPr>
            <w:tcW w:w="1273" w:type="dxa"/>
            <w:shd w:val="clear" w:color="auto" w:fill="auto"/>
          </w:tcPr>
          <w:p w:rsidR="00934C02" w:rsidRPr="00934C02" w:rsidRDefault="00934C02" w:rsidP="00934C02">
            <w:pPr>
              <w:widowControl w:val="0"/>
              <w:spacing w:after="0" w:line="240" w:lineRule="auto"/>
              <w:rPr>
                <w:rFonts w:ascii="Arial" w:eastAsia="SimSun" w:hAnsi="Arial" w:cs="Arial"/>
                <w:sz w:val="24"/>
                <w:szCs w:val="24"/>
                <w:lang w:val="ro-RO"/>
              </w:rPr>
            </w:pPr>
            <w:r w:rsidRPr="00934C02">
              <w:rPr>
                <w:rFonts w:ascii="Arial" w:eastAsia="SimSun" w:hAnsi="Arial" w:cs="Arial"/>
                <w:sz w:val="24"/>
                <w:szCs w:val="24"/>
                <w:lang w:val="ro-RO"/>
              </w:rPr>
              <w:t>9,41</w:t>
            </w:r>
          </w:p>
        </w:tc>
        <w:tc>
          <w:tcPr>
            <w:tcW w:w="1273" w:type="dxa"/>
            <w:shd w:val="clear" w:color="auto" w:fill="auto"/>
          </w:tcPr>
          <w:p w:rsidR="00934C02" w:rsidRPr="00934C02" w:rsidRDefault="00934C02" w:rsidP="00934C02">
            <w:pPr>
              <w:widowControl w:val="0"/>
              <w:spacing w:after="0" w:line="240" w:lineRule="auto"/>
              <w:rPr>
                <w:rFonts w:ascii="Arial" w:eastAsia="SimSun" w:hAnsi="Arial" w:cs="Arial"/>
                <w:sz w:val="24"/>
                <w:szCs w:val="24"/>
                <w:lang w:val="ro-RO"/>
              </w:rPr>
            </w:pPr>
            <w:r w:rsidRPr="00934C02">
              <w:rPr>
                <w:rFonts w:ascii="Arial" w:eastAsia="SimSun" w:hAnsi="Arial" w:cs="Arial"/>
                <w:sz w:val="24"/>
                <w:szCs w:val="24"/>
                <w:lang w:val="ro-RO"/>
              </w:rPr>
              <w:t>9,76</w:t>
            </w:r>
          </w:p>
        </w:tc>
        <w:tc>
          <w:tcPr>
            <w:tcW w:w="1273" w:type="dxa"/>
            <w:shd w:val="clear" w:color="auto" w:fill="auto"/>
          </w:tcPr>
          <w:p w:rsidR="00934C02" w:rsidRPr="00934C02" w:rsidRDefault="00934C02" w:rsidP="00934C02">
            <w:pPr>
              <w:widowControl w:val="0"/>
              <w:spacing w:after="0" w:line="240" w:lineRule="auto"/>
              <w:rPr>
                <w:rFonts w:ascii="Arial" w:eastAsia="SimSun" w:hAnsi="Arial" w:cs="Arial"/>
                <w:sz w:val="24"/>
                <w:szCs w:val="24"/>
                <w:lang w:val="ro-RO"/>
              </w:rPr>
            </w:pPr>
            <w:r w:rsidRPr="00934C02">
              <w:rPr>
                <w:rFonts w:ascii="Arial" w:eastAsia="SimSun" w:hAnsi="Arial" w:cs="Arial"/>
                <w:sz w:val="24"/>
                <w:szCs w:val="24"/>
                <w:lang w:val="ro-RO"/>
              </w:rPr>
              <w:t>9,80</w:t>
            </w:r>
          </w:p>
        </w:tc>
        <w:tc>
          <w:tcPr>
            <w:tcW w:w="990" w:type="dxa"/>
            <w:shd w:val="clear" w:color="auto" w:fill="auto"/>
          </w:tcPr>
          <w:p w:rsidR="00934C02" w:rsidRPr="00934C02" w:rsidRDefault="00934C02" w:rsidP="00934C02">
            <w:pPr>
              <w:widowControl w:val="0"/>
              <w:spacing w:after="0" w:line="240" w:lineRule="auto"/>
              <w:rPr>
                <w:rFonts w:ascii="Arial" w:eastAsia="SimSun" w:hAnsi="Arial" w:cs="Arial"/>
                <w:sz w:val="24"/>
                <w:szCs w:val="24"/>
                <w:lang w:val="ro-RO"/>
              </w:rPr>
            </w:pPr>
            <w:r w:rsidRPr="00934C02">
              <w:rPr>
                <w:rFonts w:ascii="Arial" w:eastAsia="SimSun" w:hAnsi="Arial" w:cs="Arial"/>
                <w:sz w:val="24"/>
                <w:szCs w:val="24"/>
                <w:lang w:val="ro-RO"/>
              </w:rPr>
              <w:t>9,86</w:t>
            </w:r>
          </w:p>
        </w:tc>
      </w:tr>
      <w:tr w:rsidR="00934C02" w:rsidRPr="00934C02" w:rsidTr="00934C02">
        <w:trPr>
          <w:trHeight w:val="253"/>
        </w:trPr>
        <w:tc>
          <w:tcPr>
            <w:tcW w:w="851" w:type="dxa"/>
            <w:shd w:val="clear" w:color="auto" w:fill="auto"/>
          </w:tcPr>
          <w:p w:rsidR="00934C02" w:rsidRPr="00934C02" w:rsidRDefault="00934C02" w:rsidP="005910C7">
            <w:pPr>
              <w:widowControl w:val="0"/>
              <w:numPr>
                <w:ilvl w:val="0"/>
                <w:numId w:val="24"/>
              </w:numPr>
              <w:overflowPunct w:val="0"/>
              <w:autoSpaceDE w:val="0"/>
              <w:autoSpaceDN w:val="0"/>
              <w:adjustRightInd w:val="0"/>
              <w:spacing w:after="0" w:line="240" w:lineRule="auto"/>
              <w:jc w:val="both"/>
              <w:textAlignment w:val="baseline"/>
              <w:rPr>
                <w:rFonts w:ascii="Arial" w:eastAsia="Times New Roman" w:hAnsi="Arial" w:cs="Arial"/>
                <w:lang w:val="ro-RO"/>
              </w:rPr>
            </w:pPr>
          </w:p>
        </w:tc>
        <w:tc>
          <w:tcPr>
            <w:tcW w:w="2565" w:type="dxa"/>
            <w:shd w:val="clear" w:color="auto" w:fill="auto"/>
          </w:tcPr>
          <w:p w:rsidR="00934C02" w:rsidRPr="00934C02" w:rsidRDefault="00934C02" w:rsidP="00934C02">
            <w:pPr>
              <w:widowControl w:val="0"/>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Negreşti</w:t>
            </w:r>
          </w:p>
        </w:tc>
        <w:tc>
          <w:tcPr>
            <w:tcW w:w="1273" w:type="dxa"/>
            <w:shd w:val="clear" w:color="auto" w:fill="auto"/>
          </w:tcPr>
          <w:p w:rsidR="00934C02" w:rsidRPr="00934C02" w:rsidRDefault="00934C02" w:rsidP="00934C02">
            <w:pPr>
              <w:widowControl w:val="0"/>
              <w:spacing w:after="0" w:line="240" w:lineRule="auto"/>
              <w:rPr>
                <w:rFonts w:ascii="Arial" w:eastAsia="SimSun" w:hAnsi="Arial" w:cs="Arial"/>
                <w:sz w:val="24"/>
                <w:szCs w:val="24"/>
                <w:lang w:val="ro-RO"/>
              </w:rPr>
            </w:pPr>
            <w:r w:rsidRPr="00934C02">
              <w:rPr>
                <w:rFonts w:ascii="Arial" w:eastAsia="SimSun" w:hAnsi="Arial" w:cs="Arial"/>
                <w:sz w:val="24"/>
                <w:szCs w:val="24"/>
                <w:lang w:val="ro-RO"/>
              </w:rPr>
              <w:t>11,35</w:t>
            </w:r>
          </w:p>
        </w:tc>
        <w:tc>
          <w:tcPr>
            <w:tcW w:w="1273" w:type="dxa"/>
            <w:shd w:val="clear" w:color="auto" w:fill="auto"/>
          </w:tcPr>
          <w:p w:rsidR="00934C02" w:rsidRPr="00934C02" w:rsidRDefault="00934C02" w:rsidP="00934C02">
            <w:pPr>
              <w:widowControl w:val="0"/>
              <w:spacing w:after="0" w:line="240" w:lineRule="auto"/>
              <w:rPr>
                <w:rFonts w:ascii="Arial" w:eastAsia="SimSun" w:hAnsi="Arial" w:cs="Arial"/>
                <w:sz w:val="24"/>
                <w:szCs w:val="24"/>
                <w:lang w:val="ro-RO"/>
              </w:rPr>
            </w:pPr>
            <w:r w:rsidRPr="00934C02">
              <w:rPr>
                <w:rFonts w:ascii="Arial" w:eastAsia="SimSun" w:hAnsi="Arial" w:cs="Arial"/>
                <w:sz w:val="24"/>
                <w:szCs w:val="24"/>
                <w:lang w:val="ro-RO"/>
              </w:rPr>
              <w:t>11,37</w:t>
            </w:r>
          </w:p>
        </w:tc>
        <w:tc>
          <w:tcPr>
            <w:tcW w:w="1273" w:type="dxa"/>
            <w:shd w:val="clear" w:color="auto" w:fill="auto"/>
          </w:tcPr>
          <w:p w:rsidR="00934C02" w:rsidRPr="00934C02" w:rsidRDefault="00934C02" w:rsidP="00934C02">
            <w:pPr>
              <w:widowControl w:val="0"/>
              <w:spacing w:after="0" w:line="240" w:lineRule="auto"/>
              <w:rPr>
                <w:rFonts w:ascii="Arial" w:eastAsia="SimSun" w:hAnsi="Arial" w:cs="Arial"/>
                <w:sz w:val="24"/>
                <w:szCs w:val="24"/>
                <w:lang w:val="ro-RO"/>
              </w:rPr>
            </w:pPr>
            <w:r w:rsidRPr="00934C02">
              <w:rPr>
                <w:rFonts w:ascii="Arial" w:eastAsia="SimSun" w:hAnsi="Arial" w:cs="Arial"/>
                <w:sz w:val="24"/>
                <w:szCs w:val="24"/>
                <w:lang w:val="ro-RO"/>
              </w:rPr>
              <w:t>11,36</w:t>
            </w:r>
          </w:p>
        </w:tc>
        <w:tc>
          <w:tcPr>
            <w:tcW w:w="1273" w:type="dxa"/>
            <w:shd w:val="clear" w:color="auto" w:fill="auto"/>
          </w:tcPr>
          <w:p w:rsidR="00934C02" w:rsidRPr="00934C02" w:rsidRDefault="00934C02" w:rsidP="00934C02">
            <w:pPr>
              <w:widowControl w:val="0"/>
              <w:spacing w:after="0" w:line="240" w:lineRule="auto"/>
              <w:rPr>
                <w:rFonts w:ascii="Arial" w:eastAsia="SimSun" w:hAnsi="Arial" w:cs="Arial"/>
                <w:sz w:val="24"/>
                <w:szCs w:val="24"/>
                <w:lang w:val="ro-RO"/>
              </w:rPr>
            </w:pPr>
            <w:r w:rsidRPr="00934C02">
              <w:rPr>
                <w:rFonts w:ascii="Arial" w:eastAsia="SimSun" w:hAnsi="Arial" w:cs="Arial"/>
                <w:sz w:val="24"/>
                <w:szCs w:val="24"/>
                <w:lang w:val="ro-RO"/>
              </w:rPr>
              <w:t>11,42</w:t>
            </w:r>
          </w:p>
        </w:tc>
        <w:tc>
          <w:tcPr>
            <w:tcW w:w="990" w:type="dxa"/>
            <w:shd w:val="clear" w:color="auto" w:fill="auto"/>
          </w:tcPr>
          <w:p w:rsidR="00934C02" w:rsidRPr="00934C02" w:rsidRDefault="00934C02" w:rsidP="00934C02">
            <w:pPr>
              <w:widowControl w:val="0"/>
              <w:spacing w:after="0" w:line="240" w:lineRule="auto"/>
              <w:rPr>
                <w:rFonts w:ascii="Arial" w:eastAsia="SimSun" w:hAnsi="Arial" w:cs="Arial"/>
                <w:sz w:val="24"/>
                <w:szCs w:val="24"/>
                <w:lang w:val="ro-RO"/>
              </w:rPr>
            </w:pPr>
            <w:r w:rsidRPr="00934C02">
              <w:rPr>
                <w:rFonts w:ascii="Arial" w:eastAsia="SimSun" w:hAnsi="Arial" w:cs="Arial"/>
                <w:sz w:val="24"/>
                <w:szCs w:val="24"/>
                <w:lang w:val="ro-RO"/>
              </w:rPr>
              <w:t>11,50</w:t>
            </w:r>
          </w:p>
        </w:tc>
      </w:tr>
      <w:tr w:rsidR="00934C02" w:rsidRPr="00934C02" w:rsidTr="00934C02">
        <w:trPr>
          <w:trHeight w:val="253"/>
        </w:trPr>
        <w:tc>
          <w:tcPr>
            <w:tcW w:w="851" w:type="dxa"/>
            <w:shd w:val="clear" w:color="auto" w:fill="auto"/>
          </w:tcPr>
          <w:p w:rsidR="00934C02" w:rsidRPr="00934C02" w:rsidRDefault="00934C02" w:rsidP="005910C7">
            <w:pPr>
              <w:widowControl w:val="0"/>
              <w:numPr>
                <w:ilvl w:val="0"/>
                <w:numId w:val="24"/>
              </w:numPr>
              <w:overflowPunct w:val="0"/>
              <w:autoSpaceDE w:val="0"/>
              <w:autoSpaceDN w:val="0"/>
              <w:adjustRightInd w:val="0"/>
              <w:spacing w:after="0" w:line="240" w:lineRule="auto"/>
              <w:jc w:val="both"/>
              <w:textAlignment w:val="baseline"/>
              <w:rPr>
                <w:rFonts w:ascii="Arial" w:eastAsia="Times New Roman" w:hAnsi="Arial" w:cs="Arial"/>
                <w:lang w:val="ro-RO"/>
              </w:rPr>
            </w:pPr>
          </w:p>
        </w:tc>
        <w:tc>
          <w:tcPr>
            <w:tcW w:w="2565" w:type="dxa"/>
            <w:shd w:val="clear" w:color="auto" w:fill="auto"/>
          </w:tcPr>
          <w:p w:rsidR="00934C02" w:rsidRPr="00934C02" w:rsidRDefault="00934C02" w:rsidP="00934C02">
            <w:pPr>
              <w:widowControl w:val="0"/>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Murgeni</w:t>
            </w:r>
          </w:p>
        </w:tc>
        <w:tc>
          <w:tcPr>
            <w:tcW w:w="1273" w:type="dxa"/>
            <w:shd w:val="clear" w:color="auto" w:fill="auto"/>
          </w:tcPr>
          <w:p w:rsidR="00934C02" w:rsidRPr="00934C02" w:rsidRDefault="00934C02" w:rsidP="00934C02">
            <w:pPr>
              <w:widowControl w:val="0"/>
              <w:spacing w:after="0" w:line="240" w:lineRule="auto"/>
              <w:rPr>
                <w:rFonts w:ascii="Arial" w:eastAsia="SimSun" w:hAnsi="Arial" w:cs="Arial"/>
                <w:sz w:val="24"/>
                <w:szCs w:val="24"/>
                <w:lang w:val="ro-RO"/>
              </w:rPr>
            </w:pPr>
            <w:r w:rsidRPr="00934C02">
              <w:rPr>
                <w:rFonts w:ascii="Arial" w:eastAsia="SimSun" w:hAnsi="Arial" w:cs="Arial"/>
                <w:sz w:val="24"/>
                <w:szCs w:val="24"/>
                <w:lang w:val="ro-RO"/>
              </w:rPr>
              <w:t>1,21</w:t>
            </w:r>
          </w:p>
        </w:tc>
        <w:tc>
          <w:tcPr>
            <w:tcW w:w="1273" w:type="dxa"/>
            <w:shd w:val="clear" w:color="auto" w:fill="auto"/>
          </w:tcPr>
          <w:p w:rsidR="00934C02" w:rsidRPr="00934C02" w:rsidRDefault="00934C02" w:rsidP="00934C02">
            <w:pPr>
              <w:widowControl w:val="0"/>
              <w:spacing w:after="0" w:line="240" w:lineRule="auto"/>
              <w:rPr>
                <w:rFonts w:ascii="Arial" w:eastAsia="SimSun" w:hAnsi="Arial" w:cs="Arial"/>
                <w:sz w:val="24"/>
                <w:szCs w:val="24"/>
                <w:lang w:val="ro-RO"/>
              </w:rPr>
            </w:pPr>
            <w:r w:rsidRPr="00934C02">
              <w:rPr>
                <w:rFonts w:ascii="Arial" w:eastAsia="SimSun" w:hAnsi="Arial" w:cs="Arial"/>
                <w:sz w:val="24"/>
                <w:szCs w:val="24"/>
                <w:lang w:val="ro-RO"/>
              </w:rPr>
              <w:t>1,20</w:t>
            </w:r>
          </w:p>
        </w:tc>
        <w:tc>
          <w:tcPr>
            <w:tcW w:w="1273" w:type="dxa"/>
            <w:shd w:val="clear" w:color="auto" w:fill="auto"/>
          </w:tcPr>
          <w:p w:rsidR="00934C02" w:rsidRPr="00934C02" w:rsidRDefault="00934C02" w:rsidP="00934C02">
            <w:pPr>
              <w:widowControl w:val="0"/>
              <w:spacing w:after="0" w:line="240" w:lineRule="auto"/>
              <w:rPr>
                <w:rFonts w:ascii="Arial" w:eastAsia="SimSun" w:hAnsi="Arial" w:cs="Arial"/>
                <w:sz w:val="24"/>
                <w:szCs w:val="24"/>
                <w:lang w:val="ro-RO"/>
              </w:rPr>
            </w:pPr>
            <w:r w:rsidRPr="00934C02">
              <w:rPr>
                <w:rFonts w:ascii="Arial" w:eastAsia="SimSun" w:hAnsi="Arial" w:cs="Arial"/>
                <w:sz w:val="24"/>
                <w:szCs w:val="24"/>
                <w:lang w:val="ro-RO"/>
              </w:rPr>
              <w:t>1,20</w:t>
            </w:r>
          </w:p>
        </w:tc>
        <w:tc>
          <w:tcPr>
            <w:tcW w:w="1273" w:type="dxa"/>
            <w:shd w:val="clear" w:color="auto" w:fill="auto"/>
          </w:tcPr>
          <w:p w:rsidR="00934C02" w:rsidRPr="00934C02" w:rsidRDefault="00934C02" w:rsidP="00934C02">
            <w:pPr>
              <w:widowControl w:val="0"/>
              <w:spacing w:after="0" w:line="240" w:lineRule="auto"/>
              <w:rPr>
                <w:rFonts w:ascii="Arial" w:eastAsia="SimSun" w:hAnsi="Arial" w:cs="Arial"/>
                <w:sz w:val="24"/>
                <w:szCs w:val="24"/>
                <w:lang w:val="ro-RO"/>
              </w:rPr>
            </w:pPr>
            <w:r w:rsidRPr="00934C02">
              <w:rPr>
                <w:rFonts w:ascii="Arial" w:eastAsia="SimSun" w:hAnsi="Arial" w:cs="Arial"/>
                <w:sz w:val="24"/>
                <w:szCs w:val="24"/>
                <w:lang w:val="ro-RO"/>
              </w:rPr>
              <w:t>1,20</w:t>
            </w:r>
          </w:p>
        </w:tc>
        <w:tc>
          <w:tcPr>
            <w:tcW w:w="990" w:type="dxa"/>
            <w:shd w:val="clear" w:color="auto" w:fill="auto"/>
          </w:tcPr>
          <w:p w:rsidR="00934C02" w:rsidRPr="00934C02" w:rsidRDefault="00934C02" w:rsidP="00934C02">
            <w:pPr>
              <w:widowControl w:val="0"/>
              <w:spacing w:after="0" w:line="240" w:lineRule="auto"/>
              <w:rPr>
                <w:rFonts w:ascii="Arial" w:eastAsia="SimSun" w:hAnsi="Arial" w:cs="Arial"/>
                <w:sz w:val="24"/>
                <w:szCs w:val="24"/>
                <w:lang w:val="ro-RO"/>
              </w:rPr>
            </w:pPr>
            <w:r w:rsidRPr="00934C02">
              <w:rPr>
                <w:rFonts w:ascii="Arial" w:eastAsia="SimSun" w:hAnsi="Arial" w:cs="Arial"/>
                <w:sz w:val="24"/>
                <w:szCs w:val="24"/>
                <w:lang w:val="ro-RO"/>
              </w:rPr>
              <w:t>1,21</w:t>
            </w:r>
          </w:p>
        </w:tc>
      </w:tr>
    </w:tbl>
    <w:p w:rsidR="00934C02" w:rsidRPr="00934C02" w:rsidRDefault="00934C02" w:rsidP="00934C02">
      <w:pPr>
        <w:autoSpaceDE w:val="0"/>
        <w:autoSpaceDN w:val="0"/>
        <w:adjustRightInd w:val="0"/>
        <w:spacing w:after="0" w:line="240" w:lineRule="auto"/>
        <w:rPr>
          <w:rFonts w:ascii="Arial" w:eastAsia="Times New Roman" w:hAnsi="Arial" w:cs="Arial"/>
          <w:color w:val="FF0000"/>
          <w:sz w:val="20"/>
          <w:szCs w:val="20"/>
        </w:rPr>
      </w:pPr>
      <w:r w:rsidRPr="00934C02">
        <w:rPr>
          <w:rFonts w:ascii="Arial" w:eastAsia="Times New Roman" w:hAnsi="Arial" w:cs="Arial"/>
          <w:color w:val="000000"/>
          <w:sz w:val="20"/>
          <w:szCs w:val="20"/>
          <w:lang w:val="ro-RO" w:eastAsia="ro-RO"/>
        </w:rPr>
        <w:t>(</w:t>
      </w:r>
      <w:r w:rsidRPr="00934C02">
        <w:rPr>
          <w:rFonts w:ascii="Arial" w:eastAsia="Times New Roman" w:hAnsi="Arial" w:cs="Arial"/>
          <w:i/>
          <w:color w:val="000000"/>
          <w:sz w:val="20"/>
          <w:szCs w:val="20"/>
          <w:lang w:val="ro-RO" w:eastAsia="ro-RO"/>
        </w:rPr>
        <w:t xml:space="preserve">Surse: Primăriile localităţilor urbane din jud. Vaslui, </w:t>
      </w:r>
      <w:r w:rsidRPr="00934C02">
        <w:rPr>
          <w:rFonts w:ascii="Arial" w:eastAsia="Times New Roman" w:hAnsi="Arial" w:cs="Arial"/>
          <w:bCs/>
          <w:color w:val="000000"/>
          <w:sz w:val="20"/>
          <w:szCs w:val="20"/>
        </w:rPr>
        <w:t>Institutul Naţional de Statistică</w:t>
      </w:r>
      <w:r w:rsidRPr="00934C02">
        <w:rPr>
          <w:rFonts w:ascii="Arial" w:eastAsia="Times New Roman" w:hAnsi="Arial" w:cs="Arial"/>
          <w:color w:val="000000"/>
          <w:sz w:val="20"/>
          <w:szCs w:val="20"/>
        </w:rPr>
        <w:t>-</w:t>
      </w:r>
      <w:r w:rsidRPr="00934C02">
        <w:rPr>
          <w:rFonts w:ascii="Arial" w:eastAsia="Times New Roman" w:hAnsi="Arial" w:cs="Arial"/>
          <w:bCs/>
          <w:color w:val="000000"/>
          <w:sz w:val="20"/>
          <w:szCs w:val="20"/>
        </w:rPr>
        <w:t>Baza de date TEMPO</w:t>
      </w:r>
      <w:r w:rsidRPr="00934C02">
        <w:rPr>
          <w:rFonts w:ascii="Arial" w:eastAsia="Times New Roman" w:hAnsi="Arial" w:cs="Arial"/>
          <w:color w:val="000000"/>
          <w:sz w:val="20"/>
          <w:szCs w:val="20"/>
        </w:rPr>
        <w:t xml:space="preserve"> Online</w:t>
      </w:r>
      <w:r w:rsidRPr="00934C02">
        <w:rPr>
          <w:rFonts w:ascii="Arial" w:eastAsia="Times New Roman" w:hAnsi="Arial" w:cs="Arial"/>
          <w:color w:val="000000"/>
          <w:sz w:val="20"/>
          <w:szCs w:val="20"/>
          <w:lang w:val="ro-RO" w:eastAsia="ro-RO"/>
        </w:rPr>
        <w:t>)</w:t>
      </w:r>
      <w:r w:rsidRPr="00934C02">
        <w:rPr>
          <w:rFonts w:ascii="Arial" w:eastAsia="Times New Roman" w:hAnsi="Arial" w:cs="Arial"/>
          <w:i/>
          <w:color w:val="000000"/>
          <w:sz w:val="20"/>
          <w:szCs w:val="20"/>
          <w:lang w:val="ro-RO" w:eastAsia="ro-RO"/>
        </w:rPr>
        <w:t xml:space="preserve"> </w:t>
      </w:r>
    </w:p>
    <w:p w:rsidR="00934C02" w:rsidRPr="00934C02" w:rsidRDefault="00934C02" w:rsidP="00934C02">
      <w:pPr>
        <w:autoSpaceDE w:val="0"/>
        <w:autoSpaceDN w:val="0"/>
        <w:adjustRightInd w:val="0"/>
        <w:spacing w:after="0" w:line="240" w:lineRule="auto"/>
        <w:jc w:val="both"/>
        <w:rPr>
          <w:rFonts w:ascii="Arial" w:eastAsia="Times New Roman" w:hAnsi="Arial" w:cs="Arial"/>
          <w:color w:val="000000"/>
          <w:sz w:val="24"/>
          <w:szCs w:val="24"/>
        </w:rPr>
      </w:pPr>
      <w:r>
        <w:rPr>
          <w:rFonts w:ascii="Arial" w:eastAsia="Times New Roman" w:hAnsi="Arial" w:cs="Arial"/>
          <w:i/>
          <w:noProof/>
          <w:color w:val="000000"/>
          <w:sz w:val="24"/>
          <w:szCs w:val="24"/>
        </w:rPr>
        <w:lastRenderedPageBreak/>
        <w:drawing>
          <wp:anchor distT="0" distB="0" distL="114300" distR="114300" simplePos="0" relativeHeight="251668480" behindDoc="0" locked="0" layoutInCell="1" allowOverlap="1">
            <wp:simplePos x="0" y="0"/>
            <wp:positionH relativeFrom="column">
              <wp:posOffset>44450</wp:posOffset>
            </wp:positionH>
            <wp:positionV relativeFrom="paragraph">
              <wp:posOffset>450215</wp:posOffset>
            </wp:positionV>
            <wp:extent cx="6134735" cy="2045970"/>
            <wp:effectExtent l="1905" t="0" r="0" b="2540"/>
            <wp:wrapSquare wrapText="right"/>
            <wp:docPr id="273" name="Chart 27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14:sizeRelH relativeFrom="page">
              <wp14:pctWidth>0</wp14:pctWidth>
            </wp14:sizeRelH>
            <wp14:sizeRelV relativeFrom="page">
              <wp14:pctHeight>0</wp14:pctHeight>
            </wp14:sizeRelV>
          </wp:anchor>
        </w:drawing>
      </w:r>
      <w:r w:rsidRPr="00934C02">
        <w:rPr>
          <w:rFonts w:ascii="Arial" w:eastAsia="Times New Roman" w:hAnsi="Arial" w:cs="Arial"/>
          <w:color w:val="000000"/>
          <w:sz w:val="24"/>
          <w:szCs w:val="24"/>
        </w:rPr>
        <w:t xml:space="preserve">Figura </w:t>
      </w:r>
      <w:r w:rsidRPr="00934C02">
        <w:rPr>
          <w:rFonts w:ascii="Arial" w:eastAsia="Times New Roman" w:hAnsi="Arial" w:cs="Arial"/>
          <w:color w:val="000000"/>
          <w:sz w:val="24"/>
          <w:szCs w:val="24"/>
          <w:lang w:val="ro-RO"/>
        </w:rPr>
        <w:t>VIII</w:t>
      </w:r>
      <w:r w:rsidRPr="00934C02">
        <w:rPr>
          <w:rFonts w:ascii="Arial" w:eastAsia="Times New Roman" w:hAnsi="Arial" w:cs="Arial"/>
          <w:color w:val="000000"/>
          <w:sz w:val="24"/>
          <w:szCs w:val="24"/>
        </w:rPr>
        <w:t xml:space="preserve">.9. Evoluţia suprafeţei spaţiilor verzi pe cap de locuitor, la nivel urban, în perioada 2011-2015  </w:t>
      </w:r>
    </w:p>
    <w:p w:rsidR="00934C02" w:rsidRPr="00934C02" w:rsidRDefault="00934C02" w:rsidP="00934C02">
      <w:pPr>
        <w:tabs>
          <w:tab w:val="left" w:pos="1276"/>
        </w:tabs>
        <w:spacing w:after="0" w:line="240" w:lineRule="auto"/>
        <w:ind w:left="28"/>
        <w:rPr>
          <w:rFonts w:ascii="Arial" w:eastAsia="SimSun" w:hAnsi="Arial" w:cs="Arial"/>
          <w:b/>
          <w:i/>
          <w:color w:val="000000"/>
          <w:sz w:val="24"/>
          <w:szCs w:val="24"/>
          <w:lang w:val="ro-RO"/>
        </w:rPr>
      </w:pPr>
      <w:r w:rsidRPr="00934C02">
        <w:rPr>
          <w:rFonts w:ascii="Arial" w:eastAsia="SimSun" w:hAnsi="Arial" w:cs="Arial"/>
          <w:b/>
          <w:i/>
          <w:color w:val="000000"/>
          <w:sz w:val="24"/>
          <w:szCs w:val="24"/>
          <w:lang w:val="ro-RO"/>
        </w:rPr>
        <w:t>VIII.1.5. Schimbările climatice şi efectele asupra mediului urban, sănătăţii şi calităţii vieţii</w:t>
      </w:r>
      <w:r w:rsidRPr="00934C02">
        <w:rPr>
          <w:rFonts w:ascii="Arial" w:eastAsia="SimSun" w:hAnsi="Arial" w:cs="Arial"/>
          <w:b/>
          <w:i/>
          <w:color w:val="000000"/>
          <w:sz w:val="24"/>
          <w:szCs w:val="24"/>
          <w:lang w:val="ro-RO"/>
        </w:rPr>
        <w:tab/>
      </w:r>
    </w:p>
    <w:p w:rsidR="00934C02" w:rsidRPr="00934C02" w:rsidRDefault="00934C02" w:rsidP="00934C02">
      <w:pPr>
        <w:spacing w:after="0" w:line="240" w:lineRule="auto"/>
        <w:jc w:val="both"/>
        <w:rPr>
          <w:rFonts w:ascii="Times New Roman" w:eastAsia="SimSun" w:hAnsi="Times New Roman" w:cs="Times New Roman"/>
          <w:sz w:val="20"/>
          <w:szCs w:val="26"/>
          <w:highlight w:val="yellow"/>
          <w:lang w:val="ro-RO"/>
        </w:rPr>
      </w:pPr>
    </w:p>
    <w:p w:rsidR="00934C02" w:rsidRPr="00934C02" w:rsidRDefault="00934C02" w:rsidP="00934C02">
      <w:pPr>
        <w:autoSpaceDE w:val="0"/>
        <w:autoSpaceDN w:val="0"/>
        <w:adjustRightInd w:val="0"/>
        <w:spacing w:after="0" w:line="240" w:lineRule="auto"/>
        <w:ind w:firstLine="720"/>
        <w:jc w:val="both"/>
        <w:rPr>
          <w:rFonts w:ascii="Arial" w:eastAsia="Times New Roman" w:hAnsi="Arial" w:cs="Arial"/>
          <w:sz w:val="24"/>
          <w:szCs w:val="24"/>
          <w:lang w:val="ro-RO"/>
        </w:rPr>
      </w:pPr>
      <w:r w:rsidRPr="00934C02">
        <w:rPr>
          <w:rFonts w:ascii="Arial" w:eastAsia="Times New Roman" w:hAnsi="Arial" w:cs="Arial"/>
          <w:bCs/>
          <w:sz w:val="24"/>
          <w:szCs w:val="24"/>
          <w:lang w:val="ro-RO"/>
        </w:rPr>
        <w:t>Schimbările climatice</w:t>
      </w:r>
      <w:r w:rsidRPr="00934C02">
        <w:rPr>
          <w:rFonts w:ascii="Arial" w:eastAsia="Times New Roman" w:hAnsi="Arial" w:cs="Arial"/>
          <w:sz w:val="24"/>
          <w:szCs w:val="24"/>
          <w:lang w:val="ro-RO"/>
        </w:rPr>
        <w:t xml:space="preserve"> reprezintă schimbările de climă care sunt atribuite direct sau indirect unei activităţi omeneşti, care alterează compoziţia atmosferei la nivel global şi care se adaugă variabilităţii naturale a climatului, observate în cursul unor perioade comparabile.</w:t>
      </w:r>
    </w:p>
    <w:p w:rsidR="00934C02" w:rsidRPr="00934C02" w:rsidRDefault="00934C02" w:rsidP="00934C02">
      <w:pPr>
        <w:autoSpaceDE w:val="0"/>
        <w:autoSpaceDN w:val="0"/>
        <w:adjustRightInd w:val="0"/>
        <w:spacing w:after="0" w:line="240" w:lineRule="auto"/>
        <w:ind w:firstLine="720"/>
        <w:jc w:val="both"/>
        <w:rPr>
          <w:rFonts w:ascii="Arial" w:eastAsia="Times New Roman" w:hAnsi="Arial" w:cs="Arial"/>
          <w:sz w:val="24"/>
          <w:szCs w:val="24"/>
          <w:lang w:val="ro-RO" w:eastAsia="ro-RO"/>
        </w:rPr>
      </w:pPr>
      <w:r w:rsidRPr="00934C02">
        <w:rPr>
          <w:rFonts w:ascii="Arial" w:eastAsia="Times New Roman" w:hAnsi="Arial" w:cs="Arial"/>
          <w:sz w:val="24"/>
          <w:szCs w:val="24"/>
          <w:lang w:val="ro-RO" w:eastAsia="ro-RO"/>
        </w:rPr>
        <w:t>Impactul schimbărilor climatice se reflectă în: sănătatea populației, creşterea temperaturii medii cu variaţii semnificative la nivel regional, diminuarea resurselor de apă pentru populaţie, reducerea volumului calotelor glaciare şi creşterea nivelului oceanelor, modificarea ciclului hidrologic, sporirea suprafeţelor aride, modificări în desfăşurarea anotimpurilor, creşterea frecvenţei şi intensităţii fenomenelor climatice extreme, reducerea biodiversităţii etc.</w:t>
      </w:r>
    </w:p>
    <w:p w:rsidR="00934C02" w:rsidRPr="00934C02" w:rsidRDefault="00934C02" w:rsidP="00934C02">
      <w:pPr>
        <w:spacing w:after="0" w:line="240" w:lineRule="auto"/>
        <w:ind w:firstLine="720"/>
        <w:jc w:val="both"/>
        <w:rPr>
          <w:rFonts w:ascii="Arial" w:eastAsia="Times New Roman" w:hAnsi="Arial" w:cs="Arial"/>
          <w:sz w:val="24"/>
          <w:szCs w:val="24"/>
          <w:lang w:val="ro-RO"/>
        </w:rPr>
      </w:pPr>
      <w:r w:rsidRPr="00934C02">
        <w:rPr>
          <w:rFonts w:ascii="Arial" w:eastAsia="Times New Roman" w:hAnsi="Arial" w:cs="Arial"/>
          <w:sz w:val="24"/>
          <w:szCs w:val="24"/>
          <w:lang w:val="ro-RO" w:eastAsia="ro-RO"/>
        </w:rPr>
        <w:t xml:space="preserve">Impactul observat, dar și cel preconizat al schimbărilor climatice asupra oamenilor și al sistemelor naturale din Europa nu sunt distribuite în mod egal (AEM/JRC, 2013; EEA, 2013 c). Pentru a aborda aceste provocări, sunt necesare acțiuni de adaptare, ținând seama de vulnerabilitățile contrastante ale diferitelor regiuni și grupuri societale (IPCC, 2014a). Grupurile vulnerabile ale populației includ persoanele în vârstă și copiii, persoanele cu boli cronice, grupurile defavorizate social și societățile tradiționale. </w:t>
      </w:r>
    </w:p>
    <w:p w:rsidR="00934C02" w:rsidRPr="00934C02" w:rsidRDefault="00934C02" w:rsidP="00934C02">
      <w:pPr>
        <w:autoSpaceDE w:val="0"/>
        <w:autoSpaceDN w:val="0"/>
        <w:adjustRightInd w:val="0"/>
        <w:spacing w:after="0" w:line="240" w:lineRule="auto"/>
        <w:ind w:firstLine="720"/>
        <w:jc w:val="both"/>
        <w:rPr>
          <w:rFonts w:ascii="Arial" w:eastAsia="Times New Roman" w:hAnsi="Arial" w:cs="Arial"/>
          <w:sz w:val="24"/>
          <w:szCs w:val="24"/>
          <w:lang w:val="ro-RO" w:eastAsia="ro-RO"/>
        </w:rPr>
      </w:pPr>
      <w:r w:rsidRPr="00934C02">
        <w:rPr>
          <w:rFonts w:ascii="Arial" w:eastAsia="Times New Roman" w:hAnsi="Arial" w:cs="Arial"/>
          <w:sz w:val="24"/>
          <w:szCs w:val="24"/>
          <w:lang w:val="ro-RO" w:eastAsia="ro-RO"/>
        </w:rPr>
        <w:t>Abordările coerente în materie de adaptare urbană îmbină așa-numitele măsuri „verzi”, „gri” și „lejere” (EEA, 2013c). Strategiile de adaptare pentru infrastructura „gri”, cum ar fi clădirile, transporturile, utilitățile de aprovizionare cu apă sau cu energie, trebuie să asigure că această infrastructură continuă să funcționeze într-un mod mai eficient din punctul de vedere al utilizării resurselor (IPCC, 2014a). Unele acțiuni de adaptare pot fi administrate la nivel de oraș, cum ar fi planurile de avertizare cu privire la valurile de căldură (un exemplu de măsură „lejeră”). Alte acțiuni pot necesita mecanisme de guvernanță pe mai multe niveluri (regionale, naționale și internaționale), la fel ca în cazul protejării împotriva inundațiilor (EEA, 2012i).</w:t>
      </w:r>
    </w:p>
    <w:p w:rsidR="00934C02" w:rsidRPr="00934C02" w:rsidRDefault="00934C02" w:rsidP="00934C02">
      <w:pPr>
        <w:tabs>
          <w:tab w:val="left" w:pos="0"/>
          <w:tab w:val="left" w:pos="180"/>
        </w:tabs>
        <w:spacing w:after="0" w:line="240" w:lineRule="auto"/>
        <w:ind w:right="-357"/>
        <w:jc w:val="both"/>
        <w:rPr>
          <w:rFonts w:ascii="Arial" w:eastAsia="SimSun" w:hAnsi="Arial" w:cs="Arial"/>
          <w:sz w:val="24"/>
          <w:szCs w:val="24"/>
          <w:lang w:val="en-GB"/>
        </w:rPr>
      </w:pPr>
      <w:r w:rsidRPr="00934C02">
        <w:rPr>
          <w:rFonts w:ascii="Arial" w:eastAsia="SimSun" w:hAnsi="Arial" w:cs="Arial"/>
          <w:color w:val="000000"/>
          <w:sz w:val="24"/>
          <w:szCs w:val="24"/>
          <w:lang w:val="en-GB"/>
        </w:rPr>
        <w:tab/>
      </w:r>
      <w:r w:rsidRPr="00934C02">
        <w:rPr>
          <w:rFonts w:ascii="Arial" w:eastAsia="SimSun" w:hAnsi="Arial" w:cs="Arial"/>
          <w:color w:val="000000"/>
          <w:sz w:val="24"/>
          <w:szCs w:val="24"/>
          <w:lang w:val="en-GB"/>
        </w:rPr>
        <w:tab/>
        <w:t>Adaptarea la schimbările climatice reprezintă un proces complex ţinând seama de variabilitatea efectelor de la o regiune la alta, depinzând de expunere, vulnerabilitate fizică,</w:t>
      </w:r>
      <w:r w:rsidRPr="00934C02">
        <w:rPr>
          <w:rFonts w:ascii="Arial" w:eastAsia="SimSun" w:hAnsi="Arial" w:cs="Arial"/>
          <w:sz w:val="24"/>
          <w:szCs w:val="24"/>
          <w:lang w:val="en-GB"/>
        </w:rPr>
        <w:t xml:space="preserve"> gradul de dezvoltare socio-economică, capacitatea de adaptare naturală şi umană, </w:t>
      </w:r>
      <w:r w:rsidRPr="00934C02">
        <w:rPr>
          <w:rFonts w:ascii="Arial" w:eastAsia="SimSun" w:hAnsi="Arial" w:cs="Arial"/>
          <w:sz w:val="24"/>
          <w:szCs w:val="24"/>
          <w:lang w:val="en-GB"/>
        </w:rPr>
        <w:lastRenderedPageBreak/>
        <w:t xml:space="preserve">serviciile de sănătate şi mecanismele de supraveghere a dezastrelor. Aşa cum se menţionează şi în Programul European privind Schimbările Climatice, în stabilirea impactului schimbărilor climatice asupra sănătăţii populaţiei există dificultăţi metodologice datorită multiplelor aspecte de care aceasta depinde (ex. factori sociali, economici, de mediu, lipsa datelor concludente şi a informaţiilor relevante). Impactul asupra sănătăţii depinde de gradul şi amplitudinea de expunere la “variabilitatea factorilor climatici”, de sensibilitatea populaţiei, de capacitatea Guvernului şi a sistemului de sănătate de a face faţă consecinţelor acestui impact. </w:t>
      </w:r>
    </w:p>
    <w:p w:rsidR="00934C02" w:rsidRPr="00934C02" w:rsidRDefault="00934C02" w:rsidP="00934C02">
      <w:pPr>
        <w:spacing w:after="0" w:line="240" w:lineRule="auto"/>
        <w:ind w:right="-377" w:firstLine="720"/>
        <w:jc w:val="both"/>
        <w:rPr>
          <w:rFonts w:ascii="Arial" w:eastAsia="SimSun" w:hAnsi="Arial" w:cs="Arial"/>
          <w:sz w:val="20"/>
          <w:szCs w:val="20"/>
          <w:highlight w:val="yellow"/>
          <w:lang w:val="ro-RO"/>
        </w:rPr>
      </w:pPr>
      <w:r w:rsidRPr="00934C02">
        <w:rPr>
          <w:rFonts w:ascii="Arial" w:eastAsia="SimSun" w:hAnsi="Arial" w:cs="Arial"/>
          <w:sz w:val="24"/>
          <w:szCs w:val="24"/>
          <w:lang w:val="en-GB"/>
        </w:rPr>
        <w:t xml:space="preserve">Schimbările climatice afectează în mod direct România şi duc la apariţia valurilor de căldură intensă sau a fenomenelor meteorologice extreme (inundaţii datorate ploilor abundente, intensificări de vânt). Acestea vor avea ca efect creşterea pe termen scurt a numărului de decese sau acutizarea unor afecţiuni cronice (în special cele cardiovasculare şi respiratorii) sau apariţia unor afecţiuni induse de vectori (malaria) şi epidemiile hidrice. Segmentele mai puţin înstărite ale societăţii precum şi cele biologice mai fragile (copiii şi persoanele în vârstǎ) vor fi mai vulnerabile la aceste efecte. Prin urmare, este necesar să se acorde o atenţie deosebită aspectelor sociale ale adaptării, inclusiv riscurilor legate de ocuparea locurilor de muncă şi efectele asupra condiţiilor de trai şi de locuit. Zonele cele mai afectate de valurile de căldură sunt mai ales cele urbane, în care zonele verzi s-au diminuat, iar construcţiile urbane din beton şi asfaltul străzilor duc la absorbţia intensă a radiaţiei solare, pe care o acumulează şi o eliberează noaptea. În acelaşi timp, şi transportul urban contribuie la aceste efecte, în condiţiile în care numărul de autoturisme a crescut anual, semnificativ, în România. </w:t>
      </w:r>
      <w:r w:rsidRPr="00934C02">
        <w:rPr>
          <w:rFonts w:ascii="Arial" w:eastAsia="SimSun" w:hAnsi="Arial" w:cs="Arial"/>
          <w:sz w:val="20"/>
          <w:szCs w:val="20"/>
          <w:lang w:val="en-GB"/>
        </w:rPr>
        <w:t>(Sursa: Ghidul privind adaptarea la efectele schimbărilor climatice - ANM).</w:t>
      </w:r>
    </w:p>
    <w:p w:rsidR="00934C02" w:rsidRPr="00934C02" w:rsidRDefault="00934C02" w:rsidP="00934C02">
      <w:pPr>
        <w:spacing w:after="0" w:line="240" w:lineRule="auto"/>
        <w:jc w:val="both"/>
        <w:rPr>
          <w:rFonts w:ascii="Times New Roman" w:eastAsia="SimSun" w:hAnsi="Times New Roman" w:cs="Times New Roman"/>
          <w:sz w:val="20"/>
          <w:szCs w:val="26"/>
          <w:highlight w:val="yellow"/>
          <w:lang w:val="ro-RO"/>
        </w:rPr>
      </w:pPr>
    </w:p>
    <w:p w:rsidR="00934C02" w:rsidRPr="00934C02" w:rsidRDefault="00934C02" w:rsidP="00934C02">
      <w:pPr>
        <w:spacing w:after="0" w:line="240" w:lineRule="auto"/>
        <w:rPr>
          <w:rFonts w:ascii="Arial" w:eastAsia="Times New Roman" w:hAnsi="Arial" w:cs="Arial"/>
          <w:sz w:val="24"/>
          <w:szCs w:val="24"/>
        </w:rPr>
      </w:pPr>
      <w:r w:rsidRPr="00934C02">
        <w:rPr>
          <w:rFonts w:ascii="Arial" w:eastAsia="SimSun" w:hAnsi="Arial" w:cs="Arial"/>
          <w:color w:val="000000"/>
          <w:sz w:val="24"/>
          <w:szCs w:val="24"/>
          <w:lang w:val="ro-RO"/>
        </w:rPr>
        <w:t>VIII.1.5.1.</w:t>
      </w:r>
      <w:r w:rsidRPr="00934C02">
        <w:rPr>
          <w:rFonts w:ascii="Arial" w:eastAsia="SimSun" w:hAnsi="Arial" w:cs="Arial"/>
          <w:b/>
          <w:i/>
          <w:color w:val="000000"/>
          <w:sz w:val="24"/>
          <w:szCs w:val="24"/>
          <w:lang w:val="ro-RO"/>
        </w:rPr>
        <w:t xml:space="preserve"> </w:t>
      </w:r>
      <w:r w:rsidRPr="00934C02">
        <w:rPr>
          <w:rFonts w:ascii="Arial" w:eastAsia="Times New Roman" w:hAnsi="Arial" w:cs="Arial"/>
          <w:sz w:val="24"/>
          <w:szCs w:val="24"/>
        </w:rPr>
        <w:t>Rata de mortalitate în aglomerările urbane ca urmare a temperaturilor extreme în perioada de vară</w:t>
      </w:r>
    </w:p>
    <w:p w:rsidR="00934C02" w:rsidRPr="00934C02" w:rsidRDefault="00934C02" w:rsidP="00934C02">
      <w:pPr>
        <w:spacing w:after="0" w:line="240" w:lineRule="auto"/>
        <w:rPr>
          <w:rFonts w:ascii="Arial" w:eastAsia="Times New Roman" w:hAnsi="Arial" w:cs="Arial"/>
          <w:sz w:val="24"/>
          <w:szCs w:val="24"/>
        </w:rPr>
      </w:pPr>
    </w:p>
    <w:p w:rsidR="00934C02" w:rsidRPr="00934C02" w:rsidRDefault="00934C02" w:rsidP="00934C02">
      <w:pPr>
        <w:spacing w:after="0" w:line="240" w:lineRule="auto"/>
        <w:ind w:firstLine="720"/>
        <w:jc w:val="both"/>
        <w:rPr>
          <w:rFonts w:ascii="Arial" w:eastAsia="Times New Roman" w:hAnsi="Arial" w:cs="Arial"/>
          <w:sz w:val="24"/>
          <w:szCs w:val="24"/>
        </w:rPr>
      </w:pPr>
      <w:r w:rsidRPr="00934C02">
        <w:rPr>
          <w:rFonts w:ascii="Arial" w:eastAsia="Times New Roman" w:hAnsi="Arial" w:cs="Arial"/>
          <w:sz w:val="24"/>
          <w:szCs w:val="24"/>
        </w:rPr>
        <w:t>Schimbările climatice sunt acele schimbări ale climatului pe glob datorită activității umane, în principal datorită emisiilor de gaze cu efect de seră (CO2, metan, protoxid de azot etc.),al căror efect principal este încălzirea globală a atmosferei. Acestea generează unele dintre cele mai mari provocări cu care se confruntă omenirea în momentul de faţă, datorită efectelor dezastruoase induse: creşterea temperaturii aerului şi apei oceanelor, risc crescut de inundaţii, secetă, lipsa apei potabile, risc crescut de incendii şi reducerea resurselor naturale vegetale, modificări ale ecosistemelor şi degradarea resurselor naturale, risc crescut de îmbolnăviri.</w:t>
      </w:r>
    </w:p>
    <w:p w:rsidR="00934C02" w:rsidRPr="00934C02" w:rsidRDefault="00934C02" w:rsidP="00934C02">
      <w:pPr>
        <w:spacing w:after="0" w:line="240" w:lineRule="auto"/>
        <w:jc w:val="both"/>
        <w:rPr>
          <w:rFonts w:ascii="Arial" w:eastAsia="Times New Roman" w:hAnsi="Arial" w:cs="Arial"/>
          <w:sz w:val="24"/>
          <w:szCs w:val="24"/>
        </w:rPr>
      </w:pPr>
      <w:r w:rsidRPr="00934C02">
        <w:rPr>
          <w:rFonts w:ascii="Arial" w:eastAsia="Times New Roman" w:hAnsi="Arial" w:cs="Arial"/>
          <w:sz w:val="24"/>
          <w:szCs w:val="24"/>
        </w:rPr>
        <w:t>Diferența structurală esențială a sistemelor dominate de om față de cele naturale o constituie prezența omului ca specie dominantă, supusă în primul rând legităților socio-economice și nu celor biologice.</w:t>
      </w:r>
    </w:p>
    <w:p w:rsidR="00934C02" w:rsidRPr="00934C02" w:rsidRDefault="00934C02" w:rsidP="00934C02">
      <w:pPr>
        <w:spacing w:after="0" w:line="240" w:lineRule="auto"/>
        <w:ind w:firstLine="720"/>
        <w:jc w:val="both"/>
        <w:rPr>
          <w:rFonts w:ascii="Arial" w:eastAsia="Times New Roman" w:hAnsi="Arial" w:cs="Arial"/>
          <w:sz w:val="24"/>
          <w:szCs w:val="24"/>
        </w:rPr>
      </w:pPr>
      <w:r w:rsidRPr="00934C02">
        <w:rPr>
          <w:rFonts w:ascii="Arial" w:eastAsia="Times New Roman" w:hAnsi="Arial" w:cs="Arial"/>
          <w:sz w:val="24"/>
          <w:szCs w:val="24"/>
        </w:rPr>
        <w:t>Omul își creează propriul habitat din materiale inexistente în mediu și la o scarã mult mai mare decât cea a adãposturilor celorlalte specii.</w:t>
      </w:r>
    </w:p>
    <w:p w:rsidR="00934C02" w:rsidRPr="00934C02" w:rsidRDefault="00934C02" w:rsidP="00934C02">
      <w:pPr>
        <w:spacing w:after="0" w:line="240" w:lineRule="auto"/>
        <w:ind w:firstLine="720"/>
        <w:jc w:val="both"/>
        <w:rPr>
          <w:rFonts w:ascii="Arial" w:eastAsia="Times New Roman" w:hAnsi="Arial" w:cs="Arial"/>
          <w:sz w:val="24"/>
          <w:szCs w:val="24"/>
        </w:rPr>
      </w:pPr>
      <w:r w:rsidRPr="00934C02">
        <w:rPr>
          <w:rFonts w:ascii="Arial" w:eastAsia="Times New Roman" w:hAnsi="Arial" w:cs="Arial"/>
          <w:sz w:val="24"/>
          <w:szCs w:val="24"/>
        </w:rPr>
        <w:t xml:space="preserve">Datoritã densității ridicate și a masivității cadrului construit se modifică substanțial biotopul. Spre exemplu, este semnificativă modificarea unor parametri climatici specifici ecosistemului urban, în raport cu cei din teritoriul înconjurător: fenomene de condensare mai accentuate, poluare gazoasă de câteva ori mai mare, radiație solară sub toate aspectele sale (radiație globală, radiații ultraviolete (vara și iarna), durata strălucirii) mai redusã, temperatura atmosferei (media anuală și din zilele senine) mai ridicată, viteza </w:t>
      </w:r>
      <w:r w:rsidRPr="00934C02">
        <w:rPr>
          <w:rFonts w:ascii="Arial" w:eastAsia="Times New Roman" w:hAnsi="Arial" w:cs="Arial"/>
          <w:sz w:val="24"/>
          <w:szCs w:val="24"/>
        </w:rPr>
        <w:lastRenderedPageBreak/>
        <w:t>vântului, exprimatã în medie anuală, mai mică, dar mai mare în ceea ce privește mișcările lente ale aerului, umiditatea relativă mai mică (vara și iarna), nebulozitatea generală mai mare. La nivelul solului, ca urmare directă a poluării intense în ariile urbane și a folosirii diferiților fertilizatori se produc și modificări din punct de vedere chimic, manifestate în primul rând printr-o creștere a alcalinității. Nu în ultimul rand, aceste transformări distrug habitatul organismelor din sol, fenomen care, împreună cu reducerea covorului vegetal introduce modificări în biochimia solului și evoluția acestuia.</w:t>
      </w:r>
    </w:p>
    <w:p w:rsidR="00934C02" w:rsidRPr="00934C02" w:rsidRDefault="00934C02" w:rsidP="00934C02">
      <w:pPr>
        <w:spacing w:after="0" w:line="240" w:lineRule="auto"/>
        <w:ind w:firstLine="720"/>
        <w:jc w:val="both"/>
        <w:rPr>
          <w:rFonts w:ascii="Arial" w:eastAsia="Times New Roman" w:hAnsi="Arial" w:cs="Arial"/>
          <w:sz w:val="24"/>
          <w:szCs w:val="24"/>
        </w:rPr>
      </w:pPr>
      <w:r w:rsidRPr="00934C02">
        <w:rPr>
          <w:rFonts w:ascii="Arial" w:eastAsia="Times New Roman" w:hAnsi="Arial" w:cs="Arial"/>
          <w:sz w:val="24"/>
          <w:szCs w:val="24"/>
        </w:rPr>
        <w:t>Funcționarea ecosistemului urban devine dependentă de fluxurile de energie și material introduse de către om, care sunt luate din “zestrea” capitalului natural, într-un ritm care depășește capacitatea de refacere a acestuia.</w:t>
      </w:r>
    </w:p>
    <w:p w:rsidR="00934C02" w:rsidRPr="00934C02" w:rsidRDefault="00934C02" w:rsidP="00934C02">
      <w:pPr>
        <w:spacing w:after="0" w:line="240" w:lineRule="auto"/>
        <w:ind w:firstLine="720"/>
        <w:jc w:val="both"/>
        <w:rPr>
          <w:rFonts w:ascii="Arial" w:eastAsia="Times New Roman" w:hAnsi="Arial" w:cs="Arial"/>
          <w:sz w:val="24"/>
          <w:szCs w:val="24"/>
        </w:rPr>
      </w:pPr>
      <w:r w:rsidRPr="00934C02">
        <w:rPr>
          <w:rFonts w:ascii="Arial" w:eastAsia="Times New Roman" w:hAnsi="Arial" w:cs="Arial"/>
          <w:sz w:val="24"/>
          <w:szCs w:val="24"/>
        </w:rPr>
        <w:t>Încălzirea globală implică două probleme majore pentru omenire: pe de o parte, necesitatea reducerii drastice a emisiilor de gaze cu efect de seră, în vederea stabilizării nivelului concentraţiei acestor gaze în atmosferă, care să împiedice influenţa antropică asupra sistemului climatic şi să dea posibilitatea ecosistemelor naturale să se adapteze în mod natural, iar pe de altă parte, necesitatea adaptării la efectele schimbărilor climatice, avându-se în vedere că acestea sunt deja vizibile şi inevitabile din cauza inerţiei sistemului climatic, indiferent de rezultatul acţiunilor de reducere a emisiilor.</w:t>
      </w:r>
    </w:p>
    <w:p w:rsidR="00934C02" w:rsidRPr="00934C02" w:rsidRDefault="00934C02" w:rsidP="00934C02">
      <w:pPr>
        <w:autoSpaceDE w:val="0"/>
        <w:autoSpaceDN w:val="0"/>
        <w:adjustRightInd w:val="0"/>
        <w:spacing w:after="0" w:line="240" w:lineRule="auto"/>
        <w:rPr>
          <w:rFonts w:ascii="Arial" w:eastAsia="Times New Roman" w:hAnsi="Arial" w:cs="Arial"/>
          <w:sz w:val="20"/>
          <w:szCs w:val="20"/>
        </w:rPr>
      </w:pPr>
      <w:r w:rsidRPr="00934C02">
        <w:rPr>
          <w:rFonts w:ascii="Arial" w:eastAsia="Times New Roman" w:hAnsi="Arial" w:cs="Arial"/>
          <w:sz w:val="20"/>
          <w:szCs w:val="20"/>
        </w:rPr>
        <w:t xml:space="preserve">(Sursa: Petrişor Alexandru-Ionuţ - </w:t>
      </w:r>
      <w:r w:rsidRPr="00934C02">
        <w:rPr>
          <w:rFonts w:ascii="Arial" w:eastAsia="TimesNewRoman,Italic" w:hAnsi="Arial" w:cs="Arial"/>
          <w:i/>
          <w:iCs/>
          <w:sz w:val="20"/>
          <w:szCs w:val="20"/>
        </w:rPr>
        <w:t>Ecologie urbană, dezvoltare spaţială durabilă şi legislaţie</w:t>
      </w:r>
      <w:r w:rsidRPr="00934C02">
        <w:rPr>
          <w:rFonts w:ascii="Arial" w:eastAsia="Times New Roman" w:hAnsi="Arial" w:cs="Arial"/>
          <w:sz w:val="20"/>
          <w:szCs w:val="20"/>
        </w:rPr>
        <w:t>)</w:t>
      </w:r>
    </w:p>
    <w:p w:rsidR="00934C02" w:rsidRPr="00934C02" w:rsidRDefault="00934C02" w:rsidP="00934C02">
      <w:pPr>
        <w:spacing w:after="0" w:line="240" w:lineRule="auto"/>
        <w:jc w:val="both"/>
        <w:rPr>
          <w:rFonts w:ascii="Times New Roman" w:eastAsia="SimSun" w:hAnsi="Times New Roman" w:cs="Times New Roman"/>
          <w:sz w:val="20"/>
          <w:szCs w:val="26"/>
          <w:highlight w:val="yellow"/>
          <w:lang w:val="ro-RO"/>
        </w:rPr>
      </w:pPr>
    </w:p>
    <w:p w:rsidR="00934C02" w:rsidRPr="00934C02" w:rsidRDefault="00934C02" w:rsidP="005910C7">
      <w:pPr>
        <w:numPr>
          <w:ilvl w:val="0"/>
          <w:numId w:val="25"/>
        </w:numPr>
        <w:spacing w:after="0" w:line="240" w:lineRule="auto"/>
        <w:rPr>
          <w:rFonts w:ascii="Arial" w:eastAsia="Times New Roman" w:hAnsi="Arial" w:cs="Arial"/>
          <w:i/>
          <w:sz w:val="24"/>
          <w:szCs w:val="24"/>
        </w:rPr>
      </w:pPr>
      <w:r w:rsidRPr="00934C02">
        <w:rPr>
          <w:rFonts w:ascii="Arial" w:eastAsia="Times New Roman" w:hAnsi="Arial" w:cs="Arial"/>
          <w:i/>
          <w:sz w:val="24"/>
          <w:szCs w:val="24"/>
        </w:rPr>
        <w:t>Variaţia medie anualã a temperaturii aerului</w:t>
      </w:r>
    </w:p>
    <w:p w:rsidR="00934C02" w:rsidRPr="00934C02" w:rsidRDefault="00934C02" w:rsidP="00934C02">
      <w:pPr>
        <w:spacing w:after="0" w:line="240" w:lineRule="auto"/>
        <w:ind w:firstLine="720"/>
        <w:jc w:val="both"/>
        <w:rPr>
          <w:rFonts w:ascii="Arial" w:eastAsia="Times New Roman" w:hAnsi="Arial" w:cs="Arial"/>
          <w:sz w:val="24"/>
          <w:szCs w:val="24"/>
        </w:rPr>
      </w:pPr>
      <w:r w:rsidRPr="00934C02">
        <w:rPr>
          <w:rFonts w:ascii="Arial" w:eastAsia="Times New Roman" w:hAnsi="Arial" w:cs="Arial"/>
          <w:sz w:val="24"/>
          <w:szCs w:val="24"/>
        </w:rPr>
        <w:t>Situaţia variaţiilor de temperatură pentru perioada 2011–2015, este prezentată în tabelul VIII.13, cu precizarea valorilor maxime şi minime, inclusiv media anuală, valori înregistrate la staţiile meteorologice Negreşti, Vaslui şi Bârlad din judeţul Vaslui.</w:t>
      </w:r>
    </w:p>
    <w:p w:rsidR="00934C02" w:rsidRPr="00934C02" w:rsidRDefault="00934C02" w:rsidP="00934C02">
      <w:pPr>
        <w:spacing w:after="0" w:line="240" w:lineRule="auto"/>
        <w:jc w:val="both"/>
        <w:rPr>
          <w:rFonts w:ascii="Arial" w:eastAsia="Times New Roman" w:hAnsi="Arial" w:cs="Arial"/>
          <w:sz w:val="24"/>
          <w:szCs w:val="24"/>
        </w:rPr>
      </w:pPr>
    </w:p>
    <w:p w:rsidR="00934C02" w:rsidRPr="00934C02" w:rsidRDefault="00934C02" w:rsidP="00934C02">
      <w:pPr>
        <w:spacing w:after="0" w:line="240" w:lineRule="auto"/>
        <w:jc w:val="both"/>
        <w:rPr>
          <w:rFonts w:ascii="Arial" w:eastAsia="Times New Roman" w:hAnsi="Arial" w:cs="Arial"/>
          <w:sz w:val="24"/>
          <w:szCs w:val="24"/>
        </w:rPr>
      </w:pPr>
      <w:r w:rsidRPr="00934C02">
        <w:rPr>
          <w:rFonts w:ascii="Arial" w:eastAsia="Times New Roman" w:hAnsi="Arial" w:cs="Arial"/>
          <w:sz w:val="24"/>
          <w:szCs w:val="24"/>
        </w:rPr>
        <w:t>Tabelul VIII.15. Situaţia variaţiilor de temperatură pentru perioada 2011–2015</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2090"/>
        <w:gridCol w:w="1965"/>
        <w:gridCol w:w="2196"/>
        <w:gridCol w:w="2127"/>
      </w:tblGrid>
      <w:tr w:rsidR="00934C02" w:rsidRPr="00934C02" w:rsidTr="0084419D">
        <w:trPr>
          <w:trHeight w:val="761"/>
          <w:jc w:val="center"/>
        </w:trPr>
        <w:tc>
          <w:tcPr>
            <w:tcW w:w="661" w:type="dxa"/>
            <w:shd w:val="clear" w:color="auto" w:fill="auto"/>
          </w:tcPr>
          <w:p w:rsidR="00934C02" w:rsidRPr="00934C02" w:rsidRDefault="00934C02" w:rsidP="00934C02">
            <w:pPr>
              <w:spacing w:after="0" w:line="240" w:lineRule="auto"/>
              <w:jc w:val="center"/>
              <w:rPr>
                <w:rFonts w:ascii="Arial" w:eastAsia="SimSun" w:hAnsi="Arial" w:cs="Arial"/>
                <w:b/>
                <w:sz w:val="20"/>
                <w:szCs w:val="20"/>
                <w:highlight w:val="yellow"/>
                <w:lang w:val="ro-RO"/>
              </w:rPr>
            </w:pPr>
            <w:r w:rsidRPr="00934C02">
              <w:rPr>
                <w:rFonts w:ascii="Arial" w:eastAsia="SimSun" w:hAnsi="Arial" w:cs="Arial"/>
                <w:b/>
                <w:sz w:val="20"/>
                <w:szCs w:val="20"/>
                <w:lang w:val="ro-RO"/>
              </w:rPr>
              <w:t>Anii</w:t>
            </w:r>
          </w:p>
        </w:tc>
        <w:tc>
          <w:tcPr>
            <w:tcW w:w="2090" w:type="dxa"/>
            <w:shd w:val="clear" w:color="auto" w:fill="auto"/>
          </w:tcPr>
          <w:p w:rsidR="00934C02" w:rsidRPr="00934C02" w:rsidRDefault="00934C02" w:rsidP="00934C02">
            <w:pPr>
              <w:spacing w:after="0" w:line="240" w:lineRule="auto"/>
              <w:jc w:val="center"/>
              <w:rPr>
                <w:rFonts w:ascii="Arial" w:eastAsia="Times New Roman" w:hAnsi="Arial" w:cs="Arial"/>
                <w:b/>
                <w:sz w:val="20"/>
                <w:szCs w:val="20"/>
              </w:rPr>
            </w:pPr>
            <w:r w:rsidRPr="00934C02">
              <w:rPr>
                <w:rFonts w:ascii="Arial" w:eastAsia="Times New Roman" w:hAnsi="Arial" w:cs="Arial"/>
                <w:b/>
                <w:sz w:val="20"/>
                <w:szCs w:val="20"/>
              </w:rPr>
              <w:t>Staţia meteorologică</w:t>
            </w:r>
          </w:p>
        </w:tc>
        <w:tc>
          <w:tcPr>
            <w:tcW w:w="1965" w:type="dxa"/>
            <w:shd w:val="clear" w:color="auto" w:fill="auto"/>
          </w:tcPr>
          <w:p w:rsidR="00934C02" w:rsidRPr="00934C02" w:rsidRDefault="00934C02" w:rsidP="00934C02">
            <w:pPr>
              <w:spacing w:after="0" w:line="240" w:lineRule="auto"/>
              <w:jc w:val="center"/>
              <w:rPr>
                <w:rFonts w:ascii="Arial" w:eastAsia="Times New Roman" w:hAnsi="Arial" w:cs="Arial"/>
                <w:b/>
                <w:sz w:val="20"/>
                <w:szCs w:val="20"/>
              </w:rPr>
            </w:pPr>
            <w:r w:rsidRPr="00934C02">
              <w:rPr>
                <w:rFonts w:ascii="Arial" w:eastAsia="Times New Roman" w:hAnsi="Arial" w:cs="Arial"/>
                <w:b/>
                <w:sz w:val="20"/>
                <w:szCs w:val="20"/>
              </w:rPr>
              <w:t>Temperatura medie anuală</w:t>
            </w:r>
          </w:p>
          <w:p w:rsidR="00934C02" w:rsidRPr="00934C02" w:rsidRDefault="00934C02" w:rsidP="00934C02">
            <w:pPr>
              <w:spacing w:after="0" w:line="240" w:lineRule="auto"/>
              <w:jc w:val="center"/>
              <w:rPr>
                <w:rFonts w:ascii="Arial" w:eastAsia="Times New Roman" w:hAnsi="Arial" w:cs="Arial"/>
                <w:b/>
                <w:sz w:val="20"/>
                <w:szCs w:val="20"/>
              </w:rPr>
            </w:pPr>
            <w:r w:rsidRPr="00934C02">
              <w:rPr>
                <w:rFonts w:ascii="Arial" w:eastAsia="Times New Roman" w:hAnsi="Arial" w:cs="Arial"/>
                <w:b/>
                <w:sz w:val="24"/>
                <w:szCs w:val="24"/>
                <w:lang w:val="ro-RO"/>
              </w:rPr>
              <w:t>(</w:t>
            </w:r>
            <w:r w:rsidRPr="00934C02">
              <w:rPr>
                <w:rFonts w:ascii="Arial" w:eastAsia="Times New Roman" w:hAnsi="Arial" w:cs="Arial"/>
                <w:b/>
                <w:sz w:val="24"/>
                <w:szCs w:val="24"/>
                <w:vertAlign w:val="superscript"/>
                <w:lang w:val="ro-RO"/>
              </w:rPr>
              <w:t>0</w:t>
            </w:r>
            <w:r w:rsidRPr="00934C02">
              <w:rPr>
                <w:rFonts w:ascii="Arial" w:eastAsia="Times New Roman" w:hAnsi="Arial" w:cs="Arial"/>
                <w:b/>
                <w:sz w:val="24"/>
                <w:szCs w:val="24"/>
                <w:lang w:val="ro-RO"/>
              </w:rPr>
              <w:t>C)</w:t>
            </w:r>
          </w:p>
        </w:tc>
        <w:tc>
          <w:tcPr>
            <w:tcW w:w="2196" w:type="dxa"/>
            <w:shd w:val="clear" w:color="auto" w:fill="auto"/>
          </w:tcPr>
          <w:p w:rsidR="00934C02" w:rsidRPr="00934C02" w:rsidRDefault="00934C02" w:rsidP="00934C02">
            <w:pPr>
              <w:spacing w:after="0" w:line="240" w:lineRule="auto"/>
              <w:jc w:val="center"/>
              <w:rPr>
                <w:rFonts w:ascii="Arial" w:eastAsia="Times New Roman" w:hAnsi="Arial" w:cs="Arial"/>
                <w:b/>
                <w:sz w:val="20"/>
                <w:szCs w:val="20"/>
              </w:rPr>
            </w:pPr>
            <w:r w:rsidRPr="00934C02">
              <w:rPr>
                <w:rFonts w:ascii="Arial" w:eastAsia="Times New Roman" w:hAnsi="Arial" w:cs="Arial"/>
                <w:b/>
                <w:sz w:val="20"/>
                <w:szCs w:val="20"/>
              </w:rPr>
              <w:t>Temperatura minima anuală</w:t>
            </w:r>
          </w:p>
          <w:p w:rsidR="00934C02" w:rsidRPr="00934C02" w:rsidRDefault="00934C02" w:rsidP="00934C02">
            <w:pPr>
              <w:spacing w:after="0" w:line="240" w:lineRule="auto"/>
              <w:jc w:val="center"/>
              <w:rPr>
                <w:rFonts w:ascii="Arial" w:eastAsia="Times New Roman" w:hAnsi="Arial" w:cs="Arial"/>
                <w:b/>
                <w:sz w:val="20"/>
                <w:szCs w:val="20"/>
              </w:rPr>
            </w:pPr>
            <w:r w:rsidRPr="00934C02">
              <w:rPr>
                <w:rFonts w:ascii="Arial" w:eastAsia="Times New Roman" w:hAnsi="Arial" w:cs="Arial"/>
                <w:b/>
                <w:sz w:val="24"/>
                <w:szCs w:val="24"/>
                <w:lang w:val="ro-RO"/>
              </w:rPr>
              <w:t>(</w:t>
            </w:r>
            <w:r w:rsidRPr="00934C02">
              <w:rPr>
                <w:rFonts w:ascii="Arial" w:eastAsia="Times New Roman" w:hAnsi="Arial" w:cs="Arial"/>
                <w:b/>
                <w:sz w:val="24"/>
                <w:szCs w:val="24"/>
                <w:vertAlign w:val="superscript"/>
                <w:lang w:val="ro-RO"/>
              </w:rPr>
              <w:t>0</w:t>
            </w:r>
            <w:r w:rsidRPr="00934C02">
              <w:rPr>
                <w:rFonts w:ascii="Arial" w:eastAsia="Times New Roman" w:hAnsi="Arial" w:cs="Arial"/>
                <w:b/>
                <w:sz w:val="24"/>
                <w:szCs w:val="24"/>
                <w:lang w:val="ro-RO"/>
              </w:rPr>
              <w:t>C)</w:t>
            </w:r>
          </w:p>
        </w:tc>
        <w:tc>
          <w:tcPr>
            <w:tcW w:w="2127" w:type="dxa"/>
            <w:shd w:val="clear" w:color="auto" w:fill="auto"/>
          </w:tcPr>
          <w:p w:rsidR="00934C02" w:rsidRPr="00934C02" w:rsidRDefault="00934C02" w:rsidP="00934C02">
            <w:pPr>
              <w:spacing w:after="0" w:line="240" w:lineRule="auto"/>
              <w:jc w:val="center"/>
              <w:rPr>
                <w:rFonts w:ascii="Arial" w:eastAsia="Times New Roman" w:hAnsi="Arial" w:cs="Arial"/>
                <w:b/>
                <w:sz w:val="20"/>
                <w:szCs w:val="20"/>
              </w:rPr>
            </w:pPr>
            <w:r w:rsidRPr="00934C02">
              <w:rPr>
                <w:rFonts w:ascii="Arial" w:eastAsia="Times New Roman" w:hAnsi="Arial" w:cs="Arial"/>
                <w:b/>
                <w:sz w:val="20"/>
                <w:szCs w:val="20"/>
              </w:rPr>
              <w:t>Temperatura maximă anuală</w:t>
            </w:r>
          </w:p>
          <w:p w:rsidR="00934C02" w:rsidRPr="00934C02" w:rsidRDefault="00934C02" w:rsidP="00934C02">
            <w:pPr>
              <w:spacing w:after="0" w:line="240" w:lineRule="auto"/>
              <w:jc w:val="center"/>
              <w:rPr>
                <w:rFonts w:ascii="Arial" w:eastAsia="Times New Roman" w:hAnsi="Arial" w:cs="Arial"/>
                <w:b/>
                <w:sz w:val="20"/>
                <w:szCs w:val="20"/>
              </w:rPr>
            </w:pPr>
            <w:r w:rsidRPr="00934C02">
              <w:rPr>
                <w:rFonts w:ascii="Arial" w:eastAsia="Times New Roman" w:hAnsi="Arial" w:cs="Arial"/>
                <w:b/>
                <w:sz w:val="24"/>
                <w:szCs w:val="24"/>
                <w:lang w:val="ro-RO"/>
              </w:rPr>
              <w:t>(</w:t>
            </w:r>
            <w:r w:rsidRPr="00934C02">
              <w:rPr>
                <w:rFonts w:ascii="Arial" w:eastAsia="Times New Roman" w:hAnsi="Arial" w:cs="Arial"/>
                <w:b/>
                <w:sz w:val="24"/>
                <w:szCs w:val="24"/>
                <w:vertAlign w:val="superscript"/>
                <w:lang w:val="ro-RO"/>
              </w:rPr>
              <w:t>0</w:t>
            </w:r>
            <w:r w:rsidRPr="00934C02">
              <w:rPr>
                <w:rFonts w:ascii="Arial" w:eastAsia="Times New Roman" w:hAnsi="Arial" w:cs="Arial"/>
                <w:b/>
                <w:sz w:val="24"/>
                <w:szCs w:val="24"/>
                <w:lang w:val="ro-RO"/>
              </w:rPr>
              <w:t>C)</w:t>
            </w:r>
          </w:p>
        </w:tc>
      </w:tr>
      <w:tr w:rsidR="00934C02" w:rsidRPr="00934C02" w:rsidTr="0084419D">
        <w:trPr>
          <w:trHeight w:val="134"/>
          <w:jc w:val="center"/>
        </w:trPr>
        <w:tc>
          <w:tcPr>
            <w:tcW w:w="661" w:type="dxa"/>
            <w:vMerge w:val="restart"/>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p>
          <w:p w:rsidR="00934C02" w:rsidRPr="00934C02" w:rsidRDefault="00934C02" w:rsidP="00934C02">
            <w:pPr>
              <w:spacing w:after="0" w:line="240" w:lineRule="auto"/>
              <w:jc w:val="both"/>
              <w:rPr>
                <w:rFonts w:ascii="Arial" w:eastAsia="SimSun" w:hAnsi="Arial" w:cs="Arial"/>
                <w:sz w:val="20"/>
                <w:szCs w:val="20"/>
                <w:lang w:val="ro-RO"/>
              </w:rPr>
            </w:pPr>
            <w:r w:rsidRPr="00934C02">
              <w:rPr>
                <w:rFonts w:ascii="Arial" w:eastAsia="SimSun" w:hAnsi="Arial" w:cs="Arial"/>
                <w:sz w:val="20"/>
                <w:szCs w:val="20"/>
                <w:lang w:val="ro-RO"/>
              </w:rPr>
              <w:t>2011</w:t>
            </w:r>
          </w:p>
        </w:tc>
        <w:tc>
          <w:tcPr>
            <w:tcW w:w="2090" w:type="dxa"/>
            <w:shd w:val="clear" w:color="auto" w:fill="auto"/>
          </w:tcPr>
          <w:p w:rsidR="00934C02" w:rsidRPr="00934C02" w:rsidRDefault="00934C02" w:rsidP="00934C02">
            <w:pPr>
              <w:spacing w:after="0" w:line="240" w:lineRule="auto"/>
              <w:jc w:val="both"/>
              <w:rPr>
                <w:rFonts w:ascii="Arial" w:eastAsia="SimSun" w:hAnsi="Arial" w:cs="Arial"/>
                <w:sz w:val="20"/>
                <w:szCs w:val="20"/>
                <w:highlight w:val="yellow"/>
                <w:lang w:val="ro-RO"/>
              </w:rPr>
            </w:pPr>
            <w:r w:rsidRPr="00934C02">
              <w:rPr>
                <w:rFonts w:ascii="Arial" w:eastAsia="SimSun" w:hAnsi="Arial" w:cs="Arial"/>
                <w:sz w:val="20"/>
                <w:szCs w:val="20"/>
                <w:lang w:val="ro-RO"/>
              </w:rPr>
              <w:t>Negreşti</w:t>
            </w:r>
          </w:p>
        </w:tc>
        <w:tc>
          <w:tcPr>
            <w:tcW w:w="1965" w:type="dxa"/>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r w:rsidRPr="00934C02">
              <w:rPr>
                <w:rFonts w:ascii="Arial" w:eastAsia="SimSun" w:hAnsi="Arial" w:cs="Arial"/>
                <w:sz w:val="20"/>
                <w:szCs w:val="20"/>
                <w:lang w:val="ro-RO"/>
              </w:rPr>
              <w:t>9,5</w:t>
            </w:r>
          </w:p>
        </w:tc>
        <w:tc>
          <w:tcPr>
            <w:tcW w:w="2196" w:type="dxa"/>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r w:rsidRPr="00934C02">
              <w:rPr>
                <w:rFonts w:ascii="Arial" w:eastAsia="SimSun" w:hAnsi="Arial" w:cs="Arial"/>
                <w:sz w:val="20"/>
                <w:szCs w:val="20"/>
                <w:lang w:val="ro-RO"/>
              </w:rPr>
              <w:t>-20,4</w:t>
            </w:r>
          </w:p>
        </w:tc>
        <w:tc>
          <w:tcPr>
            <w:tcW w:w="2127" w:type="dxa"/>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r w:rsidRPr="00934C02">
              <w:rPr>
                <w:rFonts w:ascii="Arial" w:eastAsia="SimSun" w:hAnsi="Arial" w:cs="Arial"/>
                <w:sz w:val="20"/>
                <w:szCs w:val="20"/>
                <w:lang w:val="ro-RO"/>
              </w:rPr>
              <w:t>34,7</w:t>
            </w:r>
          </w:p>
        </w:tc>
      </w:tr>
      <w:tr w:rsidR="00934C02" w:rsidRPr="00934C02" w:rsidTr="0084419D">
        <w:trPr>
          <w:trHeight w:val="166"/>
          <w:jc w:val="center"/>
        </w:trPr>
        <w:tc>
          <w:tcPr>
            <w:tcW w:w="661" w:type="dxa"/>
            <w:vMerge/>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p>
        </w:tc>
        <w:tc>
          <w:tcPr>
            <w:tcW w:w="2090" w:type="dxa"/>
            <w:shd w:val="clear" w:color="auto" w:fill="auto"/>
          </w:tcPr>
          <w:p w:rsidR="00934C02" w:rsidRPr="00934C02" w:rsidRDefault="00934C02" w:rsidP="00934C02">
            <w:pPr>
              <w:spacing w:after="0" w:line="240" w:lineRule="auto"/>
              <w:jc w:val="both"/>
              <w:rPr>
                <w:rFonts w:ascii="Arial" w:eastAsia="SimSun" w:hAnsi="Arial" w:cs="Arial"/>
                <w:sz w:val="20"/>
                <w:szCs w:val="20"/>
                <w:highlight w:val="yellow"/>
                <w:lang w:val="ro-RO"/>
              </w:rPr>
            </w:pPr>
            <w:r w:rsidRPr="00934C02">
              <w:rPr>
                <w:rFonts w:ascii="Arial" w:eastAsia="SimSun" w:hAnsi="Arial" w:cs="Arial"/>
                <w:sz w:val="20"/>
                <w:szCs w:val="20"/>
                <w:lang w:val="ro-RO"/>
              </w:rPr>
              <w:t>Vaslui</w:t>
            </w:r>
          </w:p>
        </w:tc>
        <w:tc>
          <w:tcPr>
            <w:tcW w:w="1965" w:type="dxa"/>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r w:rsidRPr="00934C02">
              <w:rPr>
                <w:rFonts w:ascii="Arial" w:eastAsia="SimSun" w:hAnsi="Arial" w:cs="Arial"/>
                <w:sz w:val="20"/>
                <w:szCs w:val="20"/>
                <w:lang w:val="ro-RO"/>
              </w:rPr>
              <w:t>9,7</w:t>
            </w:r>
          </w:p>
        </w:tc>
        <w:tc>
          <w:tcPr>
            <w:tcW w:w="2196" w:type="dxa"/>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r w:rsidRPr="00934C02">
              <w:rPr>
                <w:rFonts w:ascii="Arial" w:eastAsia="SimSun" w:hAnsi="Arial" w:cs="Arial"/>
                <w:sz w:val="20"/>
                <w:szCs w:val="20"/>
                <w:lang w:val="ro-RO"/>
              </w:rPr>
              <w:t>-18,5</w:t>
            </w:r>
          </w:p>
        </w:tc>
        <w:tc>
          <w:tcPr>
            <w:tcW w:w="2127" w:type="dxa"/>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r w:rsidRPr="00934C02">
              <w:rPr>
                <w:rFonts w:ascii="Arial" w:eastAsia="SimSun" w:hAnsi="Arial" w:cs="Arial"/>
                <w:sz w:val="20"/>
                <w:szCs w:val="20"/>
                <w:lang w:val="ro-RO"/>
              </w:rPr>
              <w:t>34,5</w:t>
            </w:r>
          </w:p>
        </w:tc>
      </w:tr>
      <w:tr w:rsidR="00934C02" w:rsidRPr="00934C02" w:rsidTr="0084419D">
        <w:trPr>
          <w:trHeight w:val="70"/>
          <w:jc w:val="center"/>
        </w:trPr>
        <w:tc>
          <w:tcPr>
            <w:tcW w:w="661" w:type="dxa"/>
            <w:vMerge/>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p>
        </w:tc>
        <w:tc>
          <w:tcPr>
            <w:tcW w:w="2090" w:type="dxa"/>
            <w:shd w:val="clear" w:color="auto" w:fill="auto"/>
          </w:tcPr>
          <w:p w:rsidR="00934C02" w:rsidRPr="00934C02" w:rsidRDefault="00934C02" w:rsidP="00934C02">
            <w:pPr>
              <w:spacing w:after="0" w:line="240" w:lineRule="auto"/>
              <w:jc w:val="both"/>
              <w:rPr>
                <w:rFonts w:ascii="Arial" w:eastAsia="SimSun" w:hAnsi="Arial" w:cs="Arial"/>
                <w:sz w:val="20"/>
                <w:szCs w:val="20"/>
                <w:highlight w:val="yellow"/>
                <w:lang w:val="ro-RO"/>
              </w:rPr>
            </w:pPr>
            <w:r w:rsidRPr="00934C02">
              <w:rPr>
                <w:rFonts w:ascii="Arial" w:eastAsia="SimSun" w:hAnsi="Arial" w:cs="Arial"/>
                <w:sz w:val="20"/>
                <w:szCs w:val="20"/>
                <w:lang w:val="ro-RO"/>
              </w:rPr>
              <w:t>Bârlad</w:t>
            </w:r>
          </w:p>
        </w:tc>
        <w:tc>
          <w:tcPr>
            <w:tcW w:w="1965" w:type="dxa"/>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r w:rsidRPr="00934C02">
              <w:rPr>
                <w:rFonts w:ascii="Arial" w:eastAsia="SimSun" w:hAnsi="Arial" w:cs="Arial"/>
                <w:sz w:val="20"/>
                <w:szCs w:val="20"/>
                <w:lang w:val="ro-RO"/>
              </w:rPr>
              <w:t>10,1</w:t>
            </w:r>
          </w:p>
        </w:tc>
        <w:tc>
          <w:tcPr>
            <w:tcW w:w="2196" w:type="dxa"/>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r w:rsidRPr="00934C02">
              <w:rPr>
                <w:rFonts w:ascii="Arial" w:eastAsia="SimSun" w:hAnsi="Arial" w:cs="Arial"/>
                <w:sz w:val="20"/>
                <w:szCs w:val="20"/>
                <w:lang w:val="ro-RO"/>
              </w:rPr>
              <w:t>-18,2</w:t>
            </w:r>
          </w:p>
        </w:tc>
        <w:tc>
          <w:tcPr>
            <w:tcW w:w="2127" w:type="dxa"/>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r w:rsidRPr="00934C02">
              <w:rPr>
                <w:rFonts w:ascii="Arial" w:eastAsia="SimSun" w:hAnsi="Arial" w:cs="Arial"/>
                <w:sz w:val="20"/>
                <w:szCs w:val="20"/>
                <w:lang w:val="ro-RO"/>
              </w:rPr>
              <w:t>34,3</w:t>
            </w:r>
          </w:p>
        </w:tc>
      </w:tr>
      <w:tr w:rsidR="00934C02" w:rsidRPr="00934C02" w:rsidTr="0084419D">
        <w:trPr>
          <w:trHeight w:val="130"/>
          <w:jc w:val="center"/>
        </w:trPr>
        <w:tc>
          <w:tcPr>
            <w:tcW w:w="661" w:type="dxa"/>
            <w:vMerge w:val="restart"/>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p>
          <w:p w:rsidR="00934C02" w:rsidRPr="00934C02" w:rsidRDefault="00934C02" w:rsidP="00934C02">
            <w:pPr>
              <w:spacing w:after="0" w:line="240" w:lineRule="auto"/>
              <w:jc w:val="both"/>
              <w:rPr>
                <w:rFonts w:ascii="Arial" w:eastAsia="SimSun" w:hAnsi="Arial" w:cs="Arial"/>
                <w:sz w:val="20"/>
                <w:szCs w:val="20"/>
                <w:lang w:val="ro-RO"/>
              </w:rPr>
            </w:pPr>
            <w:r w:rsidRPr="00934C02">
              <w:rPr>
                <w:rFonts w:ascii="Arial" w:eastAsia="SimSun" w:hAnsi="Arial" w:cs="Arial"/>
                <w:sz w:val="20"/>
                <w:szCs w:val="20"/>
                <w:lang w:val="ro-RO"/>
              </w:rPr>
              <w:t>2012</w:t>
            </w:r>
          </w:p>
        </w:tc>
        <w:tc>
          <w:tcPr>
            <w:tcW w:w="2090" w:type="dxa"/>
            <w:shd w:val="clear" w:color="auto" w:fill="auto"/>
          </w:tcPr>
          <w:p w:rsidR="00934C02" w:rsidRPr="00934C02" w:rsidRDefault="00934C02" w:rsidP="00934C02">
            <w:pPr>
              <w:spacing w:after="0" w:line="240" w:lineRule="auto"/>
              <w:jc w:val="both"/>
              <w:rPr>
                <w:rFonts w:ascii="Arial" w:eastAsia="SimSun" w:hAnsi="Arial" w:cs="Arial"/>
                <w:sz w:val="20"/>
                <w:szCs w:val="20"/>
                <w:highlight w:val="yellow"/>
                <w:lang w:val="ro-RO"/>
              </w:rPr>
            </w:pPr>
            <w:r w:rsidRPr="00934C02">
              <w:rPr>
                <w:rFonts w:ascii="Arial" w:eastAsia="SimSun" w:hAnsi="Arial" w:cs="Arial"/>
                <w:sz w:val="20"/>
                <w:szCs w:val="20"/>
                <w:lang w:val="ro-RO"/>
              </w:rPr>
              <w:t>Negreşti</w:t>
            </w:r>
          </w:p>
        </w:tc>
        <w:tc>
          <w:tcPr>
            <w:tcW w:w="1965" w:type="dxa"/>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r w:rsidRPr="00934C02">
              <w:rPr>
                <w:rFonts w:ascii="Arial" w:eastAsia="SimSun" w:hAnsi="Arial" w:cs="Arial"/>
                <w:sz w:val="20"/>
                <w:szCs w:val="20"/>
                <w:lang w:val="ro-RO"/>
              </w:rPr>
              <w:t>10,0</w:t>
            </w:r>
          </w:p>
        </w:tc>
        <w:tc>
          <w:tcPr>
            <w:tcW w:w="2196" w:type="dxa"/>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r w:rsidRPr="00934C02">
              <w:rPr>
                <w:rFonts w:ascii="Arial" w:eastAsia="SimSun" w:hAnsi="Arial" w:cs="Arial"/>
                <w:sz w:val="20"/>
                <w:szCs w:val="20"/>
                <w:lang w:val="ro-RO"/>
              </w:rPr>
              <w:t>-28,5</w:t>
            </w:r>
          </w:p>
        </w:tc>
        <w:tc>
          <w:tcPr>
            <w:tcW w:w="2127" w:type="dxa"/>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r w:rsidRPr="00934C02">
              <w:rPr>
                <w:rFonts w:ascii="Arial" w:eastAsia="SimSun" w:hAnsi="Arial" w:cs="Arial"/>
                <w:sz w:val="20"/>
                <w:szCs w:val="20"/>
                <w:lang w:val="ro-RO"/>
              </w:rPr>
              <w:t>40,5</w:t>
            </w:r>
          </w:p>
        </w:tc>
      </w:tr>
      <w:tr w:rsidR="00934C02" w:rsidRPr="00934C02" w:rsidTr="0084419D">
        <w:trPr>
          <w:trHeight w:val="162"/>
          <w:jc w:val="center"/>
        </w:trPr>
        <w:tc>
          <w:tcPr>
            <w:tcW w:w="661" w:type="dxa"/>
            <w:vMerge/>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p>
        </w:tc>
        <w:tc>
          <w:tcPr>
            <w:tcW w:w="2090" w:type="dxa"/>
            <w:shd w:val="clear" w:color="auto" w:fill="auto"/>
          </w:tcPr>
          <w:p w:rsidR="00934C02" w:rsidRPr="00934C02" w:rsidRDefault="00934C02" w:rsidP="00934C02">
            <w:pPr>
              <w:spacing w:after="0" w:line="240" w:lineRule="auto"/>
              <w:jc w:val="both"/>
              <w:rPr>
                <w:rFonts w:ascii="Arial" w:eastAsia="SimSun" w:hAnsi="Arial" w:cs="Arial"/>
                <w:sz w:val="20"/>
                <w:szCs w:val="20"/>
                <w:highlight w:val="yellow"/>
                <w:lang w:val="ro-RO"/>
              </w:rPr>
            </w:pPr>
            <w:r w:rsidRPr="00934C02">
              <w:rPr>
                <w:rFonts w:ascii="Arial" w:eastAsia="SimSun" w:hAnsi="Arial" w:cs="Arial"/>
                <w:sz w:val="20"/>
                <w:szCs w:val="20"/>
                <w:lang w:val="ro-RO"/>
              </w:rPr>
              <w:t>Vaslui</w:t>
            </w:r>
          </w:p>
        </w:tc>
        <w:tc>
          <w:tcPr>
            <w:tcW w:w="1965" w:type="dxa"/>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r w:rsidRPr="00934C02">
              <w:rPr>
                <w:rFonts w:ascii="Arial" w:eastAsia="SimSun" w:hAnsi="Arial" w:cs="Arial"/>
                <w:sz w:val="20"/>
                <w:szCs w:val="20"/>
                <w:lang w:val="ro-RO"/>
              </w:rPr>
              <w:t>10,3</w:t>
            </w:r>
          </w:p>
        </w:tc>
        <w:tc>
          <w:tcPr>
            <w:tcW w:w="2196" w:type="dxa"/>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r w:rsidRPr="00934C02">
              <w:rPr>
                <w:rFonts w:ascii="Arial" w:eastAsia="SimSun" w:hAnsi="Arial" w:cs="Arial"/>
                <w:sz w:val="20"/>
                <w:szCs w:val="20"/>
                <w:lang w:val="ro-RO"/>
              </w:rPr>
              <w:t>-26,1</w:t>
            </w:r>
          </w:p>
        </w:tc>
        <w:tc>
          <w:tcPr>
            <w:tcW w:w="2127" w:type="dxa"/>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r w:rsidRPr="00934C02">
              <w:rPr>
                <w:rFonts w:ascii="Arial" w:eastAsia="SimSun" w:hAnsi="Arial" w:cs="Arial"/>
                <w:sz w:val="20"/>
                <w:szCs w:val="20"/>
                <w:lang w:val="ro-RO"/>
              </w:rPr>
              <w:t>41,2</w:t>
            </w:r>
          </w:p>
        </w:tc>
      </w:tr>
      <w:tr w:rsidR="00934C02" w:rsidRPr="00934C02" w:rsidTr="0084419D">
        <w:trPr>
          <w:trHeight w:val="66"/>
          <w:jc w:val="center"/>
        </w:trPr>
        <w:tc>
          <w:tcPr>
            <w:tcW w:w="661" w:type="dxa"/>
            <w:vMerge/>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p>
        </w:tc>
        <w:tc>
          <w:tcPr>
            <w:tcW w:w="2090" w:type="dxa"/>
            <w:shd w:val="clear" w:color="auto" w:fill="auto"/>
          </w:tcPr>
          <w:p w:rsidR="00934C02" w:rsidRPr="00934C02" w:rsidRDefault="00934C02" w:rsidP="00934C02">
            <w:pPr>
              <w:spacing w:after="0" w:line="240" w:lineRule="auto"/>
              <w:jc w:val="both"/>
              <w:rPr>
                <w:rFonts w:ascii="Arial" w:eastAsia="SimSun" w:hAnsi="Arial" w:cs="Arial"/>
                <w:sz w:val="20"/>
                <w:szCs w:val="20"/>
                <w:highlight w:val="yellow"/>
                <w:lang w:val="ro-RO"/>
              </w:rPr>
            </w:pPr>
            <w:r w:rsidRPr="00934C02">
              <w:rPr>
                <w:rFonts w:ascii="Arial" w:eastAsia="SimSun" w:hAnsi="Arial" w:cs="Arial"/>
                <w:sz w:val="20"/>
                <w:szCs w:val="20"/>
                <w:lang w:val="ro-RO"/>
              </w:rPr>
              <w:t>Bârlad</w:t>
            </w:r>
          </w:p>
        </w:tc>
        <w:tc>
          <w:tcPr>
            <w:tcW w:w="1965" w:type="dxa"/>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r w:rsidRPr="00934C02">
              <w:rPr>
                <w:rFonts w:ascii="Arial" w:eastAsia="SimSun" w:hAnsi="Arial" w:cs="Arial"/>
                <w:sz w:val="20"/>
                <w:szCs w:val="20"/>
                <w:lang w:val="ro-RO"/>
              </w:rPr>
              <w:t>10,9</w:t>
            </w:r>
          </w:p>
        </w:tc>
        <w:tc>
          <w:tcPr>
            <w:tcW w:w="2196" w:type="dxa"/>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r w:rsidRPr="00934C02">
              <w:rPr>
                <w:rFonts w:ascii="Arial" w:eastAsia="SimSun" w:hAnsi="Arial" w:cs="Arial"/>
                <w:sz w:val="20"/>
                <w:szCs w:val="20"/>
                <w:lang w:val="ro-RO"/>
              </w:rPr>
              <w:t>-23,9</w:t>
            </w:r>
          </w:p>
        </w:tc>
        <w:tc>
          <w:tcPr>
            <w:tcW w:w="2127" w:type="dxa"/>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r w:rsidRPr="00934C02">
              <w:rPr>
                <w:rFonts w:ascii="Arial" w:eastAsia="SimSun" w:hAnsi="Arial" w:cs="Arial"/>
                <w:sz w:val="20"/>
                <w:szCs w:val="20"/>
                <w:lang w:val="ro-RO"/>
              </w:rPr>
              <w:t>39,8</w:t>
            </w:r>
          </w:p>
        </w:tc>
      </w:tr>
      <w:tr w:rsidR="00934C02" w:rsidRPr="00934C02" w:rsidTr="0084419D">
        <w:trPr>
          <w:trHeight w:val="210"/>
          <w:jc w:val="center"/>
        </w:trPr>
        <w:tc>
          <w:tcPr>
            <w:tcW w:w="661" w:type="dxa"/>
            <w:vMerge w:val="restart"/>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p>
          <w:p w:rsidR="00934C02" w:rsidRPr="00934C02" w:rsidRDefault="00934C02" w:rsidP="00934C02">
            <w:pPr>
              <w:spacing w:after="0" w:line="240" w:lineRule="auto"/>
              <w:jc w:val="both"/>
              <w:rPr>
                <w:rFonts w:ascii="Arial" w:eastAsia="SimSun" w:hAnsi="Arial" w:cs="Arial"/>
                <w:sz w:val="20"/>
                <w:szCs w:val="20"/>
                <w:lang w:val="ro-RO"/>
              </w:rPr>
            </w:pPr>
            <w:r w:rsidRPr="00934C02">
              <w:rPr>
                <w:rFonts w:ascii="Arial" w:eastAsia="SimSun" w:hAnsi="Arial" w:cs="Arial"/>
                <w:sz w:val="20"/>
                <w:szCs w:val="20"/>
                <w:lang w:val="ro-RO"/>
              </w:rPr>
              <w:t>2013</w:t>
            </w:r>
          </w:p>
        </w:tc>
        <w:tc>
          <w:tcPr>
            <w:tcW w:w="2090" w:type="dxa"/>
            <w:shd w:val="clear" w:color="auto" w:fill="auto"/>
          </w:tcPr>
          <w:p w:rsidR="00934C02" w:rsidRPr="00934C02" w:rsidRDefault="00934C02" w:rsidP="00934C02">
            <w:pPr>
              <w:spacing w:after="0" w:line="240" w:lineRule="auto"/>
              <w:jc w:val="both"/>
              <w:rPr>
                <w:rFonts w:ascii="Arial" w:eastAsia="SimSun" w:hAnsi="Arial" w:cs="Arial"/>
                <w:sz w:val="20"/>
                <w:szCs w:val="20"/>
                <w:highlight w:val="yellow"/>
                <w:lang w:val="ro-RO"/>
              </w:rPr>
            </w:pPr>
            <w:r w:rsidRPr="00934C02">
              <w:rPr>
                <w:rFonts w:ascii="Arial" w:eastAsia="SimSun" w:hAnsi="Arial" w:cs="Arial"/>
                <w:sz w:val="20"/>
                <w:szCs w:val="20"/>
                <w:lang w:val="ro-RO"/>
              </w:rPr>
              <w:t>Negreşti</w:t>
            </w:r>
          </w:p>
        </w:tc>
        <w:tc>
          <w:tcPr>
            <w:tcW w:w="1965" w:type="dxa"/>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r w:rsidRPr="00934C02">
              <w:rPr>
                <w:rFonts w:ascii="Arial" w:eastAsia="SimSun" w:hAnsi="Arial" w:cs="Arial"/>
                <w:sz w:val="20"/>
                <w:szCs w:val="20"/>
                <w:lang w:val="ro-RO"/>
              </w:rPr>
              <w:t>10,5</w:t>
            </w:r>
          </w:p>
        </w:tc>
        <w:tc>
          <w:tcPr>
            <w:tcW w:w="2196" w:type="dxa"/>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r w:rsidRPr="00934C02">
              <w:rPr>
                <w:rFonts w:ascii="Arial" w:eastAsia="SimSun" w:hAnsi="Arial" w:cs="Arial"/>
                <w:sz w:val="20"/>
                <w:szCs w:val="20"/>
                <w:lang w:val="ro-RO"/>
              </w:rPr>
              <w:t>-21,2</w:t>
            </w:r>
          </w:p>
        </w:tc>
        <w:tc>
          <w:tcPr>
            <w:tcW w:w="2127" w:type="dxa"/>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r w:rsidRPr="00934C02">
              <w:rPr>
                <w:rFonts w:ascii="Arial" w:eastAsia="SimSun" w:hAnsi="Arial" w:cs="Arial"/>
                <w:sz w:val="20"/>
                <w:szCs w:val="20"/>
                <w:lang w:val="ro-RO"/>
              </w:rPr>
              <w:t>34,5</w:t>
            </w:r>
          </w:p>
        </w:tc>
      </w:tr>
      <w:tr w:rsidR="00934C02" w:rsidRPr="00934C02" w:rsidTr="0084419D">
        <w:trPr>
          <w:trHeight w:val="196"/>
          <w:jc w:val="center"/>
        </w:trPr>
        <w:tc>
          <w:tcPr>
            <w:tcW w:w="661" w:type="dxa"/>
            <w:vMerge/>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p>
        </w:tc>
        <w:tc>
          <w:tcPr>
            <w:tcW w:w="2090" w:type="dxa"/>
            <w:shd w:val="clear" w:color="auto" w:fill="auto"/>
          </w:tcPr>
          <w:p w:rsidR="00934C02" w:rsidRPr="00934C02" w:rsidRDefault="00934C02" w:rsidP="00934C02">
            <w:pPr>
              <w:spacing w:after="0" w:line="240" w:lineRule="auto"/>
              <w:jc w:val="both"/>
              <w:rPr>
                <w:rFonts w:ascii="Arial" w:eastAsia="SimSun" w:hAnsi="Arial" w:cs="Arial"/>
                <w:sz w:val="20"/>
                <w:szCs w:val="20"/>
                <w:highlight w:val="yellow"/>
                <w:lang w:val="ro-RO"/>
              </w:rPr>
            </w:pPr>
            <w:r w:rsidRPr="00934C02">
              <w:rPr>
                <w:rFonts w:ascii="Arial" w:eastAsia="SimSun" w:hAnsi="Arial" w:cs="Arial"/>
                <w:sz w:val="20"/>
                <w:szCs w:val="20"/>
                <w:lang w:val="ro-RO"/>
              </w:rPr>
              <w:t>Vaslui</w:t>
            </w:r>
          </w:p>
        </w:tc>
        <w:tc>
          <w:tcPr>
            <w:tcW w:w="1965" w:type="dxa"/>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r w:rsidRPr="00934C02">
              <w:rPr>
                <w:rFonts w:ascii="Arial" w:eastAsia="SimSun" w:hAnsi="Arial" w:cs="Arial"/>
                <w:sz w:val="20"/>
                <w:szCs w:val="20"/>
                <w:lang w:val="ro-RO"/>
              </w:rPr>
              <w:t>10,5</w:t>
            </w:r>
          </w:p>
        </w:tc>
        <w:tc>
          <w:tcPr>
            <w:tcW w:w="2196" w:type="dxa"/>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r w:rsidRPr="00934C02">
              <w:rPr>
                <w:rFonts w:ascii="Arial" w:eastAsia="SimSun" w:hAnsi="Arial" w:cs="Arial"/>
                <w:sz w:val="20"/>
                <w:szCs w:val="20"/>
                <w:lang w:val="ro-RO"/>
              </w:rPr>
              <w:t>-18,0</w:t>
            </w:r>
          </w:p>
        </w:tc>
        <w:tc>
          <w:tcPr>
            <w:tcW w:w="2127" w:type="dxa"/>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r w:rsidRPr="00934C02">
              <w:rPr>
                <w:rFonts w:ascii="Arial" w:eastAsia="SimSun" w:hAnsi="Arial" w:cs="Arial"/>
                <w:sz w:val="20"/>
                <w:szCs w:val="20"/>
                <w:lang w:val="ro-RO"/>
              </w:rPr>
              <w:t>34,2</w:t>
            </w:r>
          </w:p>
        </w:tc>
      </w:tr>
      <w:tr w:rsidR="00934C02" w:rsidRPr="00934C02" w:rsidTr="0084419D">
        <w:trPr>
          <w:trHeight w:val="204"/>
          <w:jc w:val="center"/>
        </w:trPr>
        <w:tc>
          <w:tcPr>
            <w:tcW w:w="661" w:type="dxa"/>
            <w:vMerge/>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p>
        </w:tc>
        <w:tc>
          <w:tcPr>
            <w:tcW w:w="2090" w:type="dxa"/>
            <w:shd w:val="clear" w:color="auto" w:fill="auto"/>
          </w:tcPr>
          <w:p w:rsidR="00934C02" w:rsidRPr="00934C02" w:rsidRDefault="00934C02" w:rsidP="00934C02">
            <w:pPr>
              <w:spacing w:after="0" w:line="240" w:lineRule="auto"/>
              <w:jc w:val="both"/>
              <w:rPr>
                <w:rFonts w:ascii="Arial" w:eastAsia="SimSun" w:hAnsi="Arial" w:cs="Arial"/>
                <w:sz w:val="20"/>
                <w:szCs w:val="20"/>
                <w:highlight w:val="yellow"/>
                <w:lang w:val="ro-RO"/>
              </w:rPr>
            </w:pPr>
            <w:r w:rsidRPr="00934C02">
              <w:rPr>
                <w:rFonts w:ascii="Arial" w:eastAsia="SimSun" w:hAnsi="Arial" w:cs="Arial"/>
                <w:sz w:val="20"/>
                <w:szCs w:val="20"/>
                <w:lang w:val="ro-RO"/>
              </w:rPr>
              <w:t>Bârlad</w:t>
            </w:r>
          </w:p>
        </w:tc>
        <w:tc>
          <w:tcPr>
            <w:tcW w:w="1965" w:type="dxa"/>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r w:rsidRPr="00934C02">
              <w:rPr>
                <w:rFonts w:ascii="Arial" w:eastAsia="SimSun" w:hAnsi="Arial" w:cs="Arial"/>
                <w:sz w:val="20"/>
                <w:szCs w:val="20"/>
                <w:lang w:val="ro-RO"/>
              </w:rPr>
              <w:t>10,8</w:t>
            </w:r>
          </w:p>
        </w:tc>
        <w:tc>
          <w:tcPr>
            <w:tcW w:w="2196" w:type="dxa"/>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r w:rsidRPr="00934C02">
              <w:rPr>
                <w:rFonts w:ascii="Arial" w:eastAsia="SimSun" w:hAnsi="Arial" w:cs="Arial"/>
                <w:sz w:val="20"/>
                <w:szCs w:val="20"/>
                <w:lang w:val="ro-RO"/>
              </w:rPr>
              <w:t>-15,5</w:t>
            </w:r>
          </w:p>
        </w:tc>
        <w:tc>
          <w:tcPr>
            <w:tcW w:w="2127" w:type="dxa"/>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r w:rsidRPr="00934C02">
              <w:rPr>
                <w:rFonts w:ascii="Arial" w:eastAsia="SimSun" w:hAnsi="Arial" w:cs="Arial"/>
                <w:sz w:val="20"/>
                <w:szCs w:val="20"/>
                <w:lang w:val="ro-RO"/>
              </w:rPr>
              <w:t>33,6</w:t>
            </w:r>
          </w:p>
        </w:tc>
      </w:tr>
      <w:tr w:rsidR="00934C02" w:rsidRPr="00934C02" w:rsidTr="0084419D">
        <w:trPr>
          <w:trHeight w:val="224"/>
          <w:jc w:val="center"/>
        </w:trPr>
        <w:tc>
          <w:tcPr>
            <w:tcW w:w="661" w:type="dxa"/>
            <w:vMerge w:val="restart"/>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p>
          <w:p w:rsidR="00934C02" w:rsidRPr="00934C02" w:rsidRDefault="00934C02" w:rsidP="00934C02">
            <w:pPr>
              <w:spacing w:after="0" w:line="240" w:lineRule="auto"/>
              <w:jc w:val="both"/>
              <w:rPr>
                <w:rFonts w:ascii="Arial" w:eastAsia="SimSun" w:hAnsi="Arial" w:cs="Arial"/>
                <w:sz w:val="20"/>
                <w:szCs w:val="20"/>
                <w:lang w:val="ro-RO"/>
              </w:rPr>
            </w:pPr>
            <w:r w:rsidRPr="00934C02">
              <w:rPr>
                <w:rFonts w:ascii="Arial" w:eastAsia="SimSun" w:hAnsi="Arial" w:cs="Arial"/>
                <w:sz w:val="20"/>
                <w:szCs w:val="20"/>
                <w:lang w:val="ro-RO"/>
              </w:rPr>
              <w:t>2014</w:t>
            </w:r>
          </w:p>
        </w:tc>
        <w:tc>
          <w:tcPr>
            <w:tcW w:w="2090" w:type="dxa"/>
            <w:shd w:val="clear" w:color="auto" w:fill="auto"/>
          </w:tcPr>
          <w:p w:rsidR="00934C02" w:rsidRPr="00934C02" w:rsidRDefault="00934C02" w:rsidP="00934C02">
            <w:pPr>
              <w:spacing w:after="0" w:line="240" w:lineRule="auto"/>
              <w:jc w:val="both"/>
              <w:rPr>
                <w:rFonts w:ascii="Arial" w:eastAsia="SimSun" w:hAnsi="Arial" w:cs="Arial"/>
                <w:sz w:val="20"/>
                <w:szCs w:val="20"/>
                <w:highlight w:val="yellow"/>
                <w:lang w:val="ro-RO"/>
              </w:rPr>
            </w:pPr>
            <w:r w:rsidRPr="00934C02">
              <w:rPr>
                <w:rFonts w:ascii="Arial" w:eastAsia="SimSun" w:hAnsi="Arial" w:cs="Arial"/>
                <w:sz w:val="20"/>
                <w:szCs w:val="20"/>
                <w:lang w:val="ro-RO"/>
              </w:rPr>
              <w:t>Negreşti</w:t>
            </w:r>
          </w:p>
        </w:tc>
        <w:tc>
          <w:tcPr>
            <w:tcW w:w="1965" w:type="dxa"/>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r w:rsidRPr="00934C02">
              <w:rPr>
                <w:rFonts w:ascii="Arial" w:eastAsia="SimSun" w:hAnsi="Arial" w:cs="Arial"/>
                <w:sz w:val="20"/>
                <w:szCs w:val="20"/>
                <w:lang w:val="ro-RO"/>
              </w:rPr>
              <w:t>10,3</w:t>
            </w:r>
          </w:p>
        </w:tc>
        <w:tc>
          <w:tcPr>
            <w:tcW w:w="2196" w:type="dxa"/>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r w:rsidRPr="00934C02">
              <w:rPr>
                <w:rFonts w:ascii="Arial" w:eastAsia="SimSun" w:hAnsi="Arial" w:cs="Arial"/>
                <w:sz w:val="20"/>
                <w:szCs w:val="20"/>
                <w:lang w:val="ro-RO"/>
              </w:rPr>
              <w:t>-22,3</w:t>
            </w:r>
          </w:p>
        </w:tc>
        <w:tc>
          <w:tcPr>
            <w:tcW w:w="2127" w:type="dxa"/>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r w:rsidRPr="00934C02">
              <w:rPr>
                <w:rFonts w:ascii="Arial" w:eastAsia="SimSun" w:hAnsi="Arial" w:cs="Arial"/>
                <w:sz w:val="20"/>
                <w:szCs w:val="20"/>
                <w:lang w:val="ro-RO"/>
              </w:rPr>
              <w:t>35,2</w:t>
            </w:r>
          </w:p>
        </w:tc>
      </w:tr>
      <w:tr w:rsidR="00934C02" w:rsidRPr="00934C02" w:rsidTr="0084419D">
        <w:trPr>
          <w:trHeight w:val="224"/>
          <w:jc w:val="center"/>
        </w:trPr>
        <w:tc>
          <w:tcPr>
            <w:tcW w:w="661" w:type="dxa"/>
            <w:vMerge/>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p>
        </w:tc>
        <w:tc>
          <w:tcPr>
            <w:tcW w:w="2090" w:type="dxa"/>
            <w:shd w:val="clear" w:color="auto" w:fill="auto"/>
          </w:tcPr>
          <w:p w:rsidR="00934C02" w:rsidRPr="00934C02" w:rsidRDefault="00934C02" w:rsidP="00934C02">
            <w:pPr>
              <w:spacing w:after="0" w:line="240" w:lineRule="auto"/>
              <w:jc w:val="both"/>
              <w:rPr>
                <w:rFonts w:ascii="Arial" w:eastAsia="SimSun" w:hAnsi="Arial" w:cs="Arial"/>
                <w:sz w:val="20"/>
                <w:szCs w:val="20"/>
                <w:highlight w:val="yellow"/>
                <w:lang w:val="ro-RO"/>
              </w:rPr>
            </w:pPr>
            <w:r w:rsidRPr="00934C02">
              <w:rPr>
                <w:rFonts w:ascii="Arial" w:eastAsia="SimSun" w:hAnsi="Arial" w:cs="Arial"/>
                <w:sz w:val="20"/>
                <w:szCs w:val="20"/>
                <w:lang w:val="ro-RO"/>
              </w:rPr>
              <w:t>Vaslui</w:t>
            </w:r>
          </w:p>
        </w:tc>
        <w:tc>
          <w:tcPr>
            <w:tcW w:w="1965" w:type="dxa"/>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r w:rsidRPr="00934C02">
              <w:rPr>
                <w:rFonts w:ascii="Arial" w:eastAsia="SimSun" w:hAnsi="Arial" w:cs="Arial"/>
                <w:sz w:val="20"/>
                <w:szCs w:val="20"/>
                <w:lang w:val="ro-RO"/>
              </w:rPr>
              <w:t>10,2</w:t>
            </w:r>
          </w:p>
        </w:tc>
        <w:tc>
          <w:tcPr>
            <w:tcW w:w="2196" w:type="dxa"/>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r w:rsidRPr="00934C02">
              <w:rPr>
                <w:rFonts w:ascii="Arial" w:eastAsia="SimSun" w:hAnsi="Arial" w:cs="Arial"/>
                <w:sz w:val="20"/>
                <w:szCs w:val="20"/>
                <w:lang w:val="ro-RO"/>
              </w:rPr>
              <w:t>-21,3</w:t>
            </w:r>
          </w:p>
        </w:tc>
        <w:tc>
          <w:tcPr>
            <w:tcW w:w="2127" w:type="dxa"/>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r w:rsidRPr="00934C02">
              <w:rPr>
                <w:rFonts w:ascii="Arial" w:eastAsia="SimSun" w:hAnsi="Arial" w:cs="Arial"/>
                <w:sz w:val="20"/>
                <w:szCs w:val="20"/>
                <w:lang w:val="ro-RO"/>
              </w:rPr>
              <w:t>35,4</w:t>
            </w:r>
          </w:p>
        </w:tc>
      </w:tr>
      <w:tr w:rsidR="00934C02" w:rsidRPr="00934C02" w:rsidTr="0084419D">
        <w:trPr>
          <w:trHeight w:val="223"/>
          <w:jc w:val="center"/>
        </w:trPr>
        <w:tc>
          <w:tcPr>
            <w:tcW w:w="661" w:type="dxa"/>
            <w:vMerge/>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p>
        </w:tc>
        <w:tc>
          <w:tcPr>
            <w:tcW w:w="2090" w:type="dxa"/>
            <w:shd w:val="clear" w:color="auto" w:fill="auto"/>
          </w:tcPr>
          <w:p w:rsidR="00934C02" w:rsidRPr="00934C02" w:rsidRDefault="00934C02" w:rsidP="00934C02">
            <w:pPr>
              <w:spacing w:after="0" w:line="240" w:lineRule="auto"/>
              <w:jc w:val="both"/>
              <w:rPr>
                <w:rFonts w:ascii="Arial" w:eastAsia="SimSun" w:hAnsi="Arial" w:cs="Arial"/>
                <w:sz w:val="20"/>
                <w:szCs w:val="20"/>
                <w:highlight w:val="yellow"/>
                <w:lang w:val="ro-RO"/>
              </w:rPr>
            </w:pPr>
            <w:r w:rsidRPr="00934C02">
              <w:rPr>
                <w:rFonts w:ascii="Arial" w:eastAsia="SimSun" w:hAnsi="Arial" w:cs="Arial"/>
                <w:sz w:val="20"/>
                <w:szCs w:val="20"/>
                <w:lang w:val="ro-RO"/>
              </w:rPr>
              <w:t>Bârlad</w:t>
            </w:r>
          </w:p>
        </w:tc>
        <w:tc>
          <w:tcPr>
            <w:tcW w:w="1965" w:type="dxa"/>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r w:rsidRPr="00934C02">
              <w:rPr>
                <w:rFonts w:ascii="Arial" w:eastAsia="SimSun" w:hAnsi="Arial" w:cs="Arial"/>
                <w:sz w:val="20"/>
                <w:szCs w:val="20"/>
                <w:lang w:val="ro-RO"/>
              </w:rPr>
              <w:t>10,5</w:t>
            </w:r>
          </w:p>
        </w:tc>
        <w:tc>
          <w:tcPr>
            <w:tcW w:w="2196" w:type="dxa"/>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r w:rsidRPr="00934C02">
              <w:rPr>
                <w:rFonts w:ascii="Arial" w:eastAsia="SimSun" w:hAnsi="Arial" w:cs="Arial"/>
                <w:sz w:val="20"/>
                <w:szCs w:val="20"/>
                <w:lang w:val="ro-RO"/>
              </w:rPr>
              <w:t>-19,6</w:t>
            </w:r>
          </w:p>
        </w:tc>
        <w:tc>
          <w:tcPr>
            <w:tcW w:w="2127" w:type="dxa"/>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r w:rsidRPr="00934C02">
              <w:rPr>
                <w:rFonts w:ascii="Arial" w:eastAsia="SimSun" w:hAnsi="Arial" w:cs="Arial"/>
                <w:sz w:val="20"/>
                <w:szCs w:val="20"/>
                <w:lang w:val="ro-RO"/>
              </w:rPr>
              <w:t>34,2</w:t>
            </w:r>
          </w:p>
        </w:tc>
      </w:tr>
      <w:tr w:rsidR="00934C02" w:rsidRPr="00934C02" w:rsidTr="0084419D">
        <w:trPr>
          <w:trHeight w:val="162"/>
          <w:jc w:val="center"/>
        </w:trPr>
        <w:tc>
          <w:tcPr>
            <w:tcW w:w="661" w:type="dxa"/>
            <w:vMerge w:val="restart"/>
            <w:shd w:val="clear" w:color="auto" w:fill="auto"/>
          </w:tcPr>
          <w:p w:rsidR="00934C02" w:rsidRPr="00934C02" w:rsidRDefault="00934C02" w:rsidP="00934C02">
            <w:pPr>
              <w:spacing w:after="0" w:line="240" w:lineRule="auto"/>
              <w:jc w:val="center"/>
              <w:rPr>
                <w:rFonts w:ascii="Arial" w:eastAsia="SimSun" w:hAnsi="Arial" w:cs="Arial"/>
                <w:sz w:val="20"/>
                <w:szCs w:val="20"/>
                <w:lang w:val="ro-RO"/>
              </w:rPr>
            </w:pPr>
          </w:p>
          <w:p w:rsidR="00934C02" w:rsidRPr="00934C02" w:rsidRDefault="00934C02" w:rsidP="00934C02">
            <w:pPr>
              <w:spacing w:after="0" w:line="240" w:lineRule="auto"/>
              <w:jc w:val="center"/>
              <w:rPr>
                <w:rFonts w:ascii="Arial" w:eastAsia="SimSun" w:hAnsi="Arial" w:cs="Arial"/>
                <w:sz w:val="20"/>
                <w:szCs w:val="20"/>
                <w:lang w:val="ro-RO"/>
              </w:rPr>
            </w:pPr>
            <w:r w:rsidRPr="00934C02">
              <w:rPr>
                <w:rFonts w:ascii="Arial" w:eastAsia="SimSun" w:hAnsi="Arial" w:cs="Arial"/>
                <w:sz w:val="20"/>
                <w:szCs w:val="20"/>
                <w:lang w:val="ro-RO"/>
              </w:rPr>
              <w:t>2015</w:t>
            </w:r>
          </w:p>
        </w:tc>
        <w:tc>
          <w:tcPr>
            <w:tcW w:w="2090" w:type="dxa"/>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r w:rsidRPr="00934C02">
              <w:rPr>
                <w:rFonts w:ascii="Arial" w:eastAsia="SimSun" w:hAnsi="Arial" w:cs="Arial"/>
                <w:sz w:val="20"/>
                <w:szCs w:val="20"/>
                <w:lang w:val="ro-RO"/>
              </w:rPr>
              <w:t>Negreşti</w:t>
            </w:r>
          </w:p>
        </w:tc>
        <w:tc>
          <w:tcPr>
            <w:tcW w:w="1965" w:type="dxa"/>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r w:rsidRPr="00934C02">
              <w:rPr>
                <w:rFonts w:ascii="Arial" w:eastAsia="SimSun" w:hAnsi="Arial" w:cs="Arial"/>
                <w:sz w:val="20"/>
                <w:szCs w:val="20"/>
                <w:lang w:val="ro-RO"/>
              </w:rPr>
              <w:t>11,2</w:t>
            </w:r>
          </w:p>
        </w:tc>
        <w:tc>
          <w:tcPr>
            <w:tcW w:w="2196" w:type="dxa"/>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r w:rsidRPr="00934C02">
              <w:rPr>
                <w:rFonts w:ascii="Arial" w:eastAsia="SimSun" w:hAnsi="Arial" w:cs="Arial"/>
                <w:sz w:val="20"/>
                <w:szCs w:val="20"/>
                <w:lang w:val="ro-RO"/>
              </w:rPr>
              <w:t>-25,2</w:t>
            </w:r>
          </w:p>
        </w:tc>
        <w:tc>
          <w:tcPr>
            <w:tcW w:w="2127" w:type="dxa"/>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r w:rsidRPr="00934C02">
              <w:rPr>
                <w:rFonts w:ascii="Arial" w:eastAsia="SimSun" w:hAnsi="Arial" w:cs="Arial"/>
                <w:sz w:val="20"/>
                <w:szCs w:val="20"/>
                <w:lang w:val="ro-RO"/>
              </w:rPr>
              <w:t>37,4</w:t>
            </w:r>
          </w:p>
        </w:tc>
      </w:tr>
      <w:tr w:rsidR="00934C02" w:rsidRPr="00934C02" w:rsidTr="0084419D">
        <w:trPr>
          <w:trHeight w:val="207"/>
          <w:jc w:val="center"/>
        </w:trPr>
        <w:tc>
          <w:tcPr>
            <w:tcW w:w="661" w:type="dxa"/>
            <w:vMerge/>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p>
        </w:tc>
        <w:tc>
          <w:tcPr>
            <w:tcW w:w="2090" w:type="dxa"/>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r w:rsidRPr="00934C02">
              <w:rPr>
                <w:rFonts w:ascii="Arial" w:eastAsia="SimSun" w:hAnsi="Arial" w:cs="Arial"/>
                <w:sz w:val="20"/>
                <w:szCs w:val="20"/>
                <w:lang w:val="ro-RO"/>
              </w:rPr>
              <w:t>Vaslui</w:t>
            </w:r>
          </w:p>
        </w:tc>
        <w:tc>
          <w:tcPr>
            <w:tcW w:w="1965" w:type="dxa"/>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r w:rsidRPr="00934C02">
              <w:rPr>
                <w:rFonts w:ascii="Arial" w:eastAsia="SimSun" w:hAnsi="Arial" w:cs="Arial"/>
                <w:sz w:val="20"/>
                <w:szCs w:val="20"/>
                <w:lang w:val="ro-RO"/>
              </w:rPr>
              <w:t>11,1</w:t>
            </w:r>
          </w:p>
        </w:tc>
        <w:tc>
          <w:tcPr>
            <w:tcW w:w="2196" w:type="dxa"/>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r w:rsidRPr="00934C02">
              <w:rPr>
                <w:rFonts w:ascii="Arial" w:eastAsia="SimSun" w:hAnsi="Arial" w:cs="Arial"/>
                <w:sz w:val="20"/>
                <w:szCs w:val="20"/>
                <w:lang w:val="ro-RO"/>
              </w:rPr>
              <w:t>-24,8</w:t>
            </w:r>
          </w:p>
        </w:tc>
        <w:tc>
          <w:tcPr>
            <w:tcW w:w="2127" w:type="dxa"/>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r w:rsidRPr="00934C02">
              <w:rPr>
                <w:rFonts w:ascii="Arial" w:eastAsia="SimSun" w:hAnsi="Arial" w:cs="Arial"/>
                <w:sz w:val="20"/>
                <w:szCs w:val="20"/>
                <w:lang w:val="ro-RO"/>
              </w:rPr>
              <w:t>36,8</w:t>
            </w:r>
          </w:p>
        </w:tc>
      </w:tr>
      <w:tr w:rsidR="00934C02" w:rsidRPr="00934C02" w:rsidTr="0084419D">
        <w:trPr>
          <w:trHeight w:val="196"/>
          <w:jc w:val="center"/>
        </w:trPr>
        <w:tc>
          <w:tcPr>
            <w:tcW w:w="661" w:type="dxa"/>
            <w:vMerge/>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p>
        </w:tc>
        <w:tc>
          <w:tcPr>
            <w:tcW w:w="2090" w:type="dxa"/>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r w:rsidRPr="00934C02">
              <w:rPr>
                <w:rFonts w:ascii="Arial" w:eastAsia="SimSun" w:hAnsi="Arial" w:cs="Arial"/>
                <w:sz w:val="20"/>
                <w:szCs w:val="20"/>
                <w:lang w:val="ro-RO"/>
              </w:rPr>
              <w:t>Bârlad</w:t>
            </w:r>
          </w:p>
        </w:tc>
        <w:tc>
          <w:tcPr>
            <w:tcW w:w="1965" w:type="dxa"/>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r w:rsidRPr="00934C02">
              <w:rPr>
                <w:rFonts w:ascii="Arial" w:eastAsia="SimSun" w:hAnsi="Arial" w:cs="Arial"/>
                <w:sz w:val="20"/>
                <w:szCs w:val="20"/>
                <w:lang w:val="ro-RO"/>
              </w:rPr>
              <w:t>11,6</w:t>
            </w:r>
          </w:p>
        </w:tc>
        <w:tc>
          <w:tcPr>
            <w:tcW w:w="2196" w:type="dxa"/>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r w:rsidRPr="00934C02">
              <w:rPr>
                <w:rFonts w:ascii="Arial" w:eastAsia="SimSun" w:hAnsi="Arial" w:cs="Arial"/>
                <w:sz w:val="20"/>
                <w:szCs w:val="20"/>
                <w:lang w:val="ro-RO"/>
              </w:rPr>
              <w:t>-20,8</w:t>
            </w:r>
          </w:p>
        </w:tc>
        <w:tc>
          <w:tcPr>
            <w:tcW w:w="2127" w:type="dxa"/>
            <w:shd w:val="clear" w:color="auto" w:fill="auto"/>
          </w:tcPr>
          <w:p w:rsidR="00934C02" w:rsidRPr="00934C02" w:rsidRDefault="00934C02" w:rsidP="00934C02">
            <w:pPr>
              <w:spacing w:after="0" w:line="240" w:lineRule="auto"/>
              <w:jc w:val="both"/>
              <w:rPr>
                <w:rFonts w:ascii="Arial" w:eastAsia="SimSun" w:hAnsi="Arial" w:cs="Arial"/>
                <w:sz w:val="20"/>
                <w:szCs w:val="20"/>
                <w:lang w:val="ro-RO"/>
              </w:rPr>
            </w:pPr>
            <w:r w:rsidRPr="00934C02">
              <w:rPr>
                <w:rFonts w:ascii="Arial" w:eastAsia="SimSun" w:hAnsi="Arial" w:cs="Arial"/>
                <w:sz w:val="20"/>
                <w:szCs w:val="20"/>
                <w:lang w:val="ro-RO"/>
              </w:rPr>
              <w:t>36,2</w:t>
            </w:r>
          </w:p>
        </w:tc>
      </w:tr>
    </w:tbl>
    <w:p w:rsidR="00477FE7" w:rsidRDefault="00934C02" w:rsidP="00477FE7">
      <w:pPr>
        <w:spacing w:after="0" w:line="240" w:lineRule="auto"/>
        <w:jc w:val="both"/>
        <w:rPr>
          <w:rFonts w:ascii="Arial" w:eastAsia="Times New Roman" w:hAnsi="Arial" w:cs="Arial"/>
          <w:bCs/>
          <w:sz w:val="18"/>
          <w:szCs w:val="18"/>
          <w:lang w:val="ro-RO"/>
        </w:rPr>
      </w:pPr>
      <w:r w:rsidRPr="00934C02">
        <w:rPr>
          <w:rFonts w:ascii="Arial" w:eastAsia="Times New Roman" w:hAnsi="Arial" w:cs="Arial"/>
          <w:bCs/>
          <w:sz w:val="18"/>
          <w:szCs w:val="18"/>
          <w:lang w:val="ro-RO"/>
        </w:rPr>
        <w:t>(Sursa: Administraţia Naţională de Meteorologie – Centrul Meteorologic Regional Moldova)</w:t>
      </w:r>
    </w:p>
    <w:p w:rsidR="00477FE7" w:rsidRDefault="00477FE7" w:rsidP="00477FE7">
      <w:pPr>
        <w:spacing w:after="0" w:line="240" w:lineRule="auto"/>
        <w:ind w:firstLine="720"/>
        <w:jc w:val="both"/>
        <w:rPr>
          <w:rFonts w:ascii="Arial" w:eastAsia="Times New Roman" w:hAnsi="Arial" w:cs="Arial"/>
          <w:bCs/>
          <w:sz w:val="18"/>
          <w:szCs w:val="18"/>
          <w:lang w:val="ro-RO"/>
        </w:rPr>
      </w:pPr>
    </w:p>
    <w:p w:rsidR="00477FE7" w:rsidRPr="00477FE7" w:rsidRDefault="00934C02" w:rsidP="00477FE7">
      <w:pPr>
        <w:spacing w:after="0" w:line="240" w:lineRule="auto"/>
        <w:ind w:firstLine="720"/>
        <w:jc w:val="both"/>
        <w:rPr>
          <w:rFonts w:ascii="Arial" w:eastAsia="Times New Roman" w:hAnsi="Arial" w:cs="Arial"/>
          <w:bCs/>
          <w:sz w:val="18"/>
          <w:szCs w:val="18"/>
          <w:lang w:val="ro-RO"/>
        </w:rPr>
      </w:pPr>
      <w:r w:rsidRPr="00934C02">
        <w:rPr>
          <w:rFonts w:ascii="Arial" w:eastAsia="Times New Roman" w:hAnsi="Arial" w:cs="Arial"/>
          <w:sz w:val="24"/>
          <w:szCs w:val="24"/>
        </w:rPr>
        <w:t>Evoluţia temperaturilor maxime anuale înregistrate în perioada 2011-2015 la staţiil</w:t>
      </w:r>
      <w:r w:rsidR="00477FE7">
        <w:rPr>
          <w:rFonts w:ascii="Arial" w:eastAsia="Times New Roman" w:hAnsi="Arial" w:cs="Arial"/>
          <w:sz w:val="24"/>
          <w:szCs w:val="24"/>
        </w:rPr>
        <w:t xml:space="preserve">e </w:t>
      </w:r>
      <w:r w:rsidRPr="00934C02">
        <w:rPr>
          <w:rFonts w:ascii="Arial" w:eastAsia="Times New Roman" w:hAnsi="Arial" w:cs="Arial"/>
          <w:sz w:val="24"/>
          <w:szCs w:val="24"/>
        </w:rPr>
        <w:t>meteorologice Negreşti, Vaslui şi Bârlad, conform datelor comunicate de Centrul Meteorologic Regional Moldova, este reprezentată în graficul din figura de mai jos:</w:t>
      </w:r>
    </w:p>
    <w:p w:rsidR="00477FE7" w:rsidRDefault="00477FE7" w:rsidP="00477FE7">
      <w:pPr>
        <w:spacing w:after="0" w:line="240" w:lineRule="auto"/>
        <w:jc w:val="both"/>
        <w:rPr>
          <w:rFonts w:ascii="Arial" w:eastAsia="Times New Roman" w:hAnsi="Arial" w:cs="Arial"/>
          <w:sz w:val="24"/>
          <w:szCs w:val="24"/>
        </w:rPr>
      </w:pPr>
      <w:r>
        <w:rPr>
          <w:rFonts w:ascii="Times New Roman" w:eastAsia="SimSun" w:hAnsi="Times New Roman" w:cs="Times New Roman"/>
          <w:noProof/>
          <w:sz w:val="24"/>
          <w:szCs w:val="24"/>
        </w:rPr>
        <w:lastRenderedPageBreak/>
        <w:drawing>
          <wp:anchor distT="0" distB="0" distL="114300" distR="114300" simplePos="0" relativeHeight="251670528" behindDoc="0" locked="0" layoutInCell="1" allowOverlap="1" wp14:anchorId="6C5BC8A4" wp14:editId="182D2036">
            <wp:simplePos x="0" y="0"/>
            <wp:positionH relativeFrom="column">
              <wp:posOffset>209550</wp:posOffset>
            </wp:positionH>
            <wp:positionV relativeFrom="paragraph">
              <wp:posOffset>466725</wp:posOffset>
            </wp:positionV>
            <wp:extent cx="5905500" cy="2409825"/>
            <wp:effectExtent l="0" t="0" r="0" b="0"/>
            <wp:wrapSquare wrapText="right"/>
            <wp:docPr id="272" name="Chart 27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14:sizeRelH relativeFrom="page">
              <wp14:pctWidth>0</wp14:pctWidth>
            </wp14:sizeRelH>
            <wp14:sizeRelV relativeFrom="page">
              <wp14:pctHeight>0</wp14:pctHeight>
            </wp14:sizeRelV>
          </wp:anchor>
        </w:drawing>
      </w:r>
      <w:r w:rsidR="00934C02" w:rsidRPr="00934C02">
        <w:rPr>
          <w:rFonts w:ascii="Arial" w:eastAsia="SimSun" w:hAnsi="Arial" w:cs="Arial"/>
          <w:sz w:val="24"/>
          <w:szCs w:val="24"/>
          <w:lang w:val="en-GB"/>
        </w:rPr>
        <w:t xml:space="preserve">Figura </w:t>
      </w:r>
      <w:r w:rsidR="00934C02" w:rsidRPr="00934C02">
        <w:rPr>
          <w:rFonts w:ascii="Arial" w:eastAsia="SimSun" w:hAnsi="Arial" w:cs="Arial"/>
          <w:sz w:val="24"/>
          <w:szCs w:val="24"/>
          <w:lang w:val="ro-RO"/>
        </w:rPr>
        <w:t>VIII</w:t>
      </w:r>
      <w:r w:rsidR="00934C02" w:rsidRPr="00934C02">
        <w:rPr>
          <w:rFonts w:ascii="Arial" w:eastAsia="SimSun" w:hAnsi="Arial" w:cs="Arial"/>
          <w:sz w:val="24"/>
          <w:szCs w:val="24"/>
          <w:lang w:val="en-GB"/>
        </w:rPr>
        <w:t>.10.</w:t>
      </w:r>
      <w:r w:rsidR="00934C02" w:rsidRPr="00934C02">
        <w:rPr>
          <w:rFonts w:ascii="Arial" w:eastAsia="Times New Roman" w:hAnsi="Arial" w:cs="Arial"/>
          <w:sz w:val="24"/>
          <w:szCs w:val="24"/>
        </w:rPr>
        <w:t xml:space="preserve"> Evoluţia temperaturilor maxime anuale, înregistrate în perioada 2011-2015</w:t>
      </w:r>
    </w:p>
    <w:p w:rsidR="0084419D" w:rsidRPr="00934C02" w:rsidRDefault="0084419D" w:rsidP="0084419D">
      <w:pPr>
        <w:keepNext/>
        <w:spacing w:after="0" w:line="240" w:lineRule="auto"/>
        <w:jc w:val="both"/>
        <w:outlineLvl w:val="3"/>
        <w:rPr>
          <w:rFonts w:ascii="Arial" w:eastAsia="Times New Roman" w:hAnsi="Arial" w:cs="Times New Roman"/>
          <w:bCs/>
          <w:sz w:val="24"/>
          <w:szCs w:val="24"/>
          <w:lang w:val="ro-RO"/>
        </w:rPr>
      </w:pPr>
      <w:r w:rsidRPr="00934C02">
        <w:rPr>
          <w:rFonts w:ascii="Arial" w:eastAsia="SimSun" w:hAnsi="Arial" w:cs="Arial"/>
          <w:sz w:val="24"/>
          <w:szCs w:val="24"/>
          <w:lang w:val="en-GB"/>
        </w:rPr>
        <w:t>Figura</w:t>
      </w:r>
      <w:r w:rsidRPr="00934C02">
        <w:rPr>
          <w:rFonts w:ascii="Arial" w:eastAsia="Times New Roman" w:hAnsi="Arial" w:cs="Times New Roman"/>
          <w:bCs/>
          <w:sz w:val="24"/>
          <w:szCs w:val="24"/>
          <w:lang w:val="ro-RO"/>
        </w:rPr>
        <w:t xml:space="preserve"> </w:t>
      </w:r>
      <w:r w:rsidRPr="00934C02">
        <w:rPr>
          <w:rFonts w:ascii="Arial" w:eastAsia="SimSun" w:hAnsi="Arial" w:cs="Arial"/>
          <w:sz w:val="24"/>
          <w:szCs w:val="24"/>
          <w:lang w:val="ro-RO"/>
        </w:rPr>
        <w:t>VIII</w:t>
      </w:r>
      <w:r w:rsidRPr="00934C02">
        <w:rPr>
          <w:rFonts w:ascii="Arial" w:eastAsia="SimSun" w:hAnsi="Arial" w:cs="Arial"/>
          <w:sz w:val="24"/>
          <w:szCs w:val="24"/>
          <w:lang w:val="en-GB"/>
        </w:rPr>
        <w:t>.11.</w:t>
      </w:r>
      <w:r w:rsidRPr="00934C02">
        <w:rPr>
          <w:rFonts w:ascii="Arial" w:eastAsia="Times New Roman" w:hAnsi="Arial" w:cs="Arial"/>
          <w:color w:val="FF0000"/>
          <w:sz w:val="24"/>
          <w:szCs w:val="24"/>
        </w:rPr>
        <w:t xml:space="preserve"> </w:t>
      </w:r>
      <w:r w:rsidRPr="00934C02">
        <w:rPr>
          <w:rFonts w:ascii="Arial" w:eastAsia="Times New Roman" w:hAnsi="Arial" w:cs="Times New Roman"/>
          <w:bCs/>
          <w:sz w:val="24"/>
          <w:szCs w:val="24"/>
          <w:lang w:val="ro-RO"/>
        </w:rPr>
        <w:t xml:space="preserve">Evoluţia temperaturilor medii, anuale, în perioada 2011-2015, înregistrate la staţiile meteo din judeţul Vaslui </w:t>
      </w:r>
    </w:p>
    <w:p w:rsidR="00934C02" w:rsidRPr="00934C02" w:rsidRDefault="00934C02" w:rsidP="00934C02">
      <w:pPr>
        <w:keepNext/>
        <w:spacing w:after="0" w:line="240" w:lineRule="auto"/>
        <w:jc w:val="both"/>
        <w:outlineLvl w:val="3"/>
        <w:rPr>
          <w:rFonts w:ascii="Arial" w:eastAsia="Times New Roman" w:hAnsi="Arial" w:cs="Times New Roman"/>
          <w:bCs/>
          <w:sz w:val="24"/>
          <w:szCs w:val="24"/>
          <w:lang w:val="ro-RO"/>
        </w:rPr>
      </w:pPr>
      <w:r>
        <w:rPr>
          <w:rFonts w:ascii="Arial" w:eastAsia="Times New Roman" w:hAnsi="Arial" w:cs="Times New Roman"/>
          <w:bCs/>
          <w:noProof/>
          <w:sz w:val="24"/>
          <w:szCs w:val="24"/>
        </w:rPr>
        <w:drawing>
          <wp:inline distT="0" distB="0" distL="0" distR="0">
            <wp:extent cx="5943600" cy="2047875"/>
            <wp:effectExtent l="0" t="0" r="0" b="0"/>
            <wp:docPr id="263" name="Chart 26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934C02" w:rsidRPr="00934C02" w:rsidRDefault="00934C02" w:rsidP="00934C02">
      <w:pPr>
        <w:spacing w:after="0" w:line="240" w:lineRule="auto"/>
        <w:jc w:val="both"/>
        <w:rPr>
          <w:rFonts w:ascii="Times New Roman" w:eastAsia="SimSun" w:hAnsi="Times New Roman" w:cs="Times New Roman"/>
          <w:sz w:val="20"/>
          <w:szCs w:val="26"/>
          <w:highlight w:val="yellow"/>
          <w:lang w:val="ro-RO"/>
        </w:rPr>
      </w:pPr>
    </w:p>
    <w:p w:rsidR="00934C02" w:rsidRPr="00934C02" w:rsidRDefault="00934C02" w:rsidP="00934C02">
      <w:pPr>
        <w:spacing w:after="0" w:line="240" w:lineRule="auto"/>
        <w:rPr>
          <w:rFonts w:ascii="Arial" w:eastAsia="Times New Roman" w:hAnsi="Arial" w:cs="Arial"/>
          <w:sz w:val="24"/>
          <w:szCs w:val="24"/>
        </w:rPr>
      </w:pPr>
      <w:r w:rsidRPr="00934C02">
        <w:rPr>
          <w:rFonts w:ascii="Arial" w:eastAsia="SimSun" w:hAnsi="Arial" w:cs="Arial"/>
          <w:color w:val="000000"/>
          <w:sz w:val="24"/>
          <w:szCs w:val="24"/>
          <w:lang w:val="ro-RO"/>
        </w:rPr>
        <w:t>VIII.1.5.2.</w:t>
      </w:r>
      <w:r w:rsidRPr="00934C02">
        <w:rPr>
          <w:rFonts w:ascii="Arial" w:eastAsia="SimSun" w:hAnsi="Arial" w:cs="Arial"/>
          <w:b/>
          <w:i/>
          <w:color w:val="000000"/>
          <w:sz w:val="24"/>
          <w:szCs w:val="24"/>
          <w:lang w:val="ro-RO"/>
        </w:rPr>
        <w:t xml:space="preserve"> </w:t>
      </w:r>
      <w:r w:rsidRPr="00934C02">
        <w:rPr>
          <w:rFonts w:ascii="Arial" w:eastAsia="Times New Roman" w:hAnsi="Arial" w:cs="Arial"/>
          <w:sz w:val="24"/>
          <w:szCs w:val="24"/>
        </w:rPr>
        <w:t>Expunerea populației din aglomerările urbane la riscul de inundații</w:t>
      </w:r>
    </w:p>
    <w:p w:rsidR="00934C02" w:rsidRPr="00934C02" w:rsidRDefault="00934C02" w:rsidP="00934C02">
      <w:pPr>
        <w:spacing w:after="0" w:line="240" w:lineRule="auto"/>
        <w:jc w:val="both"/>
        <w:rPr>
          <w:rFonts w:ascii="Arial" w:eastAsia="SimSun" w:hAnsi="Arial" w:cs="Arial"/>
          <w:sz w:val="24"/>
          <w:szCs w:val="24"/>
          <w:highlight w:val="yellow"/>
          <w:lang w:val="ro-RO"/>
        </w:rPr>
      </w:pPr>
    </w:p>
    <w:p w:rsidR="00934C02" w:rsidRPr="00934C02" w:rsidRDefault="00934C02" w:rsidP="00934C02">
      <w:pPr>
        <w:spacing w:after="0" w:line="240" w:lineRule="auto"/>
        <w:ind w:firstLine="720"/>
        <w:jc w:val="both"/>
        <w:rPr>
          <w:rFonts w:ascii="Arial" w:eastAsia="Times New Roman" w:hAnsi="Arial" w:cs="Arial"/>
          <w:sz w:val="24"/>
          <w:szCs w:val="24"/>
        </w:rPr>
      </w:pPr>
      <w:r w:rsidRPr="00934C02">
        <w:rPr>
          <w:rFonts w:ascii="Arial" w:eastAsia="Times New Roman" w:hAnsi="Arial" w:cs="Arial"/>
          <w:sz w:val="24"/>
          <w:szCs w:val="24"/>
        </w:rPr>
        <w:t>Schimbările climatice pot creşte intensitatea şi frecvenţa evenimentelor meteorologice extreme, precum precipitaţii abundente şi furtuni. Inundaţiile cauzate de către aceste evenimente pot afecta imediat populaţia (de exemplu, prin înec şi leziuni) dar şi după un timp îndelungat de la producerea evenimentului (de exemplu, prin distrugerea locuinţelor, întreruperea serviciilor esenţiale şi pierderi financiare) şi în special prin stresul la care sunt supuse victimele inundaţiei.</w:t>
      </w:r>
    </w:p>
    <w:p w:rsidR="00934C02" w:rsidRPr="00934C02" w:rsidRDefault="00934C02" w:rsidP="00934C02">
      <w:pPr>
        <w:spacing w:after="0" w:line="240" w:lineRule="auto"/>
        <w:ind w:firstLine="720"/>
        <w:jc w:val="both"/>
        <w:rPr>
          <w:rFonts w:ascii="Arial" w:eastAsia="Times New Roman" w:hAnsi="Arial" w:cs="Arial"/>
          <w:sz w:val="24"/>
          <w:szCs w:val="24"/>
        </w:rPr>
      </w:pPr>
      <w:r w:rsidRPr="00934C02">
        <w:rPr>
          <w:rFonts w:ascii="Arial" w:eastAsia="Times New Roman" w:hAnsi="Arial" w:cs="Arial"/>
          <w:sz w:val="24"/>
          <w:szCs w:val="24"/>
        </w:rPr>
        <w:t>Pentru stabilirea unui cadru privind evaluarea şi gestionarea riscurilor de inundaţii, cu scopul de a reduce consecinţele negative pentru sănătatea umană, mediu, patrimoniu cultural şi activitatea economică asociate cu inundaţiile, la nivelul Uniunii Europene a fost adoptată Directiva 2007 /60/CE privind evaluarea şi gestionarea riscului la inundaţii.</w:t>
      </w:r>
    </w:p>
    <w:p w:rsidR="00934C02" w:rsidRPr="00934C02" w:rsidRDefault="00934C02" w:rsidP="00934C02">
      <w:pPr>
        <w:spacing w:after="0" w:line="240" w:lineRule="auto"/>
        <w:jc w:val="both"/>
        <w:rPr>
          <w:rFonts w:ascii="Arial" w:eastAsia="Times New Roman" w:hAnsi="Arial" w:cs="Arial"/>
          <w:sz w:val="24"/>
          <w:szCs w:val="24"/>
        </w:rPr>
      </w:pPr>
      <w:r w:rsidRPr="00934C02">
        <w:rPr>
          <w:rFonts w:ascii="Arial" w:eastAsia="Times New Roman" w:hAnsi="Arial" w:cs="Arial"/>
          <w:sz w:val="24"/>
          <w:szCs w:val="24"/>
        </w:rPr>
        <w:lastRenderedPageBreak/>
        <w:t>Această directivă stă la baza Hotărârii Guvernului nr. 846 din 11.08.2010 pentru aprobarea Strategiei naţionale de management al riscului la inundaţii pe termen mediu şi lung.</w:t>
      </w:r>
    </w:p>
    <w:p w:rsidR="00934C02" w:rsidRPr="00934C02" w:rsidRDefault="00934C02" w:rsidP="00477FE7">
      <w:pPr>
        <w:spacing w:after="0" w:line="240" w:lineRule="auto"/>
        <w:ind w:firstLine="720"/>
        <w:jc w:val="both"/>
        <w:rPr>
          <w:rFonts w:ascii="Arial" w:eastAsia="Times New Roman" w:hAnsi="Arial" w:cs="Arial"/>
          <w:sz w:val="24"/>
          <w:szCs w:val="24"/>
        </w:rPr>
      </w:pPr>
      <w:r w:rsidRPr="00934C02">
        <w:rPr>
          <w:rFonts w:ascii="Arial" w:eastAsia="Times New Roman" w:hAnsi="Arial" w:cs="Arial"/>
          <w:sz w:val="24"/>
          <w:szCs w:val="24"/>
        </w:rPr>
        <w:t>Strategia naţională de management al riscului la inundaţii are ca scop prevenirea şi reducerea consecinţelor inundaţiilor asupra activităţilor socio-economice, a vieţii şi sănătăţii oamenilor şi a mediului. Aceasta vizează o gestionare integrată a apei şi a resurselor adiacente: amenajarea teritoriului şi dezvoltarea urbană, protecţia naturii, dezvoltarea agricolă şi silvică, protecţia infrastructurii de transport, a construcţiilor şi a zonelor turistice, protecţia individuală etc. Pentru gestionare a riscului la inundaţii această strategie stabileşte aplicarea unor politici, proceduri şi practici având ca obiective identificarea riscurilor, analiza şi evaluarea acestora, tratarea, monitorizarea şi reevaluarea riscurilor în vederea reducerii acestora, astfel încât comunităţile umane şi toţi cetăţenii să poată trăi, munci şi să îşi satisfacă nevoile şi aspiraţiile într-un mediu fizic şi social durabil.</w:t>
      </w:r>
    </w:p>
    <w:p w:rsidR="00934C02" w:rsidRPr="00934C02" w:rsidRDefault="00934C02" w:rsidP="00934C02">
      <w:pPr>
        <w:spacing w:after="0" w:line="240" w:lineRule="auto"/>
        <w:jc w:val="both"/>
        <w:rPr>
          <w:rFonts w:ascii="Arial" w:eastAsia="SimSun" w:hAnsi="Arial" w:cs="Arial"/>
          <w:sz w:val="24"/>
          <w:szCs w:val="24"/>
          <w:lang w:val="ro-RO"/>
        </w:rPr>
      </w:pPr>
    </w:p>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Times New Roman" w:hAnsi="Arial" w:cs="Arial"/>
          <w:sz w:val="24"/>
          <w:szCs w:val="24"/>
        </w:rPr>
        <w:t>Tabelul VIII.16.</w:t>
      </w:r>
      <w:r w:rsidRPr="00934C02">
        <w:rPr>
          <w:rFonts w:ascii="Arial" w:eastAsia="SimSun" w:hAnsi="Arial" w:cs="Arial"/>
          <w:sz w:val="24"/>
          <w:szCs w:val="24"/>
          <w:lang w:val="ro-RO"/>
        </w:rPr>
        <w:t xml:space="preserve"> Situaţia pagubelor provocate de inundaţii, în perioada 2011-2015, în judeţul Vaslui</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1559"/>
        <w:gridCol w:w="1134"/>
        <w:gridCol w:w="1417"/>
        <w:gridCol w:w="1134"/>
        <w:gridCol w:w="993"/>
        <w:gridCol w:w="850"/>
        <w:gridCol w:w="992"/>
        <w:gridCol w:w="993"/>
        <w:gridCol w:w="425"/>
      </w:tblGrid>
      <w:tr w:rsidR="00934C02" w:rsidRPr="00934C02" w:rsidTr="00934C02">
        <w:tc>
          <w:tcPr>
            <w:tcW w:w="710" w:type="dxa"/>
            <w:vMerge w:val="restart"/>
            <w:shd w:val="clear" w:color="auto" w:fill="auto"/>
          </w:tcPr>
          <w:p w:rsidR="00934C02" w:rsidRPr="00934C02" w:rsidRDefault="00934C02" w:rsidP="00934C02">
            <w:pPr>
              <w:spacing w:after="0" w:line="240" w:lineRule="auto"/>
              <w:jc w:val="center"/>
              <w:rPr>
                <w:rFonts w:ascii="Arial" w:eastAsia="Times New Roman" w:hAnsi="Arial" w:cs="Arial"/>
                <w:b/>
                <w:sz w:val="20"/>
                <w:szCs w:val="20"/>
                <w:lang w:val="pt-PT"/>
              </w:rPr>
            </w:pPr>
            <w:r w:rsidRPr="00934C02">
              <w:rPr>
                <w:rFonts w:ascii="Arial" w:eastAsia="Times New Roman" w:hAnsi="Arial" w:cs="Arial"/>
                <w:b/>
                <w:sz w:val="20"/>
                <w:szCs w:val="20"/>
                <w:lang w:val="pt-PT"/>
              </w:rPr>
              <w:t>Anii</w:t>
            </w:r>
          </w:p>
          <w:p w:rsidR="00934C02" w:rsidRPr="00934C02" w:rsidRDefault="00934C02" w:rsidP="00934C02">
            <w:pPr>
              <w:spacing w:after="0" w:line="240" w:lineRule="auto"/>
              <w:jc w:val="center"/>
              <w:rPr>
                <w:rFonts w:ascii="Arial" w:eastAsia="Times New Roman" w:hAnsi="Arial" w:cs="Arial"/>
                <w:b/>
                <w:sz w:val="20"/>
                <w:szCs w:val="20"/>
                <w:lang w:val="pt-PT"/>
              </w:rPr>
            </w:pPr>
          </w:p>
        </w:tc>
        <w:tc>
          <w:tcPr>
            <w:tcW w:w="1559" w:type="dxa"/>
            <w:vMerge w:val="restart"/>
            <w:shd w:val="clear" w:color="auto" w:fill="auto"/>
          </w:tcPr>
          <w:p w:rsidR="00934C02" w:rsidRPr="00934C02" w:rsidRDefault="00934C02" w:rsidP="00934C02">
            <w:pPr>
              <w:spacing w:after="0" w:line="240" w:lineRule="auto"/>
              <w:jc w:val="center"/>
              <w:rPr>
                <w:rFonts w:ascii="Arial" w:eastAsia="Times New Roman" w:hAnsi="Arial" w:cs="Arial"/>
                <w:b/>
                <w:sz w:val="20"/>
                <w:szCs w:val="20"/>
                <w:lang w:val="pt-PT"/>
              </w:rPr>
            </w:pPr>
            <w:r w:rsidRPr="00934C02">
              <w:rPr>
                <w:rFonts w:ascii="Arial" w:eastAsia="Times New Roman" w:hAnsi="Arial" w:cs="Arial"/>
                <w:b/>
                <w:sz w:val="20"/>
                <w:szCs w:val="20"/>
                <w:lang w:val="ro-RO"/>
              </w:rPr>
              <w:t>Număr localităţi afectate</w:t>
            </w:r>
          </w:p>
        </w:tc>
        <w:tc>
          <w:tcPr>
            <w:tcW w:w="1134" w:type="dxa"/>
            <w:vMerge w:val="restart"/>
            <w:shd w:val="clear" w:color="auto" w:fill="auto"/>
          </w:tcPr>
          <w:p w:rsidR="00934C02" w:rsidRPr="00934C02" w:rsidRDefault="00934C02" w:rsidP="00934C02">
            <w:pPr>
              <w:spacing w:after="0" w:line="240" w:lineRule="auto"/>
              <w:jc w:val="center"/>
              <w:rPr>
                <w:rFonts w:ascii="Arial" w:eastAsia="Times New Roman" w:hAnsi="Arial" w:cs="Arial"/>
                <w:b/>
                <w:sz w:val="20"/>
                <w:szCs w:val="20"/>
                <w:lang w:val="pt-PT"/>
              </w:rPr>
            </w:pPr>
            <w:r w:rsidRPr="00934C02">
              <w:rPr>
                <w:rFonts w:ascii="Arial" w:eastAsia="Times New Roman" w:hAnsi="Arial" w:cs="Arial"/>
                <w:b/>
                <w:sz w:val="20"/>
                <w:szCs w:val="20"/>
                <w:lang w:val="ro-RO"/>
              </w:rPr>
              <w:t>Număr de locuitori decedaţi</w:t>
            </w:r>
          </w:p>
        </w:tc>
        <w:tc>
          <w:tcPr>
            <w:tcW w:w="1417" w:type="dxa"/>
            <w:vMerge w:val="restart"/>
            <w:shd w:val="clear" w:color="auto" w:fill="auto"/>
          </w:tcPr>
          <w:p w:rsidR="00934C02" w:rsidRPr="00934C02" w:rsidRDefault="00934C02" w:rsidP="00934C02">
            <w:pPr>
              <w:spacing w:after="0" w:line="240" w:lineRule="auto"/>
              <w:jc w:val="center"/>
              <w:rPr>
                <w:rFonts w:ascii="Arial" w:eastAsia="Times New Roman" w:hAnsi="Arial" w:cs="Arial"/>
                <w:b/>
                <w:sz w:val="20"/>
                <w:szCs w:val="20"/>
                <w:lang w:val="ro-RO"/>
              </w:rPr>
            </w:pPr>
            <w:r w:rsidRPr="00934C02">
              <w:rPr>
                <w:rFonts w:ascii="Arial" w:eastAsia="Times New Roman" w:hAnsi="Arial" w:cs="Arial"/>
                <w:b/>
                <w:sz w:val="20"/>
                <w:szCs w:val="20"/>
                <w:lang w:val="ro-RO"/>
              </w:rPr>
              <w:t>Număr gospodării</w:t>
            </w:r>
          </w:p>
          <w:p w:rsidR="00934C02" w:rsidRPr="00934C02" w:rsidRDefault="00934C02" w:rsidP="00934C02">
            <w:pPr>
              <w:spacing w:after="0" w:line="240" w:lineRule="auto"/>
              <w:jc w:val="center"/>
              <w:rPr>
                <w:rFonts w:ascii="Arial" w:eastAsia="Times New Roman" w:hAnsi="Arial" w:cs="Arial"/>
                <w:b/>
                <w:sz w:val="20"/>
                <w:szCs w:val="20"/>
                <w:lang w:val="pt-PT"/>
              </w:rPr>
            </w:pPr>
            <w:r w:rsidRPr="00934C02">
              <w:rPr>
                <w:rFonts w:ascii="Arial" w:eastAsia="Times New Roman" w:hAnsi="Arial" w:cs="Arial"/>
                <w:b/>
                <w:sz w:val="20"/>
                <w:szCs w:val="20"/>
                <w:lang w:val="ro-RO"/>
              </w:rPr>
              <w:t>afectate</w:t>
            </w:r>
          </w:p>
        </w:tc>
        <w:tc>
          <w:tcPr>
            <w:tcW w:w="1134" w:type="dxa"/>
            <w:vMerge w:val="restart"/>
            <w:shd w:val="clear" w:color="auto" w:fill="auto"/>
          </w:tcPr>
          <w:p w:rsidR="00934C02" w:rsidRPr="00934C02" w:rsidRDefault="00934C02" w:rsidP="00934C02">
            <w:pPr>
              <w:spacing w:after="0" w:line="240" w:lineRule="auto"/>
              <w:jc w:val="center"/>
              <w:rPr>
                <w:rFonts w:ascii="Arial" w:eastAsia="Times New Roman" w:hAnsi="Arial" w:cs="Arial"/>
                <w:b/>
                <w:sz w:val="20"/>
                <w:szCs w:val="20"/>
                <w:lang w:val="ro-RO"/>
              </w:rPr>
            </w:pPr>
            <w:r w:rsidRPr="00934C02">
              <w:rPr>
                <w:rFonts w:ascii="Arial" w:eastAsia="Times New Roman" w:hAnsi="Arial" w:cs="Arial"/>
                <w:b/>
                <w:sz w:val="20"/>
                <w:szCs w:val="20"/>
                <w:lang w:val="ro-RO"/>
              </w:rPr>
              <w:t>Număr</w:t>
            </w:r>
          </w:p>
          <w:p w:rsidR="00934C02" w:rsidRPr="00934C02" w:rsidRDefault="00934C02" w:rsidP="00934C02">
            <w:pPr>
              <w:tabs>
                <w:tab w:val="center" w:pos="530"/>
              </w:tabs>
              <w:spacing w:after="0" w:line="240" w:lineRule="auto"/>
              <w:rPr>
                <w:rFonts w:ascii="Arial" w:eastAsia="Times New Roman" w:hAnsi="Arial" w:cs="Arial"/>
                <w:b/>
                <w:sz w:val="20"/>
                <w:szCs w:val="20"/>
                <w:lang w:val="ro-RO"/>
              </w:rPr>
            </w:pPr>
            <w:r w:rsidRPr="00934C02">
              <w:rPr>
                <w:rFonts w:ascii="Arial" w:eastAsia="Times New Roman" w:hAnsi="Arial" w:cs="Arial"/>
                <w:b/>
                <w:sz w:val="20"/>
                <w:szCs w:val="20"/>
                <w:lang w:val="ro-RO"/>
              </w:rPr>
              <w:tab/>
              <w:t>obiective</w:t>
            </w:r>
          </w:p>
          <w:p w:rsidR="00934C02" w:rsidRPr="00934C02" w:rsidRDefault="00934C02" w:rsidP="00934C02">
            <w:pPr>
              <w:spacing w:after="0" w:line="240" w:lineRule="auto"/>
              <w:jc w:val="center"/>
              <w:rPr>
                <w:rFonts w:ascii="Arial" w:eastAsia="Times New Roman" w:hAnsi="Arial" w:cs="Arial"/>
                <w:b/>
                <w:sz w:val="20"/>
                <w:szCs w:val="20"/>
                <w:lang w:val="ro-RO"/>
              </w:rPr>
            </w:pPr>
            <w:r w:rsidRPr="00934C02">
              <w:rPr>
                <w:rFonts w:ascii="Arial" w:eastAsia="Times New Roman" w:hAnsi="Arial" w:cs="Arial"/>
                <w:b/>
                <w:sz w:val="20"/>
                <w:szCs w:val="20"/>
                <w:lang w:val="ro-RO"/>
              </w:rPr>
              <w:t>socio-</w:t>
            </w:r>
          </w:p>
          <w:p w:rsidR="00934C02" w:rsidRPr="00934C02" w:rsidRDefault="00934C02" w:rsidP="00934C02">
            <w:pPr>
              <w:spacing w:after="0" w:line="240" w:lineRule="auto"/>
              <w:jc w:val="center"/>
              <w:rPr>
                <w:rFonts w:ascii="Arial" w:eastAsia="Times New Roman" w:hAnsi="Arial" w:cs="Arial"/>
                <w:b/>
                <w:sz w:val="20"/>
                <w:szCs w:val="20"/>
                <w:lang w:val="ro-RO"/>
              </w:rPr>
            </w:pPr>
            <w:r w:rsidRPr="00934C02">
              <w:rPr>
                <w:rFonts w:ascii="Arial" w:eastAsia="Times New Roman" w:hAnsi="Arial" w:cs="Arial"/>
                <w:b/>
                <w:sz w:val="20"/>
                <w:szCs w:val="20"/>
                <w:lang w:val="ro-RO"/>
              </w:rPr>
              <w:t>economice</w:t>
            </w:r>
          </w:p>
          <w:p w:rsidR="00934C02" w:rsidRPr="00934C02" w:rsidRDefault="00934C02" w:rsidP="00934C02">
            <w:pPr>
              <w:spacing w:after="0" w:line="240" w:lineRule="auto"/>
              <w:jc w:val="center"/>
              <w:rPr>
                <w:rFonts w:ascii="Arial" w:eastAsia="Times New Roman" w:hAnsi="Arial" w:cs="Arial"/>
                <w:b/>
                <w:sz w:val="20"/>
                <w:szCs w:val="20"/>
              </w:rPr>
            </w:pPr>
            <w:r w:rsidRPr="00934C02">
              <w:rPr>
                <w:rFonts w:ascii="Arial" w:eastAsia="Times New Roman" w:hAnsi="Arial" w:cs="Arial"/>
                <w:b/>
                <w:sz w:val="20"/>
                <w:szCs w:val="20"/>
                <w:lang w:val="ro-RO"/>
              </w:rPr>
              <w:t>afectate</w:t>
            </w:r>
          </w:p>
        </w:tc>
        <w:tc>
          <w:tcPr>
            <w:tcW w:w="993" w:type="dxa"/>
            <w:vMerge w:val="restart"/>
            <w:shd w:val="clear" w:color="auto" w:fill="auto"/>
          </w:tcPr>
          <w:p w:rsidR="00934C02" w:rsidRPr="00934C02" w:rsidRDefault="00934C02" w:rsidP="00934C02">
            <w:pPr>
              <w:spacing w:after="0" w:line="240" w:lineRule="auto"/>
              <w:jc w:val="center"/>
              <w:rPr>
                <w:rFonts w:ascii="Arial" w:eastAsia="Times New Roman" w:hAnsi="Arial" w:cs="Arial"/>
                <w:b/>
                <w:sz w:val="20"/>
                <w:szCs w:val="20"/>
              </w:rPr>
            </w:pPr>
            <w:r w:rsidRPr="00934C02">
              <w:rPr>
                <w:rFonts w:ascii="Arial" w:eastAsia="Times New Roman" w:hAnsi="Arial" w:cs="Arial"/>
                <w:b/>
                <w:sz w:val="20"/>
                <w:szCs w:val="20"/>
                <w:lang w:val="ro-RO"/>
              </w:rPr>
              <w:t>Ha teren agricol afectat</w:t>
            </w:r>
          </w:p>
        </w:tc>
        <w:tc>
          <w:tcPr>
            <w:tcW w:w="3260" w:type="dxa"/>
            <w:gridSpan w:val="4"/>
            <w:shd w:val="clear" w:color="auto" w:fill="auto"/>
          </w:tcPr>
          <w:p w:rsidR="00934C02" w:rsidRPr="00934C02" w:rsidRDefault="00934C02" w:rsidP="00934C02">
            <w:pPr>
              <w:spacing w:after="0" w:line="240" w:lineRule="auto"/>
              <w:jc w:val="center"/>
              <w:rPr>
                <w:rFonts w:ascii="Arial" w:eastAsia="Times New Roman" w:hAnsi="Arial" w:cs="Arial"/>
                <w:b/>
                <w:sz w:val="20"/>
                <w:szCs w:val="20"/>
              </w:rPr>
            </w:pPr>
            <w:r w:rsidRPr="00934C02">
              <w:rPr>
                <w:rFonts w:ascii="Arial" w:eastAsia="Times New Roman" w:hAnsi="Arial" w:cs="Arial"/>
                <w:b/>
                <w:sz w:val="20"/>
                <w:szCs w:val="20"/>
                <w:lang w:val="ro-RO"/>
              </w:rPr>
              <w:t>Km infrastructura afectată</w:t>
            </w:r>
          </w:p>
        </w:tc>
      </w:tr>
      <w:tr w:rsidR="00934C02" w:rsidRPr="00934C02" w:rsidTr="00934C02">
        <w:trPr>
          <w:cantSplit/>
          <w:trHeight w:val="1389"/>
        </w:trPr>
        <w:tc>
          <w:tcPr>
            <w:tcW w:w="710" w:type="dxa"/>
            <w:vMerge/>
            <w:shd w:val="clear" w:color="auto" w:fill="auto"/>
          </w:tcPr>
          <w:p w:rsidR="00934C02" w:rsidRPr="00934C02" w:rsidRDefault="00934C02" w:rsidP="00934C02">
            <w:pPr>
              <w:spacing w:after="0" w:line="240" w:lineRule="auto"/>
              <w:rPr>
                <w:rFonts w:ascii="Arial" w:eastAsia="Times New Roman" w:hAnsi="Arial" w:cs="Arial"/>
                <w:sz w:val="20"/>
                <w:szCs w:val="20"/>
              </w:rPr>
            </w:pPr>
          </w:p>
        </w:tc>
        <w:tc>
          <w:tcPr>
            <w:tcW w:w="1559" w:type="dxa"/>
            <w:vMerge/>
            <w:shd w:val="clear" w:color="auto" w:fill="auto"/>
          </w:tcPr>
          <w:p w:rsidR="00934C02" w:rsidRPr="00934C02" w:rsidRDefault="00934C02" w:rsidP="00934C02">
            <w:pPr>
              <w:spacing w:after="0" w:line="240" w:lineRule="auto"/>
              <w:rPr>
                <w:rFonts w:ascii="Arial" w:eastAsia="Times New Roman" w:hAnsi="Arial" w:cs="Arial"/>
                <w:sz w:val="20"/>
                <w:szCs w:val="20"/>
              </w:rPr>
            </w:pPr>
          </w:p>
        </w:tc>
        <w:tc>
          <w:tcPr>
            <w:tcW w:w="1134" w:type="dxa"/>
            <w:vMerge/>
            <w:shd w:val="clear" w:color="auto" w:fill="auto"/>
          </w:tcPr>
          <w:p w:rsidR="00934C02" w:rsidRPr="00934C02" w:rsidRDefault="00934C02" w:rsidP="00934C02">
            <w:pPr>
              <w:spacing w:after="0" w:line="240" w:lineRule="auto"/>
              <w:rPr>
                <w:rFonts w:ascii="Arial" w:eastAsia="Times New Roman" w:hAnsi="Arial" w:cs="Arial"/>
                <w:sz w:val="20"/>
                <w:szCs w:val="20"/>
              </w:rPr>
            </w:pPr>
          </w:p>
        </w:tc>
        <w:tc>
          <w:tcPr>
            <w:tcW w:w="1417" w:type="dxa"/>
            <w:vMerge/>
            <w:shd w:val="clear" w:color="auto" w:fill="auto"/>
          </w:tcPr>
          <w:p w:rsidR="00934C02" w:rsidRPr="00934C02" w:rsidRDefault="00934C02" w:rsidP="00934C02">
            <w:pPr>
              <w:spacing w:after="0" w:line="240" w:lineRule="auto"/>
              <w:rPr>
                <w:rFonts w:ascii="Arial" w:eastAsia="Times New Roman" w:hAnsi="Arial" w:cs="Arial"/>
                <w:sz w:val="20"/>
                <w:szCs w:val="20"/>
              </w:rPr>
            </w:pPr>
          </w:p>
        </w:tc>
        <w:tc>
          <w:tcPr>
            <w:tcW w:w="1134" w:type="dxa"/>
            <w:vMerge/>
            <w:shd w:val="clear" w:color="auto" w:fill="auto"/>
          </w:tcPr>
          <w:p w:rsidR="00934C02" w:rsidRPr="00934C02" w:rsidRDefault="00934C02" w:rsidP="00934C02">
            <w:pPr>
              <w:spacing w:after="0" w:line="240" w:lineRule="auto"/>
              <w:rPr>
                <w:rFonts w:ascii="Arial" w:eastAsia="Times New Roman" w:hAnsi="Arial" w:cs="Arial"/>
                <w:sz w:val="20"/>
                <w:szCs w:val="20"/>
              </w:rPr>
            </w:pPr>
          </w:p>
        </w:tc>
        <w:tc>
          <w:tcPr>
            <w:tcW w:w="993" w:type="dxa"/>
            <w:vMerge/>
            <w:shd w:val="clear" w:color="auto" w:fill="auto"/>
          </w:tcPr>
          <w:p w:rsidR="00934C02" w:rsidRPr="00934C02" w:rsidRDefault="00934C02" w:rsidP="00934C02">
            <w:pPr>
              <w:spacing w:after="0" w:line="240" w:lineRule="auto"/>
              <w:rPr>
                <w:rFonts w:ascii="Arial" w:eastAsia="Times New Roman" w:hAnsi="Arial" w:cs="Arial"/>
                <w:sz w:val="20"/>
                <w:szCs w:val="20"/>
              </w:rPr>
            </w:pPr>
          </w:p>
        </w:tc>
        <w:tc>
          <w:tcPr>
            <w:tcW w:w="850" w:type="dxa"/>
            <w:shd w:val="clear" w:color="auto" w:fill="auto"/>
            <w:textDirection w:val="btLr"/>
          </w:tcPr>
          <w:p w:rsidR="00934C02" w:rsidRPr="00934C02" w:rsidRDefault="00934C02" w:rsidP="00934C02">
            <w:pPr>
              <w:spacing w:after="0" w:line="240" w:lineRule="auto"/>
              <w:ind w:left="113" w:right="113"/>
              <w:jc w:val="center"/>
              <w:rPr>
                <w:rFonts w:ascii="Arial" w:eastAsia="Times New Roman" w:hAnsi="Arial" w:cs="Arial"/>
                <w:sz w:val="20"/>
                <w:szCs w:val="20"/>
              </w:rPr>
            </w:pPr>
            <w:r w:rsidRPr="00934C02">
              <w:rPr>
                <w:rFonts w:ascii="Arial" w:eastAsia="Times New Roman" w:hAnsi="Arial" w:cs="Arial"/>
                <w:b/>
                <w:sz w:val="20"/>
                <w:szCs w:val="20"/>
                <w:lang w:val="ro-RO"/>
              </w:rPr>
              <w:t>Drumuri naţionale</w:t>
            </w:r>
          </w:p>
        </w:tc>
        <w:tc>
          <w:tcPr>
            <w:tcW w:w="992" w:type="dxa"/>
            <w:shd w:val="clear" w:color="auto" w:fill="auto"/>
            <w:textDirection w:val="btLr"/>
          </w:tcPr>
          <w:p w:rsidR="00934C02" w:rsidRPr="00934C02" w:rsidRDefault="00934C02" w:rsidP="00934C02">
            <w:pPr>
              <w:spacing w:after="0" w:line="240" w:lineRule="auto"/>
              <w:ind w:left="113" w:right="113"/>
              <w:jc w:val="center"/>
              <w:rPr>
                <w:rFonts w:ascii="Arial" w:eastAsia="Times New Roman" w:hAnsi="Arial" w:cs="Arial"/>
                <w:sz w:val="20"/>
                <w:szCs w:val="20"/>
              </w:rPr>
            </w:pPr>
            <w:r w:rsidRPr="00934C02">
              <w:rPr>
                <w:rFonts w:ascii="Arial" w:eastAsia="Times New Roman" w:hAnsi="Arial" w:cs="Arial"/>
                <w:b/>
                <w:sz w:val="20"/>
                <w:szCs w:val="20"/>
                <w:lang w:val="ro-RO"/>
              </w:rPr>
              <w:t>Drumuri judeţene</w:t>
            </w:r>
          </w:p>
        </w:tc>
        <w:tc>
          <w:tcPr>
            <w:tcW w:w="993" w:type="dxa"/>
            <w:shd w:val="clear" w:color="auto" w:fill="auto"/>
            <w:textDirection w:val="btLr"/>
          </w:tcPr>
          <w:p w:rsidR="00934C02" w:rsidRPr="00934C02" w:rsidRDefault="00934C02" w:rsidP="00934C02">
            <w:pPr>
              <w:spacing w:after="0" w:line="240" w:lineRule="auto"/>
              <w:ind w:left="113" w:right="113"/>
              <w:jc w:val="center"/>
              <w:rPr>
                <w:rFonts w:ascii="Arial" w:eastAsia="Times New Roman" w:hAnsi="Arial" w:cs="Arial"/>
                <w:sz w:val="20"/>
                <w:szCs w:val="20"/>
              </w:rPr>
            </w:pPr>
            <w:r w:rsidRPr="00934C02">
              <w:rPr>
                <w:rFonts w:ascii="Arial" w:eastAsia="Times New Roman" w:hAnsi="Arial" w:cs="Arial"/>
                <w:b/>
                <w:sz w:val="20"/>
                <w:szCs w:val="20"/>
                <w:lang w:val="ro-RO"/>
              </w:rPr>
              <w:t>Drumuri comunale</w:t>
            </w:r>
          </w:p>
        </w:tc>
        <w:tc>
          <w:tcPr>
            <w:tcW w:w="425" w:type="dxa"/>
            <w:shd w:val="clear" w:color="auto" w:fill="auto"/>
            <w:textDirection w:val="btLr"/>
          </w:tcPr>
          <w:p w:rsidR="00934C02" w:rsidRPr="00934C02" w:rsidRDefault="00934C02" w:rsidP="00934C02">
            <w:pPr>
              <w:spacing w:after="0" w:line="240" w:lineRule="auto"/>
              <w:ind w:left="113" w:right="113"/>
              <w:jc w:val="center"/>
              <w:rPr>
                <w:rFonts w:ascii="Arial" w:eastAsia="Times New Roman" w:hAnsi="Arial" w:cs="Arial"/>
                <w:sz w:val="20"/>
                <w:szCs w:val="20"/>
              </w:rPr>
            </w:pPr>
            <w:r w:rsidRPr="00934C02">
              <w:rPr>
                <w:rFonts w:ascii="Arial" w:eastAsia="Times New Roman" w:hAnsi="Arial" w:cs="Arial"/>
                <w:b/>
                <w:sz w:val="20"/>
                <w:szCs w:val="20"/>
                <w:lang w:val="ro-RO"/>
              </w:rPr>
              <w:t>Căi ferate</w:t>
            </w:r>
          </w:p>
        </w:tc>
      </w:tr>
      <w:tr w:rsidR="00934C02" w:rsidRPr="00934C02" w:rsidTr="00934C02">
        <w:trPr>
          <w:trHeight w:val="259"/>
        </w:trPr>
        <w:tc>
          <w:tcPr>
            <w:tcW w:w="710" w:type="dxa"/>
            <w:shd w:val="clear" w:color="auto" w:fill="auto"/>
          </w:tcPr>
          <w:p w:rsidR="00934C02" w:rsidRPr="00934C02" w:rsidRDefault="00934C02" w:rsidP="00934C02">
            <w:pPr>
              <w:spacing w:after="0" w:line="240" w:lineRule="auto"/>
              <w:jc w:val="center"/>
              <w:rPr>
                <w:rFonts w:ascii="Arial" w:eastAsia="Times New Roman" w:hAnsi="Arial" w:cs="Arial"/>
                <w:sz w:val="20"/>
                <w:szCs w:val="20"/>
              </w:rPr>
            </w:pPr>
            <w:r w:rsidRPr="00934C02">
              <w:rPr>
                <w:rFonts w:ascii="Arial" w:eastAsia="Times New Roman" w:hAnsi="Arial" w:cs="Arial"/>
                <w:sz w:val="20"/>
                <w:szCs w:val="20"/>
              </w:rPr>
              <w:t>2011</w:t>
            </w:r>
          </w:p>
        </w:tc>
        <w:tc>
          <w:tcPr>
            <w:tcW w:w="1559" w:type="dxa"/>
            <w:shd w:val="clear" w:color="auto" w:fill="auto"/>
          </w:tcPr>
          <w:p w:rsidR="00934C02" w:rsidRPr="00934C02" w:rsidRDefault="00934C02" w:rsidP="00934C02">
            <w:pPr>
              <w:spacing w:after="0" w:line="240" w:lineRule="auto"/>
              <w:jc w:val="center"/>
              <w:rPr>
                <w:rFonts w:ascii="Arial" w:eastAsia="Times New Roman" w:hAnsi="Arial" w:cs="Arial"/>
                <w:sz w:val="20"/>
                <w:szCs w:val="20"/>
              </w:rPr>
            </w:pPr>
            <w:r w:rsidRPr="00934C02">
              <w:rPr>
                <w:rFonts w:ascii="Arial" w:eastAsia="Times New Roman" w:hAnsi="Arial" w:cs="Arial"/>
                <w:sz w:val="20"/>
                <w:szCs w:val="20"/>
              </w:rPr>
              <w:t>16</w:t>
            </w:r>
          </w:p>
        </w:tc>
        <w:tc>
          <w:tcPr>
            <w:tcW w:w="1134" w:type="dxa"/>
            <w:shd w:val="clear" w:color="auto" w:fill="auto"/>
          </w:tcPr>
          <w:p w:rsidR="00934C02" w:rsidRPr="00934C02" w:rsidRDefault="00934C02" w:rsidP="00934C02">
            <w:pPr>
              <w:spacing w:after="0" w:line="240" w:lineRule="auto"/>
              <w:jc w:val="center"/>
              <w:rPr>
                <w:rFonts w:ascii="Arial" w:eastAsia="Times New Roman" w:hAnsi="Arial" w:cs="Arial"/>
                <w:sz w:val="20"/>
                <w:szCs w:val="20"/>
              </w:rPr>
            </w:pPr>
            <w:r w:rsidRPr="00934C02">
              <w:rPr>
                <w:rFonts w:ascii="Arial" w:eastAsia="Times New Roman" w:hAnsi="Arial" w:cs="Arial"/>
                <w:sz w:val="20"/>
                <w:szCs w:val="20"/>
              </w:rPr>
              <w:t>-</w:t>
            </w:r>
          </w:p>
        </w:tc>
        <w:tc>
          <w:tcPr>
            <w:tcW w:w="1417" w:type="dxa"/>
            <w:shd w:val="clear" w:color="auto" w:fill="auto"/>
          </w:tcPr>
          <w:p w:rsidR="00934C02" w:rsidRPr="00934C02" w:rsidRDefault="00934C02" w:rsidP="00934C02">
            <w:pPr>
              <w:spacing w:after="0" w:line="240" w:lineRule="auto"/>
              <w:jc w:val="center"/>
              <w:rPr>
                <w:rFonts w:ascii="Arial" w:eastAsia="Times New Roman" w:hAnsi="Arial" w:cs="Arial"/>
                <w:sz w:val="20"/>
                <w:szCs w:val="20"/>
              </w:rPr>
            </w:pPr>
            <w:r w:rsidRPr="00934C02">
              <w:rPr>
                <w:rFonts w:ascii="Arial" w:eastAsia="Times New Roman" w:hAnsi="Arial" w:cs="Arial"/>
                <w:sz w:val="20"/>
                <w:szCs w:val="20"/>
              </w:rPr>
              <w:t>60</w:t>
            </w:r>
          </w:p>
        </w:tc>
        <w:tc>
          <w:tcPr>
            <w:tcW w:w="1134" w:type="dxa"/>
            <w:shd w:val="clear" w:color="auto" w:fill="auto"/>
          </w:tcPr>
          <w:p w:rsidR="00934C02" w:rsidRPr="00934C02" w:rsidRDefault="00934C02" w:rsidP="00934C02">
            <w:pPr>
              <w:spacing w:after="0" w:line="240" w:lineRule="auto"/>
              <w:jc w:val="center"/>
              <w:rPr>
                <w:rFonts w:ascii="Arial" w:eastAsia="Times New Roman" w:hAnsi="Arial" w:cs="Arial"/>
                <w:sz w:val="20"/>
                <w:szCs w:val="20"/>
              </w:rPr>
            </w:pPr>
            <w:r w:rsidRPr="00934C02">
              <w:rPr>
                <w:rFonts w:ascii="Arial" w:eastAsia="Times New Roman" w:hAnsi="Arial" w:cs="Arial"/>
                <w:sz w:val="20"/>
                <w:szCs w:val="20"/>
              </w:rPr>
              <w:t>1</w:t>
            </w:r>
          </w:p>
        </w:tc>
        <w:tc>
          <w:tcPr>
            <w:tcW w:w="993" w:type="dxa"/>
            <w:shd w:val="clear" w:color="auto" w:fill="auto"/>
          </w:tcPr>
          <w:p w:rsidR="00934C02" w:rsidRPr="00934C02" w:rsidRDefault="00934C02" w:rsidP="00934C02">
            <w:pPr>
              <w:spacing w:after="0" w:line="240" w:lineRule="auto"/>
              <w:jc w:val="center"/>
              <w:rPr>
                <w:rFonts w:ascii="Arial" w:eastAsia="Times New Roman" w:hAnsi="Arial" w:cs="Arial"/>
                <w:sz w:val="20"/>
                <w:szCs w:val="20"/>
              </w:rPr>
            </w:pPr>
            <w:r w:rsidRPr="00934C02">
              <w:rPr>
                <w:rFonts w:ascii="Arial" w:eastAsia="Times New Roman" w:hAnsi="Arial" w:cs="Arial"/>
                <w:sz w:val="20"/>
                <w:szCs w:val="20"/>
              </w:rPr>
              <w:t>510,6</w:t>
            </w:r>
          </w:p>
        </w:tc>
        <w:tc>
          <w:tcPr>
            <w:tcW w:w="850" w:type="dxa"/>
            <w:shd w:val="clear" w:color="auto" w:fill="auto"/>
          </w:tcPr>
          <w:p w:rsidR="00934C02" w:rsidRPr="00934C02" w:rsidRDefault="00934C02" w:rsidP="00934C02">
            <w:pPr>
              <w:spacing w:after="0" w:line="240" w:lineRule="auto"/>
              <w:jc w:val="center"/>
              <w:rPr>
                <w:rFonts w:ascii="Arial" w:eastAsia="Times New Roman" w:hAnsi="Arial" w:cs="Arial"/>
                <w:sz w:val="20"/>
                <w:szCs w:val="20"/>
              </w:rPr>
            </w:pPr>
            <w:r w:rsidRPr="00934C02">
              <w:rPr>
                <w:rFonts w:ascii="Arial" w:eastAsia="Times New Roman" w:hAnsi="Arial" w:cs="Arial"/>
                <w:sz w:val="20"/>
                <w:szCs w:val="20"/>
              </w:rPr>
              <w:t>1,3</w:t>
            </w:r>
          </w:p>
        </w:tc>
        <w:tc>
          <w:tcPr>
            <w:tcW w:w="992" w:type="dxa"/>
            <w:shd w:val="clear" w:color="auto" w:fill="auto"/>
          </w:tcPr>
          <w:p w:rsidR="00934C02" w:rsidRPr="00934C02" w:rsidRDefault="00934C02" w:rsidP="00934C02">
            <w:pPr>
              <w:spacing w:after="0" w:line="240" w:lineRule="auto"/>
              <w:jc w:val="center"/>
              <w:rPr>
                <w:rFonts w:ascii="Arial" w:eastAsia="Times New Roman" w:hAnsi="Arial" w:cs="Arial"/>
                <w:sz w:val="20"/>
                <w:szCs w:val="20"/>
              </w:rPr>
            </w:pPr>
            <w:r w:rsidRPr="00934C02">
              <w:rPr>
                <w:rFonts w:ascii="Arial" w:eastAsia="Times New Roman" w:hAnsi="Arial" w:cs="Arial"/>
                <w:sz w:val="20"/>
                <w:szCs w:val="20"/>
              </w:rPr>
              <w:t>1,7</w:t>
            </w:r>
          </w:p>
        </w:tc>
        <w:tc>
          <w:tcPr>
            <w:tcW w:w="993" w:type="dxa"/>
            <w:shd w:val="clear" w:color="auto" w:fill="auto"/>
          </w:tcPr>
          <w:p w:rsidR="00934C02" w:rsidRPr="00934C02" w:rsidRDefault="00934C02" w:rsidP="00934C02">
            <w:pPr>
              <w:spacing w:after="0" w:line="240" w:lineRule="auto"/>
              <w:jc w:val="center"/>
              <w:rPr>
                <w:rFonts w:ascii="Arial" w:eastAsia="Times New Roman" w:hAnsi="Arial" w:cs="Arial"/>
                <w:sz w:val="20"/>
                <w:szCs w:val="20"/>
              </w:rPr>
            </w:pPr>
            <w:r w:rsidRPr="00934C02">
              <w:rPr>
                <w:rFonts w:ascii="Arial" w:eastAsia="Times New Roman" w:hAnsi="Arial" w:cs="Arial"/>
                <w:sz w:val="20"/>
                <w:szCs w:val="20"/>
              </w:rPr>
              <w:t>35,96</w:t>
            </w:r>
          </w:p>
        </w:tc>
        <w:tc>
          <w:tcPr>
            <w:tcW w:w="425" w:type="dxa"/>
            <w:shd w:val="clear" w:color="auto" w:fill="auto"/>
          </w:tcPr>
          <w:p w:rsidR="00934C02" w:rsidRPr="00934C02" w:rsidRDefault="00934C02" w:rsidP="00934C02">
            <w:pPr>
              <w:spacing w:after="0" w:line="240" w:lineRule="auto"/>
              <w:jc w:val="center"/>
              <w:rPr>
                <w:rFonts w:ascii="Arial" w:eastAsia="Times New Roman" w:hAnsi="Arial" w:cs="Arial"/>
                <w:sz w:val="20"/>
                <w:szCs w:val="20"/>
              </w:rPr>
            </w:pPr>
            <w:r w:rsidRPr="00934C02">
              <w:rPr>
                <w:rFonts w:ascii="Arial" w:eastAsia="Times New Roman" w:hAnsi="Arial" w:cs="Arial"/>
                <w:sz w:val="20"/>
                <w:szCs w:val="20"/>
              </w:rPr>
              <w:t>-</w:t>
            </w:r>
          </w:p>
        </w:tc>
      </w:tr>
      <w:tr w:rsidR="00934C02" w:rsidRPr="00934C02" w:rsidTr="00934C02">
        <w:trPr>
          <w:trHeight w:val="259"/>
        </w:trPr>
        <w:tc>
          <w:tcPr>
            <w:tcW w:w="710" w:type="dxa"/>
            <w:shd w:val="clear" w:color="auto" w:fill="auto"/>
          </w:tcPr>
          <w:p w:rsidR="00934C02" w:rsidRPr="00934C02" w:rsidRDefault="00934C02" w:rsidP="00934C02">
            <w:pPr>
              <w:tabs>
                <w:tab w:val="center" w:pos="4320"/>
                <w:tab w:val="right" w:pos="8640"/>
              </w:tabs>
              <w:spacing w:after="0" w:line="240" w:lineRule="auto"/>
              <w:jc w:val="center"/>
              <w:rPr>
                <w:rFonts w:ascii="Arial" w:eastAsia="Times New Roman" w:hAnsi="Arial" w:cs="Arial"/>
                <w:sz w:val="20"/>
                <w:szCs w:val="20"/>
              </w:rPr>
            </w:pPr>
            <w:r w:rsidRPr="00934C02">
              <w:rPr>
                <w:rFonts w:ascii="Arial" w:eastAsia="Times New Roman" w:hAnsi="Arial" w:cs="Arial"/>
                <w:sz w:val="20"/>
                <w:szCs w:val="20"/>
              </w:rPr>
              <w:t>2012</w:t>
            </w:r>
          </w:p>
        </w:tc>
        <w:tc>
          <w:tcPr>
            <w:tcW w:w="1559" w:type="dxa"/>
            <w:shd w:val="clear" w:color="auto" w:fill="auto"/>
          </w:tcPr>
          <w:p w:rsidR="00934C02" w:rsidRPr="00934C02" w:rsidRDefault="00934C02" w:rsidP="00934C02">
            <w:pPr>
              <w:tabs>
                <w:tab w:val="center" w:pos="4320"/>
                <w:tab w:val="right" w:pos="8640"/>
              </w:tabs>
              <w:spacing w:after="0" w:line="240" w:lineRule="auto"/>
              <w:jc w:val="center"/>
              <w:rPr>
                <w:rFonts w:ascii="Arial" w:eastAsia="Times New Roman" w:hAnsi="Arial" w:cs="Arial"/>
                <w:sz w:val="20"/>
                <w:szCs w:val="20"/>
              </w:rPr>
            </w:pPr>
            <w:r w:rsidRPr="00934C02">
              <w:rPr>
                <w:rFonts w:ascii="Arial" w:eastAsia="Times New Roman" w:hAnsi="Arial" w:cs="Arial"/>
                <w:sz w:val="20"/>
                <w:szCs w:val="20"/>
              </w:rPr>
              <w:t>24</w:t>
            </w:r>
          </w:p>
        </w:tc>
        <w:tc>
          <w:tcPr>
            <w:tcW w:w="1134" w:type="dxa"/>
            <w:shd w:val="clear" w:color="auto" w:fill="auto"/>
          </w:tcPr>
          <w:p w:rsidR="00934C02" w:rsidRPr="00934C02" w:rsidRDefault="00934C02" w:rsidP="00934C02">
            <w:pPr>
              <w:tabs>
                <w:tab w:val="center" w:pos="4320"/>
                <w:tab w:val="right" w:pos="8640"/>
              </w:tabs>
              <w:spacing w:after="0" w:line="240" w:lineRule="auto"/>
              <w:jc w:val="center"/>
              <w:rPr>
                <w:rFonts w:ascii="Arial" w:eastAsia="Times New Roman" w:hAnsi="Arial" w:cs="Arial"/>
                <w:sz w:val="20"/>
                <w:szCs w:val="20"/>
              </w:rPr>
            </w:pPr>
            <w:r w:rsidRPr="00934C02">
              <w:rPr>
                <w:rFonts w:ascii="Arial" w:eastAsia="Times New Roman" w:hAnsi="Arial" w:cs="Arial"/>
                <w:sz w:val="20"/>
                <w:szCs w:val="20"/>
              </w:rPr>
              <w:t>-</w:t>
            </w:r>
          </w:p>
        </w:tc>
        <w:tc>
          <w:tcPr>
            <w:tcW w:w="1417" w:type="dxa"/>
            <w:shd w:val="clear" w:color="auto" w:fill="auto"/>
          </w:tcPr>
          <w:p w:rsidR="00934C02" w:rsidRPr="00934C02" w:rsidRDefault="00934C02" w:rsidP="00934C02">
            <w:pPr>
              <w:tabs>
                <w:tab w:val="center" w:pos="4320"/>
                <w:tab w:val="right" w:pos="8640"/>
              </w:tabs>
              <w:spacing w:after="0" w:line="240" w:lineRule="auto"/>
              <w:jc w:val="center"/>
              <w:rPr>
                <w:rFonts w:ascii="Arial" w:eastAsia="Times New Roman" w:hAnsi="Arial" w:cs="Arial"/>
                <w:sz w:val="20"/>
                <w:szCs w:val="20"/>
              </w:rPr>
            </w:pPr>
            <w:r w:rsidRPr="00934C02">
              <w:rPr>
                <w:rFonts w:ascii="Arial" w:eastAsia="Times New Roman" w:hAnsi="Arial" w:cs="Arial"/>
                <w:sz w:val="20"/>
                <w:szCs w:val="20"/>
              </w:rPr>
              <w:t>27</w:t>
            </w:r>
          </w:p>
        </w:tc>
        <w:tc>
          <w:tcPr>
            <w:tcW w:w="1134" w:type="dxa"/>
            <w:shd w:val="clear" w:color="auto" w:fill="auto"/>
          </w:tcPr>
          <w:p w:rsidR="00934C02" w:rsidRPr="00934C02" w:rsidRDefault="00934C02" w:rsidP="00934C02">
            <w:pPr>
              <w:tabs>
                <w:tab w:val="center" w:pos="4320"/>
                <w:tab w:val="right" w:pos="8640"/>
              </w:tabs>
              <w:spacing w:after="0" w:line="240" w:lineRule="auto"/>
              <w:jc w:val="center"/>
              <w:rPr>
                <w:rFonts w:ascii="Arial" w:eastAsia="Times New Roman" w:hAnsi="Arial" w:cs="Arial"/>
                <w:sz w:val="20"/>
                <w:szCs w:val="20"/>
              </w:rPr>
            </w:pPr>
            <w:r w:rsidRPr="00934C02">
              <w:rPr>
                <w:rFonts w:ascii="Arial" w:eastAsia="Times New Roman" w:hAnsi="Arial" w:cs="Arial"/>
                <w:sz w:val="20"/>
                <w:szCs w:val="20"/>
              </w:rPr>
              <w:t>-</w:t>
            </w:r>
          </w:p>
        </w:tc>
        <w:tc>
          <w:tcPr>
            <w:tcW w:w="993" w:type="dxa"/>
            <w:shd w:val="clear" w:color="auto" w:fill="auto"/>
          </w:tcPr>
          <w:p w:rsidR="00934C02" w:rsidRPr="00934C02" w:rsidRDefault="00934C02" w:rsidP="00934C02">
            <w:pPr>
              <w:tabs>
                <w:tab w:val="center" w:pos="4320"/>
                <w:tab w:val="right" w:pos="8640"/>
              </w:tabs>
              <w:spacing w:after="0" w:line="240" w:lineRule="auto"/>
              <w:jc w:val="center"/>
              <w:rPr>
                <w:rFonts w:ascii="Arial" w:eastAsia="Times New Roman" w:hAnsi="Arial" w:cs="Arial"/>
                <w:sz w:val="20"/>
                <w:szCs w:val="20"/>
              </w:rPr>
            </w:pPr>
            <w:r w:rsidRPr="00934C02">
              <w:rPr>
                <w:rFonts w:ascii="Arial" w:eastAsia="Times New Roman" w:hAnsi="Arial" w:cs="Arial"/>
                <w:sz w:val="20"/>
                <w:szCs w:val="20"/>
              </w:rPr>
              <w:t>22</w:t>
            </w:r>
          </w:p>
        </w:tc>
        <w:tc>
          <w:tcPr>
            <w:tcW w:w="850" w:type="dxa"/>
            <w:shd w:val="clear" w:color="auto" w:fill="auto"/>
          </w:tcPr>
          <w:p w:rsidR="00934C02" w:rsidRPr="00934C02" w:rsidRDefault="00934C02" w:rsidP="00934C02">
            <w:pPr>
              <w:tabs>
                <w:tab w:val="center" w:pos="4320"/>
                <w:tab w:val="right" w:pos="8640"/>
              </w:tabs>
              <w:spacing w:after="0" w:line="240" w:lineRule="auto"/>
              <w:jc w:val="center"/>
              <w:rPr>
                <w:rFonts w:ascii="Arial" w:eastAsia="Times New Roman" w:hAnsi="Arial" w:cs="Arial"/>
                <w:sz w:val="20"/>
                <w:szCs w:val="20"/>
              </w:rPr>
            </w:pPr>
            <w:r w:rsidRPr="00934C02">
              <w:rPr>
                <w:rFonts w:ascii="Arial" w:eastAsia="Times New Roman" w:hAnsi="Arial" w:cs="Arial"/>
                <w:sz w:val="20"/>
                <w:szCs w:val="20"/>
              </w:rPr>
              <w:t>-</w:t>
            </w:r>
          </w:p>
        </w:tc>
        <w:tc>
          <w:tcPr>
            <w:tcW w:w="992" w:type="dxa"/>
            <w:shd w:val="clear" w:color="auto" w:fill="auto"/>
          </w:tcPr>
          <w:p w:rsidR="00934C02" w:rsidRPr="00934C02" w:rsidRDefault="00934C02" w:rsidP="00934C02">
            <w:pPr>
              <w:tabs>
                <w:tab w:val="center" w:pos="4320"/>
                <w:tab w:val="right" w:pos="8640"/>
              </w:tabs>
              <w:spacing w:after="0" w:line="240" w:lineRule="auto"/>
              <w:jc w:val="center"/>
              <w:rPr>
                <w:rFonts w:ascii="Arial" w:eastAsia="Times New Roman" w:hAnsi="Arial" w:cs="Arial"/>
                <w:sz w:val="20"/>
                <w:szCs w:val="20"/>
              </w:rPr>
            </w:pPr>
            <w:r w:rsidRPr="00934C02">
              <w:rPr>
                <w:rFonts w:ascii="Arial" w:eastAsia="Times New Roman" w:hAnsi="Arial" w:cs="Arial"/>
                <w:sz w:val="20"/>
                <w:szCs w:val="20"/>
              </w:rPr>
              <w:t>25,500</w:t>
            </w:r>
          </w:p>
        </w:tc>
        <w:tc>
          <w:tcPr>
            <w:tcW w:w="993" w:type="dxa"/>
            <w:shd w:val="clear" w:color="auto" w:fill="auto"/>
          </w:tcPr>
          <w:p w:rsidR="00934C02" w:rsidRPr="00934C02" w:rsidRDefault="00934C02" w:rsidP="00934C02">
            <w:pPr>
              <w:tabs>
                <w:tab w:val="center" w:pos="4320"/>
                <w:tab w:val="right" w:pos="8640"/>
              </w:tabs>
              <w:spacing w:after="0" w:line="240" w:lineRule="auto"/>
              <w:jc w:val="center"/>
              <w:rPr>
                <w:rFonts w:ascii="Arial" w:eastAsia="Times New Roman" w:hAnsi="Arial" w:cs="Arial"/>
                <w:sz w:val="20"/>
                <w:szCs w:val="20"/>
              </w:rPr>
            </w:pPr>
            <w:r w:rsidRPr="00934C02">
              <w:rPr>
                <w:rFonts w:ascii="Arial" w:eastAsia="Times New Roman" w:hAnsi="Arial" w:cs="Arial"/>
                <w:sz w:val="20"/>
                <w:szCs w:val="20"/>
              </w:rPr>
              <w:t>162,39</w:t>
            </w:r>
          </w:p>
        </w:tc>
        <w:tc>
          <w:tcPr>
            <w:tcW w:w="425" w:type="dxa"/>
            <w:shd w:val="clear" w:color="auto" w:fill="auto"/>
          </w:tcPr>
          <w:p w:rsidR="00934C02" w:rsidRPr="00934C02" w:rsidRDefault="00934C02" w:rsidP="00934C02">
            <w:pPr>
              <w:tabs>
                <w:tab w:val="center" w:pos="4320"/>
                <w:tab w:val="right" w:pos="8640"/>
              </w:tabs>
              <w:spacing w:after="0" w:line="240" w:lineRule="auto"/>
              <w:jc w:val="center"/>
              <w:rPr>
                <w:rFonts w:ascii="Arial" w:eastAsia="Times New Roman" w:hAnsi="Arial" w:cs="Arial"/>
                <w:sz w:val="20"/>
                <w:szCs w:val="20"/>
              </w:rPr>
            </w:pPr>
            <w:r w:rsidRPr="00934C02">
              <w:rPr>
                <w:rFonts w:ascii="Arial" w:eastAsia="Times New Roman" w:hAnsi="Arial" w:cs="Arial"/>
                <w:sz w:val="20"/>
                <w:szCs w:val="20"/>
              </w:rPr>
              <w:t>-</w:t>
            </w:r>
          </w:p>
        </w:tc>
      </w:tr>
      <w:tr w:rsidR="00934C02" w:rsidRPr="00934C02" w:rsidTr="00934C02">
        <w:trPr>
          <w:trHeight w:val="259"/>
        </w:trPr>
        <w:tc>
          <w:tcPr>
            <w:tcW w:w="710" w:type="dxa"/>
            <w:shd w:val="clear" w:color="auto" w:fill="auto"/>
          </w:tcPr>
          <w:p w:rsidR="00934C02" w:rsidRPr="00934C02" w:rsidRDefault="00934C02" w:rsidP="00934C02">
            <w:pPr>
              <w:tabs>
                <w:tab w:val="center" w:pos="4320"/>
                <w:tab w:val="right" w:pos="8640"/>
              </w:tabs>
              <w:spacing w:after="0" w:line="240" w:lineRule="auto"/>
              <w:jc w:val="center"/>
              <w:rPr>
                <w:rFonts w:ascii="Arial" w:eastAsia="Times New Roman" w:hAnsi="Arial" w:cs="Arial"/>
                <w:sz w:val="20"/>
                <w:szCs w:val="20"/>
              </w:rPr>
            </w:pPr>
            <w:r w:rsidRPr="00934C02">
              <w:rPr>
                <w:rFonts w:ascii="Arial" w:eastAsia="Times New Roman" w:hAnsi="Arial" w:cs="Arial"/>
                <w:sz w:val="20"/>
                <w:szCs w:val="20"/>
              </w:rPr>
              <w:t>2013</w:t>
            </w:r>
          </w:p>
        </w:tc>
        <w:tc>
          <w:tcPr>
            <w:tcW w:w="1559" w:type="dxa"/>
            <w:shd w:val="clear" w:color="auto" w:fill="auto"/>
          </w:tcPr>
          <w:p w:rsidR="00934C02" w:rsidRPr="00934C02" w:rsidRDefault="00934C02" w:rsidP="00934C02">
            <w:pPr>
              <w:tabs>
                <w:tab w:val="center" w:pos="4320"/>
                <w:tab w:val="right" w:pos="8640"/>
              </w:tabs>
              <w:spacing w:after="0" w:line="240" w:lineRule="auto"/>
              <w:jc w:val="center"/>
              <w:rPr>
                <w:rFonts w:ascii="Arial" w:eastAsia="Times New Roman" w:hAnsi="Arial" w:cs="Arial"/>
                <w:sz w:val="20"/>
                <w:szCs w:val="20"/>
              </w:rPr>
            </w:pPr>
            <w:r w:rsidRPr="00934C02">
              <w:rPr>
                <w:rFonts w:ascii="Arial" w:eastAsia="Times New Roman" w:hAnsi="Arial" w:cs="Arial"/>
                <w:sz w:val="20"/>
                <w:szCs w:val="20"/>
              </w:rPr>
              <w:t>66</w:t>
            </w:r>
          </w:p>
        </w:tc>
        <w:tc>
          <w:tcPr>
            <w:tcW w:w="1134" w:type="dxa"/>
            <w:shd w:val="clear" w:color="auto" w:fill="auto"/>
          </w:tcPr>
          <w:p w:rsidR="00934C02" w:rsidRPr="00934C02" w:rsidRDefault="00934C02" w:rsidP="00934C02">
            <w:pPr>
              <w:tabs>
                <w:tab w:val="center" w:pos="4320"/>
                <w:tab w:val="right" w:pos="8640"/>
              </w:tabs>
              <w:spacing w:after="0" w:line="240" w:lineRule="auto"/>
              <w:jc w:val="center"/>
              <w:rPr>
                <w:rFonts w:ascii="Arial" w:eastAsia="Times New Roman" w:hAnsi="Arial" w:cs="Arial"/>
                <w:sz w:val="20"/>
                <w:szCs w:val="20"/>
              </w:rPr>
            </w:pPr>
            <w:r w:rsidRPr="00934C02">
              <w:rPr>
                <w:rFonts w:ascii="Arial" w:eastAsia="Times New Roman" w:hAnsi="Arial" w:cs="Arial"/>
                <w:sz w:val="20"/>
                <w:szCs w:val="20"/>
              </w:rPr>
              <w:t>-</w:t>
            </w:r>
          </w:p>
        </w:tc>
        <w:tc>
          <w:tcPr>
            <w:tcW w:w="1417" w:type="dxa"/>
            <w:shd w:val="clear" w:color="auto" w:fill="auto"/>
          </w:tcPr>
          <w:p w:rsidR="00934C02" w:rsidRPr="00934C02" w:rsidRDefault="00934C02" w:rsidP="00934C02">
            <w:pPr>
              <w:tabs>
                <w:tab w:val="center" w:pos="4320"/>
                <w:tab w:val="right" w:pos="8640"/>
              </w:tabs>
              <w:spacing w:after="0" w:line="240" w:lineRule="auto"/>
              <w:jc w:val="center"/>
              <w:rPr>
                <w:rFonts w:ascii="Arial" w:eastAsia="Times New Roman" w:hAnsi="Arial" w:cs="Arial"/>
                <w:sz w:val="20"/>
                <w:szCs w:val="20"/>
              </w:rPr>
            </w:pPr>
            <w:r w:rsidRPr="00934C02">
              <w:rPr>
                <w:rFonts w:ascii="Arial" w:eastAsia="Times New Roman" w:hAnsi="Arial" w:cs="Arial"/>
                <w:sz w:val="20"/>
                <w:szCs w:val="20"/>
              </w:rPr>
              <w:t>623</w:t>
            </w:r>
          </w:p>
        </w:tc>
        <w:tc>
          <w:tcPr>
            <w:tcW w:w="1134" w:type="dxa"/>
            <w:shd w:val="clear" w:color="auto" w:fill="auto"/>
          </w:tcPr>
          <w:p w:rsidR="00934C02" w:rsidRPr="00934C02" w:rsidRDefault="00934C02" w:rsidP="00934C02">
            <w:pPr>
              <w:tabs>
                <w:tab w:val="center" w:pos="4320"/>
                <w:tab w:val="right" w:pos="8640"/>
              </w:tabs>
              <w:spacing w:after="0" w:line="240" w:lineRule="auto"/>
              <w:jc w:val="center"/>
              <w:rPr>
                <w:rFonts w:ascii="Arial" w:eastAsia="Times New Roman" w:hAnsi="Arial" w:cs="Arial"/>
                <w:sz w:val="20"/>
                <w:szCs w:val="20"/>
              </w:rPr>
            </w:pPr>
            <w:r w:rsidRPr="00934C02">
              <w:rPr>
                <w:rFonts w:ascii="Arial" w:eastAsia="Times New Roman" w:hAnsi="Arial" w:cs="Arial"/>
                <w:sz w:val="20"/>
                <w:szCs w:val="20"/>
              </w:rPr>
              <w:t>32</w:t>
            </w:r>
          </w:p>
        </w:tc>
        <w:tc>
          <w:tcPr>
            <w:tcW w:w="993" w:type="dxa"/>
            <w:shd w:val="clear" w:color="auto" w:fill="auto"/>
          </w:tcPr>
          <w:p w:rsidR="00934C02" w:rsidRPr="00934C02" w:rsidRDefault="00934C02" w:rsidP="00934C02">
            <w:pPr>
              <w:tabs>
                <w:tab w:val="center" w:pos="4320"/>
                <w:tab w:val="right" w:pos="8640"/>
              </w:tabs>
              <w:spacing w:after="0" w:line="240" w:lineRule="auto"/>
              <w:jc w:val="center"/>
              <w:rPr>
                <w:rFonts w:ascii="Arial" w:eastAsia="Times New Roman" w:hAnsi="Arial" w:cs="Arial"/>
                <w:sz w:val="20"/>
                <w:szCs w:val="20"/>
              </w:rPr>
            </w:pPr>
            <w:r w:rsidRPr="00934C02">
              <w:rPr>
                <w:rFonts w:ascii="Arial" w:eastAsia="Times New Roman" w:hAnsi="Arial" w:cs="Arial"/>
                <w:sz w:val="20"/>
                <w:szCs w:val="20"/>
              </w:rPr>
              <w:t>6.267</w:t>
            </w:r>
          </w:p>
        </w:tc>
        <w:tc>
          <w:tcPr>
            <w:tcW w:w="850" w:type="dxa"/>
            <w:shd w:val="clear" w:color="auto" w:fill="auto"/>
          </w:tcPr>
          <w:p w:rsidR="00934C02" w:rsidRPr="00934C02" w:rsidRDefault="00934C02" w:rsidP="00934C02">
            <w:pPr>
              <w:tabs>
                <w:tab w:val="center" w:pos="4320"/>
                <w:tab w:val="right" w:pos="8640"/>
              </w:tabs>
              <w:spacing w:after="0" w:line="240" w:lineRule="auto"/>
              <w:jc w:val="center"/>
              <w:rPr>
                <w:rFonts w:ascii="Arial" w:eastAsia="Times New Roman" w:hAnsi="Arial" w:cs="Arial"/>
                <w:sz w:val="20"/>
                <w:szCs w:val="20"/>
              </w:rPr>
            </w:pPr>
            <w:r w:rsidRPr="00934C02">
              <w:rPr>
                <w:rFonts w:ascii="Arial" w:eastAsia="Times New Roman" w:hAnsi="Arial" w:cs="Arial"/>
                <w:sz w:val="20"/>
                <w:szCs w:val="20"/>
              </w:rPr>
              <w:t>0,5</w:t>
            </w:r>
          </w:p>
        </w:tc>
        <w:tc>
          <w:tcPr>
            <w:tcW w:w="992" w:type="dxa"/>
            <w:shd w:val="clear" w:color="auto" w:fill="auto"/>
          </w:tcPr>
          <w:p w:rsidR="00934C02" w:rsidRPr="00934C02" w:rsidRDefault="00934C02" w:rsidP="00934C02">
            <w:pPr>
              <w:tabs>
                <w:tab w:val="center" w:pos="4320"/>
                <w:tab w:val="right" w:pos="8640"/>
              </w:tabs>
              <w:spacing w:after="0" w:line="240" w:lineRule="auto"/>
              <w:jc w:val="center"/>
              <w:rPr>
                <w:rFonts w:ascii="Arial" w:eastAsia="Times New Roman" w:hAnsi="Arial" w:cs="Arial"/>
                <w:sz w:val="20"/>
                <w:szCs w:val="20"/>
              </w:rPr>
            </w:pPr>
            <w:r w:rsidRPr="00934C02">
              <w:rPr>
                <w:rFonts w:ascii="Arial" w:eastAsia="Times New Roman" w:hAnsi="Arial" w:cs="Arial"/>
                <w:sz w:val="20"/>
                <w:szCs w:val="20"/>
              </w:rPr>
              <w:t>116,75</w:t>
            </w:r>
          </w:p>
        </w:tc>
        <w:tc>
          <w:tcPr>
            <w:tcW w:w="993" w:type="dxa"/>
            <w:shd w:val="clear" w:color="auto" w:fill="auto"/>
          </w:tcPr>
          <w:p w:rsidR="00934C02" w:rsidRPr="00934C02" w:rsidRDefault="00934C02" w:rsidP="00934C02">
            <w:pPr>
              <w:tabs>
                <w:tab w:val="center" w:pos="4320"/>
                <w:tab w:val="right" w:pos="8640"/>
              </w:tabs>
              <w:spacing w:after="0" w:line="240" w:lineRule="auto"/>
              <w:jc w:val="center"/>
              <w:rPr>
                <w:rFonts w:ascii="Arial" w:eastAsia="Times New Roman" w:hAnsi="Arial" w:cs="Arial"/>
                <w:sz w:val="20"/>
                <w:szCs w:val="20"/>
              </w:rPr>
            </w:pPr>
            <w:r w:rsidRPr="00934C02">
              <w:rPr>
                <w:rFonts w:ascii="Arial" w:eastAsia="Times New Roman" w:hAnsi="Arial" w:cs="Arial"/>
                <w:sz w:val="20"/>
                <w:szCs w:val="20"/>
              </w:rPr>
              <w:t>583,65</w:t>
            </w:r>
          </w:p>
        </w:tc>
        <w:tc>
          <w:tcPr>
            <w:tcW w:w="425" w:type="dxa"/>
            <w:shd w:val="clear" w:color="auto" w:fill="auto"/>
          </w:tcPr>
          <w:p w:rsidR="00934C02" w:rsidRPr="00934C02" w:rsidRDefault="00934C02" w:rsidP="00934C02">
            <w:pPr>
              <w:tabs>
                <w:tab w:val="center" w:pos="4320"/>
                <w:tab w:val="right" w:pos="8640"/>
              </w:tabs>
              <w:spacing w:after="0" w:line="240" w:lineRule="auto"/>
              <w:jc w:val="center"/>
              <w:rPr>
                <w:rFonts w:ascii="Arial" w:eastAsia="Times New Roman" w:hAnsi="Arial" w:cs="Arial"/>
                <w:sz w:val="20"/>
                <w:szCs w:val="20"/>
              </w:rPr>
            </w:pPr>
            <w:r w:rsidRPr="00934C02">
              <w:rPr>
                <w:rFonts w:ascii="Arial" w:eastAsia="Times New Roman" w:hAnsi="Arial" w:cs="Arial"/>
                <w:sz w:val="20"/>
                <w:szCs w:val="20"/>
              </w:rPr>
              <w:t>-</w:t>
            </w:r>
          </w:p>
        </w:tc>
      </w:tr>
      <w:tr w:rsidR="00934C02" w:rsidRPr="00934C02" w:rsidTr="00934C02">
        <w:trPr>
          <w:trHeight w:val="259"/>
        </w:trPr>
        <w:tc>
          <w:tcPr>
            <w:tcW w:w="710" w:type="dxa"/>
            <w:shd w:val="clear" w:color="auto" w:fill="auto"/>
          </w:tcPr>
          <w:p w:rsidR="00934C02" w:rsidRPr="00934C02" w:rsidRDefault="00934C02" w:rsidP="00934C02">
            <w:pPr>
              <w:tabs>
                <w:tab w:val="center" w:pos="4320"/>
                <w:tab w:val="right" w:pos="8640"/>
              </w:tabs>
              <w:spacing w:after="0" w:line="240" w:lineRule="auto"/>
              <w:jc w:val="center"/>
              <w:rPr>
                <w:rFonts w:ascii="Arial" w:eastAsia="Times New Roman" w:hAnsi="Arial" w:cs="Arial"/>
                <w:sz w:val="20"/>
                <w:szCs w:val="20"/>
              </w:rPr>
            </w:pPr>
            <w:r w:rsidRPr="00934C02">
              <w:rPr>
                <w:rFonts w:ascii="Arial" w:eastAsia="Times New Roman" w:hAnsi="Arial" w:cs="Arial"/>
                <w:sz w:val="20"/>
                <w:szCs w:val="20"/>
              </w:rPr>
              <w:t>2014</w:t>
            </w:r>
          </w:p>
        </w:tc>
        <w:tc>
          <w:tcPr>
            <w:tcW w:w="1559" w:type="dxa"/>
            <w:shd w:val="clear" w:color="auto" w:fill="auto"/>
          </w:tcPr>
          <w:p w:rsidR="00934C02" w:rsidRPr="00934C02" w:rsidRDefault="00934C02" w:rsidP="00934C02">
            <w:pPr>
              <w:tabs>
                <w:tab w:val="center" w:pos="4320"/>
                <w:tab w:val="right" w:pos="8640"/>
              </w:tabs>
              <w:spacing w:after="0" w:line="240" w:lineRule="auto"/>
              <w:jc w:val="center"/>
              <w:rPr>
                <w:rFonts w:ascii="Arial" w:eastAsia="Times New Roman" w:hAnsi="Arial" w:cs="Arial"/>
                <w:sz w:val="20"/>
                <w:szCs w:val="20"/>
              </w:rPr>
            </w:pPr>
            <w:r w:rsidRPr="00934C02">
              <w:rPr>
                <w:rFonts w:ascii="Arial" w:eastAsia="Times New Roman" w:hAnsi="Arial" w:cs="Arial"/>
                <w:sz w:val="20"/>
                <w:szCs w:val="20"/>
              </w:rPr>
              <w:t>33</w:t>
            </w:r>
          </w:p>
        </w:tc>
        <w:tc>
          <w:tcPr>
            <w:tcW w:w="1134" w:type="dxa"/>
            <w:shd w:val="clear" w:color="auto" w:fill="auto"/>
          </w:tcPr>
          <w:p w:rsidR="00934C02" w:rsidRPr="00934C02" w:rsidRDefault="00934C02" w:rsidP="00934C02">
            <w:pPr>
              <w:tabs>
                <w:tab w:val="center" w:pos="4320"/>
                <w:tab w:val="right" w:pos="8640"/>
              </w:tabs>
              <w:spacing w:after="0" w:line="240" w:lineRule="auto"/>
              <w:jc w:val="center"/>
              <w:rPr>
                <w:rFonts w:ascii="Arial" w:eastAsia="Times New Roman" w:hAnsi="Arial" w:cs="Arial"/>
                <w:sz w:val="20"/>
                <w:szCs w:val="20"/>
              </w:rPr>
            </w:pPr>
            <w:r w:rsidRPr="00934C02">
              <w:rPr>
                <w:rFonts w:ascii="Arial" w:eastAsia="Times New Roman" w:hAnsi="Arial" w:cs="Arial"/>
                <w:sz w:val="20"/>
                <w:szCs w:val="20"/>
              </w:rPr>
              <w:t>-</w:t>
            </w:r>
          </w:p>
        </w:tc>
        <w:tc>
          <w:tcPr>
            <w:tcW w:w="1417" w:type="dxa"/>
            <w:shd w:val="clear" w:color="auto" w:fill="auto"/>
          </w:tcPr>
          <w:p w:rsidR="00934C02" w:rsidRPr="00934C02" w:rsidRDefault="00934C02" w:rsidP="00934C02">
            <w:pPr>
              <w:tabs>
                <w:tab w:val="center" w:pos="4320"/>
                <w:tab w:val="right" w:pos="8640"/>
              </w:tabs>
              <w:spacing w:after="0" w:line="240" w:lineRule="auto"/>
              <w:jc w:val="center"/>
              <w:rPr>
                <w:rFonts w:ascii="Arial" w:eastAsia="Times New Roman" w:hAnsi="Arial" w:cs="Arial"/>
                <w:sz w:val="20"/>
                <w:szCs w:val="20"/>
              </w:rPr>
            </w:pPr>
            <w:r w:rsidRPr="00934C02">
              <w:rPr>
                <w:rFonts w:ascii="Arial" w:eastAsia="Times New Roman" w:hAnsi="Arial" w:cs="Arial"/>
                <w:sz w:val="20"/>
                <w:szCs w:val="20"/>
              </w:rPr>
              <w:t>43</w:t>
            </w:r>
          </w:p>
        </w:tc>
        <w:tc>
          <w:tcPr>
            <w:tcW w:w="1134" w:type="dxa"/>
            <w:shd w:val="clear" w:color="auto" w:fill="auto"/>
          </w:tcPr>
          <w:p w:rsidR="00934C02" w:rsidRPr="00934C02" w:rsidRDefault="00934C02" w:rsidP="00934C02">
            <w:pPr>
              <w:tabs>
                <w:tab w:val="center" w:pos="4320"/>
                <w:tab w:val="right" w:pos="8640"/>
              </w:tabs>
              <w:spacing w:after="0" w:line="240" w:lineRule="auto"/>
              <w:jc w:val="center"/>
              <w:rPr>
                <w:rFonts w:ascii="Arial" w:eastAsia="Times New Roman" w:hAnsi="Arial" w:cs="Arial"/>
                <w:sz w:val="20"/>
                <w:szCs w:val="20"/>
              </w:rPr>
            </w:pPr>
            <w:r w:rsidRPr="00934C02">
              <w:rPr>
                <w:rFonts w:ascii="Arial" w:eastAsia="Times New Roman" w:hAnsi="Arial" w:cs="Arial"/>
                <w:sz w:val="20"/>
                <w:szCs w:val="20"/>
              </w:rPr>
              <w:t>-</w:t>
            </w:r>
          </w:p>
        </w:tc>
        <w:tc>
          <w:tcPr>
            <w:tcW w:w="993" w:type="dxa"/>
            <w:shd w:val="clear" w:color="auto" w:fill="auto"/>
          </w:tcPr>
          <w:p w:rsidR="00934C02" w:rsidRPr="00934C02" w:rsidRDefault="00934C02" w:rsidP="00934C02">
            <w:pPr>
              <w:tabs>
                <w:tab w:val="center" w:pos="4320"/>
                <w:tab w:val="right" w:pos="8640"/>
              </w:tabs>
              <w:spacing w:after="0" w:line="240" w:lineRule="auto"/>
              <w:jc w:val="center"/>
              <w:rPr>
                <w:rFonts w:ascii="Arial" w:eastAsia="Times New Roman" w:hAnsi="Arial" w:cs="Arial"/>
                <w:sz w:val="20"/>
                <w:szCs w:val="20"/>
              </w:rPr>
            </w:pPr>
            <w:r w:rsidRPr="00934C02">
              <w:rPr>
                <w:rFonts w:ascii="Arial" w:eastAsia="Times New Roman" w:hAnsi="Arial" w:cs="Arial"/>
                <w:sz w:val="20"/>
                <w:szCs w:val="20"/>
              </w:rPr>
              <w:t>1018</w:t>
            </w:r>
          </w:p>
        </w:tc>
        <w:tc>
          <w:tcPr>
            <w:tcW w:w="850" w:type="dxa"/>
            <w:shd w:val="clear" w:color="auto" w:fill="auto"/>
          </w:tcPr>
          <w:p w:rsidR="00934C02" w:rsidRPr="00934C02" w:rsidRDefault="00934C02" w:rsidP="00934C02">
            <w:pPr>
              <w:tabs>
                <w:tab w:val="center" w:pos="4320"/>
                <w:tab w:val="right" w:pos="8640"/>
              </w:tabs>
              <w:spacing w:after="0" w:line="240" w:lineRule="auto"/>
              <w:jc w:val="center"/>
              <w:rPr>
                <w:rFonts w:ascii="Arial" w:eastAsia="Times New Roman" w:hAnsi="Arial" w:cs="Arial"/>
                <w:sz w:val="20"/>
                <w:szCs w:val="20"/>
              </w:rPr>
            </w:pPr>
            <w:r w:rsidRPr="00934C02">
              <w:rPr>
                <w:rFonts w:ascii="Arial" w:eastAsia="Times New Roman" w:hAnsi="Arial" w:cs="Arial"/>
                <w:sz w:val="20"/>
                <w:szCs w:val="20"/>
              </w:rPr>
              <w:t>-</w:t>
            </w:r>
          </w:p>
        </w:tc>
        <w:tc>
          <w:tcPr>
            <w:tcW w:w="992" w:type="dxa"/>
            <w:shd w:val="clear" w:color="auto" w:fill="auto"/>
          </w:tcPr>
          <w:p w:rsidR="00934C02" w:rsidRPr="00934C02" w:rsidRDefault="00934C02" w:rsidP="00934C02">
            <w:pPr>
              <w:tabs>
                <w:tab w:val="center" w:pos="4320"/>
                <w:tab w:val="right" w:pos="8640"/>
              </w:tabs>
              <w:spacing w:after="0" w:line="240" w:lineRule="auto"/>
              <w:jc w:val="center"/>
              <w:rPr>
                <w:rFonts w:ascii="Arial" w:eastAsia="Times New Roman" w:hAnsi="Arial" w:cs="Arial"/>
                <w:sz w:val="20"/>
                <w:szCs w:val="20"/>
              </w:rPr>
            </w:pPr>
            <w:r w:rsidRPr="00934C02">
              <w:rPr>
                <w:rFonts w:ascii="Arial" w:eastAsia="Times New Roman" w:hAnsi="Arial" w:cs="Arial"/>
                <w:sz w:val="20"/>
                <w:szCs w:val="20"/>
              </w:rPr>
              <w:t>34</w:t>
            </w:r>
          </w:p>
        </w:tc>
        <w:tc>
          <w:tcPr>
            <w:tcW w:w="993" w:type="dxa"/>
            <w:shd w:val="clear" w:color="auto" w:fill="auto"/>
          </w:tcPr>
          <w:p w:rsidR="00934C02" w:rsidRPr="00934C02" w:rsidRDefault="00934C02" w:rsidP="00934C02">
            <w:pPr>
              <w:tabs>
                <w:tab w:val="center" w:pos="4320"/>
                <w:tab w:val="right" w:pos="8640"/>
              </w:tabs>
              <w:spacing w:after="0" w:line="240" w:lineRule="auto"/>
              <w:jc w:val="center"/>
              <w:rPr>
                <w:rFonts w:ascii="Arial" w:eastAsia="Times New Roman" w:hAnsi="Arial" w:cs="Arial"/>
                <w:sz w:val="20"/>
                <w:szCs w:val="20"/>
              </w:rPr>
            </w:pPr>
            <w:r w:rsidRPr="00934C02">
              <w:rPr>
                <w:rFonts w:ascii="Arial" w:eastAsia="Times New Roman" w:hAnsi="Arial" w:cs="Arial"/>
                <w:sz w:val="20"/>
                <w:szCs w:val="20"/>
              </w:rPr>
              <w:t>272,53</w:t>
            </w:r>
          </w:p>
        </w:tc>
        <w:tc>
          <w:tcPr>
            <w:tcW w:w="425" w:type="dxa"/>
            <w:shd w:val="clear" w:color="auto" w:fill="auto"/>
          </w:tcPr>
          <w:p w:rsidR="00934C02" w:rsidRPr="00934C02" w:rsidRDefault="00934C02" w:rsidP="00934C02">
            <w:pPr>
              <w:tabs>
                <w:tab w:val="center" w:pos="4320"/>
                <w:tab w:val="right" w:pos="8640"/>
              </w:tabs>
              <w:spacing w:after="0" w:line="240" w:lineRule="auto"/>
              <w:jc w:val="center"/>
              <w:rPr>
                <w:rFonts w:ascii="Arial" w:eastAsia="Times New Roman" w:hAnsi="Arial" w:cs="Arial"/>
                <w:sz w:val="20"/>
                <w:szCs w:val="20"/>
              </w:rPr>
            </w:pPr>
            <w:r w:rsidRPr="00934C02">
              <w:rPr>
                <w:rFonts w:ascii="Arial" w:eastAsia="Times New Roman" w:hAnsi="Arial" w:cs="Arial"/>
                <w:sz w:val="20"/>
                <w:szCs w:val="20"/>
              </w:rPr>
              <w:t>-</w:t>
            </w:r>
          </w:p>
        </w:tc>
      </w:tr>
      <w:tr w:rsidR="00934C02" w:rsidRPr="00934C02" w:rsidTr="00934C02">
        <w:trPr>
          <w:trHeight w:val="259"/>
        </w:trPr>
        <w:tc>
          <w:tcPr>
            <w:tcW w:w="710" w:type="dxa"/>
            <w:shd w:val="clear" w:color="auto" w:fill="auto"/>
          </w:tcPr>
          <w:p w:rsidR="00934C02" w:rsidRPr="00934C02" w:rsidRDefault="00934C02" w:rsidP="00934C02">
            <w:pPr>
              <w:tabs>
                <w:tab w:val="center" w:pos="4320"/>
                <w:tab w:val="right" w:pos="8640"/>
              </w:tabs>
              <w:spacing w:after="0" w:line="240" w:lineRule="auto"/>
              <w:jc w:val="center"/>
              <w:rPr>
                <w:rFonts w:ascii="Arial" w:eastAsia="Times New Roman" w:hAnsi="Arial" w:cs="Arial"/>
                <w:sz w:val="20"/>
                <w:szCs w:val="20"/>
              </w:rPr>
            </w:pPr>
            <w:r w:rsidRPr="00934C02">
              <w:rPr>
                <w:rFonts w:ascii="Arial" w:eastAsia="Times New Roman" w:hAnsi="Arial" w:cs="Arial"/>
                <w:sz w:val="20"/>
                <w:szCs w:val="20"/>
              </w:rPr>
              <w:t>2015</w:t>
            </w:r>
          </w:p>
        </w:tc>
        <w:tc>
          <w:tcPr>
            <w:tcW w:w="1559" w:type="dxa"/>
            <w:shd w:val="clear" w:color="auto" w:fill="auto"/>
          </w:tcPr>
          <w:p w:rsidR="00934C02" w:rsidRPr="00934C02" w:rsidRDefault="00934C02" w:rsidP="00934C02">
            <w:pPr>
              <w:tabs>
                <w:tab w:val="center" w:pos="4320"/>
                <w:tab w:val="right" w:pos="8640"/>
              </w:tabs>
              <w:spacing w:after="0" w:line="240" w:lineRule="auto"/>
              <w:jc w:val="center"/>
              <w:rPr>
                <w:rFonts w:ascii="Arial" w:eastAsia="Times New Roman" w:hAnsi="Arial" w:cs="Arial"/>
                <w:sz w:val="20"/>
                <w:szCs w:val="20"/>
              </w:rPr>
            </w:pPr>
            <w:r w:rsidRPr="00934C02">
              <w:rPr>
                <w:rFonts w:ascii="Arial" w:eastAsia="Times New Roman" w:hAnsi="Arial" w:cs="Arial"/>
                <w:sz w:val="20"/>
                <w:szCs w:val="20"/>
              </w:rPr>
              <w:t>33</w:t>
            </w:r>
          </w:p>
        </w:tc>
        <w:tc>
          <w:tcPr>
            <w:tcW w:w="1134" w:type="dxa"/>
            <w:shd w:val="clear" w:color="auto" w:fill="auto"/>
          </w:tcPr>
          <w:p w:rsidR="00934C02" w:rsidRPr="00934C02" w:rsidRDefault="00934C02" w:rsidP="00934C02">
            <w:pPr>
              <w:tabs>
                <w:tab w:val="center" w:pos="4320"/>
                <w:tab w:val="right" w:pos="8640"/>
              </w:tabs>
              <w:spacing w:after="0" w:line="240" w:lineRule="auto"/>
              <w:jc w:val="center"/>
              <w:rPr>
                <w:rFonts w:ascii="Arial" w:eastAsia="Times New Roman" w:hAnsi="Arial" w:cs="Arial"/>
                <w:sz w:val="20"/>
                <w:szCs w:val="20"/>
              </w:rPr>
            </w:pPr>
            <w:r w:rsidRPr="00934C02">
              <w:rPr>
                <w:rFonts w:ascii="Arial" w:eastAsia="Times New Roman" w:hAnsi="Arial" w:cs="Arial"/>
                <w:sz w:val="20"/>
                <w:szCs w:val="20"/>
              </w:rPr>
              <w:t>-</w:t>
            </w:r>
          </w:p>
        </w:tc>
        <w:tc>
          <w:tcPr>
            <w:tcW w:w="1417" w:type="dxa"/>
            <w:shd w:val="clear" w:color="auto" w:fill="auto"/>
          </w:tcPr>
          <w:p w:rsidR="00934C02" w:rsidRPr="00934C02" w:rsidRDefault="00934C02" w:rsidP="00934C02">
            <w:pPr>
              <w:tabs>
                <w:tab w:val="center" w:pos="4320"/>
                <w:tab w:val="right" w:pos="8640"/>
              </w:tabs>
              <w:spacing w:after="0" w:line="240" w:lineRule="auto"/>
              <w:jc w:val="center"/>
              <w:rPr>
                <w:rFonts w:ascii="Arial" w:eastAsia="Times New Roman" w:hAnsi="Arial" w:cs="Arial"/>
                <w:sz w:val="20"/>
                <w:szCs w:val="20"/>
              </w:rPr>
            </w:pPr>
            <w:r w:rsidRPr="00934C02">
              <w:rPr>
                <w:rFonts w:ascii="Arial" w:eastAsia="Times New Roman" w:hAnsi="Arial" w:cs="Arial"/>
                <w:sz w:val="20"/>
                <w:szCs w:val="20"/>
              </w:rPr>
              <w:t>296</w:t>
            </w:r>
          </w:p>
        </w:tc>
        <w:tc>
          <w:tcPr>
            <w:tcW w:w="1134" w:type="dxa"/>
            <w:shd w:val="clear" w:color="auto" w:fill="auto"/>
          </w:tcPr>
          <w:p w:rsidR="00934C02" w:rsidRPr="00934C02" w:rsidRDefault="00934C02" w:rsidP="00934C02">
            <w:pPr>
              <w:tabs>
                <w:tab w:val="center" w:pos="4320"/>
                <w:tab w:val="right" w:pos="8640"/>
              </w:tabs>
              <w:spacing w:after="0" w:line="240" w:lineRule="auto"/>
              <w:jc w:val="center"/>
              <w:rPr>
                <w:rFonts w:ascii="Arial" w:eastAsia="Times New Roman" w:hAnsi="Arial" w:cs="Arial"/>
                <w:sz w:val="20"/>
                <w:szCs w:val="20"/>
              </w:rPr>
            </w:pPr>
            <w:r w:rsidRPr="00934C02">
              <w:rPr>
                <w:rFonts w:ascii="Arial" w:eastAsia="Times New Roman" w:hAnsi="Arial" w:cs="Arial"/>
                <w:sz w:val="20"/>
                <w:szCs w:val="20"/>
              </w:rPr>
              <w:t>1</w:t>
            </w:r>
          </w:p>
        </w:tc>
        <w:tc>
          <w:tcPr>
            <w:tcW w:w="993" w:type="dxa"/>
            <w:shd w:val="clear" w:color="auto" w:fill="auto"/>
          </w:tcPr>
          <w:p w:rsidR="00934C02" w:rsidRPr="00934C02" w:rsidRDefault="00934C02" w:rsidP="00934C02">
            <w:pPr>
              <w:tabs>
                <w:tab w:val="center" w:pos="4320"/>
                <w:tab w:val="right" w:pos="8640"/>
              </w:tabs>
              <w:spacing w:after="0" w:line="240" w:lineRule="auto"/>
              <w:jc w:val="center"/>
              <w:rPr>
                <w:rFonts w:ascii="Arial" w:eastAsia="Times New Roman" w:hAnsi="Arial" w:cs="Arial"/>
                <w:sz w:val="20"/>
                <w:szCs w:val="20"/>
              </w:rPr>
            </w:pPr>
            <w:r w:rsidRPr="00934C02">
              <w:rPr>
                <w:rFonts w:ascii="Arial" w:eastAsia="Times New Roman" w:hAnsi="Arial" w:cs="Arial"/>
                <w:sz w:val="20"/>
                <w:szCs w:val="20"/>
              </w:rPr>
              <w:t>243</w:t>
            </w:r>
          </w:p>
        </w:tc>
        <w:tc>
          <w:tcPr>
            <w:tcW w:w="850" w:type="dxa"/>
            <w:shd w:val="clear" w:color="auto" w:fill="auto"/>
          </w:tcPr>
          <w:p w:rsidR="00934C02" w:rsidRPr="00934C02" w:rsidRDefault="00934C02" w:rsidP="00934C02">
            <w:pPr>
              <w:tabs>
                <w:tab w:val="center" w:pos="4320"/>
                <w:tab w:val="right" w:pos="8640"/>
              </w:tabs>
              <w:spacing w:after="0" w:line="240" w:lineRule="auto"/>
              <w:jc w:val="center"/>
              <w:rPr>
                <w:rFonts w:ascii="Arial" w:eastAsia="Times New Roman" w:hAnsi="Arial" w:cs="Arial"/>
                <w:sz w:val="20"/>
                <w:szCs w:val="20"/>
              </w:rPr>
            </w:pPr>
            <w:r w:rsidRPr="00934C02">
              <w:rPr>
                <w:rFonts w:ascii="Arial" w:eastAsia="Times New Roman" w:hAnsi="Arial" w:cs="Arial"/>
                <w:sz w:val="20"/>
                <w:szCs w:val="20"/>
              </w:rPr>
              <w:t>-</w:t>
            </w:r>
          </w:p>
        </w:tc>
        <w:tc>
          <w:tcPr>
            <w:tcW w:w="992" w:type="dxa"/>
            <w:shd w:val="clear" w:color="auto" w:fill="auto"/>
          </w:tcPr>
          <w:p w:rsidR="00934C02" w:rsidRPr="00934C02" w:rsidRDefault="00934C02" w:rsidP="00934C02">
            <w:pPr>
              <w:tabs>
                <w:tab w:val="center" w:pos="4320"/>
                <w:tab w:val="right" w:pos="8640"/>
              </w:tabs>
              <w:spacing w:after="0" w:line="240" w:lineRule="auto"/>
              <w:jc w:val="center"/>
              <w:rPr>
                <w:rFonts w:ascii="Arial" w:eastAsia="Times New Roman" w:hAnsi="Arial" w:cs="Arial"/>
                <w:sz w:val="20"/>
                <w:szCs w:val="20"/>
              </w:rPr>
            </w:pPr>
            <w:r w:rsidRPr="00934C02">
              <w:rPr>
                <w:rFonts w:ascii="Arial" w:eastAsia="Times New Roman" w:hAnsi="Arial" w:cs="Arial"/>
                <w:sz w:val="20"/>
                <w:szCs w:val="20"/>
              </w:rPr>
              <w:t>9,2</w:t>
            </w:r>
          </w:p>
        </w:tc>
        <w:tc>
          <w:tcPr>
            <w:tcW w:w="993" w:type="dxa"/>
            <w:shd w:val="clear" w:color="auto" w:fill="auto"/>
          </w:tcPr>
          <w:p w:rsidR="00934C02" w:rsidRPr="00934C02" w:rsidRDefault="00934C02" w:rsidP="00934C02">
            <w:pPr>
              <w:tabs>
                <w:tab w:val="center" w:pos="4320"/>
                <w:tab w:val="right" w:pos="8640"/>
              </w:tabs>
              <w:spacing w:after="0" w:line="240" w:lineRule="auto"/>
              <w:jc w:val="center"/>
              <w:rPr>
                <w:rFonts w:ascii="Arial" w:eastAsia="Times New Roman" w:hAnsi="Arial" w:cs="Arial"/>
                <w:sz w:val="20"/>
                <w:szCs w:val="20"/>
              </w:rPr>
            </w:pPr>
            <w:r w:rsidRPr="00934C02">
              <w:rPr>
                <w:rFonts w:ascii="Arial" w:eastAsia="Times New Roman" w:hAnsi="Arial" w:cs="Arial"/>
                <w:sz w:val="20"/>
                <w:szCs w:val="20"/>
              </w:rPr>
              <w:t>37,3</w:t>
            </w:r>
          </w:p>
        </w:tc>
        <w:tc>
          <w:tcPr>
            <w:tcW w:w="425" w:type="dxa"/>
            <w:shd w:val="clear" w:color="auto" w:fill="auto"/>
          </w:tcPr>
          <w:p w:rsidR="00934C02" w:rsidRPr="00934C02" w:rsidRDefault="00934C02" w:rsidP="00934C02">
            <w:pPr>
              <w:tabs>
                <w:tab w:val="center" w:pos="4320"/>
                <w:tab w:val="right" w:pos="8640"/>
              </w:tabs>
              <w:spacing w:after="0" w:line="240" w:lineRule="auto"/>
              <w:jc w:val="center"/>
              <w:rPr>
                <w:rFonts w:ascii="Arial" w:eastAsia="Times New Roman" w:hAnsi="Arial" w:cs="Arial"/>
                <w:sz w:val="20"/>
                <w:szCs w:val="20"/>
              </w:rPr>
            </w:pPr>
            <w:r w:rsidRPr="00934C02">
              <w:rPr>
                <w:rFonts w:ascii="Arial" w:eastAsia="Times New Roman" w:hAnsi="Arial" w:cs="Arial"/>
                <w:sz w:val="20"/>
                <w:szCs w:val="20"/>
              </w:rPr>
              <w:t>-</w:t>
            </w:r>
          </w:p>
        </w:tc>
      </w:tr>
    </w:tbl>
    <w:p w:rsidR="00934C02" w:rsidRPr="00934C02" w:rsidRDefault="00934C02" w:rsidP="00934C02">
      <w:pPr>
        <w:spacing w:after="0" w:line="240" w:lineRule="auto"/>
        <w:jc w:val="both"/>
        <w:rPr>
          <w:rFonts w:ascii="Arial" w:eastAsia="SimSun" w:hAnsi="Arial" w:cs="Arial"/>
          <w:sz w:val="20"/>
          <w:szCs w:val="20"/>
          <w:lang w:val="ro-RO"/>
        </w:rPr>
      </w:pPr>
      <w:r w:rsidRPr="00934C02">
        <w:rPr>
          <w:rFonts w:ascii="Arial" w:eastAsia="SimSun" w:hAnsi="Arial" w:cs="Arial"/>
          <w:sz w:val="20"/>
          <w:szCs w:val="20"/>
          <w:lang w:val="ro-RO"/>
        </w:rPr>
        <w:t xml:space="preserve">(Sursa: Inspectoratul pentru Situaţii de Urgenţă </w:t>
      </w:r>
      <w:r w:rsidRPr="00934C02">
        <w:rPr>
          <w:rFonts w:ascii="Arial" w:eastAsia="SimSun" w:hAnsi="Arial" w:cs="Arial"/>
          <w:sz w:val="20"/>
          <w:szCs w:val="20"/>
        </w:rPr>
        <w:t>“</w:t>
      </w:r>
      <w:r w:rsidRPr="00934C02">
        <w:rPr>
          <w:rFonts w:ascii="Arial" w:eastAsia="SimSun" w:hAnsi="Arial" w:cs="Arial"/>
          <w:sz w:val="20"/>
          <w:szCs w:val="20"/>
          <w:lang w:val="ro-RO"/>
        </w:rPr>
        <w:t>Podul Înalt” al judeţului Vaslui)</w:t>
      </w:r>
    </w:p>
    <w:p w:rsidR="00934C02" w:rsidRPr="00934C02" w:rsidRDefault="00934C02" w:rsidP="00934C02">
      <w:pPr>
        <w:spacing w:after="0" w:line="240" w:lineRule="auto"/>
        <w:jc w:val="both"/>
        <w:rPr>
          <w:rFonts w:ascii="Arial" w:eastAsia="SimSun" w:hAnsi="Arial" w:cs="Arial"/>
          <w:sz w:val="20"/>
          <w:szCs w:val="20"/>
          <w:lang w:val="ro-RO"/>
        </w:rPr>
      </w:pPr>
    </w:p>
    <w:p w:rsidR="00934C02" w:rsidRPr="00934C02" w:rsidRDefault="00934C02" w:rsidP="00934C02">
      <w:pPr>
        <w:spacing w:after="0" w:line="240" w:lineRule="auto"/>
        <w:jc w:val="both"/>
        <w:rPr>
          <w:rFonts w:ascii="Arial" w:eastAsia="SimSun" w:hAnsi="Arial" w:cs="Arial"/>
          <w:sz w:val="24"/>
          <w:szCs w:val="24"/>
          <w:lang w:val="en-GB"/>
        </w:rPr>
      </w:pPr>
      <w:r w:rsidRPr="00934C02">
        <w:rPr>
          <w:rFonts w:ascii="Arial" w:eastAsia="SimSun" w:hAnsi="Arial" w:cs="Arial"/>
          <w:sz w:val="24"/>
          <w:szCs w:val="24"/>
          <w:lang w:val="en-GB"/>
        </w:rPr>
        <w:t>Ținând cont de prognoze, adaptarea la schimbările climatice va fi un element important în politica României privind schimbările climatice şi în dezvoltarea ţării în general. Deoarece fenomenele meteo- hidrologice extreme care s-au produs în ultimul deceniu au provocat numeroase inundaţii, sunt considerate de specialişti ca fiind rezultatul schimbărilor climatice, politica şi măsurile de adaptare vor fi abordate cu o responsabilitate crescută în viitor.</w:t>
      </w:r>
    </w:p>
    <w:p w:rsidR="00934C02" w:rsidRPr="00934C02" w:rsidRDefault="00934C02" w:rsidP="00934C02">
      <w:pPr>
        <w:keepNext/>
        <w:spacing w:after="0" w:line="240" w:lineRule="auto"/>
        <w:jc w:val="both"/>
        <w:outlineLvl w:val="3"/>
        <w:rPr>
          <w:rFonts w:ascii="Times New Roman" w:eastAsia="SimSun" w:hAnsi="Times New Roman" w:cs="Times New Roman"/>
          <w:sz w:val="23"/>
          <w:szCs w:val="23"/>
          <w:lang w:val="en-GB"/>
        </w:rPr>
      </w:pPr>
    </w:p>
    <w:p w:rsidR="00934C02" w:rsidRPr="00934C02" w:rsidRDefault="00934C02" w:rsidP="00934C02">
      <w:pPr>
        <w:keepNext/>
        <w:spacing w:after="0" w:line="240" w:lineRule="auto"/>
        <w:jc w:val="both"/>
        <w:outlineLvl w:val="3"/>
        <w:rPr>
          <w:rFonts w:ascii="Arial" w:eastAsia="Times New Roman" w:hAnsi="Arial" w:cs="Arial"/>
          <w:sz w:val="24"/>
          <w:szCs w:val="24"/>
          <w:lang w:val="ro-RO"/>
        </w:rPr>
      </w:pPr>
      <w:r w:rsidRPr="00934C02">
        <w:rPr>
          <w:rFonts w:ascii="Arial" w:eastAsia="Times New Roman" w:hAnsi="Arial" w:cs="Arial"/>
          <w:sz w:val="24"/>
          <w:szCs w:val="24"/>
        </w:rPr>
        <w:t>Tabelul VIII.17.</w:t>
      </w:r>
      <w:r w:rsidRPr="00934C02">
        <w:rPr>
          <w:rFonts w:ascii="Arial" w:eastAsia="Times New Roman" w:hAnsi="Arial" w:cs="Arial"/>
          <w:bCs/>
          <w:sz w:val="24"/>
          <w:szCs w:val="24"/>
          <w:lang w:val="it-IT"/>
        </w:rPr>
        <w:t xml:space="preserve"> </w:t>
      </w:r>
      <w:r w:rsidRPr="00934C02">
        <w:rPr>
          <w:rFonts w:ascii="Arial" w:eastAsia="Times New Roman" w:hAnsi="Arial" w:cs="Arial"/>
          <w:sz w:val="24"/>
          <w:szCs w:val="24"/>
        </w:rPr>
        <w:t>Cantităti lunare de precipitaţii, în ultimii cinci ani</w:t>
      </w:r>
      <w:r w:rsidRPr="00934C02">
        <w:rPr>
          <w:rFonts w:ascii="Arial" w:eastAsia="Times New Roman" w:hAnsi="Arial" w:cs="Arial"/>
          <w:bCs/>
          <w:sz w:val="24"/>
          <w:szCs w:val="24"/>
          <w:lang w:val="ro-RO"/>
        </w:rPr>
        <w:t xml:space="preserve"> </w:t>
      </w:r>
      <w:r w:rsidRPr="00934C02">
        <w:rPr>
          <w:rFonts w:ascii="Arial" w:eastAsia="SimSun" w:hAnsi="Arial" w:cs="Arial"/>
          <w:sz w:val="24"/>
          <w:szCs w:val="24"/>
          <w:lang w:val="en-GB"/>
        </w:rPr>
        <w:t>(l/mp)</w:t>
      </w:r>
      <w:r w:rsidRPr="00934C02">
        <w:rPr>
          <w:rFonts w:ascii="Arial" w:eastAsia="Times New Roman" w:hAnsi="Arial" w:cs="Arial"/>
          <w:bCs/>
          <w:sz w:val="24"/>
          <w:szCs w:val="24"/>
          <w:lang w:val="ro-RO"/>
        </w:rPr>
        <w:t xml:space="preserve"> </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709"/>
        <w:gridCol w:w="708"/>
        <w:gridCol w:w="709"/>
        <w:gridCol w:w="851"/>
        <w:gridCol w:w="850"/>
        <w:gridCol w:w="851"/>
        <w:gridCol w:w="850"/>
        <w:gridCol w:w="709"/>
        <w:gridCol w:w="709"/>
        <w:gridCol w:w="708"/>
        <w:gridCol w:w="851"/>
        <w:gridCol w:w="850"/>
      </w:tblGrid>
      <w:tr w:rsidR="00934C02" w:rsidRPr="00934C02" w:rsidTr="00934C02">
        <w:trPr>
          <w:trHeight w:val="425"/>
        </w:trPr>
        <w:tc>
          <w:tcPr>
            <w:tcW w:w="1277" w:type="dxa"/>
            <w:tcBorders>
              <w:tl2br w:val="single" w:sz="4" w:space="0" w:color="auto"/>
            </w:tcBorders>
            <w:shd w:val="clear" w:color="auto" w:fill="auto"/>
          </w:tcPr>
          <w:p w:rsidR="00934C02" w:rsidRPr="00934C02" w:rsidRDefault="00934C02" w:rsidP="00934C02">
            <w:pPr>
              <w:tabs>
                <w:tab w:val="left" w:pos="685"/>
              </w:tabs>
              <w:spacing w:after="0" w:line="240" w:lineRule="auto"/>
              <w:jc w:val="both"/>
              <w:rPr>
                <w:rFonts w:ascii="Arial" w:eastAsia="SimSun" w:hAnsi="Arial" w:cs="Arial"/>
                <w:b/>
                <w:sz w:val="24"/>
                <w:szCs w:val="24"/>
                <w:lang w:val="ro-RO"/>
              </w:rPr>
            </w:pPr>
            <w:r w:rsidRPr="00934C02">
              <w:rPr>
                <w:rFonts w:ascii="Arial" w:eastAsia="SimSun" w:hAnsi="Arial" w:cs="Arial"/>
                <w:b/>
                <w:sz w:val="24"/>
                <w:szCs w:val="24"/>
                <w:lang w:val="ro-RO"/>
              </w:rPr>
              <w:t xml:space="preserve">       Luna</w:t>
            </w:r>
          </w:p>
          <w:p w:rsidR="00934C02" w:rsidRPr="00934C02" w:rsidRDefault="00934C02" w:rsidP="00934C02">
            <w:pPr>
              <w:spacing w:after="0" w:line="240" w:lineRule="auto"/>
              <w:jc w:val="both"/>
              <w:rPr>
                <w:rFonts w:ascii="Arial" w:eastAsia="SimSun" w:hAnsi="Arial" w:cs="Arial"/>
                <w:b/>
                <w:sz w:val="24"/>
                <w:szCs w:val="24"/>
                <w:lang w:val="ro-RO"/>
              </w:rPr>
            </w:pPr>
            <w:r w:rsidRPr="00934C02">
              <w:rPr>
                <w:rFonts w:ascii="Arial" w:eastAsia="SimSun" w:hAnsi="Arial" w:cs="Arial"/>
                <w:b/>
                <w:sz w:val="24"/>
                <w:szCs w:val="24"/>
                <w:lang w:val="ro-RO"/>
              </w:rPr>
              <w:t>Anul</w:t>
            </w:r>
          </w:p>
        </w:tc>
        <w:tc>
          <w:tcPr>
            <w:tcW w:w="709" w:type="dxa"/>
            <w:shd w:val="clear" w:color="auto" w:fill="auto"/>
          </w:tcPr>
          <w:p w:rsidR="00934C02" w:rsidRPr="00934C02" w:rsidRDefault="00934C02" w:rsidP="00934C02">
            <w:pPr>
              <w:spacing w:after="0" w:line="240" w:lineRule="auto"/>
              <w:jc w:val="both"/>
              <w:rPr>
                <w:rFonts w:ascii="Arial" w:eastAsia="SimSun" w:hAnsi="Arial" w:cs="Arial"/>
                <w:b/>
                <w:sz w:val="24"/>
                <w:szCs w:val="24"/>
                <w:lang w:val="ro-RO"/>
              </w:rPr>
            </w:pPr>
            <w:r w:rsidRPr="00934C02">
              <w:rPr>
                <w:rFonts w:ascii="Arial" w:eastAsia="SimSun" w:hAnsi="Arial" w:cs="Arial"/>
                <w:b/>
                <w:sz w:val="24"/>
                <w:szCs w:val="24"/>
                <w:lang w:val="ro-RO"/>
              </w:rPr>
              <w:t>I</w:t>
            </w:r>
          </w:p>
        </w:tc>
        <w:tc>
          <w:tcPr>
            <w:tcW w:w="708" w:type="dxa"/>
            <w:shd w:val="clear" w:color="auto" w:fill="auto"/>
          </w:tcPr>
          <w:p w:rsidR="00934C02" w:rsidRPr="00934C02" w:rsidRDefault="00934C02" w:rsidP="00934C02">
            <w:pPr>
              <w:spacing w:after="0" w:line="240" w:lineRule="auto"/>
              <w:jc w:val="both"/>
              <w:rPr>
                <w:rFonts w:ascii="Arial" w:eastAsia="SimSun" w:hAnsi="Arial" w:cs="Arial"/>
                <w:b/>
                <w:sz w:val="24"/>
                <w:szCs w:val="24"/>
                <w:lang w:val="ro-RO"/>
              </w:rPr>
            </w:pPr>
            <w:r w:rsidRPr="00934C02">
              <w:rPr>
                <w:rFonts w:ascii="Arial" w:eastAsia="SimSun" w:hAnsi="Arial" w:cs="Arial"/>
                <w:b/>
                <w:sz w:val="24"/>
                <w:szCs w:val="24"/>
                <w:lang w:val="ro-RO"/>
              </w:rPr>
              <w:t>II</w:t>
            </w:r>
          </w:p>
        </w:tc>
        <w:tc>
          <w:tcPr>
            <w:tcW w:w="709" w:type="dxa"/>
            <w:shd w:val="clear" w:color="auto" w:fill="auto"/>
          </w:tcPr>
          <w:p w:rsidR="00934C02" w:rsidRPr="00934C02" w:rsidRDefault="00934C02" w:rsidP="00934C02">
            <w:pPr>
              <w:spacing w:after="0" w:line="240" w:lineRule="auto"/>
              <w:jc w:val="both"/>
              <w:rPr>
                <w:rFonts w:ascii="Arial" w:eastAsia="SimSun" w:hAnsi="Arial" w:cs="Arial"/>
                <w:b/>
                <w:sz w:val="24"/>
                <w:szCs w:val="24"/>
                <w:lang w:val="ro-RO"/>
              </w:rPr>
            </w:pPr>
            <w:r w:rsidRPr="00934C02">
              <w:rPr>
                <w:rFonts w:ascii="Arial" w:eastAsia="SimSun" w:hAnsi="Arial" w:cs="Arial"/>
                <w:b/>
                <w:sz w:val="24"/>
                <w:szCs w:val="24"/>
                <w:lang w:val="ro-RO"/>
              </w:rPr>
              <w:t>III</w:t>
            </w:r>
          </w:p>
        </w:tc>
        <w:tc>
          <w:tcPr>
            <w:tcW w:w="851" w:type="dxa"/>
            <w:shd w:val="clear" w:color="auto" w:fill="auto"/>
          </w:tcPr>
          <w:p w:rsidR="00934C02" w:rsidRPr="00934C02" w:rsidRDefault="00934C02" w:rsidP="00934C02">
            <w:pPr>
              <w:spacing w:after="0" w:line="240" w:lineRule="auto"/>
              <w:jc w:val="both"/>
              <w:rPr>
                <w:rFonts w:ascii="Arial" w:eastAsia="SimSun" w:hAnsi="Arial" w:cs="Arial"/>
                <w:b/>
                <w:sz w:val="24"/>
                <w:szCs w:val="24"/>
                <w:lang w:val="ro-RO"/>
              </w:rPr>
            </w:pPr>
            <w:r w:rsidRPr="00934C02">
              <w:rPr>
                <w:rFonts w:ascii="Arial" w:eastAsia="SimSun" w:hAnsi="Arial" w:cs="Arial"/>
                <w:b/>
                <w:sz w:val="24"/>
                <w:szCs w:val="24"/>
                <w:lang w:val="ro-RO"/>
              </w:rPr>
              <w:t>IV</w:t>
            </w:r>
          </w:p>
        </w:tc>
        <w:tc>
          <w:tcPr>
            <w:tcW w:w="850" w:type="dxa"/>
            <w:shd w:val="clear" w:color="auto" w:fill="auto"/>
          </w:tcPr>
          <w:p w:rsidR="00934C02" w:rsidRPr="00934C02" w:rsidRDefault="00934C02" w:rsidP="00934C02">
            <w:pPr>
              <w:spacing w:after="0" w:line="240" w:lineRule="auto"/>
              <w:jc w:val="both"/>
              <w:rPr>
                <w:rFonts w:ascii="Arial" w:eastAsia="SimSun" w:hAnsi="Arial" w:cs="Arial"/>
                <w:b/>
                <w:sz w:val="24"/>
                <w:szCs w:val="24"/>
                <w:lang w:val="ro-RO"/>
              </w:rPr>
            </w:pPr>
            <w:r w:rsidRPr="00934C02">
              <w:rPr>
                <w:rFonts w:ascii="Arial" w:eastAsia="SimSun" w:hAnsi="Arial" w:cs="Arial"/>
                <w:b/>
                <w:sz w:val="24"/>
                <w:szCs w:val="24"/>
                <w:lang w:val="ro-RO"/>
              </w:rPr>
              <w:t>V</w:t>
            </w:r>
          </w:p>
        </w:tc>
        <w:tc>
          <w:tcPr>
            <w:tcW w:w="851" w:type="dxa"/>
            <w:shd w:val="clear" w:color="auto" w:fill="auto"/>
          </w:tcPr>
          <w:p w:rsidR="00934C02" w:rsidRPr="00934C02" w:rsidRDefault="00934C02" w:rsidP="00934C02">
            <w:pPr>
              <w:spacing w:after="0" w:line="240" w:lineRule="auto"/>
              <w:jc w:val="both"/>
              <w:rPr>
                <w:rFonts w:ascii="Arial" w:eastAsia="SimSun" w:hAnsi="Arial" w:cs="Arial"/>
                <w:b/>
                <w:sz w:val="24"/>
                <w:szCs w:val="24"/>
                <w:lang w:val="ro-RO"/>
              </w:rPr>
            </w:pPr>
            <w:r w:rsidRPr="00934C02">
              <w:rPr>
                <w:rFonts w:ascii="Arial" w:eastAsia="SimSun" w:hAnsi="Arial" w:cs="Arial"/>
                <w:b/>
                <w:sz w:val="24"/>
                <w:szCs w:val="24"/>
                <w:lang w:val="ro-RO"/>
              </w:rPr>
              <w:t>VI</w:t>
            </w:r>
          </w:p>
        </w:tc>
        <w:tc>
          <w:tcPr>
            <w:tcW w:w="850" w:type="dxa"/>
            <w:shd w:val="clear" w:color="auto" w:fill="auto"/>
          </w:tcPr>
          <w:p w:rsidR="00934C02" w:rsidRPr="00934C02" w:rsidRDefault="00934C02" w:rsidP="00934C02">
            <w:pPr>
              <w:spacing w:after="0" w:line="240" w:lineRule="auto"/>
              <w:jc w:val="both"/>
              <w:rPr>
                <w:rFonts w:ascii="Arial" w:eastAsia="SimSun" w:hAnsi="Arial" w:cs="Arial"/>
                <w:b/>
                <w:sz w:val="24"/>
                <w:szCs w:val="24"/>
                <w:lang w:val="ro-RO"/>
              </w:rPr>
            </w:pPr>
            <w:r w:rsidRPr="00934C02">
              <w:rPr>
                <w:rFonts w:ascii="Arial" w:eastAsia="SimSun" w:hAnsi="Arial" w:cs="Arial"/>
                <w:b/>
                <w:sz w:val="24"/>
                <w:szCs w:val="24"/>
                <w:lang w:val="ro-RO"/>
              </w:rPr>
              <w:t>VII</w:t>
            </w:r>
          </w:p>
        </w:tc>
        <w:tc>
          <w:tcPr>
            <w:tcW w:w="709" w:type="dxa"/>
            <w:shd w:val="clear" w:color="auto" w:fill="auto"/>
          </w:tcPr>
          <w:p w:rsidR="00934C02" w:rsidRPr="00934C02" w:rsidRDefault="00934C02" w:rsidP="00934C02">
            <w:pPr>
              <w:spacing w:after="0" w:line="240" w:lineRule="auto"/>
              <w:jc w:val="both"/>
              <w:rPr>
                <w:rFonts w:ascii="Arial" w:eastAsia="SimSun" w:hAnsi="Arial" w:cs="Arial"/>
                <w:b/>
                <w:sz w:val="24"/>
                <w:szCs w:val="24"/>
                <w:lang w:val="ro-RO"/>
              </w:rPr>
            </w:pPr>
            <w:r w:rsidRPr="00934C02">
              <w:rPr>
                <w:rFonts w:ascii="Arial" w:eastAsia="SimSun" w:hAnsi="Arial" w:cs="Arial"/>
                <w:b/>
                <w:sz w:val="24"/>
                <w:szCs w:val="24"/>
                <w:lang w:val="ro-RO"/>
              </w:rPr>
              <w:t>VIII</w:t>
            </w:r>
          </w:p>
        </w:tc>
        <w:tc>
          <w:tcPr>
            <w:tcW w:w="709" w:type="dxa"/>
            <w:shd w:val="clear" w:color="auto" w:fill="auto"/>
          </w:tcPr>
          <w:p w:rsidR="00934C02" w:rsidRPr="00934C02" w:rsidRDefault="00934C02" w:rsidP="00934C02">
            <w:pPr>
              <w:spacing w:after="0" w:line="240" w:lineRule="auto"/>
              <w:jc w:val="both"/>
              <w:rPr>
                <w:rFonts w:ascii="Arial" w:eastAsia="SimSun" w:hAnsi="Arial" w:cs="Arial"/>
                <w:b/>
                <w:sz w:val="24"/>
                <w:szCs w:val="24"/>
                <w:lang w:val="ro-RO"/>
              </w:rPr>
            </w:pPr>
            <w:r w:rsidRPr="00934C02">
              <w:rPr>
                <w:rFonts w:ascii="Arial" w:eastAsia="SimSun" w:hAnsi="Arial" w:cs="Arial"/>
                <w:b/>
                <w:sz w:val="24"/>
                <w:szCs w:val="24"/>
                <w:lang w:val="ro-RO"/>
              </w:rPr>
              <w:t>IX</w:t>
            </w:r>
          </w:p>
        </w:tc>
        <w:tc>
          <w:tcPr>
            <w:tcW w:w="708" w:type="dxa"/>
            <w:shd w:val="clear" w:color="auto" w:fill="auto"/>
          </w:tcPr>
          <w:p w:rsidR="00934C02" w:rsidRPr="00934C02" w:rsidRDefault="00934C02" w:rsidP="00934C02">
            <w:pPr>
              <w:spacing w:after="0" w:line="240" w:lineRule="auto"/>
              <w:jc w:val="both"/>
              <w:rPr>
                <w:rFonts w:ascii="Arial" w:eastAsia="SimSun" w:hAnsi="Arial" w:cs="Arial"/>
                <w:b/>
                <w:sz w:val="24"/>
                <w:szCs w:val="24"/>
                <w:lang w:val="ro-RO"/>
              </w:rPr>
            </w:pPr>
            <w:r w:rsidRPr="00934C02">
              <w:rPr>
                <w:rFonts w:ascii="Arial" w:eastAsia="SimSun" w:hAnsi="Arial" w:cs="Arial"/>
                <w:b/>
                <w:sz w:val="24"/>
                <w:szCs w:val="24"/>
                <w:lang w:val="ro-RO"/>
              </w:rPr>
              <w:t>X</w:t>
            </w:r>
          </w:p>
        </w:tc>
        <w:tc>
          <w:tcPr>
            <w:tcW w:w="851" w:type="dxa"/>
            <w:shd w:val="clear" w:color="auto" w:fill="auto"/>
          </w:tcPr>
          <w:p w:rsidR="00934C02" w:rsidRPr="00934C02" w:rsidRDefault="00934C02" w:rsidP="00934C02">
            <w:pPr>
              <w:spacing w:after="0" w:line="240" w:lineRule="auto"/>
              <w:jc w:val="both"/>
              <w:rPr>
                <w:rFonts w:ascii="Arial" w:eastAsia="SimSun" w:hAnsi="Arial" w:cs="Arial"/>
                <w:b/>
                <w:sz w:val="24"/>
                <w:szCs w:val="24"/>
                <w:lang w:val="ro-RO"/>
              </w:rPr>
            </w:pPr>
            <w:r w:rsidRPr="00934C02">
              <w:rPr>
                <w:rFonts w:ascii="Arial" w:eastAsia="SimSun" w:hAnsi="Arial" w:cs="Arial"/>
                <w:b/>
                <w:sz w:val="24"/>
                <w:szCs w:val="24"/>
                <w:lang w:val="ro-RO"/>
              </w:rPr>
              <w:t>XI</w:t>
            </w:r>
          </w:p>
        </w:tc>
        <w:tc>
          <w:tcPr>
            <w:tcW w:w="850" w:type="dxa"/>
            <w:shd w:val="clear" w:color="auto" w:fill="auto"/>
          </w:tcPr>
          <w:p w:rsidR="00934C02" w:rsidRPr="00934C02" w:rsidRDefault="00934C02" w:rsidP="00934C02">
            <w:pPr>
              <w:spacing w:after="0" w:line="240" w:lineRule="auto"/>
              <w:jc w:val="both"/>
              <w:rPr>
                <w:rFonts w:ascii="Arial" w:eastAsia="SimSun" w:hAnsi="Arial" w:cs="Arial"/>
                <w:b/>
                <w:sz w:val="24"/>
                <w:szCs w:val="24"/>
                <w:lang w:val="ro-RO"/>
              </w:rPr>
            </w:pPr>
            <w:r w:rsidRPr="00934C02">
              <w:rPr>
                <w:rFonts w:ascii="Arial" w:eastAsia="SimSun" w:hAnsi="Arial" w:cs="Arial"/>
                <w:b/>
                <w:sz w:val="24"/>
                <w:szCs w:val="24"/>
                <w:lang w:val="ro-RO"/>
              </w:rPr>
              <w:t>XII</w:t>
            </w:r>
          </w:p>
        </w:tc>
      </w:tr>
      <w:tr w:rsidR="00934C02" w:rsidRPr="00934C02" w:rsidTr="00934C02">
        <w:trPr>
          <w:trHeight w:val="291"/>
        </w:trPr>
        <w:tc>
          <w:tcPr>
            <w:tcW w:w="10632" w:type="dxa"/>
            <w:gridSpan w:val="13"/>
            <w:shd w:val="clear" w:color="auto" w:fill="auto"/>
          </w:tcPr>
          <w:p w:rsidR="00934C02" w:rsidRPr="00934C02" w:rsidRDefault="00934C02" w:rsidP="00934C02">
            <w:pPr>
              <w:spacing w:after="0" w:line="240" w:lineRule="auto"/>
              <w:jc w:val="center"/>
              <w:rPr>
                <w:rFonts w:ascii="Arial" w:eastAsia="SimSun" w:hAnsi="Arial" w:cs="Arial"/>
                <w:sz w:val="24"/>
                <w:szCs w:val="24"/>
                <w:lang w:val="ro-RO"/>
              </w:rPr>
            </w:pPr>
            <w:r w:rsidRPr="00934C02">
              <w:rPr>
                <w:rFonts w:ascii="Arial" w:eastAsia="Times New Roman" w:hAnsi="Arial" w:cs="Arial"/>
                <w:bCs/>
                <w:sz w:val="24"/>
                <w:szCs w:val="24"/>
              </w:rPr>
              <w:t>Stația meteorologică Negre</w:t>
            </w:r>
            <w:r w:rsidRPr="00934C02">
              <w:rPr>
                <w:rFonts w:ascii="Arial" w:eastAsia="Times New Roman" w:hAnsi="Arial" w:cs="Arial"/>
                <w:bCs/>
                <w:sz w:val="24"/>
                <w:szCs w:val="24"/>
                <w:lang w:val="ro-RO"/>
              </w:rPr>
              <w:t>şti</w:t>
            </w:r>
          </w:p>
        </w:tc>
      </w:tr>
      <w:tr w:rsidR="00934C02" w:rsidRPr="00934C02" w:rsidTr="00934C02">
        <w:trPr>
          <w:trHeight w:val="291"/>
        </w:trPr>
        <w:tc>
          <w:tcPr>
            <w:tcW w:w="1277"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2011</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10,9</w:t>
            </w:r>
          </w:p>
        </w:tc>
        <w:tc>
          <w:tcPr>
            <w:tcW w:w="708"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22,2</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7,2</w:t>
            </w:r>
          </w:p>
        </w:tc>
        <w:tc>
          <w:tcPr>
            <w:tcW w:w="851"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43,4</w:t>
            </w:r>
          </w:p>
        </w:tc>
        <w:tc>
          <w:tcPr>
            <w:tcW w:w="850"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49,6</w:t>
            </w:r>
          </w:p>
        </w:tc>
        <w:tc>
          <w:tcPr>
            <w:tcW w:w="851"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71,6</w:t>
            </w:r>
          </w:p>
        </w:tc>
        <w:tc>
          <w:tcPr>
            <w:tcW w:w="850"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36,0</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26,4</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12,7</w:t>
            </w:r>
          </w:p>
        </w:tc>
        <w:tc>
          <w:tcPr>
            <w:tcW w:w="708"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36,5</w:t>
            </w:r>
          </w:p>
        </w:tc>
        <w:tc>
          <w:tcPr>
            <w:tcW w:w="851"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0,3</w:t>
            </w:r>
          </w:p>
        </w:tc>
        <w:tc>
          <w:tcPr>
            <w:tcW w:w="850"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13,2</w:t>
            </w:r>
          </w:p>
        </w:tc>
      </w:tr>
      <w:tr w:rsidR="00934C02" w:rsidRPr="00934C02" w:rsidTr="00934C02">
        <w:trPr>
          <w:trHeight w:val="291"/>
        </w:trPr>
        <w:tc>
          <w:tcPr>
            <w:tcW w:w="1277"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2012</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13,7</w:t>
            </w:r>
          </w:p>
        </w:tc>
        <w:tc>
          <w:tcPr>
            <w:tcW w:w="708"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50,5</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25,9</w:t>
            </w:r>
          </w:p>
        </w:tc>
        <w:tc>
          <w:tcPr>
            <w:tcW w:w="851"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50,5</w:t>
            </w:r>
          </w:p>
        </w:tc>
        <w:tc>
          <w:tcPr>
            <w:tcW w:w="850"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135,0</w:t>
            </w:r>
          </w:p>
        </w:tc>
        <w:tc>
          <w:tcPr>
            <w:tcW w:w="851"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29,3</w:t>
            </w:r>
          </w:p>
        </w:tc>
        <w:tc>
          <w:tcPr>
            <w:tcW w:w="850"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8,7</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16,0</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31,5</w:t>
            </w:r>
          </w:p>
        </w:tc>
        <w:tc>
          <w:tcPr>
            <w:tcW w:w="708"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31,5</w:t>
            </w:r>
          </w:p>
        </w:tc>
        <w:tc>
          <w:tcPr>
            <w:tcW w:w="851"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9,8</w:t>
            </w:r>
          </w:p>
        </w:tc>
        <w:tc>
          <w:tcPr>
            <w:tcW w:w="850"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78,7</w:t>
            </w:r>
          </w:p>
        </w:tc>
      </w:tr>
      <w:tr w:rsidR="00934C02" w:rsidRPr="00934C02" w:rsidTr="00934C02">
        <w:trPr>
          <w:trHeight w:val="291"/>
        </w:trPr>
        <w:tc>
          <w:tcPr>
            <w:tcW w:w="1277"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2013</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36,5</w:t>
            </w:r>
          </w:p>
        </w:tc>
        <w:tc>
          <w:tcPr>
            <w:tcW w:w="708"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41,0</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44,4</w:t>
            </w:r>
          </w:p>
        </w:tc>
        <w:tc>
          <w:tcPr>
            <w:tcW w:w="851"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36,6</w:t>
            </w:r>
          </w:p>
        </w:tc>
        <w:tc>
          <w:tcPr>
            <w:tcW w:w="850"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62,7</w:t>
            </w:r>
          </w:p>
        </w:tc>
        <w:tc>
          <w:tcPr>
            <w:tcW w:w="851"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107,9</w:t>
            </w:r>
          </w:p>
        </w:tc>
        <w:tc>
          <w:tcPr>
            <w:tcW w:w="850"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55,0</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36,5</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51,4</w:t>
            </w:r>
          </w:p>
        </w:tc>
        <w:tc>
          <w:tcPr>
            <w:tcW w:w="708"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8,0</w:t>
            </w:r>
          </w:p>
        </w:tc>
        <w:tc>
          <w:tcPr>
            <w:tcW w:w="851"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32,5</w:t>
            </w:r>
          </w:p>
        </w:tc>
        <w:tc>
          <w:tcPr>
            <w:tcW w:w="850"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7,7</w:t>
            </w:r>
          </w:p>
        </w:tc>
      </w:tr>
      <w:tr w:rsidR="00934C02" w:rsidRPr="00934C02" w:rsidTr="00934C02">
        <w:trPr>
          <w:trHeight w:val="291"/>
        </w:trPr>
        <w:tc>
          <w:tcPr>
            <w:tcW w:w="1277"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2014</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29,8</w:t>
            </w:r>
          </w:p>
        </w:tc>
        <w:tc>
          <w:tcPr>
            <w:tcW w:w="708"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8,1</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32,3</w:t>
            </w:r>
          </w:p>
        </w:tc>
        <w:tc>
          <w:tcPr>
            <w:tcW w:w="851"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95,2</w:t>
            </w:r>
          </w:p>
        </w:tc>
        <w:tc>
          <w:tcPr>
            <w:tcW w:w="850"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130,4</w:t>
            </w:r>
          </w:p>
        </w:tc>
        <w:tc>
          <w:tcPr>
            <w:tcW w:w="851"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42,6</w:t>
            </w:r>
          </w:p>
        </w:tc>
        <w:tc>
          <w:tcPr>
            <w:tcW w:w="850"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46,8</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26,5</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2,7</w:t>
            </w:r>
          </w:p>
        </w:tc>
        <w:tc>
          <w:tcPr>
            <w:tcW w:w="708"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49,0</w:t>
            </w:r>
          </w:p>
        </w:tc>
        <w:tc>
          <w:tcPr>
            <w:tcW w:w="851"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51,8</w:t>
            </w:r>
          </w:p>
        </w:tc>
        <w:tc>
          <w:tcPr>
            <w:tcW w:w="850"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44,9</w:t>
            </w:r>
          </w:p>
        </w:tc>
      </w:tr>
      <w:tr w:rsidR="00934C02" w:rsidRPr="00934C02" w:rsidTr="00934C02">
        <w:trPr>
          <w:trHeight w:val="291"/>
        </w:trPr>
        <w:tc>
          <w:tcPr>
            <w:tcW w:w="1277"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2015</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13,5</w:t>
            </w:r>
          </w:p>
        </w:tc>
        <w:tc>
          <w:tcPr>
            <w:tcW w:w="708"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25,6</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45,4</w:t>
            </w:r>
          </w:p>
        </w:tc>
        <w:tc>
          <w:tcPr>
            <w:tcW w:w="851"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37,3</w:t>
            </w:r>
          </w:p>
        </w:tc>
        <w:tc>
          <w:tcPr>
            <w:tcW w:w="850"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6,5</w:t>
            </w:r>
          </w:p>
        </w:tc>
        <w:tc>
          <w:tcPr>
            <w:tcW w:w="851"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68,4</w:t>
            </w:r>
          </w:p>
        </w:tc>
        <w:tc>
          <w:tcPr>
            <w:tcW w:w="850"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78,3</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9,1</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20,1</w:t>
            </w:r>
          </w:p>
        </w:tc>
        <w:tc>
          <w:tcPr>
            <w:tcW w:w="708"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68,6</w:t>
            </w:r>
          </w:p>
        </w:tc>
        <w:tc>
          <w:tcPr>
            <w:tcW w:w="851"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60,7</w:t>
            </w:r>
          </w:p>
        </w:tc>
        <w:tc>
          <w:tcPr>
            <w:tcW w:w="850"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1,8</w:t>
            </w:r>
          </w:p>
        </w:tc>
      </w:tr>
      <w:tr w:rsidR="00934C02" w:rsidRPr="00934C02" w:rsidTr="00934C02">
        <w:trPr>
          <w:trHeight w:val="291"/>
        </w:trPr>
        <w:tc>
          <w:tcPr>
            <w:tcW w:w="10632" w:type="dxa"/>
            <w:gridSpan w:val="13"/>
            <w:shd w:val="clear" w:color="auto" w:fill="auto"/>
          </w:tcPr>
          <w:p w:rsidR="00934C02" w:rsidRPr="00934C02" w:rsidRDefault="00934C02" w:rsidP="00934C02">
            <w:pPr>
              <w:spacing w:after="0" w:line="240" w:lineRule="auto"/>
              <w:jc w:val="center"/>
              <w:rPr>
                <w:rFonts w:ascii="Arial" w:eastAsia="SimSun" w:hAnsi="Arial" w:cs="Arial"/>
                <w:sz w:val="24"/>
                <w:szCs w:val="24"/>
                <w:lang w:val="ro-RO"/>
              </w:rPr>
            </w:pPr>
            <w:r w:rsidRPr="00934C02">
              <w:rPr>
                <w:rFonts w:ascii="Arial" w:eastAsia="Times New Roman" w:hAnsi="Arial" w:cs="Arial"/>
                <w:bCs/>
                <w:sz w:val="24"/>
                <w:szCs w:val="24"/>
              </w:rPr>
              <w:lastRenderedPageBreak/>
              <w:t>Stația meteorologică Vaslui</w:t>
            </w:r>
          </w:p>
        </w:tc>
      </w:tr>
      <w:tr w:rsidR="00934C02" w:rsidRPr="00934C02" w:rsidTr="00934C02">
        <w:trPr>
          <w:trHeight w:val="291"/>
        </w:trPr>
        <w:tc>
          <w:tcPr>
            <w:tcW w:w="1277"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2011</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20,5</w:t>
            </w:r>
          </w:p>
        </w:tc>
        <w:tc>
          <w:tcPr>
            <w:tcW w:w="708"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24,4</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12,5</w:t>
            </w:r>
          </w:p>
        </w:tc>
        <w:tc>
          <w:tcPr>
            <w:tcW w:w="851"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63,2</w:t>
            </w:r>
          </w:p>
        </w:tc>
        <w:tc>
          <w:tcPr>
            <w:tcW w:w="850"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66,6</w:t>
            </w:r>
          </w:p>
        </w:tc>
        <w:tc>
          <w:tcPr>
            <w:tcW w:w="851"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104,0</w:t>
            </w:r>
          </w:p>
        </w:tc>
        <w:tc>
          <w:tcPr>
            <w:tcW w:w="850"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34,6</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23,6</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14,0</w:t>
            </w:r>
          </w:p>
        </w:tc>
        <w:tc>
          <w:tcPr>
            <w:tcW w:w="708"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37,2</w:t>
            </w:r>
          </w:p>
        </w:tc>
        <w:tc>
          <w:tcPr>
            <w:tcW w:w="851"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0,4</w:t>
            </w:r>
          </w:p>
        </w:tc>
        <w:tc>
          <w:tcPr>
            <w:tcW w:w="850"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17,8</w:t>
            </w:r>
          </w:p>
        </w:tc>
      </w:tr>
      <w:tr w:rsidR="00934C02" w:rsidRPr="00934C02" w:rsidTr="00934C02">
        <w:trPr>
          <w:trHeight w:val="291"/>
        </w:trPr>
        <w:tc>
          <w:tcPr>
            <w:tcW w:w="1277"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2012</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24,1</w:t>
            </w:r>
          </w:p>
        </w:tc>
        <w:tc>
          <w:tcPr>
            <w:tcW w:w="708"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73,7</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31,8</w:t>
            </w:r>
          </w:p>
        </w:tc>
        <w:tc>
          <w:tcPr>
            <w:tcW w:w="851"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48,4</w:t>
            </w:r>
          </w:p>
        </w:tc>
        <w:tc>
          <w:tcPr>
            <w:tcW w:w="850"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175,0</w:t>
            </w:r>
          </w:p>
        </w:tc>
        <w:tc>
          <w:tcPr>
            <w:tcW w:w="851"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29,8</w:t>
            </w:r>
          </w:p>
        </w:tc>
        <w:tc>
          <w:tcPr>
            <w:tcW w:w="850"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21,2</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18,2</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36,4</w:t>
            </w:r>
          </w:p>
        </w:tc>
        <w:tc>
          <w:tcPr>
            <w:tcW w:w="708"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43,6</w:t>
            </w:r>
          </w:p>
        </w:tc>
        <w:tc>
          <w:tcPr>
            <w:tcW w:w="851"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16,4</w:t>
            </w:r>
          </w:p>
        </w:tc>
        <w:tc>
          <w:tcPr>
            <w:tcW w:w="850"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134,3</w:t>
            </w:r>
          </w:p>
        </w:tc>
      </w:tr>
      <w:tr w:rsidR="00934C02" w:rsidRPr="00934C02" w:rsidTr="00934C02">
        <w:trPr>
          <w:trHeight w:val="291"/>
        </w:trPr>
        <w:tc>
          <w:tcPr>
            <w:tcW w:w="1277"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2013</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57,4</w:t>
            </w:r>
          </w:p>
        </w:tc>
        <w:tc>
          <w:tcPr>
            <w:tcW w:w="708"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58,1</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34,7</w:t>
            </w:r>
          </w:p>
        </w:tc>
        <w:tc>
          <w:tcPr>
            <w:tcW w:w="851"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24,6</w:t>
            </w:r>
          </w:p>
        </w:tc>
        <w:tc>
          <w:tcPr>
            <w:tcW w:w="850"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98,0</w:t>
            </w:r>
          </w:p>
        </w:tc>
        <w:tc>
          <w:tcPr>
            <w:tcW w:w="851"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136,2</w:t>
            </w:r>
          </w:p>
        </w:tc>
        <w:tc>
          <w:tcPr>
            <w:tcW w:w="850"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77,2</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53,3</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54,5</w:t>
            </w:r>
          </w:p>
        </w:tc>
        <w:tc>
          <w:tcPr>
            <w:tcW w:w="708"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11,6</w:t>
            </w:r>
          </w:p>
        </w:tc>
        <w:tc>
          <w:tcPr>
            <w:tcW w:w="851"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39,6</w:t>
            </w:r>
          </w:p>
        </w:tc>
        <w:tc>
          <w:tcPr>
            <w:tcW w:w="850"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7,5</w:t>
            </w:r>
          </w:p>
        </w:tc>
      </w:tr>
      <w:tr w:rsidR="00934C02" w:rsidRPr="00934C02" w:rsidTr="00934C02">
        <w:trPr>
          <w:trHeight w:val="291"/>
        </w:trPr>
        <w:tc>
          <w:tcPr>
            <w:tcW w:w="1277"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2014</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42,9</w:t>
            </w:r>
          </w:p>
        </w:tc>
        <w:tc>
          <w:tcPr>
            <w:tcW w:w="708"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10,8</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33,4</w:t>
            </w:r>
          </w:p>
        </w:tc>
        <w:tc>
          <w:tcPr>
            <w:tcW w:w="851"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106,6</w:t>
            </w:r>
          </w:p>
        </w:tc>
        <w:tc>
          <w:tcPr>
            <w:tcW w:w="850"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148,0</w:t>
            </w:r>
          </w:p>
        </w:tc>
        <w:tc>
          <w:tcPr>
            <w:tcW w:w="851"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50,0</w:t>
            </w:r>
          </w:p>
        </w:tc>
        <w:tc>
          <w:tcPr>
            <w:tcW w:w="850"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117,6</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20,8</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1,6</w:t>
            </w:r>
          </w:p>
        </w:tc>
        <w:tc>
          <w:tcPr>
            <w:tcW w:w="708"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51,4</w:t>
            </w:r>
          </w:p>
        </w:tc>
        <w:tc>
          <w:tcPr>
            <w:tcW w:w="851"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79,3</w:t>
            </w:r>
          </w:p>
        </w:tc>
        <w:tc>
          <w:tcPr>
            <w:tcW w:w="850"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59,0</w:t>
            </w:r>
          </w:p>
        </w:tc>
      </w:tr>
      <w:tr w:rsidR="00934C02" w:rsidRPr="00934C02" w:rsidTr="00934C02">
        <w:trPr>
          <w:trHeight w:val="291"/>
        </w:trPr>
        <w:tc>
          <w:tcPr>
            <w:tcW w:w="1277"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2015</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23,0</w:t>
            </w:r>
          </w:p>
        </w:tc>
        <w:tc>
          <w:tcPr>
            <w:tcW w:w="708"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27,2</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58,9</w:t>
            </w:r>
          </w:p>
        </w:tc>
        <w:tc>
          <w:tcPr>
            <w:tcW w:w="851"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34,8</w:t>
            </w:r>
          </w:p>
        </w:tc>
        <w:tc>
          <w:tcPr>
            <w:tcW w:w="850"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22,0</w:t>
            </w:r>
          </w:p>
        </w:tc>
        <w:tc>
          <w:tcPr>
            <w:tcW w:w="851"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36,4</w:t>
            </w:r>
          </w:p>
        </w:tc>
        <w:tc>
          <w:tcPr>
            <w:tcW w:w="850"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58,8</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12,2</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23,8</w:t>
            </w:r>
          </w:p>
        </w:tc>
        <w:tc>
          <w:tcPr>
            <w:tcW w:w="708"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65,6</w:t>
            </w:r>
          </w:p>
        </w:tc>
        <w:tc>
          <w:tcPr>
            <w:tcW w:w="851"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91,7</w:t>
            </w:r>
          </w:p>
        </w:tc>
        <w:tc>
          <w:tcPr>
            <w:tcW w:w="850"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2,5</w:t>
            </w:r>
          </w:p>
        </w:tc>
      </w:tr>
      <w:tr w:rsidR="00934C02" w:rsidRPr="00934C02" w:rsidTr="00934C02">
        <w:trPr>
          <w:trHeight w:val="66"/>
        </w:trPr>
        <w:tc>
          <w:tcPr>
            <w:tcW w:w="10632" w:type="dxa"/>
            <w:gridSpan w:val="13"/>
            <w:shd w:val="clear" w:color="auto" w:fill="auto"/>
          </w:tcPr>
          <w:p w:rsidR="00934C02" w:rsidRPr="00934C02" w:rsidRDefault="00934C02" w:rsidP="00934C02">
            <w:pPr>
              <w:spacing w:after="0" w:line="240" w:lineRule="auto"/>
              <w:jc w:val="center"/>
              <w:rPr>
                <w:rFonts w:ascii="Arial" w:eastAsia="SimSun" w:hAnsi="Arial" w:cs="Arial"/>
                <w:sz w:val="24"/>
                <w:szCs w:val="24"/>
                <w:lang w:val="ro-RO"/>
              </w:rPr>
            </w:pPr>
            <w:r w:rsidRPr="00934C02">
              <w:rPr>
                <w:rFonts w:ascii="Arial" w:eastAsia="Times New Roman" w:hAnsi="Arial" w:cs="Arial"/>
                <w:bCs/>
                <w:sz w:val="24"/>
                <w:szCs w:val="24"/>
              </w:rPr>
              <w:t>Stația meteorologică Bârlad</w:t>
            </w:r>
          </w:p>
        </w:tc>
      </w:tr>
      <w:tr w:rsidR="00934C02" w:rsidRPr="00934C02" w:rsidTr="00934C02">
        <w:trPr>
          <w:trHeight w:val="291"/>
        </w:trPr>
        <w:tc>
          <w:tcPr>
            <w:tcW w:w="1277"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2011</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28,0</w:t>
            </w:r>
          </w:p>
        </w:tc>
        <w:tc>
          <w:tcPr>
            <w:tcW w:w="708"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22,6</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6,4</w:t>
            </w:r>
          </w:p>
        </w:tc>
        <w:tc>
          <w:tcPr>
            <w:tcW w:w="851"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55,0</w:t>
            </w:r>
          </w:p>
        </w:tc>
        <w:tc>
          <w:tcPr>
            <w:tcW w:w="850"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73,2</w:t>
            </w:r>
          </w:p>
        </w:tc>
        <w:tc>
          <w:tcPr>
            <w:tcW w:w="851"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86,2</w:t>
            </w:r>
          </w:p>
        </w:tc>
        <w:tc>
          <w:tcPr>
            <w:tcW w:w="850"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14,8</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22,0</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3,0</w:t>
            </w:r>
          </w:p>
        </w:tc>
        <w:tc>
          <w:tcPr>
            <w:tcW w:w="708"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32,2</w:t>
            </w:r>
          </w:p>
        </w:tc>
        <w:tc>
          <w:tcPr>
            <w:tcW w:w="851"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0,5</w:t>
            </w:r>
          </w:p>
        </w:tc>
        <w:tc>
          <w:tcPr>
            <w:tcW w:w="850"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360,1</w:t>
            </w:r>
          </w:p>
        </w:tc>
      </w:tr>
      <w:tr w:rsidR="00934C02" w:rsidRPr="00934C02" w:rsidTr="00934C02">
        <w:trPr>
          <w:trHeight w:val="291"/>
        </w:trPr>
        <w:tc>
          <w:tcPr>
            <w:tcW w:w="1277"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2012</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29,0</w:t>
            </w:r>
          </w:p>
        </w:tc>
        <w:tc>
          <w:tcPr>
            <w:tcW w:w="708"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66,9</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20,6</w:t>
            </w:r>
          </w:p>
        </w:tc>
        <w:tc>
          <w:tcPr>
            <w:tcW w:w="851"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60,8</w:t>
            </w:r>
          </w:p>
        </w:tc>
        <w:tc>
          <w:tcPr>
            <w:tcW w:w="850"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87,0</w:t>
            </w:r>
          </w:p>
        </w:tc>
        <w:tc>
          <w:tcPr>
            <w:tcW w:w="851"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28,4</w:t>
            </w:r>
          </w:p>
        </w:tc>
        <w:tc>
          <w:tcPr>
            <w:tcW w:w="850"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12,4</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24,0</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12,6</w:t>
            </w:r>
          </w:p>
        </w:tc>
        <w:tc>
          <w:tcPr>
            <w:tcW w:w="708"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34,9</w:t>
            </w:r>
          </w:p>
        </w:tc>
        <w:tc>
          <w:tcPr>
            <w:tcW w:w="851"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11,5</w:t>
            </w:r>
          </w:p>
        </w:tc>
        <w:tc>
          <w:tcPr>
            <w:tcW w:w="850"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102,9</w:t>
            </w:r>
          </w:p>
        </w:tc>
      </w:tr>
      <w:tr w:rsidR="00934C02" w:rsidRPr="00934C02" w:rsidTr="00934C02">
        <w:trPr>
          <w:trHeight w:val="291"/>
        </w:trPr>
        <w:tc>
          <w:tcPr>
            <w:tcW w:w="1277"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2013</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41,8</w:t>
            </w:r>
          </w:p>
        </w:tc>
        <w:tc>
          <w:tcPr>
            <w:tcW w:w="708"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35,5</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46,2</w:t>
            </w:r>
          </w:p>
        </w:tc>
        <w:tc>
          <w:tcPr>
            <w:tcW w:w="851"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36,2</w:t>
            </w:r>
          </w:p>
        </w:tc>
        <w:tc>
          <w:tcPr>
            <w:tcW w:w="850"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96,2</w:t>
            </w:r>
          </w:p>
        </w:tc>
        <w:tc>
          <w:tcPr>
            <w:tcW w:w="851"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134,6</w:t>
            </w:r>
          </w:p>
        </w:tc>
        <w:tc>
          <w:tcPr>
            <w:tcW w:w="850"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45,2</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62,2</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54,8</w:t>
            </w:r>
          </w:p>
        </w:tc>
        <w:tc>
          <w:tcPr>
            <w:tcW w:w="708"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38,2</w:t>
            </w:r>
          </w:p>
        </w:tc>
        <w:tc>
          <w:tcPr>
            <w:tcW w:w="851"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39,5</w:t>
            </w:r>
          </w:p>
        </w:tc>
        <w:tc>
          <w:tcPr>
            <w:tcW w:w="850"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5,0</w:t>
            </w:r>
          </w:p>
        </w:tc>
      </w:tr>
      <w:tr w:rsidR="00934C02" w:rsidRPr="00934C02" w:rsidTr="00934C02">
        <w:trPr>
          <w:trHeight w:val="291"/>
        </w:trPr>
        <w:tc>
          <w:tcPr>
            <w:tcW w:w="1277"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2014</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33,3</w:t>
            </w:r>
          </w:p>
        </w:tc>
        <w:tc>
          <w:tcPr>
            <w:tcW w:w="708"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5,1</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33,2</w:t>
            </w:r>
          </w:p>
        </w:tc>
        <w:tc>
          <w:tcPr>
            <w:tcW w:w="851"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84,6</w:t>
            </w:r>
          </w:p>
        </w:tc>
        <w:tc>
          <w:tcPr>
            <w:tcW w:w="850"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110,6</w:t>
            </w:r>
          </w:p>
        </w:tc>
        <w:tc>
          <w:tcPr>
            <w:tcW w:w="851"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55,6</w:t>
            </w:r>
          </w:p>
        </w:tc>
        <w:tc>
          <w:tcPr>
            <w:tcW w:w="850"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99,8</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31,0</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2,8</w:t>
            </w:r>
          </w:p>
        </w:tc>
        <w:tc>
          <w:tcPr>
            <w:tcW w:w="708"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43,0</w:t>
            </w:r>
          </w:p>
        </w:tc>
        <w:tc>
          <w:tcPr>
            <w:tcW w:w="851"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58,4</w:t>
            </w:r>
          </w:p>
        </w:tc>
        <w:tc>
          <w:tcPr>
            <w:tcW w:w="850"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38,4</w:t>
            </w:r>
          </w:p>
        </w:tc>
      </w:tr>
      <w:tr w:rsidR="00934C02" w:rsidRPr="00934C02" w:rsidTr="00934C02">
        <w:trPr>
          <w:trHeight w:val="291"/>
        </w:trPr>
        <w:tc>
          <w:tcPr>
            <w:tcW w:w="1277"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2015</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18,0</w:t>
            </w:r>
          </w:p>
        </w:tc>
        <w:tc>
          <w:tcPr>
            <w:tcW w:w="708"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33,6</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52,8</w:t>
            </w:r>
          </w:p>
        </w:tc>
        <w:tc>
          <w:tcPr>
            <w:tcW w:w="851"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26,7</w:t>
            </w:r>
          </w:p>
        </w:tc>
        <w:tc>
          <w:tcPr>
            <w:tcW w:w="850"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11,4</w:t>
            </w:r>
          </w:p>
        </w:tc>
        <w:tc>
          <w:tcPr>
            <w:tcW w:w="851"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47,0</w:t>
            </w:r>
          </w:p>
        </w:tc>
        <w:tc>
          <w:tcPr>
            <w:tcW w:w="850"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62,0</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46,0</w:t>
            </w:r>
          </w:p>
        </w:tc>
        <w:tc>
          <w:tcPr>
            <w:tcW w:w="709"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21,5</w:t>
            </w:r>
          </w:p>
        </w:tc>
        <w:tc>
          <w:tcPr>
            <w:tcW w:w="708"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71,0</w:t>
            </w:r>
          </w:p>
        </w:tc>
        <w:tc>
          <w:tcPr>
            <w:tcW w:w="851"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102,8</w:t>
            </w:r>
          </w:p>
        </w:tc>
        <w:tc>
          <w:tcPr>
            <w:tcW w:w="850"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5,9</w:t>
            </w:r>
          </w:p>
        </w:tc>
      </w:tr>
    </w:tbl>
    <w:p w:rsidR="00934C02" w:rsidRPr="00934C02" w:rsidRDefault="00934C02" w:rsidP="00934C02">
      <w:pPr>
        <w:spacing w:after="0" w:line="240" w:lineRule="auto"/>
        <w:jc w:val="both"/>
        <w:rPr>
          <w:rFonts w:ascii="Arial" w:eastAsia="Times New Roman" w:hAnsi="Arial" w:cs="Arial"/>
          <w:bCs/>
          <w:sz w:val="18"/>
          <w:szCs w:val="18"/>
          <w:lang w:val="ro-RO"/>
        </w:rPr>
      </w:pPr>
      <w:r w:rsidRPr="00934C02">
        <w:rPr>
          <w:rFonts w:ascii="Arial" w:eastAsia="Times New Roman" w:hAnsi="Arial" w:cs="Arial"/>
          <w:bCs/>
          <w:sz w:val="18"/>
          <w:szCs w:val="18"/>
          <w:lang w:val="ro-RO"/>
        </w:rPr>
        <w:t>(Sursa: Administraţia Naţională de Meteorologie – Centrul Meteorologic Regional Moldova)</w:t>
      </w:r>
    </w:p>
    <w:p w:rsidR="00934C02" w:rsidRPr="00934C02" w:rsidRDefault="00934C02" w:rsidP="00934C02">
      <w:pPr>
        <w:spacing w:after="0" w:line="240" w:lineRule="auto"/>
        <w:jc w:val="both"/>
        <w:rPr>
          <w:rFonts w:ascii="Arial" w:eastAsia="Times New Roman" w:hAnsi="Arial" w:cs="Arial"/>
          <w:sz w:val="24"/>
          <w:szCs w:val="24"/>
        </w:rPr>
      </w:pPr>
    </w:p>
    <w:p w:rsidR="00934C02" w:rsidRPr="00934C02" w:rsidRDefault="00934C02" w:rsidP="00934C02">
      <w:pPr>
        <w:spacing w:after="0" w:line="240" w:lineRule="auto"/>
        <w:jc w:val="both"/>
        <w:rPr>
          <w:rFonts w:ascii="Arial" w:eastAsia="Times New Roman" w:hAnsi="Arial" w:cs="Arial"/>
          <w:bCs/>
          <w:sz w:val="18"/>
          <w:szCs w:val="18"/>
          <w:lang w:val="ro-RO"/>
        </w:rPr>
      </w:pPr>
      <w:r w:rsidRPr="00934C02">
        <w:rPr>
          <w:rFonts w:ascii="Arial" w:eastAsia="Times New Roman" w:hAnsi="Arial" w:cs="Arial"/>
          <w:sz w:val="24"/>
          <w:szCs w:val="24"/>
        </w:rPr>
        <w:t>Tabelul VIII.18.</w:t>
      </w:r>
      <w:r w:rsidRPr="00934C02">
        <w:rPr>
          <w:rFonts w:ascii="Arial" w:eastAsia="Times New Roman" w:hAnsi="Arial" w:cs="Arial"/>
          <w:bCs/>
          <w:sz w:val="24"/>
          <w:szCs w:val="24"/>
          <w:lang w:val="it-IT"/>
        </w:rPr>
        <w:t xml:space="preserve"> </w:t>
      </w:r>
      <w:r w:rsidRPr="00934C02">
        <w:rPr>
          <w:rFonts w:ascii="Arial" w:eastAsia="Times New Roman" w:hAnsi="Arial" w:cs="Arial"/>
          <w:sz w:val="20"/>
          <w:szCs w:val="20"/>
        </w:rPr>
        <w:t>Cantităţi anuale de precipitaţii atmosferice, pentru perioada 2011-2015</w:t>
      </w:r>
    </w:p>
    <w:tbl>
      <w:tblPr>
        <w:tblW w:w="7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
        <w:gridCol w:w="3068"/>
        <w:gridCol w:w="3584"/>
      </w:tblGrid>
      <w:tr w:rsidR="00934C02" w:rsidRPr="00934C02" w:rsidTr="00934C02">
        <w:trPr>
          <w:trHeight w:val="254"/>
        </w:trPr>
        <w:tc>
          <w:tcPr>
            <w:tcW w:w="1009" w:type="dxa"/>
            <w:shd w:val="clear" w:color="auto" w:fill="auto"/>
          </w:tcPr>
          <w:p w:rsidR="00934C02" w:rsidRPr="00934C02" w:rsidRDefault="00934C02" w:rsidP="00934C02">
            <w:pPr>
              <w:spacing w:after="0" w:line="240" w:lineRule="auto"/>
              <w:jc w:val="both"/>
              <w:rPr>
                <w:rFonts w:ascii="Arial" w:eastAsia="SimSun" w:hAnsi="Arial" w:cs="Arial"/>
                <w:b/>
                <w:sz w:val="24"/>
                <w:szCs w:val="24"/>
                <w:lang w:val="ro-RO"/>
              </w:rPr>
            </w:pPr>
            <w:r w:rsidRPr="00934C02">
              <w:rPr>
                <w:rFonts w:ascii="Arial" w:eastAsia="SimSun" w:hAnsi="Arial" w:cs="Arial"/>
                <w:b/>
                <w:sz w:val="24"/>
                <w:szCs w:val="24"/>
                <w:lang w:val="ro-RO"/>
              </w:rPr>
              <w:t xml:space="preserve">Anii </w:t>
            </w:r>
          </w:p>
        </w:tc>
        <w:tc>
          <w:tcPr>
            <w:tcW w:w="3068" w:type="dxa"/>
            <w:shd w:val="clear" w:color="auto" w:fill="auto"/>
          </w:tcPr>
          <w:p w:rsidR="00934C02" w:rsidRPr="00934C02" w:rsidRDefault="00934C02" w:rsidP="00934C02">
            <w:pPr>
              <w:spacing w:after="0" w:line="240" w:lineRule="auto"/>
              <w:jc w:val="center"/>
              <w:rPr>
                <w:rFonts w:ascii="Arial" w:eastAsia="SimSun" w:hAnsi="Arial" w:cs="Arial"/>
                <w:b/>
                <w:sz w:val="24"/>
                <w:szCs w:val="24"/>
                <w:lang w:val="ro-RO"/>
              </w:rPr>
            </w:pPr>
            <w:r w:rsidRPr="00934C02">
              <w:rPr>
                <w:rFonts w:ascii="Arial" w:eastAsia="SimSun" w:hAnsi="Arial" w:cs="Arial"/>
                <w:b/>
                <w:sz w:val="24"/>
                <w:szCs w:val="24"/>
                <w:lang w:val="ro-RO"/>
              </w:rPr>
              <w:t>Staţia meteorologică</w:t>
            </w:r>
          </w:p>
        </w:tc>
        <w:tc>
          <w:tcPr>
            <w:tcW w:w="3584" w:type="dxa"/>
            <w:shd w:val="clear" w:color="auto" w:fill="auto"/>
          </w:tcPr>
          <w:p w:rsidR="00934C02" w:rsidRPr="00934C02" w:rsidRDefault="00934C02" w:rsidP="00934C02">
            <w:pPr>
              <w:autoSpaceDE w:val="0"/>
              <w:autoSpaceDN w:val="0"/>
              <w:adjustRightInd w:val="0"/>
              <w:spacing w:after="0" w:line="240" w:lineRule="auto"/>
              <w:jc w:val="center"/>
              <w:rPr>
                <w:rFonts w:ascii="Arial,Bold" w:eastAsia="Times New Roman" w:hAnsi="Arial,Bold" w:cs="Arial,Bold"/>
                <w:b/>
                <w:bCs/>
                <w:sz w:val="24"/>
                <w:szCs w:val="24"/>
              </w:rPr>
            </w:pPr>
            <w:r w:rsidRPr="00934C02">
              <w:rPr>
                <w:rFonts w:ascii="Arial,Bold" w:eastAsia="Times New Roman" w:hAnsi="Arial,Bold" w:cs="Arial,Bold"/>
                <w:b/>
                <w:bCs/>
                <w:sz w:val="24"/>
                <w:szCs w:val="24"/>
              </w:rPr>
              <w:t>Cantitatea anuală (l/mp)</w:t>
            </w:r>
          </w:p>
        </w:tc>
      </w:tr>
      <w:tr w:rsidR="00934C02" w:rsidRPr="00934C02" w:rsidTr="00934C02">
        <w:trPr>
          <w:trHeight w:val="253"/>
        </w:trPr>
        <w:tc>
          <w:tcPr>
            <w:tcW w:w="1009" w:type="dxa"/>
            <w:vMerge w:val="restart"/>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p>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2011</w:t>
            </w:r>
          </w:p>
        </w:tc>
        <w:tc>
          <w:tcPr>
            <w:tcW w:w="3068"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Times New Roman" w:hAnsi="Arial" w:cs="Arial"/>
                <w:bCs/>
                <w:sz w:val="24"/>
                <w:szCs w:val="24"/>
              </w:rPr>
              <w:t>Negre</w:t>
            </w:r>
            <w:r w:rsidRPr="00934C02">
              <w:rPr>
                <w:rFonts w:ascii="Arial" w:eastAsia="Times New Roman" w:hAnsi="Arial" w:cs="Arial"/>
                <w:bCs/>
                <w:sz w:val="24"/>
                <w:szCs w:val="24"/>
                <w:lang w:val="ro-RO"/>
              </w:rPr>
              <w:t>şti</w:t>
            </w:r>
          </w:p>
        </w:tc>
        <w:tc>
          <w:tcPr>
            <w:tcW w:w="3584" w:type="dxa"/>
            <w:shd w:val="clear" w:color="auto" w:fill="auto"/>
          </w:tcPr>
          <w:p w:rsidR="00934C02" w:rsidRPr="00934C02" w:rsidRDefault="00934C02" w:rsidP="00934C02">
            <w:pPr>
              <w:spacing w:after="0" w:line="240" w:lineRule="auto"/>
              <w:jc w:val="center"/>
              <w:rPr>
                <w:rFonts w:ascii="Arial" w:eastAsia="SimSun" w:hAnsi="Arial" w:cs="Arial"/>
                <w:sz w:val="24"/>
                <w:szCs w:val="24"/>
                <w:lang w:val="ro-RO"/>
              </w:rPr>
            </w:pPr>
            <w:r w:rsidRPr="00934C02">
              <w:rPr>
                <w:rFonts w:ascii="Arial" w:eastAsia="SimSun" w:hAnsi="Arial" w:cs="Arial"/>
                <w:sz w:val="24"/>
                <w:szCs w:val="24"/>
                <w:lang w:val="ro-RO"/>
              </w:rPr>
              <w:t>330,0</w:t>
            </w:r>
          </w:p>
        </w:tc>
      </w:tr>
      <w:tr w:rsidR="00934C02" w:rsidRPr="00934C02" w:rsidTr="00934C02">
        <w:trPr>
          <w:trHeight w:val="267"/>
        </w:trPr>
        <w:tc>
          <w:tcPr>
            <w:tcW w:w="1009" w:type="dxa"/>
            <w:vMerge/>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p>
        </w:tc>
        <w:tc>
          <w:tcPr>
            <w:tcW w:w="3068" w:type="dxa"/>
            <w:shd w:val="clear" w:color="auto" w:fill="auto"/>
          </w:tcPr>
          <w:p w:rsidR="00934C02" w:rsidRPr="00934C02" w:rsidRDefault="00934C02" w:rsidP="00934C02">
            <w:pPr>
              <w:spacing w:after="0" w:line="240" w:lineRule="auto"/>
              <w:jc w:val="both"/>
              <w:rPr>
                <w:rFonts w:ascii="Arial" w:eastAsia="Times New Roman" w:hAnsi="Arial" w:cs="Arial"/>
                <w:bCs/>
                <w:sz w:val="24"/>
                <w:szCs w:val="24"/>
              </w:rPr>
            </w:pPr>
            <w:r w:rsidRPr="00934C02">
              <w:rPr>
                <w:rFonts w:ascii="Arial" w:eastAsia="Times New Roman" w:hAnsi="Arial" w:cs="Arial"/>
                <w:bCs/>
                <w:sz w:val="24"/>
                <w:szCs w:val="24"/>
              </w:rPr>
              <w:t>Vaslui</w:t>
            </w:r>
          </w:p>
        </w:tc>
        <w:tc>
          <w:tcPr>
            <w:tcW w:w="3584" w:type="dxa"/>
            <w:shd w:val="clear" w:color="auto" w:fill="auto"/>
          </w:tcPr>
          <w:p w:rsidR="00934C02" w:rsidRPr="00934C02" w:rsidRDefault="00934C02" w:rsidP="00934C02">
            <w:pPr>
              <w:spacing w:after="0" w:line="240" w:lineRule="auto"/>
              <w:jc w:val="center"/>
              <w:rPr>
                <w:rFonts w:ascii="Arial" w:eastAsia="SimSun" w:hAnsi="Arial" w:cs="Arial"/>
                <w:sz w:val="24"/>
                <w:szCs w:val="24"/>
                <w:lang w:val="ro-RO"/>
              </w:rPr>
            </w:pPr>
            <w:r w:rsidRPr="00934C02">
              <w:rPr>
                <w:rFonts w:ascii="Arial" w:eastAsia="SimSun" w:hAnsi="Arial" w:cs="Arial"/>
                <w:sz w:val="24"/>
                <w:szCs w:val="24"/>
                <w:lang w:val="ro-RO"/>
              </w:rPr>
              <w:t>418,8</w:t>
            </w:r>
          </w:p>
        </w:tc>
      </w:tr>
      <w:tr w:rsidR="00934C02" w:rsidRPr="00934C02" w:rsidTr="00934C02">
        <w:trPr>
          <w:trHeight w:val="229"/>
        </w:trPr>
        <w:tc>
          <w:tcPr>
            <w:tcW w:w="1009" w:type="dxa"/>
            <w:vMerge/>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p>
        </w:tc>
        <w:tc>
          <w:tcPr>
            <w:tcW w:w="3068" w:type="dxa"/>
            <w:shd w:val="clear" w:color="auto" w:fill="auto"/>
          </w:tcPr>
          <w:p w:rsidR="00934C02" w:rsidRPr="00934C02" w:rsidRDefault="00934C02" w:rsidP="00934C02">
            <w:pPr>
              <w:spacing w:after="0" w:line="240" w:lineRule="auto"/>
              <w:jc w:val="both"/>
              <w:rPr>
                <w:rFonts w:ascii="Arial" w:eastAsia="Times New Roman" w:hAnsi="Arial" w:cs="Arial"/>
                <w:bCs/>
                <w:sz w:val="24"/>
                <w:szCs w:val="24"/>
              </w:rPr>
            </w:pPr>
            <w:r w:rsidRPr="00934C02">
              <w:rPr>
                <w:rFonts w:ascii="Arial" w:eastAsia="Times New Roman" w:hAnsi="Arial" w:cs="Arial"/>
                <w:bCs/>
                <w:sz w:val="24"/>
                <w:szCs w:val="24"/>
              </w:rPr>
              <w:t>Bârlad</w:t>
            </w:r>
          </w:p>
        </w:tc>
        <w:tc>
          <w:tcPr>
            <w:tcW w:w="3584" w:type="dxa"/>
            <w:shd w:val="clear" w:color="auto" w:fill="auto"/>
          </w:tcPr>
          <w:p w:rsidR="00934C02" w:rsidRPr="00934C02" w:rsidRDefault="00934C02" w:rsidP="00934C02">
            <w:pPr>
              <w:spacing w:after="0" w:line="240" w:lineRule="auto"/>
              <w:jc w:val="center"/>
              <w:rPr>
                <w:rFonts w:ascii="Arial" w:eastAsia="SimSun" w:hAnsi="Arial" w:cs="Arial"/>
                <w:sz w:val="24"/>
                <w:szCs w:val="24"/>
                <w:lang w:val="ro-RO"/>
              </w:rPr>
            </w:pPr>
            <w:r w:rsidRPr="00934C02">
              <w:rPr>
                <w:rFonts w:ascii="Arial" w:eastAsia="SimSun" w:hAnsi="Arial" w:cs="Arial"/>
                <w:sz w:val="24"/>
                <w:szCs w:val="24"/>
                <w:lang w:val="ro-RO"/>
              </w:rPr>
              <w:t>360,1</w:t>
            </w:r>
          </w:p>
        </w:tc>
      </w:tr>
      <w:tr w:rsidR="00934C02" w:rsidRPr="00934C02" w:rsidTr="00934C02">
        <w:trPr>
          <w:trHeight w:val="292"/>
        </w:trPr>
        <w:tc>
          <w:tcPr>
            <w:tcW w:w="1009" w:type="dxa"/>
            <w:vMerge w:val="restart"/>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p>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2012</w:t>
            </w:r>
          </w:p>
        </w:tc>
        <w:tc>
          <w:tcPr>
            <w:tcW w:w="3068"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Times New Roman" w:hAnsi="Arial" w:cs="Arial"/>
                <w:bCs/>
                <w:sz w:val="24"/>
                <w:szCs w:val="24"/>
              </w:rPr>
              <w:t>Negre</w:t>
            </w:r>
            <w:r w:rsidRPr="00934C02">
              <w:rPr>
                <w:rFonts w:ascii="Arial" w:eastAsia="Times New Roman" w:hAnsi="Arial" w:cs="Arial"/>
                <w:bCs/>
                <w:sz w:val="24"/>
                <w:szCs w:val="24"/>
                <w:lang w:val="ro-RO"/>
              </w:rPr>
              <w:t>şti</w:t>
            </w:r>
          </w:p>
        </w:tc>
        <w:tc>
          <w:tcPr>
            <w:tcW w:w="3584" w:type="dxa"/>
            <w:shd w:val="clear" w:color="auto" w:fill="auto"/>
          </w:tcPr>
          <w:p w:rsidR="00934C02" w:rsidRPr="00934C02" w:rsidRDefault="00934C02" w:rsidP="00934C02">
            <w:pPr>
              <w:spacing w:after="0" w:line="240" w:lineRule="auto"/>
              <w:jc w:val="center"/>
              <w:rPr>
                <w:rFonts w:ascii="Arial" w:eastAsia="SimSun" w:hAnsi="Arial" w:cs="Arial"/>
                <w:sz w:val="24"/>
                <w:szCs w:val="24"/>
                <w:lang w:val="ro-RO"/>
              </w:rPr>
            </w:pPr>
            <w:r w:rsidRPr="00934C02">
              <w:rPr>
                <w:rFonts w:ascii="Arial" w:eastAsia="SimSun" w:hAnsi="Arial" w:cs="Arial"/>
                <w:sz w:val="24"/>
                <w:szCs w:val="24"/>
                <w:lang w:val="ro-RO"/>
              </w:rPr>
              <w:t>481,1</w:t>
            </w:r>
          </w:p>
        </w:tc>
      </w:tr>
      <w:tr w:rsidR="00934C02" w:rsidRPr="00934C02" w:rsidTr="00934C02">
        <w:trPr>
          <w:trHeight w:val="267"/>
        </w:trPr>
        <w:tc>
          <w:tcPr>
            <w:tcW w:w="1009" w:type="dxa"/>
            <w:vMerge/>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p>
        </w:tc>
        <w:tc>
          <w:tcPr>
            <w:tcW w:w="3068"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Times New Roman" w:hAnsi="Arial" w:cs="Arial"/>
                <w:bCs/>
                <w:sz w:val="24"/>
                <w:szCs w:val="24"/>
              </w:rPr>
              <w:t>Vaslui</w:t>
            </w:r>
          </w:p>
        </w:tc>
        <w:tc>
          <w:tcPr>
            <w:tcW w:w="3584" w:type="dxa"/>
            <w:shd w:val="clear" w:color="auto" w:fill="auto"/>
          </w:tcPr>
          <w:p w:rsidR="00934C02" w:rsidRPr="00934C02" w:rsidRDefault="00934C02" w:rsidP="00934C02">
            <w:pPr>
              <w:spacing w:after="0" w:line="240" w:lineRule="auto"/>
              <w:jc w:val="center"/>
              <w:rPr>
                <w:rFonts w:ascii="Arial" w:eastAsia="SimSun" w:hAnsi="Arial" w:cs="Arial"/>
                <w:sz w:val="24"/>
                <w:szCs w:val="24"/>
                <w:lang w:val="ro-RO"/>
              </w:rPr>
            </w:pPr>
            <w:r w:rsidRPr="00934C02">
              <w:rPr>
                <w:rFonts w:ascii="Arial" w:eastAsia="SimSun" w:hAnsi="Arial" w:cs="Arial"/>
                <w:sz w:val="24"/>
                <w:szCs w:val="24"/>
                <w:lang w:val="ro-RO"/>
              </w:rPr>
              <w:t>652,9</w:t>
            </w:r>
          </w:p>
        </w:tc>
      </w:tr>
      <w:tr w:rsidR="00934C02" w:rsidRPr="00934C02" w:rsidTr="00934C02">
        <w:trPr>
          <w:trHeight w:val="229"/>
        </w:trPr>
        <w:tc>
          <w:tcPr>
            <w:tcW w:w="1009" w:type="dxa"/>
            <w:vMerge/>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p>
        </w:tc>
        <w:tc>
          <w:tcPr>
            <w:tcW w:w="3068"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Times New Roman" w:hAnsi="Arial" w:cs="Arial"/>
                <w:bCs/>
                <w:sz w:val="24"/>
                <w:szCs w:val="24"/>
              </w:rPr>
              <w:t>Bârlad</w:t>
            </w:r>
          </w:p>
        </w:tc>
        <w:tc>
          <w:tcPr>
            <w:tcW w:w="3584" w:type="dxa"/>
            <w:shd w:val="clear" w:color="auto" w:fill="auto"/>
          </w:tcPr>
          <w:p w:rsidR="00934C02" w:rsidRPr="00934C02" w:rsidRDefault="00934C02" w:rsidP="00934C02">
            <w:pPr>
              <w:spacing w:after="0" w:line="240" w:lineRule="auto"/>
              <w:jc w:val="center"/>
              <w:rPr>
                <w:rFonts w:ascii="Arial" w:eastAsia="SimSun" w:hAnsi="Arial" w:cs="Arial"/>
                <w:sz w:val="24"/>
                <w:szCs w:val="24"/>
                <w:lang w:val="ro-RO"/>
              </w:rPr>
            </w:pPr>
            <w:r w:rsidRPr="00934C02">
              <w:rPr>
                <w:rFonts w:ascii="Arial" w:eastAsia="SimSun" w:hAnsi="Arial" w:cs="Arial"/>
                <w:sz w:val="24"/>
                <w:szCs w:val="24"/>
                <w:lang w:val="ro-RO"/>
              </w:rPr>
              <w:t>491,0</w:t>
            </w:r>
          </w:p>
        </w:tc>
      </w:tr>
      <w:tr w:rsidR="00934C02" w:rsidRPr="00934C02" w:rsidTr="00934C02">
        <w:trPr>
          <w:trHeight w:val="267"/>
        </w:trPr>
        <w:tc>
          <w:tcPr>
            <w:tcW w:w="1009" w:type="dxa"/>
            <w:vMerge w:val="restart"/>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p>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2013</w:t>
            </w:r>
          </w:p>
        </w:tc>
        <w:tc>
          <w:tcPr>
            <w:tcW w:w="3068"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Times New Roman" w:hAnsi="Arial" w:cs="Arial"/>
                <w:bCs/>
                <w:sz w:val="24"/>
                <w:szCs w:val="24"/>
              </w:rPr>
              <w:t>Negre</w:t>
            </w:r>
            <w:r w:rsidRPr="00934C02">
              <w:rPr>
                <w:rFonts w:ascii="Arial" w:eastAsia="Times New Roman" w:hAnsi="Arial" w:cs="Arial"/>
                <w:bCs/>
                <w:sz w:val="24"/>
                <w:szCs w:val="24"/>
                <w:lang w:val="ro-RO"/>
              </w:rPr>
              <w:t>şti</w:t>
            </w:r>
          </w:p>
        </w:tc>
        <w:tc>
          <w:tcPr>
            <w:tcW w:w="3584" w:type="dxa"/>
            <w:shd w:val="clear" w:color="auto" w:fill="auto"/>
          </w:tcPr>
          <w:p w:rsidR="00934C02" w:rsidRPr="00934C02" w:rsidRDefault="00934C02" w:rsidP="00934C02">
            <w:pPr>
              <w:spacing w:after="0" w:line="240" w:lineRule="auto"/>
              <w:jc w:val="center"/>
              <w:rPr>
                <w:rFonts w:ascii="Arial" w:eastAsia="SimSun" w:hAnsi="Arial" w:cs="Arial"/>
                <w:sz w:val="24"/>
                <w:szCs w:val="24"/>
                <w:lang w:val="ro-RO"/>
              </w:rPr>
            </w:pPr>
            <w:r w:rsidRPr="00934C02">
              <w:rPr>
                <w:rFonts w:ascii="Arial" w:eastAsia="SimSun" w:hAnsi="Arial" w:cs="Arial"/>
                <w:sz w:val="24"/>
                <w:szCs w:val="24"/>
                <w:lang w:val="ro-RO"/>
              </w:rPr>
              <w:t>520,2</w:t>
            </w:r>
          </w:p>
        </w:tc>
      </w:tr>
      <w:tr w:rsidR="00934C02" w:rsidRPr="00934C02" w:rsidTr="00934C02">
        <w:trPr>
          <w:trHeight w:val="234"/>
        </w:trPr>
        <w:tc>
          <w:tcPr>
            <w:tcW w:w="1009" w:type="dxa"/>
            <w:vMerge/>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p>
        </w:tc>
        <w:tc>
          <w:tcPr>
            <w:tcW w:w="3068"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Times New Roman" w:hAnsi="Arial" w:cs="Arial"/>
                <w:bCs/>
                <w:sz w:val="24"/>
                <w:szCs w:val="24"/>
              </w:rPr>
              <w:t>Vaslui</w:t>
            </w:r>
          </w:p>
        </w:tc>
        <w:tc>
          <w:tcPr>
            <w:tcW w:w="3584" w:type="dxa"/>
            <w:shd w:val="clear" w:color="auto" w:fill="auto"/>
          </w:tcPr>
          <w:p w:rsidR="00934C02" w:rsidRPr="00934C02" w:rsidRDefault="00934C02" w:rsidP="00934C02">
            <w:pPr>
              <w:spacing w:after="0" w:line="240" w:lineRule="auto"/>
              <w:jc w:val="center"/>
              <w:rPr>
                <w:rFonts w:ascii="Arial" w:eastAsia="SimSun" w:hAnsi="Arial" w:cs="Arial"/>
                <w:sz w:val="24"/>
                <w:szCs w:val="24"/>
                <w:lang w:val="ro-RO"/>
              </w:rPr>
            </w:pPr>
            <w:r w:rsidRPr="00934C02">
              <w:rPr>
                <w:rFonts w:ascii="Arial" w:eastAsia="SimSun" w:hAnsi="Arial" w:cs="Arial"/>
                <w:sz w:val="24"/>
                <w:szCs w:val="24"/>
                <w:lang w:val="ro-RO"/>
              </w:rPr>
              <w:t>652,7</w:t>
            </w:r>
          </w:p>
        </w:tc>
      </w:tr>
      <w:tr w:rsidR="00934C02" w:rsidRPr="00934C02" w:rsidTr="00934C02">
        <w:trPr>
          <w:trHeight w:val="254"/>
        </w:trPr>
        <w:tc>
          <w:tcPr>
            <w:tcW w:w="1009" w:type="dxa"/>
            <w:vMerge/>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p>
        </w:tc>
        <w:tc>
          <w:tcPr>
            <w:tcW w:w="3068"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Times New Roman" w:hAnsi="Arial" w:cs="Arial"/>
                <w:bCs/>
                <w:sz w:val="24"/>
                <w:szCs w:val="24"/>
              </w:rPr>
              <w:t>Bârlad</w:t>
            </w:r>
          </w:p>
        </w:tc>
        <w:tc>
          <w:tcPr>
            <w:tcW w:w="3584" w:type="dxa"/>
            <w:shd w:val="clear" w:color="auto" w:fill="auto"/>
          </w:tcPr>
          <w:p w:rsidR="00934C02" w:rsidRPr="00934C02" w:rsidRDefault="00934C02" w:rsidP="00934C02">
            <w:pPr>
              <w:spacing w:after="0" w:line="240" w:lineRule="auto"/>
              <w:jc w:val="center"/>
              <w:rPr>
                <w:rFonts w:ascii="Arial" w:eastAsia="SimSun" w:hAnsi="Arial" w:cs="Arial"/>
                <w:sz w:val="24"/>
                <w:szCs w:val="24"/>
                <w:lang w:val="ro-RO"/>
              </w:rPr>
            </w:pPr>
            <w:r w:rsidRPr="00934C02">
              <w:rPr>
                <w:rFonts w:ascii="Arial" w:eastAsia="SimSun" w:hAnsi="Arial" w:cs="Arial"/>
                <w:sz w:val="24"/>
                <w:szCs w:val="24"/>
                <w:lang w:val="ro-RO"/>
              </w:rPr>
              <w:t>635,4</w:t>
            </w:r>
          </w:p>
        </w:tc>
      </w:tr>
      <w:tr w:rsidR="00934C02" w:rsidRPr="00934C02" w:rsidTr="00934C02">
        <w:trPr>
          <w:trHeight w:val="241"/>
        </w:trPr>
        <w:tc>
          <w:tcPr>
            <w:tcW w:w="1009" w:type="dxa"/>
            <w:vMerge w:val="restart"/>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p>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2014</w:t>
            </w:r>
          </w:p>
        </w:tc>
        <w:tc>
          <w:tcPr>
            <w:tcW w:w="3068"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Times New Roman" w:hAnsi="Arial" w:cs="Arial"/>
                <w:bCs/>
                <w:sz w:val="24"/>
                <w:szCs w:val="24"/>
              </w:rPr>
              <w:t>Negre</w:t>
            </w:r>
            <w:r w:rsidRPr="00934C02">
              <w:rPr>
                <w:rFonts w:ascii="Arial" w:eastAsia="Times New Roman" w:hAnsi="Arial" w:cs="Arial"/>
                <w:bCs/>
                <w:sz w:val="24"/>
                <w:szCs w:val="24"/>
                <w:lang w:val="ro-RO"/>
              </w:rPr>
              <w:t>şti</w:t>
            </w:r>
          </w:p>
        </w:tc>
        <w:tc>
          <w:tcPr>
            <w:tcW w:w="3584" w:type="dxa"/>
            <w:shd w:val="clear" w:color="auto" w:fill="auto"/>
          </w:tcPr>
          <w:p w:rsidR="00934C02" w:rsidRPr="00934C02" w:rsidRDefault="00934C02" w:rsidP="00934C02">
            <w:pPr>
              <w:spacing w:after="0" w:line="240" w:lineRule="auto"/>
              <w:jc w:val="center"/>
              <w:rPr>
                <w:rFonts w:ascii="Arial" w:eastAsia="SimSun" w:hAnsi="Arial" w:cs="Arial"/>
                <w:sz w:val="24"/>
                <w:szCs w:val="24"/>
                <w:lang w:val="ro-RO"/>
              </w:rPr>
            </w:pPr>
            <w:r w:rsidRPr="00934C02">
              <w:rPr>
                <w:rFonts w:ascii="Arial" w:eastAsia="SimSun" w:hAnsi="Arial" w:cs="Arial"/>
                <w:sz w:val="24"/>
                <w:szCs w:val="24"/>
                <w:lang w:val="ro-RO"/>
              </w:rPr>
              <w:t>560,1</w:t>
            </w:r>
          </w:p>
        </w:tc>
      </w:tr>
      <w:tr w:rsidR="00934C02" w:rsidRPr="00934C02" w:rsidTr="00934C02">
        <w:trPr>
          <w:trHeight w:val="229"/>
        </w:trPr>
        <w:tc>
          <w:tcPr>
            <w:tcW w:w="1009" w:type="dxa"/>
            <w:vMerge/>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p>
        </w:tc>
        <w:tc>
          <w:tcPr>
            <w:tcW w:w="3068"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Times New Roman" w:hAnsi="Arial" w:cs="Arial"/>
                <w:bCs/>
                <w:sz w:val="24"/>
                <w:szCs w:val="24"/>
              </w:rPr>
              <w:t>Vaslui</w:t>
            </w:r>
          </w:p>
        </w:tc>
        <w:tc>
          <w:tcPr>
            <w:tcW w:w="3584" w:type="dxa"/>
            <w:shd w:val="clear" w:color="auto" w:fill="auto"/>
          </w:tcPr>
          <w:p w:rsidR="00934C02" w:rsidRPr="00934C02" w:rsidRDefault="00934C02" w:rsidP="00934C02">
            <w:pPr>
              <w:spacing w:after="0" w:line="240" w:lineRule="auto"/>
              <w:jc w:val="center"/>
              <w:rPr>
                <w:rFonts w:ascii="Arial" w:eastAsia="SimSun" w:hAnsi="Arial" w:cs="Arial"/>
                <w:sz w:val="24"/>
                <w:szCs w:val="24"/>
                <w:lang w:val="ro-RO"/>
              </w:rPr>
            </w:pPr>
            <w:r w:rsidRPr="00934C02">
              <w:rPr>
                <w:rFonts w:ascii="Arial" w:eastAsia="SimSun" w:hAnsi="Arial" w:cs="Arial"/>
                <w:sz w:val="24"/>
                <w:szCs w:val="24"/>
                <w:lang w:val="ro-RO"/>
              </w:rPr>
              <w:t>721,4</w:t>
            </w:r>
          </w:p>
        </w:tc>
      </w:tr>
      <w:tr w:rsidR="00934C02" w:rsidRPr="00934C02" w:rsidTr="00934C02">
        <w:trPr>
          <w:trHeight w:val="267"/>
        </w:trPr>
        <w:tc>
          <w:tcPr>
            <w:tcW w:w="1009" w:type="dxa"/>
            <w:vMerge/>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p>
        </w:tc>
        <w:tc>
          <w:tcPr>
            <w:tcW w:w="3068"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Times New Roman" w:hAnsi="Arial" w:cs="Arial"/>
                <w:bCs/>
                <w:sz w:val="24"/>
                <w:szCs w:val="24"/>
              </w:rPr>
              <w:t>Bârlad</w:t>
            </w:r>
          </w:p>
        </w:tc>
        <w:tc>
          <w:tcPr>
            <w:tcW w:w="3584" w:type="dxa"/>
            <w:shd w:val="clear" w:color="auto" w:fill="auto"/>
          </w:tcPr>
          <w:p w:rsidR="00934C02" w:rsidRPr="00934C02" w:rsidRDefault="00934C02" w:rsidP="00934C02">
            <w:pPr>
              <w:spacing w:after="0" w:line="240" w:lineRule="auto"/>
              <w:jc w:val="center"/>
              <w:rPr>
                <w:rFonts w:ascii="Arial" w:eastAsia="SimSun" w:hAnsi="Arial" w:cs="Arial"/>
                <w:sz w:val="24"/>
                <w:szCs w:val="24"/>
                <w:lang w:val="ro-RO"/>
              </w:rPr>
            </w:pPr>
            <w:r w:rsidRPr="00934C02">
              <w:rPr>
                <w:rFonts w:ascii="Arial" w:eastAsia="SimSun" w:hAnsi="Arial" w:cs="Arial"/>
                <w:sz w:val="24"/>
                <w:szCs w:val="24"/>
                <w:lang w:val="ro-RO"/>
              </w:rPr>
              <w:t>595,8</w:t>
            </w:r>
          </w:p>
        </w:tc>
      </w:tr>
      <w:tr w:rsidR="00934C02" w:rsidRPr="00934C02" w:rsidTr="00934C02">
        <w:trPr>
          <w:trHeight w:val="229"/>
        </w:trPr>
        <w:tc>
          <w:tcPr>
            <w:tcW w:w="1009" w:type="dxa"/>
            <w:vMerge w:val="restart"/>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p>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2015</w:t>
            </w:r>
          </w:p>
        </w:tc>
        <w:tc>
          <w:tcPr>
            <w:tcW w:w="3068"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Times New Roman" w:hAnsi="Arial" w:cs="Arial"/>
                <w:bCs/>
                <w:sz w:val="24"/>
                <w:szCs w:val="24"/>
              </w:rPr>
              <w:t>Negre</w:t>
            </w:r>
            <w:r w:rsidRPr="00934C02">
              <w:rPr>
                <w:rFonts w:ascii="Arial" w:eastAsia="Times New Roman" w:hAnsi="Arial" w:cs="Arial"/>
                <w:bCs/>
                <w:sz w:val="24"/>
                <w:szCs w:val="24"/>
                <w:lang w:val="ro-RO"/>
              </w:rPr>
              <w:t>şti</w:t>
            </w:r>
          </w:p>
        </w:tc>
        <w:tc>
          <w:tcPr>
            <w:tcW w:w="3584" w:type="dxa"/>
            <w:shd w:val="clear" w:color="auto" w:fill="auto"/>
          </w:tcPr>
          <w:p w:rsidR="00934C02" w:rsidRPr="00934C02" w:rsidRDefault="00934C02" w:rsidP="00934C02">
            <w:pPr>
              <w:spacing w:after="0" w:line="240" w:lineRule="auto"/>
              <w:jc w:val="center"/>
              <w:rPr>
                <w:rFonts w:ascii="Arial" w:eastAsia="SimSun" w:hAnsi="Arial" w:cs="Arial"/>
                <w:sz w:val="24"/>
                <w:szCs w:val="24"/>
                <w:lang w:val="ro-RO"/>
              </w:rPr>
            </w:pPr>
            <w:r w:rsidRPr="00934C02">
              <w:rPr>
                <w:rFonts w:ascii="Arial" w:eastAsia="SimSun" w:hAnsi="Arial" w:cs="Arial"/>
                <w:sz w:val="24"/>
                <w:szCs w:val="24"/>
                <w:lang w:val="ro-RO"/>
              </w:rPr>
              <w:t>435,3</w:t>
            </w:r>
          </w:p>
        </w:tc>
      </w:tr>
      <w:tr w:rsidR="00934C02" w:rsidRPr="00934C02" w:rsidTr="00934C02">
        <w:trPr>
          <w:trHeight w:val="182"/>
        </w:trPr>
        <w:tc>
          <w:tcPr>
            <w:tcW w:w="1009" w:type="dxa"/>
            <w:vMerge/>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p>
        </w:tc>
        <w:tc>
          <w:tcPr>
            <w:tcW w:w="3068"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Times New Roman" w:hAnsi="Arial" w:cs="Arial"/>
                <w:bCs/>
                <w:sz w:val="24"/>
                <w:szCs w:val="24"/>
              </w:rPr>
              <w:t>Vaslui</w:t>
            </w:r>
          </w:p>
        </w:tc>
        <w:tc>
          <w:tcPr>
            <w:tcW w:w="3584" w:type="dxa"/>
            <w:shd w:val="clear" w:color="auto" w:fill="auto"/>
          </w:tcPr>
          <w:p w:rsidR="00934C02" w:rsidRPr="00934C02" w:rsidRDefault="00934C02" w:rsidP="00934C02">
            <w:pPr>
              <w:spacing w:after="0" w:line="240" w:lineRule="auto"/>
              <w:jc w:val="center"/>
              <w:rPr>
                <w:rFonts w:ascii="Arial" w:eastAsia="SimSun" w:hAnsi="Arial" w:cs="Arial"/>
                <w:sz w:val="24"/>
                <w:szCs w:val="24"/>
                <w:lang w:val="ro-RO"/>
              </w:rPr>
            </w:pPr>
            <w:r w:rsidRPr="00934C02">
              <w:rPr>
                <w:rFonts w:ascii="Arial" w:eastAsia="SimSun" w:hAnsi="Arial" w:cs="Arial"/>
                <w:sz w:val="24"/>
                <w:szCs w:val="24"/>
                <w:lang w:val="ro-RO"/>
              </w:rPr>
              <w:t>456,9</w:t>
            </w:r>
          </w:p>
        </w:tc>
      </w:tr>
      <w:tr w:rsidR="00934C02" w:rsidRPr="00934C02" w:rsidTr="00934C02">
        <w:trPr>
          <w:trHeight w:val="203"/>
        </w:trPr>
        <w:tc>
          <w:tcPr>
            <w:tcW w:w="1009" w:type="dxa"/>
            <w:vMerge/>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p>
        </w:tc>
        <w:tc>
          <w:tcPr>
            <w:tcW w:w="3068" w:type="dxa"/>
            <w:shd w:val="clear" w:color="auto" w:fill="auto"/>
          </w:tcPr>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Times New Roman" w:hAnsi="Arial" w:cs="Arial"/>
                <w:bCs/>
                <w:sz w:val="24"/>
                <w:szCs w:val="24"/>
              </w:rPr>
              <w:t>Bârlad</w:t>
            </w:r>
          </w:p>
        </w:tc>
        <w:tc>
          <w:tcPr>
            <w:tcW w:w="3584" w:type="dxa"/>
            <w:shd w:val="clear" w:color="auto" w:fill="auto"/>
          </w:tcPr>
          <w:p w:rsidR="00934C02" w:rsidRPr="00934C02" w:rsidRDefault="00934C02" w:rsidP="00934C02">
            <w:pPr>
              <w:spacing w:after="0" w:line="240" w:lineRule="auto"/>
              <w:jc w:val="center"/>
              <w:rPr>
                <w:rFonts w:ascii="Arial" w:eastAsia="SimSun" w:hAnsi="Arial" w:cs="Arial"/>
                <w:sz w:val="24"/>
                <w:szCs w:val="24"/>
                <w:lang w:val="ro-RO"/>
              </w:rPr>
            </w:pPr>
            <w:r w:rsidRPr="00934C02">
              <w:rPr>
                <w:rFonts w:ascii="Arial" w:eastAsia="SimSun" w:hAnsi="Arial" w:cs="Arial"/>
                <w:sz w:val="24"/>
                <w:szCs w:val="24"/>
                <w:lang w:val="ro-RO"/>
              </w:rPr>
              <w:t>498,7</w:t>
            </w:r>
          </w:p>
        </w:tc>
      </w:tr>
    </w:tbl>
    <w:p w:rsidR="00934C02" w:rsidRPr="00934C02" w:rsidRDefault="00934C02" w:rsidP="00934C02">
      <w:pPr>
        <w:spacing w:after="0" w:line="240" w:lineRule="auto"/>
        <w:jc w:val="both"/>
        <w:rPr>
          <w:rFonts w:ascii="Arial" w:eastAsia="Times New Roman" w:hAnsi="Arial" w:cs="Arial"/>
          <w:bCs/>
          <w:sz w:val="18"/>
          <w:szCs w:val="18"/>
          <w:lang w:val="ro-RO"/>
        </w:rPr>
      </w:pPr>
      <w:r w:rsidRPr="00934C02">
        <w:rPr>
          <w:rFonts w:ascii="Arial" w:eastAsia="Times New Roman" w:hAnsi="Arial" w:cs="Arial"/>
          <w:bCs/>
          <w:sz w:val="18"/>
          <w:szCs w:val="18"/>
          <w:lang w:val="ro-RO"/>
        </w:rPr>
        <w:t>(Sursa: Administraţia Naţională de Meteorologie – Centrul Meteorologic Regional Moldova)</w:t>
      </w:r>
    </w:p>
    <w:p w:rsidR="00934C02" w:rsidRPr="00934C02" w:rsidRDefault="00934C02" w:rsidP="00934C02">
      <w:pPr>
        <w:spacing w:after="0" w:line="240" w:lineRule="auto"/>
        <w:jc w:val="both"/>
        <w:rPr>
          <w:rFonts w:ascii="Arial" w:eastAsia="Times New Roman" w:hAnsi="Arial" w:cs="Arial"/>
          <w:bCs/>
          <w:sz w:val="18"/>
          <w:szCs w:val="18"/>
          <w:lang w:val="ro-RO"/>
        </w:rPr>
      </w:pPr>
    </w:p>
    <w:p w:rsidR="00934C02" w:rsidRPr="00934C02" w:rsidRDefault="00934C02" w:rsidP="00934C02">
      <w:pPr>
        <w:spacing w:after="0" w:line="240" w:lineRule="auto"/>
        <w:jc w:val="both"/>
        <w:rPr>
          <w:rFonts w:ascii="Arial" w:eastAsia="SimSun" w:hAnsi="Arial" w:cs="Arial"/>
          <w:sz w:val="24"/>
          <w:szCs w:val="24"/>
          <w:lang w:val="ro-RO"/>
        </w:rPr>
      </w:pPr>
      <w:r w:rsidRPr="00934C02">
        <w:rPr>
          <w:rFonts w:ascii="Arial" w:eastAsia="SimSun" w:hAnsi="Arial" w:cs="Arial"/>
          <w:sz w:val="24"/>
          <w:szCs w:val="24"/>
          <w:lang w:val="ro-RO"/>
        </w:rPr>
        <w:t>Figura VIII</w:t>
      </w:r>
      <w:r w:rsidRPr="00934C02">
        <w:rPr>
          <w:rFonts w:ascii="Arial" w:eastAsia="SimSun" w:hAnsi="Arial" w:cs="Arial"/>
          <w:sz w:val="24"/>
          <w:szCs w:val="24"/>
          <w:lang w:val="en-GB"/>
        </w:rPr>
        <w:t>.12.</w:t>
      </w:r>
      <w:r w:rsidRPr="00934C02">
        <w:rPr>
          <w:rFonts w:ascii="Arial" w:eastAsia="Times New Roman" w:hAnsi="Arial" w:cs="Arial"/>
          <w:sz w:val="24"/>
          <w:szCs w:val="24"/>
        </w:rPr>
        <w:t xml:space="preserve"> </w:t>
      </w:r>
      <w:r w:rsidRPr="00934C02">
        <w:rPr>
          <w:rFonts w:ascii="Arial" w:eastAsia="SimSun" w:hAnsi="Arial" w:cs="Arial"/>
          <w:sz w:val="24"/>
          <w:szCs w:val="24"/>
          <w:lang w:val="ro-RO"/>
        </w:rPr>
        <w:t>Evoluţia cantităţilor anuale de precipitaţii, pentru judeţul Vaslui, în perioada 2011-2015</w:t>
      </w:r>
    </w:p>
    <w:p w:rsidR="00934C02" w:rsidRDefault="00934C02" w:rsidP="00934C02">
      <w:pPr>
        <w:autoSpaceDE w:val="0"/>
        <w:autoSpaceDN w:val="0"/>
        <w:adjustRightInd w:val="0"/>
        <w:spacing w:after="120" w:line="240" w:lineRule="auto"/>
        <w:jc w:val="both"/>
        <w:rPr>
          <w:rFonts w:ascii="Arial" w:eastAsia="SimSun" w:hAnsi="Arial" w:cs="Arial"/>
          <w:color w:val="000000" w:themeColor="text1"/>
          <w:sz w:val="24"/>
          <w:szCs w:val="24"/>
          <w:lang w:val="en-GB"/>
        </w:rPr>
      </w:pPr>
      <w:r>
        <w:rPr>
          <w:rFonts w:ascii="Arial" w:eastAsia="SimSun" w:hAnsi="Arial" w:cs="Arial"/>
          <w:noProof/>
          <w:sz w:val="24"/>
          <w:szCs w:val="24"/>
        </w:rPr>
        <w:drawing>
          <wp:inline distT="0" distB="0" distL="0" distR="0">
            <wp:extent cx="6267450" cy="1752600"/>
            <wp:effectExtent l="0" t="0" r="0" b="0"/>
            <wp:docPr id="262" name="Chart 2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477FE7" w:rsidRPr="00477FE7" w:rsidRDefault="00477FE7" w:rsidP="00477FE7">
      <w:pPr>
        <w:spacing w:after="0" w:line="240" w:lineRule="auto"/>
        <w:jc w:val="center"/>
        <w:rPr>
          <w:rFonts w:ascii="Arial" w:hAnsi="Arial" w:cs="Arial"/>
          <w:b/>
          <w:sz w:val="24"/>
          <w:szCs w:val="24"/>
          <w:lang w:val="ro-RO"/>
        </w:rPr>
      </w:pPr>
      <w:r w:rsidRPr="00477FE7">
        <w:rPr>
          <w:rFonts w:ascii="Arial" w:hAnsi="Arial" w:cs="Arial"/>
          <w:b/>
          <w:color w:val="000000"/>
          <w:lang w:val="it-IT"/>
        </w:rPr>
        <w:lastRenderedPageBreak/>
        <w:t>CAPITOLUL</w:t>
      </w:r>
      <w:r w:rsidRPr="00477FE7">
        <w:rPr>
          <w:rFonts w:ascii="Arial" w:hAnsi="Arial" w:cs="Arial"/>
          <w:b/>
          <w:sz w:val="24"/>
          <w:szCs w:val="24"/>
          <w:lang w:val="ro-RO"/>
        </w:rPr>
        <w:t xml:space="preserve"> IX. RADIOACTIVITATEA MEDIULUI</w:t>
      </w:r>
    </w:p>
    <w:p w:rsidR="00477FE7" w:rsidRPr="00477FE7" w:rsidRDefault="00477FE7" w:rsidP="00477FE7">
      <w:pPr>
        <w:spacing w:after="0" w:line="240" w:lineRule="auto"/>
        <w:rPr>
          <w:rFonts w:ascii="Arial" w:hAnsi="Arial" w:cs="Arial"/>
          <w:b/>
          <w:sz w:val="24"/>
          <w:szCs w:val="24"/>
          <w:lang w:val="it-IT"/>
        </w:rPr>
      </w:pPr>
    </w:p>
    <w:p w:rsidR="00477FE7" w:rsidRPr="00477FE7" w:rsidRDefault="00477FE7" w:rsidP="00477FE7">
      <w:pPr>
        <w:spacing w:after="0" w:line="240" w:lineRule="auto"/>
        <w:rPr>
          <w:rFonts w:ascii="Arial" w:hAnsi="Arial" w:cs="Arial"/>
          <w:b/>
          <w:sz w:val="24"/>
          <w:szCs w:val="24"/>
          <w:lang w:val="it-IT"/>
        </w:rPr>
      </w:pPr>
      <w:r w:rsidRPr="00477FE7">
        <w:rPr>
          <w:rFonts w:ascii="Arial" w:hAnsi="Arial" w:cs="Arial"/>
          <w:b/>
          <w:sz w:val="24"/>
          <w:szCs w:val="24"/>
          <w:lang w:val="it-IT"/>
        </w:rPr>
        <w:t xml:space="preserve"> Reţeaua naţională de supraveghere a radioactivităţii mediului</w:t>
      </w:r>
    </w:p>
    <w:p w:rsidR="00477FE7" w:rsidRPr="00477FE7" w:rsidRDefault="00477FE7" w:rsidP="00477FE7">
      <w:pPr>
        <w:spacing w:after="0" w:line="240" w:lineRule="auto"/>
        <w:rPr>
          <w:rFonts w:ascii="Arial" w:hAnsi="Arial" w:cs="Arial"/>
          <w:b/>
          <w:sz w:val="24"/>
          <w:szCs w:val="24"/>
          <w:lang w:val="it-IT"/>
        </w:rPr>
      </w:pPr>
    </w:p>
    <w:p w:rsidR="00477FE7" w:rsidRPr="00477FE7" w:rsidRDefault="00477FE7" w:rsidP="00477FE7">
      <w:pPr>
        <w:spacing w:after="0" w:line="240" w:lineRule="auto"/>
        <w:ind w:firstLine="720"/>
        <w:jc w:val="both"/>
        <w:rPr>
          <w:rFonts w:ascii="Arial" w:hAnsi="Arial" w:cs="Arial"/>
          <w:b/>
          <w:i/>
          <w:sz w:val="24"/>
          <w:szCs w:val="24"/>
          <w:lang w:val="en-GB"/>
        </w:rPr>
      </w:pPr>
      <w:r w:rsidRPr="00477FE7">
        <w:rPr>
          <w:rFonts w:ascii="Arial" w:hAnsi="Arial" w:cs="Arial"/>
          <w:sz w:val="24"/>
          <w:szCs w:val="24"/>
        </w:rPr>
        <w:t xml:space="preserve">Supravegherea radioactivităţii mediului în România a început în 1962 odată cu înfiinţarea Reţelei  Naţionale de Supraveghere a Radioactivităţii Mediului (RNSRM). Până în 1978 s-au făcut determinări ale concentraţiilor de radioizotopi artificiali folosind tehnica măsurărilor beta globale. </w:t>
      </w:r>
      <w:r w:rsidRPr="00477FE7">
        <w:rPr>
          <w:rFonts w:ascii="Arial" w:hAnsi="Arial" w:cs="Arial"/>
          <w:sz w:val="24"/>
          <w:szCs w:val="24"/>
          <w:lang w:val="it-IT"/>
        </w:rPr>
        <w:t xml:space="preserve">Din anul 1978, în RNSRM se execută constant şi determinări gamma spectrometrice pentru identificarea radioizotopilor gamma emiţători. Astfel, probele de aerosoli atmosferici, sol, vegetaţie şi apă de suprafaţă (râuri), colectate de staţiile RNSRM, au fost şi sunt analizate lunar prin spectrometrie gamma, creându-se o bancă de date ce cuprinde valori lunare şi anuale ale concentraţiilor radioizotopilor naturali şi artificiali pentru probele de mediu, pentru întreg teritoriul ţării. Începând din anul 2001 zilnic se colectează apă de suprafaţă (râu Bârlad), iar de câte ori este cazul se colectează precipitaţii care sunt expediate lunar la Laboratorul Naţional de Referinţă Radioactivitate - ANPM pentru analize de tritiu. Monitorizarea radioactivităţii mediului pe teritoriul judeţului Vaslui a ȋnceput din anul 1990. Supravegherea radioactivităţii factorilor de mediu pe teritoriul naţional este asigurată prin Programul Standard de Supraveghere a Radioactivităţii Mediului în conformitate cu regulamentul de organizare şi funcţionare a Reţelei Naţionale de Supraveghere a Radioactivităţii Mediului aprobat prin Ordinul MMP nr. 1978/2010. </w:t>
      </w:r>
    </w:p>
    <w:p w:rsidR="00477FE7" w:rsidRPr="00477FE7" w:rsidRDefault="00477FE7" w:rsidP="00477FE7">
      <w:pPr>
        <w:rPr>
          <w:rFonts w:ascii="Arial" w:hAnsi="Arial" w:cs="Arial"/>
          <w:b/>
          <w:sz w:val="24"/>
          <w:szCs w:val="24"/>
          <w:lang w:val="ro-RO"/>
        </w:rPr>
      </w:pPr>
    </w:p>
    <w:p w:rsidR="00477FE7" w:rsidRPr="00477FE7" w:rsidRDefault="00477FE7" w:rsidP="00477FE7">
      <w:pPr>
        <w:spacing w:after="0" w:line="240" w:lineRule="auto"/>
        <w:rPr>
          <w:rFonts w:ascii="Arial" w:hAnsi="Arial" w:cs="Arial"/>
          <w:sz w:val="24"/>
          <w:szCs w:val="24"/>
          <w:lang w:val="it-IT"/>
        </w:rPr>
      </w:pPr>
      <w:r w:rsidRPr="00477FE7">
        <w:rPr>
          <w:rFonts w:ascii="Arial" w:hAnsi="Arial" w:cs="Arial"/>
          <w:b/>
          <w:sz w:val="24"/>
          <w:szCs w:val="24"/>
          <w:lang w:val="ro-RO"/>
        </w:rPr>
        <w:t>IX.1. Monitorizarea radioactivităţii factorilor de mediu</w:t>
      </w:r>
    </w:p>
    <w:p w:rsidR="00477FE7" w:rsidRPr="00477FE7" w:rsidRDefault="00477FE7" w:rsidP="00477FE7">
      <w:pPr>
        <w:spacing w:after="0" w:line="240" w:lineRule="auto"/>
        <w:rPr>
          <w:rFonts w:ascii="Arial" w:hAnsi="Arial" w:cs="Arial"/>
          <w:b/>
          <w:sz w:val="24"/>
          <w:szCs w:val="24"/>
          <w:lang w:val="it-IT"/>
        </w:rPr>
      </w:pPr>
      <w:r w:rsidRPr="00477FE7">
        <w:rPr>
          <w:rFonts w:ascii="Arial" w:hAnsi="Arial" w:cs="Arial"/>
          <w:b/>
          <w:sz w:val="24"/>
          <w:szCs w:val="24"/>
          <w:lang w:val="it-IT"/>
        </w:rPr>
        <w:t xml:space="preserve"> </w:t>
      </w:r>
    </w:p>
    <w:p w:rsidR="00477FE7" w:rsidRPr="00477FE7" w:rsidRDefault="00477FE7" w:rsidP="00477FE7">
      <w:pPr>
        <w:rPr>
          <w:rFonts w:ascii="Arial" w:hAnsi="Arial" w:cs="Arial"/>
          <w:b/>
          <w:sz w:val="24"/>
          <w:szCs w:val="24"/>
        </w:rPr>
      </w:pPr>
      <w:r w:rsidRPr="00477FE7">
        <w:rPr>
          <w:rFonts w:ascii="Arial" w:hAnsi="Arial" w:cs="Arial"/>
          <w:b/>
          <w:sz w:val="24"/>
          <w:szCs w:val="24"/>
        </w:rPr>
        <w:t>Programul Naţional standard de monitorizare a radioactivităţii mediului</w:t>
      </w:r>
    </w:p>
    <w:p w:rsidR="00477FE7" w:rsidRPr="00477FE7" w:rsidRDefault="00477FE7" w:rsidP="00477FE7">
      <w:pPr>
        <w:spacing w:after="0" w:line="240" w:lineRule="auto"/>
        <w:ind w:firstLine="720"/>
        <w:jc w:val="both"/>
        <w:rPr>
          <w:rFonts w:ascii="Arial" w:hAnsi="Arial" w:cs="Arial"/>
          <w:sz w:val="24"/>
          <w:szCs w:val="24"/>
        </w:rPr>
      </w:pPr>
      <w:r w:rsidRPr="00477FE7">
        <w:rPr>
          <w:rFonts w:ascii="Arial" w:hAnsi="Arial" w:cs="Arial"/>
          <w:sz w:val="24"/>
          <w:szCs w:val="24"/>
        </w:rPr>
        <w:t>Programul Naţional de Supraveghere a Radioactivităţii Mediului are două componente: supravegherea şi controlul de rutină în jurul unui obiectiv nuclear şi  supravegherea radioactivităţii mediului la nivelul întregului teritoriu. Programele de supraveghere a radioactivităţii mediului sunt executate de Staţiile de Supraveghere a Radioactivităţii Mediului din teritoriu. Staţia de Radioactivitate Vaslui îşi desfăşoară activitatea  după un program standard (program standard de 11 ore zilnic) de prelevare, pregătire şi  măsurare în situaţii normale a nivelului radioactivităţii beta globale pentru următorii factori  de mediu:</w:t>
      </w:r>
    </w:p>
    <w:p w:rsidR="00477FE7" w:rsidRPr="00477FE7" w:rsidRDefault="00477FE7" w:rsidP="005910C7">
      <w:pPr>
        <w:numPr>
          <w:ilvl w:val="0"/>
          <w:numId w:val="20"/>
        </w:numPr>
        <w:spacing w:after="0" w:line="240" w:lineRule="auto"/>
        <w:rPr>
          <w:rFonts w:ascii="Arial" w:hAnsi="Arial" w:cs="Arial"/>
          <w:sz w:val="24"/>
          <w:szCs w:val="24"/>
        </w:rPr>
      </w:pPr>
      <w:r w:rsidRPr="00477FE7">
        <w:rPr>
          <w:rFonts w:ascii="Arial" w:hAnsi="Arial" w:cs="Arial"/>
          <w:sz w:val="24"/>
          <w:szCs w:val="24"/>
        </w:rPr>
        <w:t>aerosoli atmosferici</w:t>
      </w:r>
    </w:p>
    <w:p w:rsidR="00477FE7" w:rsidRPr="00477FE7" w:rsidRDefault="00477FE7" w:rsidP="005910C7">
      <w:pPr>
        <w:numPr>
          <w:ilvl w:val="0"/>
          <w:numId w:val="20"/>
        </w:numPr>
        <w:spacing w:after="0" w:line="240" w:lineRule="auto"/>
        <w:rPr>
          <w:rFonts w:ascii="Arial" w:hAnsi="Arial" w:cs="Arial"/>
          <w:sz w:val="24"/>
          <w:szCs w:val="24"/>
          <w:lang w:val="fr-FR"/>
        </w:rPr>
      </w:pPr>
      <w:r w:rsidRPr="00477FE7">
        <w:rPr>
          <w:rFonts w:ascii="Arial" w:hAnsi="Arial" w:cs="Arial"/>
          <w:sz w:val="24"/>
          <w:szCs w:val="24"/>
          <w:lang w:val="fr-FR"/>
        </w:rPr>
        <w:t>apă brută (râu Bârlad, râu Prut, foraj Munteni de Jos);</w:t>
      </w:r>
    </w:p>
    <w:p w:rsidR="00477FE7" w:rsidRPr="00477FE7" w:rsidRDefault="00477FE7" w:rsidP="005910C7">
      <w:pPr>
        <w:numPr>
          <w:ilvl w:val="0"/>
          <w:numId w:val="20"/>
        </w:numPr>
        <w:spacing w:after="0" w:line="240" w:lineRule="auto"/>
        <w:rPr>
          <w:rFonts w:ascii="Arial" w:hAnsi="Arial" w:cs="Arial"/>
          <w:sz w:val="24"/>
          <w:szCs w:val="24"/>
        </w:rPr>
      </w:pPr>
      <w:r w:rsidRPr="00477FE7">
        <w:rPr>
          <w:rFonts w:ascii="Arial" w:hAnsi="Arial" w:cs="Arial"/>
          <w:sz w:val="24"/>
          <w:szCs w:val="24"/>
        </w:rPr>
        <w:t>sol necultivat;</w:t>
      </w:r>
    </w:p>
    <w:p w:rsidR="00477FE7" w:rsidRPr="00477FE7" w:rsidRDefault="00477FE7" w:rsidP="005910C7">
      <w:pPr>
        <w:numPr>
          <w:ilvl w:val="0"/>
          <w:numId w:val="20"/>
        </w:numPr>
        <w:spacing w:after="0" w:line="240" w:lineRule="auto"/>
        <w:rPr>
          <w:rFonts w:ascii="Arial" w:hAnsi="Arial" w:cs="Arial"/>
          <w:sz w:val="24"/>
          <w:szCs w:val="24"/>
        </w:rPr>
      </w:pPr>
      <w:r w:rsidRPr="00477FE7">
        <w:rPr>
          <w:rFonts w:ascii="Arial" w:hAnsi="Arial" w:cs="Arial"/>
          <w:sz w:val="24"/>
          <w:szCs w:val="24"/>
        </w:rPr>
        <w:t>vegetaţie spontană;</w:t>
      </w:r>
    </w:p>
    <w:p w:rsidR="00477FE7" w:rsidRPr="00477FE7" w:rsidRDefault="00477FE7" w:rsidP="00477FE7">
      <w:pPr>
        <w:spacing w:after="0" w:line="240" w:lineRule="auto"/>
        <w:ind w:firstLine="720"/>
        <w:jc w:val="both"/>
        <w:rPr>
          <w:rFonts w:ascii="Arial" w:hAnsi="Arial" w:cs="Arial"/>
          <w:sz w:val="24"/>
          <w:szCs w:val="24"/>
        </w:rPr>
      </w:pPr>
      <w:r w:rsidRPr="00477FE7">
        <w:rPr>
          <w:rFonts w:ascii="Arial" w:hAnsi="Arial" w:cs="Arial"/>
          <w:sz w:val="24"/>
          <w:szCs w:val="24"/>
        </w:rPr>
        <w:t>Pentru măsurarea beta globală a probelor de mediu s-a utilizat sistemul de masură alfa-beta global tip Thermo cu contor propor</w:t>
      </w:r>
      <w:r w:rsidRPr="00477FE7">
        <w:rPr>
          <w:rFonts w:ascii="Arial" w:hAnsi="Arial" w:cs="Arial"/>
          <w:sz w:val="24"/>
          <w:szCs w:val="24"/>
          <w:lang w:val="en-GB"/>
        </w:rPr>
        <w:t xml:space="preserve">ţional și </w:t>
      </w:r>
      <w:r w:rsidRPr="00477FE7">
        <w:rPr>
          <w:rFonts w:ascii="Arial" w:hAnsi="Arial" w:cs="Arial"/>
          <w:sz w:val="24"/>
          <w:szCs w:val="24"/>
        </w:rPr>
        <w:t xml:space="preserve">sistemul de măsură alfa-beta global tip Protean MPC-900 cu detector discintilator compozit (ZnS și plastic). </w:t>
      </w:r>
      <w:r w:rsidRPr="00477FE7">
        <w:rPr>
          <w:rFonts w:ascii="Arial" w:hAnsi="Arial" w:cs="Arial"/>
          <w:sz w:val="24"/>
          <w:szCs w:val="24"/>
          <w:lang w:val="fr-FR"/>
        </w:rPr>
        <w:t>Pentru etalonare în măsurarea activităţii beta globale se folosesc surse etalon de suprafaţă de (Sr-Y)</w:t>
      </w:r>
      <w:r w:rsidRPr="00477FE7">
        <w:rPr>
          <w:rFonts w:ascii="Arial" w:hAnsi="Arial" w:cs="Arial"/>
          <w:sz w:val="24"/>
          <w:szCs w:val="24"/>
          <w:vertAlign w:val="superscript"/>
          <w:lang w:val="fr-FR"/>
        </w:rPr>
        <w:t>90</w:t>
      </w:r>
      <w:r w:rsidRPr="00477FE7">
        <w:rPr>
          <w:rFonts w:ascii="Arial" w:hAnsi="Arial" w:cs="Arial"/>
          <w:sz w:val="24"/>
          <w:szCs w:val="24"/>
          <w:lang w:val="fr-FR"/>
        </w:rPr>
        <w:t>.</w:t>
      </w:r>
    </w:p>
    <w:p w:rsidR="00477FE7" w:rsidRPr="00477FE7" w:rsidRDefault="00477FE7" w:rsidP="00477FE7">
      <w:pPr>
        <w:spacing w:after="0" w:line="240" w:lineRule="auto"/>
        <w:ind w:firstLine="420"/>
        <w:rPr>
          <w:rFonts w:ascii="Arial" w:hAnsi="Arial" w:cs="Arial"/>
          <w:sz w:val="24"/>
          <w:szCs w:val="24"/>
        </w:rPr>
      </w:pPr>
      <w:r w:rsidRPr="00477FE7">
        <w:rPr>
          <w:rFonts w:ascii="Arial" w:hAnsi="Arial" w:cs="Arial"/>
          <w:sz w:val="24"/>
          <w:szCs w:val="24"/>
        </w:rPr>
        <w:t>Măsurarea beta globală a probelor de mediu se realizează în două etape:</w:t>
      </w:r>
    </w:p>
    <w:p w:rsidR="00477FE7" w:rsidRPr="00477FE7" w:rsidRDefault="00477FE7" w:rsidP="005910C7">
      <w:pPr>
        <w:numPr>
          <w:ilvl w:val="0"/>
          <w:numId w:val="20"/>
        </w:numPr>
        <w:spacing w:after="0" w:line="240" w:lineRule="auto"/>
        <w:ind w:firstLine="0"/>
        <w:rPr>
          <w:rFonts w:ascii="Arial" w:hAnsi="Arial" w:cs="Arial"/>
          <w:sz w:val="24"/>
          <w:szCs w:val="24"/>
          <w:lang w:val="it-IT"/>
        </w:rPr>
      </w:pPr>
      <w:r w:rsidRPr="00477FE7">
        <w:rPr>
          <w:rFonts w:ascii="Arial" w:hAnsi="Arial" w:cs="Arial"/>
          <w:sz w:val="24"/>
          <w:szCs w:val="24"/>
          <w:lang w:val="it-IT"/>
        </w:rPr>
        <w:t>măsurarea imediată după prelevarea şi pregătirea probei;</w:t>
      </w:r>
    </w:p>
    <w:p w:rsidR="00477FE7" w:rsidRPr="00477FE7" w:rsidRDefault="00477FE7" w:rsidP="005910C7">
      <w:pPr>
        <w:numPr>
          <w:ilvl w:val="0"/>
          <w:numId w:val="20"/>
        </w:numPr>
        <w:spacing w:after="0" w:line="240" w:lineRule="auto"/>
        <w:ind w:firstLine="0"/>
        <w:rPr>
          <w:rFonts w:ascii="Arial" w:hAnsi="Arial" w:cs="Arial"/>
          <w:sz w:val="24"/>
          <w:szCs w:val="24"/>
          <w:lang w:val="it-IT"/>
        </w:rPr>
      </w:pPr>
      <w:r w:rsidRPr="00477FE7">
        <w:rPr>
          <w:rFonts w:ascii="Arial" w:hAnsi="Arial" w:cs="Arial"/>
          <w:sz w:val="24"/>
          <w:szCs w:val="24"/>
          <w:lang w:val="it-IT"/>
        </w:rPr>
        <w:lastRenderedPageBreak/>
        <w:t>măsurarea întârziată, la 5 zile de la prelevare probei ce urmează a fi măsurată.</w:t>
      </w:r>
    </w:p>
    <w:p w:rsidR="00477FE7" w:rsidRPr="00477FE7" w:rsidRDefault="00477FE7" w:rsidP="00477FE7">
      <w:pPr>
        <w:spacing w:after="0" w:line="240" w:lineRule="auto"/>
        <w:rPr>
          <w:rFonts w:ascii="Arial" w:hAnsi="Arial" w:cs="Arial"/>
          <w:sz w:val="24"/>
          <w:szCs w:val="24"/>
          <w:lang w:val="it-IT"/>
        </w:rPr>
      </w:pPr>
      <w:r w:rsidRPr="00477FE7">
        <w:rPr>
          <w:rFonts w:ascii="Arial" w:hAnsi="Arial" w:cs="Arial"/>
          <w:sz w:val="24"/>
          <w:szCs w:val="24"/>
          <w:lang w:val="it-IT"/>
        </w:rPr>
        <w:t xml:space="preserve">Principalele obiective ale monitorizării radioactivităţii mediului sunt: </w:t>
      </w:r>
    </w:p>
    <w:p w:rsidR="00477FE7" w:rsidRPr="00477FE7" w:rsidRDefault="00477FE7" w:rsidP="005910C7">
      <w:pPr>
        <w:numPr>
          <w:ilvl w:val="0"/>
          <w:numId w:val="20"/>
        </w:numPr>
        <w:spacing w:after="0" w:line="240" w:lineRule="auto"/>
        <w:ind w:firstLine="0"/>
        <w:rPr>
          <w:rFonts w:ascii="Arial" w:hAnsi="Arial" w:cs="Arial"/>
          <w:sz w:val="24"/>
          <w:szCs w:val="24"/>
          <w:lang w:val="it-IT"/>
        </w:rPr>
      </w:pPr>
      <w:r w:rsidRPr="00477FE7">
        <w:rPr>
          <w:rFonts w:ascii="Arial" w:hAnsi="Arial" w:cs="Arial"/>
          <w:sz w:val="24"/>
          <w:szCs w:val="24"/>
          <w:lang w:val="it-IT"/>
        </w:rPr>
        <w:t>detectarea surselor de radiaţii nucleare din mediu pentru a cuantifica impactul acestora asupra mediului şi sănătaţii umane,</w:t>
      </w:r>
    </w:p>
    <w:p w:rsidR="00477FE7" w:rsidRPr="00477FE7" w:rsidRDefault="00477FE7" w:rsidP="005910C7">
      <w:pPr>
        <w:numPr>
          <w:ilvl w:val="0"/>
          <w:numId w:val="20"/>
        </w:numPr>
        <w:spacing w:after="0" w:line="240" w:lineRule="auto"/>
        <w:ind w:firstLine="0"/>
        <w:rPr>
          <w:rFonts w:ascii="Arial" w:hAnsi="Arial" w:cs="Arial"/>
          <w:sz w:val="24"/>
          <w:szCs w:val="24"/>
          <w:lang w:val="it-IT"/>
        </w:rPr>
      </w:pPr>
      <w:r w:rsidRPr="00477FE7">
        <w:rPr>
          <w:rFonts w:ascii="Arial" w:hAnsi="Arial" w:cs="Arial"/>
          <w:sz w:val="24"/>
          <w:szCs w:val="24"/>
        </w:rPr>
        <w:t>asigurarea faptului că dozele de radiaţii din mediu sunt în conformitate cu prevederile şi normele naţionale şi internaţionale,</w:t>
      </w:r>
      <w:r w:rsidRPr="00477FE7">
        <w:rPr>
          <w:rFonts w:ascii="Arial" w:hAnsi="Arial" w:cs="Arial"/>
          <w:sz w:val="24"/>
          <w:szCs w:val="24"/>
          <w:lang w:val="it-IT"/>
        </w:rPr>
        <w:t xml:space="preserve"> </w:t>
      </w:r>
    </w:p>
    <w:p w:rsidR="00477FE7" w:rsidRPr="00477FE7" w:rsidRDefault="00477FE7" w:rsidP="005910C7">
      <w:pPr>
        <w:numPr>
          <w:ilvl w:val="0"/>
          <w:numId w:val="20"/>
        </w:numPr>
        <w:spacing w:after="0" w:line="240" w:lineRule="auto"/>
        <w:ind w:firstLine="0"/>
        <w:rPr>
          <w:rFonts w:ascii="Arial" w:hAnsi="Arial" w:cs="Arial"/>
          <w:sz w:val="24"/>
          <w:szCs w:val="24"/>
          <w:lang w:val="it-IT"/>
        </w:rPr>
      </w:pPr>
      <w:r w:rsidRPr="00477FE7">
        <w:rPr>
          <w:rFonts w:ascii="Arial" w:hAnsi="Arial" w:cs="Arial"/>
          <w:sz w:val="24"/>
          <w:szCs w:val="24"/>
          <w:lang w:val="it-IT"/>
        </w:rPr>
        <w:t xml:space="preserve">crearea de baze de date </w:t>
      </w:r>
      <w:r w:rsidRPr="00477FE7">
        <w:rPr>
          <w:rFonts w:ascii="Arial" w:hAnsi="Arial" w:cs="Arial"/>
          <w:sz w:val="24"/>
          <w:szCs w:val="24"/>
        </w:rPr>
        <w:t>care pot fi folosite ulterior pentru a estima severitatea unei potenţiale contaminări a mediului,</w:t>
      </w:r>
    </w:p>
    <w:p w:rsidR="00477FE7" w:rsidRPr="00477FE7" w:rsidRDefault="00477FE7" w:rsidP="005910C7">
      <w:pPr>
        <w:numPr>
          <w:ilvl w:val="0"/>
          <w:numId w:val="20"/>
        </w:numPr>
        <w:spacing w:after="0" w:line="240" w:lineRule="auto"/>
        <w:ind w:firstLine="0"/>
        <w:rPr>
          <w:rFonts w:ascii="Arial" w:hAnsi="Arial" w:cs="Arial"/>
          <w:sz w:val="24"/>
          <w:szCs w:val="24"/>
          <w:lang w:val="it-IT"/>
        </w:rPr>
      </w:pPr>
      <w:r w:rsidRPr="00477FE7">
        <w:rPr>
          <w:rFonts w:ascii="Arial" w:hAnsi="Arial" w:cs="Arial"/>
          <w:sz w:val="24"/>
          <w:szCs w:val="24"/>
        </w:rPr>
        <w:t>furnizarea de informaţii către public.</w:t>
      </w:r>
    </w:p>
    <w:p w:rsidR="00477FE7" w:rsidRPr="00477FE7" w:rsidRDefault="00477FE7" w:rsidP="00477FE7">
      <w:pPr>
        <w:spacing w:after="0" w:line="240" w:lineRule="auto"/>
        <w:rPr>
          <w:rFonts w:ascii="Arial" w:hAnsi="Arial" w:cs="Arial"/>
          <w:b/>
          <w:i/>
          <w:sz w:val="24"/>
          <w:szCs w:val="24"/>
          <w:lang w:val="ro-RO"/>
        </w:rPr>
      </w:pPr>
    </w:p>
    <w:p w:rsidR="00477FE7" w:rsidRPr="00477FE7" w:rsidRDefault="00477FE7" w:rsidP="00477FE7">
      <w:pPr>
        <w:spacing w:after="0" w:line="240" w:lineRule="auto"/>
        <w:rPr>
          <w:rFonts w:ascii="Arial" w:hAnsi="Arial" w:cs="Arial"/>
          <w:b/>
          <w:i/>
          <w:sz w:val="24"/>
          <w:szCs w:val="24"/>
          <w:lang w:val="ro-RO"/>
        </w:rPr>
      </w:pPr>
      <w:r w:rsidRPr="00477FE7">
        <w:rPr>
          <w:rFonts w:ascii="Arial" w:hAnsi="Arial" w:cs="Arial"/>
          <w:b/>
          <w:i/>
          <w:sz w:val="24"/>
          <w:szCs w:val="24"/>
          <w:lang w:val="ro-RO"/>
        </w:rPr>
        <w:t xml:space="preserve">IX.1.1. Radioactivitatea aerului </w:t>
      </w:r>
    </w:p>
    <w:p w:rsidR="00477FE7" w:rsidRPr="00477FE7" w:rsidRDefault="00477FE7" w:rsidP="00477FE7">
      <w:pPr>
        <w:spacing w:after="0" w:line="240" w:lineRule="auto"/>
        <w:rPr>
          <w:rFonts w:ascii="Arial" w:hAnsi="Arial" w:cs="Arial"/>
          <w:i/>
          <w:sz w:val="24"/>
          <w:szCs w:val="24"/>
          <w:lang w:val="ro-RO"/>
        </w:rPr>
      </w:pPr>
    </w:p>
    <w:p w:rsidR="00477FE7" w:rsidRPr="00477FE7" w:rsidRDefault="00477FE7" w:rsidP="00477FE7">
      <w:pPr>
        <w:spacing w:after="0" w:line="240" w:lineRule="auto"/>
        <w:rPr>
          <w:rFonts w:ascii="Arial" w:hAnsi="Arial" w:cs="Arial"/>
          <w:b/>
          <w:sz w:val="24"/>
          <w:szCs w:val="24"/>
          <w:lang w:val="it-IT"/>
        </w:rPr>
      </w:pPr>
      <w:r w:rsidRPr="00477FE7">
        <w:rPr>
          <w:rFonts w:ascii="Arial" w:hAnsi="Arial" w:cs="Arial"/>
          <w:b/>
          <w:sz w:val="24"/>
          <w:szCs w:val="24"/>
          <w:lang w:val="it-IT"/>
        </w:rPr>
        <w:t xml:space="preserve"> Debitul dozei gamma în aer [ </w:t>
      </w:r>
      <w:r w:rsidRPr="00477FE7">
        <w:rPr>
          <w:rFonts w:ascii="Arial" w:hAnsi="Arial" w:cs="Arial"/>
          <w:b/>
          <w:sz w:val="24"/>
          <w:szCs w:val="24"/>
        </w:rPr>
        <w:t>μ</w:t>
      </w:r>
      <w:r w:rsidRPr="00477FE7">
        <w:rPr>
          <w:rFonts w:ascii="Arial" w:hAnsi="Arial" w:cs="Arial"/>
          <w:b/>
          <w:sz w:val="24"/>
          <w:szCs w:val="24"/>
          <w:lang w:val="it-IT"/>
        </w:rPr>
        <w:t>Sv/h ]</w:t>
      </w:r>
    </w:p>
    <w:p w:rsidR="00477FE7" w:rsidRPr="00477FE7" w:rsidRDefault="00477FE7" w:rsidP="00477FE7">
      <w:pPr>
        <w:spacing w:after="0" w:line="240" w:lineRule="auto"/>
        <w:rPr>
          <w:rFonts w:ascii="Arial" w:hAnsi="Arial" w:cs="Arial"/>
          <w:b/>
          <w:sz w:val="24"/>
          <w:szCs w:val="24"/>
          <w:lang w:val="it-IT"/>
        </w:rPr>
      </w:pPr>
    </w:p>
    <w:p w:rsidR="00477FE7" w:rsidRPr="00477FE7" w:rsidRDefault="00477FE7" w:rsidP="00477FE7">
      <w:pPr>
        <w:spacing w:after="0" w:line="240" w:lineRule="auto"/>
        <w:ind w:firstLine="720"/>
        <w:jc w:val="both"/>
        <w:rPr>
          <w:rFonts w:ascii="Arial" w:hAnsi="Arial" w:cs="Arial"/>
          <w:sz w:val="24"/>
          <w:szCs w:val="24"/>
          <w:lang w:val="it-IT"/>
        </w:rPr>
      </w:pPr>
      <w:r w:rsidRPr="00477FE7">
        <w:rPr>
          <w:rFonts w:ascii="Arial" w:hAnsi="Arial" w:cs="Arial"/>
          <w:sz w:val="24"/>
          <w:szCs w:val="24"/>
          <w:lang w:val="it-IT"/>
        </w:rPr>
        <w:t>Un indicator important al radioactivităţii atmosferei îl reprezintă mărimea doza gamma absorbită în aer. Doza gamma absorbită, ca mărime fizică, este determinată prin măsurare. Staţia de Radioactivitate are în dotare, staţie automată de monitorizare cu domeniu larg de m</w:t>
      </w:r>
      <w:r w:rsidRPr="00477FE7">
        <w:rPr>
          <w:rFonts w:ascii="Arial" w:hAnsi="Arial" w:cs="Arial"/>
          <w:sz w:val="24"/>
          <w:szCs w:val="24"/>
          <w:lang w:val="en-GB"/>
        </w:rPr>
        <w:t>ăsurare a debitului echivalentului de doză ambiental</w:t>
      </w:r>
      <w:r w:rsidRPr="00477FE7">
        <w:rPr>
          <w:rFonts w:ascii="Arial" w:hAnsi="Arial" w:cs="Arial"/>
          <w:sz w:val="24"/>
          <w:szCs w:val="24"/>
          <w:lang w:val="it-IT"/>
        </w:rPr>
        <w:t xml:space="preserve"> care măsoară automat debitul dozei gamma absorbite în aer şi afişează informaţia mediată la intervale de 60 minute. În figura nr. IX.1 sunt prezentate valorile mediilor și maximilor anuale ale debitului dozei gamma (exprimate ȋn µSv/h) ȋnregistrat pe teritoriul judeţului Vaslui pe o perioadă de cinci ani , valori validate în concordanţă cu radioactivitatea beta globală a aerosolilor şi depunerilor atmosferice înregistrate la Staţia RA.</w:t>
      </w:r>
    </w:p>
    <w:p w:rsidR="00477FE7" w:rsidRPr="00477FE7" w:rsidRDefault="00477FE7" w:rsidP="00477FE7">
      <w:pPr>
        <w:spacing w:after="0" w:line="240" w:lineRule="auto"/>
        <w:rPr>
          <w:rFonts w:ascii="Arial" w:hAnsi="Arial" w:cs="Arial"/>
          <w:sz w:val="24"/>
          <w:szCs w:val="24"/>
          <w:lang w:val="it-IT"/>
        </w:rPr>
      </w:pPr>
    </w:p>
    <w:p w:rsidR="00477FE7" w:rsidRPr="00477FE7" w:rsidRDefault="00477FE7" w:rsidP="00477FE7">
      <w:pPr>
        <w:spacing w:after="0" w:line="240" w:lineRule="auto"/>
        <w:rPr>
          <w:rFonts w:ascii="Arial" w:hAnsi="Arial" w:cs="Arial"/>
          <w:sz w:val="24"/>
          <w:szCs w:val="24"/>
          <w:lang w:val="it-IT"/>
        </w:rPr>
      </w:pPr>
      <w:r w:rsidRPr="00477FE7">
        <w:rPr>
          <w:rFonts w:ascii="Arial" w:hAnsi="Arial" w:cs="Arial"/>
          <w:sz w:val="24"/>
          <w:szCs w:val="24"/>
          <w:lang w:val="it-IT"/>
        </w:rPr>
        <w:t>Figura IX.1. Variaţia mediilor şi maximilor anuale ale debitului dozei gamma, în judeţul Vaslui</w:t>
      </w:r>
    </w:p>
    <w:p w:rsidR="00477FE7" w:rsidRPr="00477FE7" w:rsidRDefault="00477FE7" w:rsidP="00477FE7">
      <w:pPr>
        <w:rPr>
          <w:rFonts w:ascii="Arial" w:hAnsi="Arial" w:cs="Arial"/>
          <w:sz w:val="24"/>
          <w:szCs w:val="24"/>
          <w:lang w:val="en-GB"/>
        </w:rPr>
      </w:pPr>
      <w:r w:rsidRPr="00477FE7">
        <w:rPr>
          <w:rFonts w:ascii="Arial" w:hAnsi="Arial" w:cs="Arial"/>
          <w:noProof/>
          <w:sz w:val="24"/>
          <w:szCs w:val="24"/>
        </w:rPr>
        <w:drawing>
          <wp:inline distT="0" distB="0" distL="0" distR="0" wp14:anchorId="3F36AA34" wp14:editId="2F2C6D40">
            <wp:extent cx="6115050" cy="3400425"/>
            <wp:effectExtent l="0" t="0" r="0" b="0"/>
            <wp:docPr id="274" name="Chart 27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477FE7" w:rsidRPr="00477FE7" w:rsidRDefault="00477FE7" w:rsidP="00477FE7">
      <w:pPr>
        <w:spacing w:after="0" w:line="240" w:lineRule="auto"/>
        <w:rPr>
          <w:rFonts w:ascii="Arial" w:hAnsi="Arial" w:cs="Arial"/>
          <w:b/>
          <w:sz w:val="24"/>
          <w:szCs w:val="24"/>
          <w:lang w:val="en-GB"/>
        </w:rPr>
      </w:pPr>
      <w:r w:rsidRPr="00477FE7">
        <w:rPr>
          <w:rFonts w:ascii="Arial" w:hAnsi="Arial" w:cs="Arial"/>
          <w:b/>
          <w:sz w:val="24"/>
          <w:szCs w:val="24"/>
        </w:rPr>
        <w:lastRenderedPageBreak/>
        <w:t>Aerosoli atmosferici</w:t>
      </w:r>
    </w:p>
    <w:p w:rsidR="00477FE7" w:rsidRPr="00477FE7" w:rsidRDefault="00477FE7" w:rsidP="00477FE7">
      <w:pPr>
        <w:spacing w:after="0" w:line="240" w:lineRule="auto"/>
        <w:rPr>
          <w:rFonts w:ascii="Arial" w:hAnsi="Arial" w:cs="Arial"/>
          <w:b/>
          <w:sz w:val="24"/>
          <w:szCs w:val="24"/>
        </w:rPr>
      </w:pPr>
    </w:p>
    <w:p w:rsidR="00477FE7" w:rsidRPr="00477FE7" w:rsidRDefault="00477FE7" w:rsidP="00477FE7">
      <w:pPr>
        <w:spacing w:after="0" w:line="240" w:lineRule="auto"/>
        <w:ind w:firstLine="720"/>
        <w:jc w:val="both"/>
        <w:rPr>
          <w:rFonts w:ascii="Arial" w:hAnsi="Arial" w:cs="Arial"/>
          <w:sz w:val="24"/>
          <w:szCs w:val="24"/>
          <w:lang w:val="en-GB"/>
        </w:rPr>
      </w:pPr>
      <w:r w:rsidRPr="00477FE7">
        <w:rPr>
          <w:rFonts w:ascii="Arial" w:hAnsi="Arial" w:cs="Arial"/>
          <w:sz w:val="24"/>
          <w:szCs w:val="24"/>
          <w:lang w:val="it-IT"/>
        </w:rPr>
        <w:t>Procedura de determinare a radioactivităţii atmosferei constă în aspirarea pe filtre a aerosolilor atmosferici şi măsurarea radioactivităţii filtrelor la diferite intervale de timp. Pentru a separa contribuţia radionuclizilor naturali la radioactivitatea unei probe de aerosoli atmosferici, măsurarea beta globală se realizează în trei etape (la 3 minute, la 20 ore şi la 5 zile de la prelevarea probei). Volumele aspirate sunt de 24 -25 m</w:t>
      </w:r>
      <w:r w:rsidRPr="00477FE7">
        <w:rPr>
          <w:rFonts w:ascii="Arial" w:hAnsi="Arial" w:cs="Arial"/>
          <w:sz w:val="24"/>
          <w:szCs w:val="24"/>
          <w:vertAlign w:val="superscript"/>
          <w:lang w:val="it-IT"/>
        </w:rPr>
        <w:t>3</w:t>
      </w:r>
      <w:r w:rsidRPr="00477FE7">
        <w:rPr>
          <w:rFonts w:ascii="Arial" w:hAnsi="Arial" w:cs="Arial"/>
          <w:sz w:val="24"/>
          <w:szCs w:val="24"/>
          <w:lang w:val="it-IT"/>
        </w:rPr>
        <w:t>h</w:t>
      </w:r>
      <w:r w:rsidRPr="00477FE7">
        <w:rPr>
          <w:rFonts w:ascii="Arial" w:hAnsi="Arial" w:cs="Arial"/>
          <w:sz w:val="24"/>
          <w:szCs w:val="24"/>
          <w:vertAlign w:val="superscript"/>
          <w:lang w:val="it-IT"/>
        </w:rPr>
        <w:t xml:space="preserve"> </w:t>
      </w:r>
      <w:r w:rsidRPr="00477FE7">
        <w:rPr>
          <w:rFonts w:ascii="Arial" w:hAnsi="Arial" w:cs="Arial"/>
          <w:sz w:val="24"/>
          <w:szCs w:val="24"/>
          <w:lang w:val="it-IT"/>
        </w:rPr>
        <w:t>, iar intervalul de aspitaţie este de 5 ore, se efectuează două aspiraţii zilnic. Media anuală a activităţii beta globale măsurare imediată, exprimată în Bq/m</w:t>
      </w:r>
      <w:r w:rsidRPr="00477FE7">
        <w:rPr>
          <w:rFonts w:ascii="Arial" w:hAnsi="Arial" w:cs="Arial"/>
          <w:sz w:val="24"/>
          <w:szCs w:val="24"/>
          <w:vertAlign w:val="superscript"/>
          <w:lang w:val="it-IT"/>
        </w:rPr>
        <w:t>3</w:t>
      </w:r>
      <w:r w:rsidRPr="00477FE7">
        <w:rPr>
          <w:rFonts w:ascii="Arial" w:hAnsi="Arial" w:cs="Arial"/>
          <w:sz w:val="24"/>
          <w:szCs w:val="24"/>
          <w:lang w:val="it-IT"/>
        </w:rPr>
        <w:t xml:space="preserve"> , altitudine 115.62 m  în anul 2015 este: pentru aspiraţia 02 – 07 </w:t>
      </w:r>
      <w:r w:rsidRPr="00477FE7">
        <w:rPr>
          <w:rFonts w:ascii="Arial" w:hAnsi="Arial" w:cs="Arial"/>
          <w:sz w:val="24"/>
          <w:szCs w:val="24"/>
        </w:rPr>
        <w:t xml:space="preserve">; valoarea medie anuală 4,96 </w:t>
      </w:r>
      <w:r w:rsidRPr="00477FE7">
        <w:rPr>
          <w:rFonts w:ascii="Arial" w:hAnsi="Arial" w:cs="Arial"/>
          <w:sz w:val="24"/>
          <w:szCs w:val="24"/>
          <w:lang w:val="it-IT"/>
        </w:rPr>
        <w:t>Bq/m</w:t>
      </w:r>
      <w:r w:rsidRPr="00477FE7">
        <w:rPr>
          <w:rFonts w:ascii="Arial" w:hAnsi="Arial" w:cs="Arial"/>
          <w:sz w:val="24"/>
          <w:szCs w:val="24"/>
          <w:vertAlign w:val="superscript"/>
          <w:lang w:val="it-IT"/>
        </w:rPr>
        <w:t>3</w:t>
      </w:r>
      <w:r w:rsidRPr="00477FE7">
        <w:rPr>
          <w:rFonts w:ascii="Arial" w:hAnsi="Arial" w:cs="Arial"/>
          <w:sz w:val="24"/>
          <w:szCs w:val="24"/>
          <w:lang w:val="en-GB"/>
        </w:rPr>
        <w:t>,</w:t>
      </w:r>
      <w:r w:rsidRPr="00477FE7">
        <w:rPr>
          <w:rFonts w:ascii="Arial" w:hAnsi="Arial" w:cs="Arial"/>
          <w:sz w:val="24"/>
          <w:szCs w:val="24"/>
          <w:lang w:val="it-IT"/>
        </w:rPr>
        <w:t xml:space="preserve">  pentru aspitaţia 08 – 13  ; valoarea medie anual</w:t>
      </w:r>
      <w:r w:rsidRPr="00477FE7">
        <w:rPr>
          <w:rFonts w:ascii="Arial" w:hAnsi="Arial" w:cs="Arial"/>
          <w:sz w:val="24"/>
          <w:szCs w:val="24"/>
        </w:rPr>
        <w:t xml:space="preserve">ă 2,80 </w:t>
      </w:r>
      <w:r w:rsidRPr="00477FE7">
        <w:rPr>
          <w:rFonts w:ascii="Arial" w:hAnsi="Arial" w:cs="Arial"/>
          <w:sz w:val="24"/>
          <w:szCs w:val="24"/>
          <w:lang w:val="it-IT"/>
        </w:rPr>
        <w:t>Bq/m</w:t>
      </w:r>
      <w:r w:rsidRPr="00477FE7">
        <w:rPr>
          <w:rFonts w:ascii="Arial" w:hAnsi="Arial" w:cs="Arial"/>
          <w:sz w:val="24"/>
          <w:szCs w:val="24"/>
          <w:vertAlign w:val="superscript"/>
          <w:lang w:val="it-IT"/>
        </w:rPr>
        <w:t>3</w:t>
      </w:r>
      <w:r w:rsidRPr="00477FE7">
        <w:rPr>
          <w:rFonts w:ascii="Arial" w:hAnsi="Arial" w:cs="Arial"/>
          <w:sz w:val="24"/>
          <w:szCs w:val="24"/>
          <w:lang w:val="it-IT"/>
        </w:rPr>
        <w:t>.</w:t>
      </w:r>
    </w:p>
    <w:p w:rsidR="00477FE7" w:rsidRPr="00477FE7" w:rsidRDefault="00477FE7" w:rsidP="00477FE7">
      <w:pPr>
        <w:spacing w:after="0" w:line="240" w:lineRule="auto"/>
        <w:rPr>
          <w:rFonts w:ascii="Arial" w:hAnsi="Arial" w:cs="Arial"/>
          <w:sz w:val="24"/>
          <w:szCs w:val="24"/>
          <w:lang w:val="it-IT"/>
        </w:rPr>
      </w:pPr>
    </w:p>
    <w:p w:rsidR="00477FE7" w:rsidRPr="00477FE7" w:rsidRDefault="00477FE7" w:rsidP="00477FE7">
      <w:pPr>
        <w:spacing w:after="0" w:line="240" w:lineRule="auto"/>
        <w:rPr>
          <w:rFonts w:ascii="Arial" w:hAnsi="Arial" w:cs="Arial"/>
          <w:sz w:val="24"/>
          <w:szCs w:val="24"/>
          <w:lang w:val="it-IT"/>
        </w:rPr>
      </w:pPr>
      <w:r w:rsidRPr="00477FE7">
        <w:rPr>
          <w:rFonts w:ascii="Arial" w:hAnsi="Arial" w:cs="Arial"/>
          <w:sz w:val="24"/>
          <w:szCs w:val="24"/>
          <w:lang w:val="it-IT"/>
        </w:rPr>
        <w:t>Figura IX.2. Variaţia mediilor şi maximelor anuale ale activităţii beta globale imediată a aerosolilor atmosferici, aspiraţia 02-07</w:t>
      </w:r>
    </w:p>
    <w:p w:rsidR="00477FE7" w:rsidRPr="00477FE7" w:rsidRDefault="00477FE7" w:rsidP="00477FE7">
      <w:pPr>
        <w:spacing w:after="0" w:line="240" w:lineRule="auto"/>
        <w:rPr>
          <w:rFonts w:ascii="Arial" w:hAnsi="Arial" w:cs="Arial"/>
          <w:b/>
          <w:sz w:val="24"/>
          <w:szCs w:val="24"/>
          <w:lang w:val="en-GB"/>
        </w:rPr>
      </w:pPr>
      <w:r w:rsidRPr="00477FE7">
        <w:rPr>
          <w:rFonts w:ascii="Arial" w:hAnsi="Arial" w:cs="Arial"/>
          <w:b/>
          <w:sz w:val="24"/>
          <w:szCs w:val="24"/>
          <w:lang w:val="en-GB"/>
        </w:rPr>
        <w:t xml:space="preserve">            </w:t>
      </w:r>
      <w:r w:rsidRPr="00477FE7">
        <w:rPr>
          <w:rFonts w:ascii="Arial" w:hAnsi="Arial" w:cs="Arial"/>
          <w:b/>
          <w:noProof/>
          <w:sz w:val="24"/>
          <w:szCs w:val="24"/>
        </w:rPr>
        <w:drawing>
          <wp:inline distT="0" distB="0" distL="0" distR="0" wp14:anchorId="5667FA5A" wp14:editId="6DFC412F">
            <wp:extent cx="5505450" cy="2638425"/>
            <wp:effectExtent l="0" t="0" r="0" b="0"/>
            <wp:docPr id="275" name="Chart 27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477FE7" w:rsidRPr="00477FE7" w:rsidRDefault="00477FE7" w:rsidP="00477FE7">
      <w:pPr>
        <w:spacing w:after="0" w:line="240" w:lineRule="auto"/>
        <w:rPr>
          <w:rFonts w:ascii="Arial" w:hAnsi="Arial" w:cs="Arial"/>
          <w:sz w:val="24"/>
          <w:szCs w:val="24"/>
          <w:lang w:val="it-IT"/>
        </w:rPr>
      </w:pPr>
      <w:r w:rsidRPr="00477FE7">
        <w:rPr>
          <w:rFonts w:ascii="Arial" w:hAnsi="Arial" w:cs="Arial"/>
          <w:sz w:val="24"/>
          <w:szCs w:val="24"/>
          <w:lang w:val="it-IT"/>
        </w:rPr>
        <w:t>Figura IX.3. Variaţia mediilor şi maximelor anuale ale activităţii beta globale imediată a aerosolilor atmosferici, aspiraţia 08-13</w:t>
      </w:r>
    </w:p>
    <w:p w:rsidR="00477FE7" w:rsidRPr="00477FE7" w:rsidRDefault="00477FE7" w:rsidP="00477FE7">
      <w:pPr>
        <w:rPr>
          <w:rFonts w:ascii="Arial" w:hAnsi="Arial" w:cs="Arial"/>
          <w:sz w:val="24"/>
          <w:szCs w:val="24"/>
          <w:lang w:val="en-GB"/>
        </w:rPr>
      </w:pPr>
      <w:r w:rsidRPr="00477FE7">
        <w:rPr>
          <w:rFonts w:ascii="Arial" w:hAnsi="Arial" w:cs="Arial"/>
          <w:noProof/>
          <w:sz w:val="24"/>
          <w:szCs w:val="24"/>
        </w:rPr>
        <w:drawing>
          <wp:inline distT="0" distB="0" distL="0" distR="0" wp14:anchorId="015D96E6" wp14:editId="7E729B8A">
            <wp:extent cx="5991225" cy="2466975"/>
            <wp:effectExtent l="0" t="0" r="0" b="0"/>
            <wp:docPr id="276" name="Chart 27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477FE7" w:rsidRPr="00477FE7" w:rsidRDefault="00477FE7" w:rsidP="00477FE7">
      <w:pPr>
        <w:spacing w:after="0" w:line="240" w:lineRule="auto"/>
        <w:ind w:firstLine="720"/>
        <w:jc w:val="both"/>
        <w:rPr>
          <w:rFonts w:ascii="Arial" w:hAnsi="Arial" w:cs="Arial"/>
          <w:sz w:val="24"/>
          <w:szCs w:val="24"/>
          <w:lang w:val="en-GB"/>
        </w:rPr>
      </w:pPr>
      <w:r w:rsidRPr="00477FE7">
        <w:rPr>
          <w:rFonts w:ascii="Arial" w:hAnsi="Arial" w:cs="Arial"/>
          <w:sz w:val="24"/>
          <w:szCs w:val="24"/>
          <w:lang w:val="en-GB"/>
        </w:rPr>
        <w:lastRenderedPageBreak/>
        <w:t>Variaţia activităţii specifice medie anuală a radonului (exprimată în Bq/m</w:t>
      </w:r>
      <w:r w:rsidRPr="00477FE7">
        <w:rPr>
          <w:rFonts w:ascii="Arial" w:hAnsi="Arial" w:cs="Arial"/>
          <w:sz w:val="24"/>
          <w:szCs w:val="24"/>
          <w:vertAlign w:val="superscript"/>
          <w:lang w:val="en-GB"/>
        </w:rPr>
        <w:t>3</w:t>
      </w:r>
      <w:r w:rsidRPr="00477FE7">
        <w:rPr>
          <w:rFonts w:ascii="Arial" w:hAnsi="Arial" w:cs="Arial"/>
          <w:sz w:val="24"/>
          <w:szCs w:val="24"/>
          <w:lang w:val="en-GB"/>
        </w:rPr>
        <w:t>) din atmosferă înregistrat pe teritoriului judeţului Vaslui în funcţie de variaţia diurnă, în anul de raportare 2015 este: aspiraţia 02-07 variaţia activităţii specifice este 20,59 Bq/m</w:t>
      </w:r>
      <w:r w:rsidRPr="00477FE7">
        <w:rPr>
          <w:rFonts w:ascii="Arial" w:hAnsi="Arial" w:cs="Arial"/>
          <w:sz w:val="24"/>
          <w:szCs w:val="24"/>
          <w:vertAlign w:val="superscript"/>
          <w:lang w:val="en-GB"/>
        </w:rPr>
        <w:t>3</w:t>
      </w:r>
      <w:r w:rsidRPr="00477FE7">
        <w:rPr>
          <w:rFonts w:ascii="Arial" w:hAnsi="Arial" w:cs="Arial"/>
          <w:sz w:val="24"/>
          <w:szCs w:val="24"/>
          <w:lang w:val="en-GB"/>
        </w:rPr>
        <w:t xml:space="preserve"> </w:t>
      </w:r>
      <w:r w:rsidRPr="00477FE7">
        <w:rPr>
          <w:rFonts w:ascii="Arial" w:hAnsi="Arial" w:cs="Arial"/>
          <w:sz w:val="24"/>
          <w:szCs w:val="24"/>
        </w:rPr>
        <w:t xml:space="preserve">; </w:t>
      </w:r>
      <w:r w:rsidRPr="00477FE7">
        <w:rPr>
          <w:rFonts w:ascii="Arial" w:hAnsi="Arial" w:cs="Arial"/>
          <w:sz w:val="24"/>
          <w:szCs w:val="24"/>
          <w:lang w:val="en-GB"/>
        </w:rPr>
        <w:t>aspiraţia 08-13 variaţia activităţii specifice este 8,43 Bq/m</w:t>
      </w:r>
      <w:r w:rsidRPr="00477FE7">
        <w:rPr>
          <w:rFonts w:ascii="Arial" w:hAnsi="Arial" w:cs="Arial"/>
          <w:sz w:val="24"/>
          <w:szCs w:val="24"/>
          <w:vertAlign w:val="superscript"/>
          <w:lang w:val="en-GB"/>
        </w:rPr>
        <w:t>3</w:t>
      </w:r>
      <w:r w:rsidRPr="00477FE7">
        <w:rPr>
          <w:rFonts w:ascii="Arial" w:hAnsi="Arial" w:cs="Arial"/>
          <w:sz w:val="24"/>
          <w:szCs w:val="24"/>
          <w:lang w:val="en-GB"/>
        </w:rPr>
        <w:t>.</w:t>
      </w:r>
      <w:r w:rsidRPr="00477FE7">
        <w:rPr>
          <w:rFonts w:ascii="Arial" w:hAnsi="Arial" w:cs="Arial"/>
          <w:sz w:val="24"/>
          <w:szCs w:val="24"/>
          <w:lang w:val="en-GB"/>
        </w:rPr>
        <w:tab/>
      </w:r>
    </w:p>
    <w:p w:rsidR="00477FE7" w:rsidRPr="00477FE7" w:rsidRDefault="00477FE7" w:rsidP="00477FE7">
      <w:pPr>
        <w:spacing w:after="0" w:line="240" w:lineRule="auto"/>
        <w:ind w:firstLine="720"/>
        <w:jc w:val="both"/>
        <w:rPr>
          <w:rFonts w:ascii="Arial" w:hAnsi="Arial" w:cs="Arial"/>
          <w:sz w:val="24"/>
          <w:szCs w:val="24"/>
          <w:lang w:val="en-GB"/>
        </w:rPr>
      </w:pPr>
      <w:r w:rsidRPr="00477FE7">
        <w:rPr>
          <w:rFonts w:ascii="Arial" w:hAnsi="Arial" w:cs="Arial"/>
          <w:sz w:val="24"/>
          <w:szCs w:val="24"/>
          <w:lang w:val="en-GB"/>
        </w:rPr>
        <w:t>Variaţia activităţii specifice medie anuală a toronului (exprimată în Bq/m</w:t>
      </w:r>
      <w:r w:rsidRPr="00477FE7">
        <w:rPr>
          <w:rFonts w:ascii="Arial" w:hAnsi="Arial" w:cs="Arial"/>
          <w:sz w:val="24"/>
          <w:szCs w:val="24"/>
          <w:vertAlign w:val="superscript"/>
          <w:lang w:val="en-GB"/>
        </w:rPr>
        <w:t>3</w:t>
      </w:r>
      <w:r w:rsidRPr="00477FE7">
        <w:rPr>
          <w:rFonts w:ascii="Arial" w:hAnsi="Arial" w:cs="Arial"/>
          <w:sz w:val="24"/>
          <w:szCs w:val="24"/>
          <w:lang w:val="en-GB"/>
        </w:rPr>
        <w:t>) din atmosferă înregistrat pe teritoriului judeţului Vaslui în funcţie de variaţia diurnă, în anul de raportare 2015 este: aspiraţia 02-07 variaţia activităţii specifice este 0,74 Bq/m</w:t>
      </w:r>
      <w:r w:rsidRPr="00477FE7">
        <w:rPr>
          <w:rFonts w:ascii="Arial" w:hAnsi="Arial" w:cs="Arial"/>
          <w:sz w:val="24"/>
          <w:szCs w:val="24"/>
          <w:vertAlign w:val="superscript"/>
          <w:lang w:val="en-GB"/>
        </w:rPr>
        <w:t>3</w:t>
      </w:r>
      <w:r w:rsidRPr="00477FE7">
        <w:rPr>
          <w:rFonts w:ascii="Arial" w:hAnsi="Arial" w:cs="Arial"/>
          <w:sz w:val="24"/>
          <w:szCs w:val="24"/>
          <w:lang w:val="en-GB"/>
        </w:rPr>
        <w:t xml:space="preserve"> </w:t>
      </w:r>
      <w:r w:rsidRPr="00477FE7">
        <w:rPr>
          <w:rFonts w:ascii="Arial" w:hAnsi="Arial" w:cs="Arial"/>
          <w:sz w:val="24"/>
          <w:szCs w:val="24"/>
        </w:rPr>
        <w:t xml:space="preserve">; </w:t>
      </w:r>
      <w:r w:rsidRPr="00477FE7">
        <w:rPr>
          <w:rFonts w:ascii="Arial" w:hAnsi="Arial" w:cs="Arial"/>
          <w:sz w:val="24"/>
          <w:szCs w:val="24"/>
          <w:lang w:val="en-GB"/>
        </w:rPr>
        <w:t>aspiraţia 08-13 variaţia activităţii specifice este 0,32 Bq/m</w:t>
      </w:r>
      <w:r w:rsidRPr="00477FE7">
        <w:rPr>
          <w:rFonts w:ascii="Arial" w:hAnsi="Arial" w:cs="Arial"/>
          <w:sz w:val="24"/>
          <w:szCs w:val="24"/>
          <w:vertAlign w:val="superscript"/>
          <w:lang w:val="en-GB"/>
        </w:rPr>
        <w:t>3</w:t>
      </w:r>
      <w:r w:rsidRPr="00477FE7">
        <w:rPr>
          <w:rFonts w:ascii="Arial" w:hAnsi="Arial" w:cs="Arial"/>
          <w:sz w:val="24"/>
          <w:szCs w:val="24"/>
          <w:lang w:val="en-GB"/>
        </w:rPr>
        <w:t>.</w:t>
      </w:r>
    </w:p>
    <w:p w:rsidR="00477FE7" w:rsidRPr="00477FE7" w:rsidRDefault="00477FE7" w:rsidP="00477FE7">
      <w:pPr>
        <w:spacing w:after="0" w:line="240" w:lineRule="auto"/>
        <w:ind w:firstLine="720"/>
        <w:jc w:val="both"/>
        <w:rPr>
          <w:rFonts w:ascii="Arial" w:hAnsi="Arial" w:cs="Arial"/>
          <w:sz w:val="24"/>
          <w:szCs w:val="24"/>
          <w:lang w:val="en-GB"/>
        </w:rPr>
      </w:pPr>
      <w:r w:rsidRPr="00477FE7">
        <w:rPr>
          <w:rFonts w:ascii="Arial" w:hAnsi="Arial" w:cs="Arial"/>
          <w:sz w:val="24"/>
          <w:szCs w:val="24"/>
          <w:lang w:val="en-GB"/>
        </w:rPr>
        <w:t>Variaţia medie anuală a activităţii beta globale – măsurare la 5 zile (exprimată în Bq/m</w:t>
      </w:r>
      <w:r w:rsidRPr="00477FE7">
        <w:rPr>
          <w:rFonts w:ascii="Arial" w:hAnsi="Arial" w:cs="Arial"/>
          <w:sz w:val="24"/>
          <w:szCs w:val="24"/>
          <w:vertAlign w:val="superscript"/>
          <w:lang w:val="en-GB"/>
        </w:rPr>
        <w:t>3</w:t>
      </w:r>
      <w:r w:rsidRPr="00477FE7">
        <w:rPr>
          <w:rFonts w:ascii="Arial" w:hAnsi="Arial" w:cs="Arial"/>
          <w:sz w:val="24"/>
          <w:szCs w:val="24"/>
        </w:rPr>
        <w:t>) a probelor de aerosoli atmosferici, înregistrată pe teritoriul judeţului Vaslui ,în anul de raportare 2015 este de 0,01 Bq/m</w:t>
      </w:r>
      <w:r w:rsidRPr="00477FE7">
        <w:rPr>
          <w:rFonts w:ascii="Arial" w:hAnsi="Arial" w:cs="Arial"/>
          <w:sz w:val="24"/>
          <w:szCs w:val="24"/>
          <w:vertAlign w:val="superscript"/>
          <w:lang w:val="en-GB"/>
        </w:rPr>
        <w:t>3</w:t>
      </w:r>
      <w:r w:rsidRPr="00477FE7">
        <w:rPr>
          <w:rFonts w:ascii="Arial" w:hAnsi="Arial" w:cs="Arial"/>
          <w:sz w:val="24"/>
          <w:szCs w:val="24"/>
          <w:lang w:val="en-GB"/>
        </w:rPr>
        <w:t>, pentru cele doua aspiraţii de prelevare.</w:t>
      </w:r>
      <w:r w:rsidRPr="00477FE7">
        <w:rPr>
          <w:rFonts w:ascii="Arial" w:hAnsi="Arial" w:cs="Arial"/>
          <w:sz w:val="24"/>
          <w:szCs w:val="24"/>
          <w:lang w:val="en-GB"/>
        </w:rPr>
        <w:tab/>
      </w:r>
    </w:p>
    <w:p w:rsidR="00477FE7" w:rsidRPr="00477FE7" w:rsidRDefault="00477FE7" w:rsidP="00477FE7">
      <w:pPr>
        <w:spacing w:after="0" w:line="240" w:lineRule="auto"/>
        <w:jc w:val="both"/>
        <w:rPr>
          <w:rFonts w:ascii="Arial" w:hAnsi="Arial" w:cs="Arial"/>
          <w:b/>
          <w:sz w:val="24"/>
          <w:szCs w:val="24"/>
          <w:lang w:val="en-GB"/>
        </w:rPr>
      </w:pPr>
    </w:p>
    <w:p w:rsidR="00477FE7" w:rsidRPr="00477FE7" w:rsidRDefault="00477FE7" w:rsidP="00477FE7">
      <w:pPr>
        <w:rPr>
          <w:rFonts w:ascii="Arial" w:hAnsi="Arial" w:cs="Arial"/>
          <w:b/>
          <w:sz w:val="24"/>
          <w:szCs w:val="24"/>
          <w:lang w:val="en-GB"/>
        </w:rPr>
      </w:pPr>
      <w:r w:rsidRPr="00477FE7">
        <w:rPr>
          <w:rFonts w:ascii="Arial" w:hAnsi="Arial" w:cs="Arial"/>
          <w:b/>
          <w:sz w:val="24"/>
          <w:szCs w:val="24"/>
          <w:lang w:val="en-GB"/>
        </w:rPr>
        <w:t>Depuneri atmosferice totale</w:t>
      </w:r>
    </w:p>
    <w:p w:rsidR="00477FE7" w:rsidRPr="00477FE7" w:rsidRDefault="00477FE7" w:rsidP="00477FE7">
      <w:pPr>
        <w:spacing w:after="0" w:line="240" w:lineRule="auto"/>
        <w:rPr>
          <w:rFonts w:ascii="Arial" w:hAnsi="Arial" w:cs="Arial"/>
          <w:sz w:val="24"/>
          <w:szCs w:val="24"/>
        </w:rPr>
      </w:pPr>
      <w:r w:rsidRPr="00477FE7">
        <w:rPr>
          <w:rFonts w:ascii="Arial" w:hAnsi="Arial" w:cs="Arial"/>
          <w:sz w:val="24"/>
          <w:szCs w:val="24"/>
        </w:rPr>
        <w:t>Prelevare probelor de depuneri atmosferice totale se face zilnic, de pe o suprafaţă de 0.3 m</w:t>
      </w:r>
      <w:r w:rsidRPr="00477FE7">
        <w:rPr>
          <w:rFonts w:ascii="Arial" w:hAnsi="Arial" w:cs="Arial"/>
          <w:sz w:val="24"/>
          <w:szCs w:val="24"/>
          <w:vertAlign w:val="superscript"/>
        </w:rPr>
        <w:t xml:space="preserve">2 </w:t>
      </w:r>
      <w:r w:rsidRPr="00477FE7">
        <w:rPr>
          <w:rFonts w:ascii="Arial" w:hAnsi="Arial" w:cs="Arial"/>
          <w:sz w:val="24"/>
          <w:szCs w:val="24"/>
        </w:rPr>
        <w:t>, durata de prelevare fiind de 24 ore.</w:t>
      </w:r>
    </w:p>
    <w:p w:rsidR="00477FE7" w:rsidRPr="00477FE7" w:rsidRDefault="00477FE7" w:rsidP="00477FE7">
      <w:pPr>
        <w:spacing w:after="0" w:line="240" w:lineRule="auto"/>
        <w:rPr>
          <w:rFonts w:ascii="Arial" w:hAnsi="Arial" w:cs="Arial"/>
          <w:sz w:val="24"/>
          <w:szCs w:val="24"/>
          <w:lang w:val="it-IT"/>
        </w:rPr>
      </w:pPr>
    </w:p>
    <w:p w:rsidR="00477FE7" w:rsidRPr="00477FE7" w:rsidRDefault="00477FE7" w:rsidP="00477FE7">
      <w:pPr>
        <w:spacing w:after="0" w:line="240" w:lineRule="auto"/>
        <w:rPr>
          <w:rFonts w:ascii="Arial" w:hAnsi="Arial" w:cs="Arial"/>
          <w:sz w:val="24"/>
          <w:szCs w:val="24"/>
          <w:lang w:val="it-IT"/>
        </w:rPr>
      </w:pPr>
      <w:r w:rsidRPr="00477FE7">
        <w:rPr>
          <w:rFonts w:ascii="Arial" w:hAnsi="Arial" w:cs="Arial"/>
          <w:sz w:val="24"/>
          <w:szCs w:val="24"/>
          <w:lang w:val="it-IT"/>
        </w:rPr>
        <w:t xml:space="preserve">Figura IX.4. Variaţia mediilor şi maximelor anuale ale activităţii beta globale a depunerilor atmosferice totale – măsurare imediată – </w:t>
      </w:r>
    </w:p>
    <w:p w:rsidR="00477FE7" w:rsidRPr="00477FE7" w:rsidRDefault="00477FE7" w:rsidP="00477FE7">
      <w:pPr>
        <w:rPr>
          <w:rFonts w:ascii="Arial" w:hAnsi="Arial" w:cs="Arial"/>
          <w:sz w:val="24"/>
          <w:szCs w:val="24"/>
          <w:lang w:val="it-IT"/>
        </w:rPr>
      </w:pPr>
      <w:r w:rsidRPr="00477FE7">
        <w:rPr>
          <w:rFonts w:ascii="Arial" w:hAnsi="Arial" w:cs="Arial"/>
          <w:noProof/>
          <w:sz w:val="24"/>
          <w:szCs w:val="24"/>
        </w:rPr>
        <w:drawing>
          <wp:inline distT="0" distB="0" distL="0" distR="0" wp14:anchorId="0DC600DC" wp14:editId="001BC361">
            <wp:extent cx="6105525" cy="2390775"/>
            <wp:effectExtent l="0" t="0" r="0" b="0"/>
            <wp:docPr id="277" name="Chart 27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477FE7" w:rsidRPr="00477FE7" w:rsidRDefault="00477FE7" w:rsidP="00477FE7">
      <w:pPr>
        <w:rPr>
          <w:rFonts w:ascii="Arial" w:hAnsi="Arial" w:cs="Arial"/>
          <w:b/>
          <w:i/>
          <w:sz w:val="24"/>
          <w:szCs w:val="24"/>
          <w:lang w:val="ro-RO"/>
        </w:rPr>
      </w:pPr>
      <w:r w:rsidRPr="00477FE7">
        <w:rPr>
          <w:rFonts w:ascii="Arial" w:hAnsi="Arial" w:cs="Arial"/>
          <w:b/>
          <w:i/>
          <w:sz w:val="24"/>
          <w:szCs w:val="24"/>
          <w:lang w:val="ro-RO"/>
        </w:rPr>
        <w:t>IX.1.2. Radioactivitatea apelor</w:t>
      </w:r>
    </w:p>
    <w:p w:rsidR="00477FE7" w:rsidRPr="00477FE7" w:rsidRDefault="00477FE7" w:rsidP="00477FE7">
      <w:pPr>
        <w:spacing w:after="0" w:line="240" w:lineRule="auto"/>
        <w:jc w:val="both"/>
        <w:rPr>
          <w:rFonts w:ascii="Arial" w:hAnsi="Arial" w:cs="Arial"/>
          <w:sz w:val="24"/>
          <w:szCs w:val="24"/>
          <w:lang w:val="fr-FR"/>
        </w:rPr>
      </w:pPr>
      <w:r w:rsidRPr="00477FE7">
        <w:rPr>
          <w:rFonts w:ascii="Arial" w:hAnsi="Arial" w:cs="Arial"/>
          <w:i/>
          <w:sz w:val="24"/>
          <w:szCs w:val="24"/>
          <w:lang w:val="ro-RO"/>
        </w:rPr>
        <w:t xml:space="preserve"> </w:t>
      </w:r>
      <w:r w:rsidRPr="00477FE7">
        <w:rPr>
          <w:rFonts w:ascii="Arial" w:hAnsi="Arial" w:cs="Arial"/>
          <w:i/>
          <w:sz w:val="24"/>
          <w:szCs w:val="24"/>
          <w:lang w:val="ro-RO"/>
        </w:rPr>
        <w:tab/>
      </w:r>
      <w:r w:rsidRPr="00477FE7">
        <w:rPr>
          <w:rFonts w:ascii="Arial" w:hAnsi="Arial" w:cs="Arial"/>
          <w:sz w:val="24"/>
          <w:szCs w:val="24"/>
          <w:lang w:val="fr-FR"/>
        </w:rPr>
        <w:t>A fost urmărită radioactivitatea principalelor cursuri de apă:</w:t>
      </w:r>
    </w:p>
    <w:p w:rsidR="00477FE7" w:rsidRPr="00477FE7" w:rsidRDefault="00477FE7" w:rsidP="00477FE7">
      <w:pPr>
        <w:spacing w:after="0" w:line="240" w:lineRule="auto"/>
        <w:jc w:val="both"/>
        <w:rPr>
          <w:rFonts w:ascii="Arial" w:hAnsi="Arial" w:cs="Arial"/>
          <w:sz w:val="24"/>
          <w:szCs w:val="24"/>
          <w:lang w:val="fr-FR"/>
        </w:rPr>
      </w:pPr>
      <w:r w:rsidRPr="00477FE7">
        <w:rPr>
          <w:rFonts w:ascii="Arial" w:hAnsi="Arial" w:cs="Arial"/>
          <w:sz w:val="24"/>
          <w:szCs w:val="24"/>
          <w:lang w:val="fr-FR"/>
        </w:rPr>
        <w:t xml:space="preserve">     </w:t>
      </w:r>
      <w:r w:rsidRPr="00477FE7">
        <w:rPr>
          <w:rFonts w:ascii="Arial" w:hAnsi="Arial" w:cs="Arial"/>
          <w:sz w:val="24"/>
          <w:szCs w:val="24"/>
          <w:lang w:val="it-IT"/>
        </w:rPr>
        <w:t xml:space="preserve">- râul Bârlad s-a recoltat cu o frecvenţă zilnică, din amonte de localitatea Vaslui. </w:t>
      </w:r>
      <w:r w:rsidRPr="00477FE7">
        <w:rPr>
          <w:rFonts w:ascii="Arial" w:hAnsi="Arial" w:cs="Arial"/>
          <w:sz w:val="24"/>
          <w:szCs w:val="24"/>
          <w:lang w:val="fr-FR"/>
        </w:rPr>
        <w:t xml:space="preserve">Pentru analiza de tritiu se prelevează zilnic o probă de 500 ml într-un recipient de polietilenă.  Zilnic 10 ml de proba se cumulează lunar. La sfârşitul lunii recipientul se expediază la L.N.R.R. Bucuresti;  </w:t>
      </w:r>
    </w:p>
    <w:p w:rsidR="00477FE7" w:rsidRPr="00477FE7" w:rsidRDefault="00477FE7" w:rsidP="00477FE7">
      <w:pPr>
        <w:spacing w:after="0" w:line="240" w:lineRule="auto"/>
        <w:jc w:val="both"/>
        <w:rPr>
          <w:rFonts w:ascii="Arial" w:hAnsi="Arial" w:cs="Arial"/>
          <w:sz w:val="24"/>
          <w:szCs w:val="24"/>
          <w:lang w:val="fr-FR"/>
        </w:rPr>
      </w:pPr>
      <w:r w:rsidRPr="00477FE7">
        <w:rPr>
          <w:rFonts w:ascii="Arial" w:hAnsi="Arial" w:cs="Arial"/>
          <w:sz w:val="24"/>
          <w:szCs w:val="24"/>
          <w:lang w:val="fr-FR"/>
        </w:rPr>
        <w:t xml:space="preserve">    - râul Prut s-a recoltat lunar din secţiunea Dr</w:t>
      </w:r>
      <w:r w:rsidRPr="00477FE7">
        <w:rPr>
          <w:rFonts w:ascii="Arial" w:hAnsi="Arial" w:cs="Arial"/>
          <w:sz w:val="24"/>
          <w:szCs w:val="24"/>
          <w:lang w:val="en-GB"/>
        </w:rPr>
        <w:t>â</w:t>
      </w:r>
      <w:r w:rsidRPr="00477FE7">
        <w:rPr>
          <w:rFonts w:ascii="Arial" w:hAnsi="Arial" w:cs="Arial"/>
          <w:sz w:val="24"/>
          <w:szCs w:val="24"/>
          <w:lang w:val="fr-FR"/>
        </w:rPr>
        <w:t>nceni.</w:t>
      </w:r>
    </w:p>
    <w:p w:rsidR="00477FE7" w:rsidRDefault="00477FE7" w:rsidP="00477FE7">
      <w:pPr>
        <w:spacing w:after="0" w:line="240" w:lineRule="auto"/>
        <w:jc w:val="both"/>
        <w:rPr>
          <w:rFonts w:ascii="Arial" w:hAnsi="Arial" w:cs="Arial"/>
          <w:sz w:val="24"/>
          <w:szCs w:val="24"/>
          <w:lang w:val="fr-FR"/>
        </w:rPr>
      </w:pPr>
    </w:p>
    <w:p w:rsidR="0084419D" w:rsidRDefault="0084419D" w:rsidP="00477FE7">
      <w:pPr>
        <w:spacing w:after="0" w:line="240" w:lineRule="auto"/>
        <w:jc w:val="both"/>
        <w:rPr>
          <w:rFonts w:ascii="Arial" w:hAnsi="Arial" w:cs="Arial"/>
          <w:sz w:val="24"/>
          <w:szCs w:val="24"/>
          <w:lang w:val="fr-FR"/>
        </w:rPr>
      </w:pPr>
    </w:p>
    <w:p w:rsidR="0084419D" w:rsidRPr="00477FE7" w:rsidRDefault="0084419D" w:rsidP="00477FE7">
      <w:pPr>
        <w:spacing w:after="0" w:line="240" w:lineRule="auto"/>
        <w:jc w:val="both"/>
        <w:rPr>
          <w:rFonts w:ascii="Arial" w:hAnsi="Arial" w:cs="Arial"/>
          <w:sz w:val="24"/>
          <w:szCs w:val="24"/>
          <w:lang w:val="fr-FR"/>
        </w:rPr>
      </w:pPr>
    </w:p>
    <w:p w:rsidR="00477FE7" w:rsidRPr="00477FE7" w:rsidRDefault="00477FE7" w:rsidP="00477FE7">
      <w:pPr>
        <w:spacing w:after="0" w:line="240" w:lineRule="auto"/>
        <w:rPr>
          <w:rFonts w:ascii="Arial" w:hAnsi="Arial" w:cs="Arial"/>
          <w:sz w:val="24"/>
          <w:szCs w:val="24"/>
          <w:lang w:val="it-IT"/>
        </w:rPr>
      </w:pPr>
    </w:p>
    <w:p w:rsidR="00477FE7" w:rsidRPr="00477FE7" w:rsidRDefault="00477FE7" w:rsidP="00477FE7">
      <w:pPr>
        <w:spacing w:after="0" w:line="240" w:lineRule="auto"/>
        <w:rPr>
          <w:rFonts w:ascii="Arial" w:hAnsi="Arial" w:cs="Arial"/>
          <w:sz w:val="24"/>
          <w:szCs w:val="24"/>
          <w:lang w:val="it-IT"/>
        </w:rPr>
      </w:pPr>
      <w:r w:rsidRPr="00477FE7">
        <w:rPr>
          <w:rFonts w:ascii="Arial" w:hAnsi="Arial" w:cs="Arial"/>
          <w:sz w:val="24"/>
          <w:szCs w:val="24"/>
          <w:lang w:val="it-IT"/>
        </w:rPr>
        <w:lastRenderedPageBreak/>
        <w:t xml:space="preserve">Figura IX.5. Variaţia mediilor şi maximelor anuale ale activităţii beta globale a probelor de apă – râul Bârlad – măsurare imediată – </w:t>
      </w:r>
    </w:p>
    <w:p w:rsidR="00477FE7" w:rsidRPr="00477FE7" w:rsidRDefault="00477FE7" w:rsidP="00477FE7">
      <w:pPr>
        <w:spacing w:after="0" w:line="240" w:lineRule="auto"/>
        <w:rPr>
          <w:rFonts w:ascii="Arial" w:hAnsi="Arial" w:cs="Arial"/>
          <w:sz w:val="24"/>
          <w:szCs w:val="24"/>
          <w:lang w:val="it-IT"/>
        </w:rPr>
      </w:pPr>
    </w:p>
    <w:p w:rsidR="00477FE7" w:rsidRPr="00477FE7" w:rsidRDefault="00477FE7" w:rsidP="00477FE7">
      <w:pPr>
        <w:rPr>
          <w:rFonts w:ascii="Arial" w:hAnsi="Arial" w:cs="Arial"/>
          <w:b/>
          <w:sz w:val="24"/>
          <w:szCs w:val="24"/>
        </w:rPr>
      </w:pPr>
      <w:r w:rsidRPr="00477FE7">
        <w:rPr>
          <w:rFonts w:ascii="Arial" w:hAnsi="Arial" w:cs="Arial"/>
          <w:b/>
          <w:noProof/>
          <w:sz w:val="24"/>
          <w:szCs w:val="24"/>
        </w:rPr>
        <w:drawing>
          <wp:inline distT="0" distB="0" distL="0" distR="0" wp14:anchorId="44231058" wp14:editId="1036CAFA">
            <wp:extent cx="6000750" cy="2962275"/>
            <wp:effectExtent l="0" t="0" r="0" b="0"/>
            <wp:docPr id="278" name="Chart 27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477FE7" w:rsidRPr="00477FE7" w:rsidRDefault="00477FE7" w:rsidP="00477FE7">
      <w:pPr>
        <w:spacing w:after="0" w:line="240" w:lineRule="auto"/>
        <w:rPr>
          <w:rFonts w:ascii="Arial" w:hAnsi="Arial" w:cs="Arial"/>
          <w:sz w:val="24"/>
          <w:szCs w:val="24"/>
          <w:lang w:val="it-IT"/>
        </w:rPr>
      </w:pPr>
      <w:r w:rsidRPr="00477FE7">
        <w:rPr>
          <w:rFonts w:ascii="Arial" w:hAnsi="Arial" w:cs="Arial"/>
          <w:sz w:val="24"/>
          <w:szCs w:val="24"/>
          <w:lang w:val="it-IT"/>
        </w:rPr>
        <w:t xml:space="preserve">Figura IX.6. Variaţia mediilor şi maximelor anuale ale activităţii beta globale a probelor de apă - măsurate la 5 zile – râul Prut </w:t>
      </w:r>
    </w:p>
    <w:p w:rsidR="00477FE7" w:rsidRPr="00477FE7" w:rsidRDefault="00477FE7" w:rsidP="00477FE7">
      <w:pPr>
        <w:spacing w:after="0" w:line="240" w:lineRule="auto"/>
        <w:rPr>
          <w:rFonts w:ascii="Arial" w:hAnsi="Arial" w:cs="Arial"/>
          <w:sz w:val="24"/>
          <w:szCs w:val="24"/>
          <w:lang w:val="it-IT"/>
        </w:rPr>
      </w:pPr>
    </w:p>
    <w:p w:rsidR="00477FE7" w:rsidRPr="00477FE7" w:rsidRDefault="00477FE7" w:rsidP="00477FE7">
      <w:pPr>
        <w:rPr>
          <w:rFonts w:ascii="Arial" w:hAnsi="Arial" w:cs="Arial"/>
          <w:i/>
          <w:sz w:val="24"/>
          <w:szCs w:val="24"/>
          <w:lang w:val="ro-RO"/>
        </w:rPr>
      </w:pPr>
      <w:r w:rsidRPr="00477FE7">
        <w:rPr>
          <w:rFonts w:ascii="Arial" w:hAnsi="Arial" w:cs="Arial"/>
          <w:i/>
          <w:noProof/>
          <w:sz w:val="24"/>
          <w:szCs w:val="24"/>
        </w:rPr>
        <w:drawing>
          <wp:inline distT="0" distB="0" distL="0" distR="0" wp14:anchorId="211593DE" wp14:editId="53D66438">
            <wp:extent cx="5543550" cy="2933700"/>
            <wp:effectExtent l="0" t="0" r="0" b="0"/>
            <wp:docPr id="279" name="Chart 27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477FE7" w:rsidRPr="00477FE7" w:rsidRDefault="00477FE7" w:rsidP="00477FE7">
      <w:pPr>
        <w:spacing w:after="0" w:line="240" w:lineRule="auto"/>
        <w:rPr>
          <w:rFonts w:ascii="Arial" w:hAnsi="Arial" w:cs="Arial"/>
          <w:b/>
          <w:i/>
          <w:sz w:val="24"/>
          <w:szCs w:val="24"/>
          <w:lang w:val="ro-RO"/>
        </w:rPr>
      </w:pPr>
      <w:r w:rsidRPr="00477FE7">
        <w:rPr>
          <w:rFonts w:ascii="Arial" w:hAnsi="Arial" w:cs="Arial"/>
          <w:b/>
          <w:i/>
          <w:sz w:val="24"/>
          <w:szCs w:val="24"/>
          <w:lang w:val="ro-RO"/>
        </w:rPr>
        <w:t xml:space="preserve">IX.1.3. Radioactivitatea solului </w:t>
      </w:r>
    </w:p>
    <w:p w:rsidR="00477FE7" w:rsidRPr="00477FE7" w:rsidRDefault="00477FE7" w:rsidP="00477FE7">
      <w:pPr>
        <w:spacing w:after="0" w:line="240" w:lineRule="auto"/>
        <w:rPr>
          <w:rFonts w:ascii="Arial" w:hAnsi="Arial" w:cs="Arial"/>
          <w:b/>
          <w:i/>
          <w:sz w:val="24"/>
          <w:szCs w:val="24"/>
          <w:lang w:val="ro-RO"/>
        </w:rPr>
      </w:pPr>
    </w:p>
    <w:p w:rsidR="00477FE7" w:rsidRPr="00477FE7" w:rsidRDefault="00477FE7" w:rsidP="00477FE7">
      <w:pPr>
        <w:spacing w:after="0" w:line="240" w:lineRule="auto"/>
        <w:jc w:val="both"/>
        <w:rPr>
          <w:rFonts w:ascii="Arial" w:hAnsi="Arial" w:cs="Arial"/>
          <w:sz w:val="24"/>
          <w:szCs w:val="24"/>
          <w:lang w:val="en-GB"/>
        </w:rPr>
      </w:pPr>
      <w:r w:rsidRPr="00477FE7">
        <w:rPr>
          <w:rFonts w:ascii="Arial" w:hAnsi="Arial" w:cs="Arial"/>
          <w:sz w:val="24"/>
          <w:szCs w:val="24"/>
          <w:lang w:val="en-GB"/>
        </w:rPr>
        <w:t xml:space="preserve">         Probele de sol necultivat au fost prelevate cu frecvenţă săptămânală,din perimetrul amplasamentului Staţiei Meteo Vaslui.</w:t>
      </w:r>
    </w:p>
    <w:p w:rsidR="00477FE7" w:rsidRPr="00477FE7" w:rsidRDefault="00477FE7" w:rsidP="00477FE7">
      <w:pPr>
        <w:spacing w:after="0" w:line="240" w:lineRule="auto"/>
        <w:ind w:firstLine="720"/>
        <w:jc w:val="both"/>
        <w:rPr>
          <w:rFonts w:ascii="Arial" w:hAnsi="Arial" w:cs="Arial"/>
          <w:sz w:val="24"/>
          <w:szCs w:val="24"/>
          <w:lang w:val="en-GB"/>
        </w:rPr>
      </w:pPr>
      <w:r w:rsidRPr="00477FE7">
        <w:rPr>
          <w:rFonts w:ascii="Arial" w:hAnsi="Arial" w:cs="Arial"/>
          <w:sz w:val="24"/>
          <w:szCs w:val="24"/>
          <w:lang w:val="en-GB"/>
        </w:rPr>
        <w:lastRenderedPageBreak/>
        <w:t xml:space="preserve">Rezultatele sunt prelucrate în Bq/Kg masă uscată. Pentru analiza gamma spectrometrică s-a prelevat în luna iulie o probă anuală de sol necultivat. </w:t>
      </w:r>
    </w:p>
    <w:p w:rsidR="00477FE7" w:rsidRPr="00477FE7" w:rsidRDefault="00477FE7" w:rsidP="00477FE7">
      <w:pPr>
        <w:spacing w:after="0" w:line="240" w:lineRule="auto"/>
        <w:jc w:val="both"/>
        <w:rPr>
          <w:rFonts w:ascii="Arial" w:hAnsi="Arial" w:cs="Arial"/>
          <w:sz w:val="24"/>
          <w:szCs w:val="24"/>
          <w:lang w:val="en-GB"/>
        </w:rPr>
      </w:pPr>
    </w:p>
    <w:p w:rsidR="00477FE7" w:rsidRPr="00477FE7" w:rsidRDefault="00477FE7" w:rsidP="00477FE7">
      <w:pPr>
        <w:spacing w:after="0" w:line="240" w:lineRule="auto"/>
        <w:rPr>
          <w:rFonts w:ascii="Arial" w:hAnsi="Arial" w:cs="Arial"/>
          <w:i/>
          <w:sz w:val="24"/>
          <w:szCs w:val="24"/>
          <w:lang w:val="ro-RO"/>
        </w:rPr>
      </w:pPr>
      <w:r w:rsidRPr="00477FE7">
        <w:rPr>
          <w:rFonts w:ascii="Arial" w:hAnsi="Arial" w:cs="Arial"/>
          <w:b/>
          <w:sz w:val="24"/>
          <w:szCs w:val="24"/>
          <w:lang w:val="en-GB"/>
        </w:rPr>
        <w:t xml:space="preserve"> </w:t>
      </w:r>
      <w:r w:rsidRPr="00477FE7">
        <w:rPr>
          <w:rFonts w:ascii="Arial" w:hAnsi="Arial" w:cs="Arial"/>
          <w:sz w:val="24"/>
          <w:szCs w:val="24"/>
          <w:lang w:val="it-IT"/>
        </w:rPr>
        <w:t xml:space="preserve">Figura IX.7. Variaţia medie şi maximă anuală a activităţii beta globale a solului </w:t>
      </w:r>
      <w:r w:rsidRPr="00477FE7">
        <w:rPr>
          <w:rFonts w:ascii="Arial" w:hAnsi="Arial" w:cs="Arial"/>
          <w:i/>
          <w:noProof/>
          <w:sz w:val="24"/>
          <w:szCs w:val="24"/>
        </w:rPr>
        <w:drawing>
          <wp:inline distT="0" distB="0" distL="0" distR="0" wp14:anchorId="62CF9780" wp14:editId="50F3FD90">
            <wp:extent cx="5838825" cy="1952625"/>
            <wp:effectExtent l="0" t="0" r="0" b="0"/>
            <wp:docPr id="280" name="Chart 2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r w:rsidRPr="00477FE7">
        <w:rPr>
          <w:rFonts w:ascii="Arial" w:hAnsi="Arial" w:cs="Arial"/>
          <w:i/>
          <w:sz w:val="24"/>
          <w:szCs w:val="24"/>
          <w:lang w:val="ro-RO"/>
        </w:rPr>
        <w:tab/>
      </w:r>
    </w:p>
    <w:p w:rsidR="00477FE7" w:rsidRPr="00477FE7" w:rsidRDefault="00477FE7" w:rsidP="00477FE7">
      <w:pPr>
        <w:spacing w:after="0" w:line="240" w:lineRule="auto"/>
        <w:rPr>
          <w:rFonts w:ascii="Arial" w:hAnsi="Arial" w:cs="Arial"/>
          <w:b/>
          <w:i/>
          <w:sz w:val="24"/>
          <w:szCs w:val="24"/>
          <w:lang w:val="ro-RO"/>
        </w:rPr>
      </w:pPr>
      <w:r w:rsidRPr="00477FE7">
        <w:rPr>
          <w:rFonts w:ascii="Arial" w:hAnsi="Arial" w:cs="Arial"/>
          <w:i/>
          <w:sz w:val="24"/>
          <w:szCs w:val="24"/>
          <w:lang w:val="ro-RO"/>
        </w:rPr>
        <w:t xml:space="preserve">  </w:t>
      </w:r>
    </w:p>
    <w:p w:rsidR="00477FE7" w:rsidRPr="00477FE7" w:rsidRDefault="00477FE7" w:rsidP="00477FE7">
      <w:pPr>
        <w:spacing w:after="0" w:line="240" w:lineRule="auto"/>
        <w:rPr>
          <w:rFonts w:ascii="Arial" w:hAnsi="Arial" w:cs="Arial"/>
          <w:b/>
          <w:i/>
          <w:sz w:val="24"/>
          <w:szCs w:val="24"/>
          <w:lang w:val="ro-RO"/>
        </w:rPr>
      </w:pPr>
      <w:r w:rsidRPr="00477FE7">
        <w:rPr>
          <w:rFonts w:ascii="Arial" w:hAnsi="Arial" w:cs="Arial"/>
          <w:b/>
          <w:i/>
          <w:sz w:val="24"/>
          <w:szCs w:val="24"/>
          <w:lang w:val="ro-RO"/>
        </w:rPr>
        <w:t>IX.1.4. Radioactivitatea vegetaţiei</w:t>
      </w:r>
    </w:p>
    <w:p w:rsidR="00477FE7" w:rsidRPr="00477FE7" w:rsidRDefault="00477FE7" w:rsidP="00477FE7">
      <w:pPr>
        <w:spacing w:after="0" w:line="240" w:lineRule="auto"/>
        <w:rPr>
          <w:rFonts w:ascii="Arial" w:hAnsi="Arial" w:cs="Arial"/>
          <w:b/>
          <w:i/>
          <w:sz w:val="24"/>
          <w:szCs w:val="24"/>
          <w:lang w:val="ro-RO"/>
        </w:rPr>
      </w:pPr>
    </w:p>
    <w:p w:rsidR="00477FE7" w:rsidRPr="00477FE7" w:rsidRDefault="00477FE7" w:rsidP="00477FE7">
      <w:pPr>
        <w:spacing w:after="0" w:line="240" w:lineRule="auto"/>
        <w:jc w:val="both"/>
        <w:rPr>
          <w:rFonts w:ascii="Arial" w:hAnsi="Arial" w:cs="Arial"/>
          <w:b/>
          <w:sz w:val="24"/>
          <w:szCs w:val="24"/>
          <w:lang w:val="en-GB"/>
        </w:rPr>
      </w:pPr>
      <w:r w:rsidRPr="00477FE7">
        <w:rPr>
          <w:rFonts w:ascii="Arial" w:hAnsi="Arial" w:cs="Arial"/>
          <w:sz w:val="24"/>
          <w:szCs w:val="24"/>
          <w:lang w:val="en-GB"/>
        </w:rPr>
        <w:t xml:space="preserve">         Probele de vegetaţie spontană au fost prelevate cu frecvenţă săptămânală, în perioada de vegetaţie a anului (aprilie – octombrie) din perimetrul amplasamentului Staţiei Meteo Vaslui. Rezultatele sunt prelucrate în Bq/Kg masă verde. Pentru analiza gamma spectrometrică s-a prelevat în luna iunie o probă anuală de vegetaţie spontană.</w:t>
      </w:r>
    </w:p>
    <w:p w:rsidR="00477FE7" w:rsidRPr="00477FE7" w:rsidRDefault="00477FE7" w:rsidP="00477FE7">
      <w:pPr>
        <w:spacing w:after="0" w:line="240" w:lineRule="auto"/>
        <w:rPr>
          <w:rFonts w:ascii="Arial" w:hAnsi="Arial" w:cs="Arial"/>
          <w:sz w:val="24"/>
          <w:szCs w:val="24"/>
          <w:lang w:val="it-IT"/>
        </w:rPr>
      </w:pPr>
    </w:p>
    <w:p w:rsidR="00477FE7" w:rsidRDefault="00477FE7" w:rsidP="00477FE7">
      <w:pPr>
        <w:spacing w:after="0" w:line="240" w:lineRule="auto"/>
        <w:rPr>
          <w:rFonts w:ascii="Arial" w:hAnsi="Arial" w:cs="Arial"/>
          <w:sz w:val="24"/>
          <w:szCs w:val="24"/>
          <w:lang w:val="it-IT"/>
        </w:rPr>
      </w:pPr>
      <w:r w:rsidRPr="00477FE7">
        <w:rPr>
          <w:rFonts w:ascii="Arial" w:hAnsi="Arial" w:cs="Arial"/>
          <w:sz w:val="24"/>
          <w:szCs w:val="24"/>
          <w:lang w:val="it-IT"/>
        </w:rPr>
        <w:t>Figura IX.8. Variaţia medie şi maximă anuală a activităţii beta globale a probelor de vegetaţie spontană</w:t>
      </w:r>
    </w:p>
    <w:p w:rsidR="0084419D" w:rsidRPr="00477FE7" w:rsidRDefault="0084419D" w:rsidP="00477FE7">
      <w:pPr>
        <w:spacing w:after="0" w:line="240" w:lineRule="auto"/>
        <w:rPr>
          <w:rFonts w:ascii="Arial" w:hAnsi="Arial" w:cs="Arial"/>
          <w:sz w:val="24"/>
          <w:szCs w:val="24"/>
          <w:lang w:val="it-IT"/>
        </w:rPr>
      </w:pPr>
    </w:p>
    <w:p w:rsidR="00477FE7" w:rsidRPr="00477FE7" w:rsidRDefault="00477FE7" w:rsidP="00477FE7">
      <w:pPr>
        <w:jc w:val="center"/>
        <w:rPr>
          <w:rFonts w:ascii="Arial" w:hAnsi="Arial" w:cs="Arial"/>
          <w:sz w:val="24"/>
          <w:szCs w:val="24"/>
          <w:lang w:val="ro-RO"/>
        </w:rPr>
      </w:pPr>
      <w:r w:rsidRPr="00477FE7">
        <w:rPr>
          <w:rFonts w:ascii="Arial" w:hAnsi="Arial" w:cs="Arial"/>
          <w:noProof/>
          <w:sz w:val="24"/>
          <w:szCs w:val="24"/>
        </w:rPr>
        <w:drawing>
          <wp:inline distT="0" distB="0" distL="0" distR="0" wp14:anchorId="3B536504" wp14:editId="09570CEB">
            <wp:extent cx="5295900" cy="1990725"/>
            <wp:effectExtent l="0" t="0" r="0" b="0"/>
            <wp:docPr id="281" name="Chart 2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934C02" w:rsidRDefault="00934C02" w:rsidP="00830DBB">
      <w:pPr>
        <w:autoSpaceDE w:val="0"/>
        <w:autoSpaceDN w:val="0"/>
        <w:adjustRightInd w:val="0"/>
        <w:spacing w:after="120" w:line="240" w:lineRule="auto"/>
        <w:jc w:val="both"/>
        <w:rPr>
          <w:rFonts w:ascii="Arial" w:eastAsia="SimSun" w:hAnsi="Arial" w:cs="Arial"/>
          <w:color w:val="000000" w:themeColor="text1"/>
          <w:sz w:val="24"/>
          <w:szCs w:val="24"/>
          <w:lang w:val="en-GB"/>
        </w:rPr>
      </w:pPr>
    </w:p>
    <w:p w:rsidR="00934C02" w:rsidRDefault="00934C02" w:rsidP="00830DBB">
      <w:pPr>
        <w:autoSpaceDE w:val="0"/>
        <w:autoSpaceDN w:val="0"/>
        <w:adjustRightInd w:val="0"/>
        <w:spacing w:after="120" w:line="240" w:lineRule="auto"/>
        <w:jc w:val="both"/>
        <w:rPr>
          <w:rFonts w:ascii="Arial" w:eastAsia="SimSun" w:hAnsi="Arial" w:cs="Arial"/>
          <w:color w:val="000000" w:themeColor="text1"/>
          <w:sz w:val="24"/>
          <w:szCs w:val="24"/>
          <w:lang w:val="en-GB"/>
        </w:rPr>
      </w:pPr>
    </w:p>
    <w:p w:rsidR="00934C02" w:rsidRDefault="00934C02" w:rsidP="00830DBB">
      <w:pPr>
        <w:autoSpaceDE w:val="0"/>
        <w:autoSpaceDN w:val="0"/>
        <w:adjustRightInd w:val="0"/>
        <w:spacing w:after="120" w:line="240" w:lineRule="auto"/>
        <w:jc w:val="both"/>
        <w:rPr>
          <w:rFonts w:ascii="Arial" w:eastAsia="SimSun" w:hAnsi="Arial" w:cs="Arial"/>
          <w:color w:val="000000" w:themeColor="text1"/>
          <w:sz w:val="24"/>
          <w:szCs w:val="24"/>
          <w:lang w:val="en-GB"/>
        </w:rPr>
      </w:pPr>
    </w:p>
    <w:p w:rsidR="00477FE7" w:rsidRDefault="00477FE7" w:rsidP="00830DBB">
      <w:pPr>
        <w:autoSpaceDE w:val="0"/>
        <w:autoSpaceDN w:val="0"/>
        <w:adjustRightInd w:val="0"/>
        <w:spacing w:after="120" w:line="240" w:lineRule="auto"/>
        <w:jc w:val="both"/>
        <w:rPr>
          <w:rFonts w:ascii="Arial" w:eastAsia="SimSun" w:hAnsi="Arial" w:cs="Arial"/>
          <w:color w:val="000000" w:themeColor="text1"/>
          <w:sz w:val="24"/>
          <w:szCs w:val="24"/>
          <w:lang w:val="en-GB"/>
        </w:rPr>
      </w:pPr>
    </w:p>
    <w:p w:rsidR="00477FE7" w:rsidRDefault="00477FE7" w:rsidP="00830DBB">
      <w:pPr>
        <w:autoSpaceDE w:val="0"/>
        <w:autoSpaceDN w:val="0"/>
        <w:adjustRightInd w:val="0"/>
        <w:spacing w:after="120" w:line="240" w:lineRule="auto"/>
        <w:jc w:val="both"/>
        <w:rPr>
          <w:rFonts w:ascii="Arial" w:eastAsia="SimSun" w:hAnsi="Arial" w:cs="Arial"/>
          <w:color w:val="000000" w:themeColor="text1"/>
          <w:sz w:val="24"/>
          <w:szCs w:val="24"/>
          <w:lang w:val="en-GB"/>
        </w:rPr>
      </w:pPr>
    </w:p>
    <w:p w:rsidR="00477FE7" w:rsidRDefault="00477FE7" w:rsidP="00830DBB">
      <w:pPr>
        <w:autoSpaceDE w:val="0"/>
        <w:autoSpaceDN w:val="0"/>
        <w:adjustRightInd w:val="0"/>
        <w:spacing w:after="120" w:line="240" w:lineRule="auto"/>
        <w:jc w:val="both"/>
        <w:rPr>
          <w:rFonts w:ascii="Arial" w:eastAsia="SimSun" w:hAnsi="Arial" w:cs="Arial"/>
          <w:color w:val="000000" w:themeColor="text1"/>
          <w:sz w:val="24"/>
          <w:szCs w:val="24"/>
          <w:lang w:val="en-GB"/>
        </w:rPr>
      </w:pPr>
    </w:p>
    <w:p w:rsidR="00533F73" w:rsidRPr="00533F73" w:rsidRDefault="00533F73" w:rsidP="00533F73">
      <w:pPr>
        <w:spacing w:after="0" w:line="240" w:lineRule="auto"/>
        <w:jc w:val="center"/>
        <w:rPr>
          <w:rFonts w:ascii="Arial" w:eastAsia="SimSun" w:hAnsi="Arial" w:cs="Arial"/>
          <w:b/>
          <w:sz w:val="24"/>
          <w:szCs w:val="24"/>
          <w:lang w:val="ro-RO"/>
        </w:rPr>
      </w:pPr>
      <w:r w:rsidRPr="00533F73">
        <w:rPr>
          <w:rFonts w:ascii="Arial" w:eastAsia="SimSun" w:hAnsi="Arial" w:cs="Arial"/>
          <w:b/>
          <w:sz w:val="24"/>
          <w:szCs w:val="24"/>
          <w:lang w:val="ro-RO"/>
        </w:rPr>
        <w:lastRenderedPageBreak/>
        <w:t xml:space="preserve">CAPITOLUL X.  CONSUMUL ŞI MEDIUL ÎNCONJURĂTOR </w:t>
      </w:r>
    </w:p>
    <w:p w:rsidR="00533F73" w:rsidRPr="00533F73" w:rsidRDefault="00533F73" w:rsidP="00533F73">
      <w:pPr>
        <w:spacing w:after="0" w:line="360" w:lineRule="auto"/>
        <w:rPr>
          <w:rFonts w:ascii="Times New Roman" w:eastAsia="SimSun" w:hAnsi="Times New Roman" w:cs="Times New Roman"/>
          <w:sz w:val="20"/>
          <w:szCs w:val="26"/>
          <w:lang w:val="ro-RO"/>
        </w:rPr>
      </w:pPr>
    </w:p>
    <w:p w:rsidR="00533F73" w:rsidRPr="00533F73" w:rsidRDefault="00533F73" w:rsidP="00533F73">
      <w:pPr>
        <w:spacing w:after="0" w:line="240" w:lineRule="auto"/>
        <w:rPr>
          <w:rFonts w:ascii="Times New Roman" w:eastAsia="SimSun" w:hAnsi="Times New Roman" w:cs="Times New Roman"/>
          <w:i/>
          <w:szCs w:val="26"/>
          <w:lang w:val="ro-RO"/>
        </w:rPr>
      </w:pPr>
      <w:r w:rsidRPr="00533F73">
        <w:rPr>
          <w:rFonts w:ascii="Arial" w:eastAsia="SimSun" w:hAnsi="Arial" w:cs="Arial"/>
          <w:b/>
          <w:sz w:val="24"/>
          <w:szCs w:val="26"/>
          <w:lang w:val="ro-RO"/>
        </w:rPr>
        <w:t xml:space="preserve"> X.1. Tendinţe în consum  </w:t>
      </w:r>
      <w:r w:rsidRPr="00533F73">
        <w:rPr>
          <w:rFonts w:ascii="Times New Roman" w:eastAsia="SimSun" w:hAnsi="Times New Roman" w:cs="Times New Roman"/>
          <w:i/>
          <w:szCs w:val="26"/>
          <w:lang w:val="ro-RO"/>
        </w:rPr>
        <w:t xml:space="preserve"> </w:t>
      </w:r>
    </w:p>
    <w:p w:rsidR="00533F73" w:rsidRPr="00533F73" w:rsidRDefault="00533F73" w:rsidP="00533F73">
      <w:pPr>
        <w:tabs>
          <w:tab w:val="left" w:pos="1276"/>
        </w:tabs>
        <w:spacing w:after="0" w:line="240" w:lineRule="auto"/>
        <w:rPr>
          <w:rFonts w:ascii="Times New Roman" w:eastAsia="SimSun" w:hAnsi="Times New Roman" w:cs="Times New Roman"/>
          <w:i/>
          <w:szCs w:val="26"/>
          <w:lang w:val="ro-RO"/>
        </w:rPr>
      </w:pPr>
    </w:p>
    <w:p w:rsidR="00533F73" w:rsidRPr="00533F73" w:rsidRDefault="00533F73" w:rsidP="00533F73">
      <w:pPr>
        <w:autoSpaceDE w:val="0"/>
        <w:autoSpaceDN w:val="0"/>
        <w:adjustRightInd w:val="0"/>
        <w:spacing w:after="0" w:line="240" w:lineRule="auto"/>
        <w:ind w:firstLine="720"/>
        <w:jc w:val="both"/>
        <w:rPr>
          <w:rFonts w:ascii="Arial" w:eastAsia="Times New Roman" w:hAnsi="Arial" w:cs="Arial"/>
          <w:sz w:val="24"/>
          <w:szCs w:val="24"/>
        </w:rPr>
      </w:pPr>
      <w:r w:rsidRPr="00533F73">
        <w:rPr>
          <w:rFonts w:ascii="Arial" w:eastAsia="Times New Roman" w:hAnsi="Arial" w:cs="Arial"/>
          <w:sz w:val="24"/>
          <w:szCs w:val="24"/>
        </w:rPr>
        <w:t xml:space="preserve">Cercetătorul american William Rees defineşte </w:t>
      </w:r>
      <w:r w:rsidRPr="00533F73">
        <w:rPr>
          <w:rFonts w:ascii="Arial" w:eastAsia="Times New Roman" w:hAnsi="Arial" w:cs="Arial"/>
          <w:i/>
          <w:sz w:val="24"/>
          <w:szCs w:val="24"/>
        </w:rPr>
        <w:t>„amprenta ecologică”</w:t>
      </w:r>
      <w:r w:rsidRPr="00533F73">
        <w:rPr>
          <w:rFonts w:ascii="Arial" w:eastAsia="Times New Roman" w:hAnsi="Arial" w:cs="Arial"/>
          <w:sz w:val="24"/>
          <w:szCs w:val="24"/>
        </w:rPr>
        <w:t xml:space="preserve"> ca fiind acea formulă de calcul prin care întreaga întindere a Pământului se împarte la numărul său de locuitori, din care rezultă suprafaţa Terrei de care are nevoie un individ sau o organizaţie pentru a-şi asigura necesarul de resurse şi pentru a-şi biodegrada complet deşeurile generate de-a lungul întregii sale existenţe.</w:t>
      </w:r>
    </w:p>
    <w:p w:rsidR="00533F73" w:rsidRPr="00533F73" w:rsidRDefault="00533F73" w:rsidP="00533F73">
      <w:pPr>
        <w:autoSpaceDE w:val="0"/>
        <w:autoSpaceDN w:val="0"/>
        <w:adjustRightInd w:val="0"/>
        <w:spacing w:after="0" w:line="240" w:lineRule="auto"/>
        <w:jc w:val="both"/>
        <w:rPr>
          <w:rFonts w:ascii="Arial" w:eastAsia="Times New Roman" w:hAnsi="Arial" w:cs="Arial"/>
          <w:sz w:val="24"/>
          <w:szCs w:val="24"/>
        </w:rPr>
      </w:pPr>
      <w:r w:rsidRPr="00533F73">
        <w:rPr>
          <w:rFonts w:ascii="Arial" w:eastAsia="Times New Roman" w:hAnsi="Arial" w:cs="Arial"/>
          <w:sz w:val="24"/>
          <w:szCs w:val="24"/>
        </w:rPr>
        <w:t>Acest instrument a fost preluat mai departe de mediul business, cel educaţional şi neguvernamental. Indexul creat măsoară în esenţă presiunea pe care o exercităm asupra ecosistemelor, nivelul de productivitate şi regenerarea resurselor naturale astfel încât să poată satisface nevoile omenirii şi gradul de absorbţie a deşeurilor produse care le consumă şi pentru neutralizarea deşeurilor pe care le generează locuitorii planetei.</w:t>
      </w:r>
    </w:p>
    <w:p w:rsidR="00533F73" w:rsidRPr="00533F73" w:rsidRDefault="00533F73" w:rsidP="00533F73">
      <w:pPr>
        <w:autoSpaceDE w:val="0"/>
        <w:autoSpaceDN w:val="0"/>
        <w:adjustRightInd w:val="0"/>
        <w:spacing w:after="0" w:line="240" w:lineRule="auto"/>
        <w:ind w:firstLine="720"/>
        <w:jc w:val="both"/>
        <w:rPr>
          <w:rFonts w:ascii="Arial" w:eastAsia="Times New Roman" w:hAnsi="Arial" w:cs="Arial"/>
          <w:sz w:val="24"/>
          <w:szCs w:val="24"/>
        </w:rPr>
      </w:pPr>
      <w:r w:rsidRPr="00533F73">
        <w:rPr>
          <w:rFonts w:ascii="Arial" w:eastAsia="Times New Roman" w:hAnsi="Arial" w:cs="Arial"/>
          <w:sz w:val="24"/>
          <w:szCs w:val="24"/>
        </w:rPr>
        <w:t xml:space="preserve">Amprenta ecologică se măsoară în hectare globale (hag) şi pentru aflarea ei se ia in calcul întreaga suprafaţă a Pământului, inclusiv zonele de apă şi zonele îngheţate. </w:t>
      </w:r>
    </w:p>
    <w:p w:rsidR="00533F73" w:rsidRPr="00533F73" w:rsidRDefault="00533F73" w:rsidP="00533F73">
      <w:pPr>
        <w:autoSpaceDE w:val="0"/>
        <w:autoSpaceDN w:val="0"/>
        <w:adjustRightInd w:val="0"/>
        <w:spacing w:after="0" w:line="240" w:lineRule="auto"/>
        <w:jc w:val="both"/>
        <w:rPr>
          <w:rFonts w:ascii="Arial" w:eastAsia="Times New Roman" w:hAnsi="Arial" w:cs="Arial"/>
          <w:sz w:val="24"/>
          <w:szCs w:val="24"/>
        </w:rPr>
      </w:pPr>
      <w:r w:rsidRPr="00533F73">
        <w:rPr>
          <w:rFonts w:ascii="Arial" w:eastAsia="Times New Roman" w:hAnsi="Arial" w:cs="Arial"/>
          <w:sz w:val="24"/>
          <w:szCs w:val="24"/>
        </w:rPr>
        <w:t xml:space="preserve">Plecând de la acest instrument, în anul 2007 s-a estimat că la valoarea consumului şi a deşeurilor produse mondial, avem nevoie de o planetă şi jumătate pentru a susţine ritmul accelerat al dezvoltării şi consumului actual.Capacitatea de regenerare a planetei este depăşită total de stilul actual de viaţă al omenirii, un model total nesustenabil de dezvoltare al societăţii globale. </w:t>
      </w:r>
    </w:p>
    <w:p w:rsidR="00533F73" w:rsidRPr="00533F73" w:rsidRDefault="00533F73" w:rsidP="00533F73">
      <w:pPr>
        <w:autoSpaceDE w:val="0"/>
        <w:autoSpaceDN w:val="0"/>
        <w:adjustRightInd w:val="0"/>
        <w:spacing w:after="0" w:line="240" w:lineRule="auto"/>
        <w:jc w:val="both"/>
        <w:rPr>
          <w:rFonts w:ascii="Arial" w:eastAsia="Times New Roman" w:hAnsi="Arial" w:cs="Arial"/>
          <w:sz w:val="24"/>
          <w:szCs w:val="24"/>
        </w:rPr>
      </w:pPr>
      <w:r w:rsidRPr="00533F73">
        <w:rPr>
          <w:rFonts w:ascii="Arial" w:eastAsia="Times New Roman" w:hAnsi="Arial" w:cs="Arial"/>
          <w:sz w:val="24"/>
          <w:szCs w:val="24"/>
        </w:rPr>
        <w:t xml:space="preserve">Amprenta ecologică se aplică atât persoanelor, cât şi bunurilor şi serviciilor, a organizaţiilor, evenimentelor şi proiectelor dar şi a sectoarelor industriale, oraşelor şi statelor lumii. </w:t>
      </w:r>
    </w:p>
    <w:p w:rsidR="00533F73" w:rsidRPr="00533F73" w:rsidRDefault="00533F73" w:rsidP="00533F73">
      <w:pPr>
        <w:tabs>
          <w:tab w:val="left" w:pos="1276"/>
        </w:tabs>
        <w:spacing w:after="0" w:line="240" w:lineRule="auto"/>
        <w:jc w:val="both"/>
        <w:rPr>
          <w:rFonts w:ascii="Arial" w:eastAsia="SimSun" w:hAnsi="Arial" w:cs="Arial"/>
          <w:sz w:val="24"/>
          <w:szCs w:val="24"/>
          <w:lang w:val="en-GB"/>
        </w:rPr>
      </w:pPr>
      <w:r w:rsidRPr="00533F73">
        <w:rPr>
          <w:rFonts w:ascii="Arial" w:eastAsia="SimSun" w:hAnsi="Arial" w:cs="Arial"/>
          <w:sz w:val="24"/>
          <w:szCs w:val="24"/>
          <w:lang w:val="en-GB"/>
        </w:rPr>
        <w:t xml:space="preserve">Amprenta ecologică include suprafaţa de terenuri cultivate, păşuni, păduri şi ariile piscicole necesare pentru producţia de fibre, materie lemnoasă şi alimente destinate consumului şi suprafeţele ocupate pentru neutralizarea deşeurilor generate. </w:t>
      </w:r>
    </w:p>
    <w:p w:rsidR="00533F73" w:rsidRPr="00533F73" w:rsidRDefault="00533F73" w:rsidP="00533F73">
      <w:pPr>
        <w:autoSpaceDE w:val="0"/>
        <w:autoSpaceDN w:val="0"/>
        <w:adjustRightInd w:val="0"/>
        <w:spacing w:after="0" w:line="240" w:lineRule="auto"/>
        <w:ind w:firstLine="720"/>
        <w:jc w:val="both"/>
        <w:rPr>
          <w:rFonts w:ascii="Arial" w:eastAsia="Times New Roman" w:hAnsi="Arial" w:cs="Arial"/>
          <w:sz w:val="24"/>
          <w:szCs w:val="24"/>
        </w:rPr>
      </w:pPr>
      <w:r w:rsidRPr="00533F73">
        <w:rPr>
          <w:rFonts w:ascii="Arial" w:eastAsia="Times New Roman" w:hAnsi="Arial" w:cs="Arial"/>
          <w:sz w:val="24"/>
          <w:szCs w:val="24"/>
        </w:rPr>
        <w:t xml:space="preserve">Societatea noastră de consum exercită o presiune enormă asupra planetei, resursele naturale ale Pământului trebuie să fie utilizate într-un ritm în care acestea se pot reface pentru a trăi în mod durabil.  </w:t>
      </w:r>
    </w:p>
    <w:p w:rsidR="00533F73" w:rsidRPr="00533F73" w:rsidRDefault="00533F73" w:rsidP="00533F73">
      <w:pPr>
        <w:autoSpaceDE w:val="0"/>
        <w:autoSpaceDN w:val="0"/>
        <w:adjustRightInd w:val="0"/>
        <w:spacing w:after="0" w:line="240" w:lineRule="auto"/>
        <w:ind w:firstLine="720"/>
        <w:jc w:val="both"/>
        <w:rPr>
          <w:rFonts w:ascii="Arial" w:eastAsia="Times New Roman" w:hAnsi="Arial" w:cs="Arial"/>
          <w:sz w:val="24"/>
          <w:szCs w:val="24"/>
        </w:rPr>
      </w:pPr>
      <w:r w:rsidRPr="00533F73">
        <w:rPr>
          <w:rFonts w:ascii="Arial" w:eastAsia="Times New Roman" w:hAnsi="Arial" w:cs="Arial"/>
          <w:sz w:val="24"/>
          <w:szCs w:val="24"/>
        </w:rPr>
        <w:t>Modul în care producem și consumăm contribuie la multe dintre problemele de mediu din prezent, cum ar fi încălzirea globală, poluarea, epuizarea resurselor naturale și pierderea biodiversității. Consecințele consumului nostru se resimt la nivel mondial: UE depinde de importurile de energie și de resurse naturale, iar o proporție crescândă de produse consumate în Europa sunt fabricate în alte părți ale lumii.</w:t>
      </w:r>
    </w:p>
    <w:p w:rsidR="00533F73" w:rsidRPr="00533F73" w:rsidRDefault="00533F73" w:rsidP="00533F73">
      <w:pPr>
        <w:tabs>
          <w:tab w:val="left" w:pos="1276"/>
        </w:tabs>
        <w:spacing w:after="0" w:line="240" w:lineRule="auto"/>
        <w:rPr>
          <w:rFonts w:ascii="Arial" w:eastAsia="SimSun" w:hAnsi="Arial" w:cs="Arial"/>
          <w:i/>
          <w:sz w:val="24"/>
          <w:szCs w:val="24"/>
          <w:lang w:val="ro-RO"/>
        </w:rPr>
      </w:pPr>
    </w:p>
    <w:p w:rsidR="00533F73" w:rsidRPr="00533F73" w:rsidRDefault="00533F73" w:rsidP="00533F73">
      <w:pPr>
        <w:tabs>
          <w:tab w:val="left" w:pos="1276"/>
        </w:tabs>
        <w:spacing w:after="0" w:line="240" w:lineRule="auto"/>
        <w:rPr>
          <w:rFonts w:ascii="Arial" w:eastAsia="SimSun" w:hAnsi="Arial" w:cs="Arial"/>
          <w:b/>
          <w:i/>
          <w:sz w:val="24"/>
          <w:szCs w:val="24"/>
          <w:lang w:val="ro-RO"/>
        </w:rPr>
      </w:pPr>
      <w:r w:rsidRPr="00533F73">
        <w:rPr>
          <w:rFonts w:ascii="Arial" w:eastAsia="SimSun" w:hAnsi="Arial" w:cs="Arial"/>
          <w:b/>
          <w:i/>
          <w:sz w:val="24"/>
          <w:szCs w:val="24"/>
          <w:lang w:val="ro-RO"/>
        </w:rPr>
        <w:t xml:space="preserve">X.1.1. Alimente şi băuturi </w:t>
      </w:r>
    </w:p>
    <w:p w:rsidR="00533F73" w:rsidRPr="00533F73" w:rsidRDefault="00533F73" w:rsidP="00533F73">
      <w:pPr>
        <w:autoSpaceDE w:val="0"/>
        <w:autoSpaceDN w:val="0"/>
        <w:adjustRightInd w:val="0"/>
        <w:spacing w:after="0" w:line="240" w:lineRule="auto"/>
        <w:ind w:firstLine="720"/>
        <w:jc w:val="both"/>
        <w:rPr>
          <w:rFonts w:ascii="Arial" w:eastAsia="Times New Roman" w:hAnsi="Arial" w:cs="Arial"/>
          <w:sz w:val="24"/>
          <w:szCs w:val="24"/>
        </w:rPr>
      </w:pPr>
    </w:p>
    <w:p w:rsidR="00533F73" w:rsidRPr="00533F73" w:rsidRDefault="00533F73" w:rsidP="00533F73">
      <w:pPr>
        <w:autoSpaceDE w:val="0"/>
        <w:autoSpaceDN w:val="0"/>
        <w:adjustRightInd w:val="0"/>
        <w:spacing w:after="0" w:line="240" w:lineRule="auto"/>
        <w:ind w:firstLine="720"/>
        <w:jc w:val="both"/>
        <w:rPr>
          <w:rFonts w:ascii="Arial" w:eastAsia="Times New Roman" w:hAnsi="Arial" w:cs="Arial"/>
          <w:sz w:val="24"/>
          <w:szCs w:val="24"/>
        </w:rPr>
      </w:pPr>
      <w:r w:rsidRPr="00533F73">
        <w:rPr>
          <w:rFonts w:ascii="Arial" w:eastAsia="Times New Roman" w:hAnsi="Arial" w:cs="Arial"/>
          <w:sz w:val="24"/>
          <w:szCs w:val="24"/>
        </w:rPr>
        <w:t xml:space="preserve">Obiceiurile noastre de a consuma hrană şi băuturi provoacă presiuni ambientale considerabile pe care le cauzăm în mod direct prin călătoriile făcute la magazine, depozitarea şi pregătirea mâncărurilor şi generarea reziduurilor, dar şi în mod indirect – şi într-o manieră mai importantă – prin producerea, procesarea şi transportarea alimentelor. </w:t>
      </w:r>
    </w:p>
    <w:p w:rsidR="00533F73" w:rsidRPr="00533F73" w:rsidRDefault="00533F73" w:rsidP="00533F73">
      <w:pPr>
        <w:tabs>
          <w:tab w:val="left" w:pos="1276"/>
        </w:tabs>
        <w:spacing w:after="0" w:line="240" w:lineRule="auto"/>
        <w:jc w:val="both"/>
        <w:rPr>
          <w:rFonts w:ascii="Arial" w:eastAsia="SimSun" w:hAnsi="Arial" w:cs="Arial"/>
          <w:b/>
          <w:i/>
          <w:sz w:val="24"/>
          <w:szCs w:val="24"/>
          <w:lang w:val="ro-RO"/>
        </w:rPr>
      </w:pPr>
      <w:r w:rsidRPr="00533F73">
        <w:rPr>
          <w:rFonts w:ascii="Arial" w:eastAsia="SimSun" w:hAnsi="Arial" w:cs="Arial"/>
          <w:sz w:val="24"/>
          <w:szCs w:val="24"/>
          <w:lang w:val="en-GB"/>
        </w:rPr>
        <w:lastRenderedPageBreak/>
        <w:t>Consumul mediu anual de produse alimentare, pe locuitor, reprezintă cantitatea dintr-un produs sau grupă de produse agroalimentare consumată de un locuitor, în perioada de referinţă, indiferent de sursa de aprovizionare precum şi locul unde se consumă.</w:t>
      </w:r>
    </w:p>
    <w:p w:rsidR="00533F73" w:rsidRPr="00533F73" w:rsidRDefault="00533F73" w:rsidP="00533F73">
      <w:pPr>
        <w:tabs>
          <w:tab w:val="left" w:pos="1276"/>
        </w:tabs>
        <w:spacing w:after="0" w:line="240" w:lineRule="auto"/>
        <w:jc w:val="both"/>
        <w:rPr>
          <w:rFonts w:ascii="Arial" w:eastAsia="SimSun" w:hAnsi="Arial" w:cs="Arial"/>
          <w:sz w:val="24"/>
          <w:szCs w:val="24"/>
          <w:lang w:val="en-GB"/>
        </w:rPr>
      </w:pPr>
      <w:r w:rsidRPr="00533F73">
        <w:rPr>
          <w:rFonts w:ascii="Arial" w:eastAsia="SimSun" w:hAnsi="Arial" w:cs="Arial"/>
          <w:sz w:val="24"/>
          <w:szCs w:val="24"/>
          <w:shd w:val="clear" w:color="auto" w:fill="FFFFFF"/>
          <w:lang w:val="en-GB"/>
        </w:rPr>
        <w:t xml:space="preserve">            Un rol important în implementarea conceptului de consum durabil îl au consumatorii, care, prin alegerile pe care le fac atunci când achiziţionează un bun sau un serviciu impugn caracteristici legate de economia de resurse şi de proiectarea ecologică.</w:t>
      </w:r>
      <w:r w:rsidRPr="00533F73">
        <w:rPr>
          <w:rFonts w:ascii="Arial" w:eastAsia="SimSun" w:hAnsi="Arial" w:cs="Arial"/>
          <w:sz w:val="24"/>
          <w:szCs w:val="24"/>
          <w:lang w:val="en-GB"/>
        </w:rPr>
        <w:t xml:space="preserve"> </w:t>
      </w:r>
      <w:r w:rsidRPr="00533F73">
        <w:rPr>
          <w:rFonts w:ascii="Arial" w:eastAsia="SimSun" w:hAnsi="Arial" w:cs="Arial"/>
          <w:sz w:val="24"/>
          <w:szCs w:val="24"/>
          <w:shd w:val="clear" w:color="auto" w:fill="FFFFFF"/>
          <w:lang w:val="en-GB"/>
        </w:rPr>
        <w:t xml:space="preserve">Ca urmare a amplorii fenomenului de globalizare, prezenţa alimentelor locale şi tradiţionale s-a redus, iar modul de viaţă modern a limitat capacitatea de a conectare la mediul local. </w:t>
      </w:r>
      <w:r w:rsidRPr="00533F73">
        <w:rPr>
          <w:rFonts w:ascii="Arial" w:eastAsia="Times New Roman" w:hAnsi="Arial" w:cs="Arial"/>
          <w:sz w:val="24"/>
          <w:szCs w:val="24"/>
        </w:rPr>
        <w:t>Risipa de alimente apare la diferite stadii ale lanţului alimentar. Alimentele sunt risipite înainte, în timpul sau după prepararea mâncării în gospodării şi sunt aruncate în timpul producerii, prelucrării, distribuirii, comercializării şi aprovizionării. Circa o treime din alimentele pentru consumul uman se risipeşte la nivel mondial – aproximativ 1,3 mld. t/an, conform FAO.</w:t>
      </w:r>
      <w:r w:rsidRPr="00533F73">
        <w:rPr>
          <w:rFonts w:ascii="Arial" w:eastAsia="SimSun" w:hAnsi="Arial" w:cs="Arial"/>
          <w:sz w:val="24"/>
          <w:szCs w:val="24"/>
          <w:lang w:val="en-GB"/>
        </w:rPr>
        <w:t xml:space="preserve"> </w:t>
      </w:r>
      <w:r w:rsidRPr="00533F73">
        <w:rPr>
          <w:rFonts w:ascii="Arial" w:eastAsia="Times New Roman" w:hAnsi="Arial" w:cs="Arial"/>
          <w:sz w:val="24"/>
          <w:szCs w:val="24"/>
        </w:rPr>
        <w:t>Risipa de energie este cauzată de transportul inutil de bunuri. Cu titlu de exemplu, fructele şi legumele sunt unele din cele mai transportate bunuri la nivel global, iar impactul asupra mediului depinde de tipul şi distanţa transportului de la producător la consumator. Varianta producerii pentru pieţele locale şi lanţurile scurte poate avea o amprentă de carbon redusă comparativ cu varianta producerii pentru pieţe îndepărtate.</w:t>
      </w:r>
    </w:p>
    <w:p w:rsidR="00533F73" w:rsidRPr="00533F73" w:rsidRDefault="00533F73" w:rsidP="00533F73">
      <w:pPr>
        <w:shd w:val="clear" w:color="auto" w:fill="FFFFFF"/>
        <w:spacing w:after="0" w:line="240" w:lineRule="auto"/>
        <w:ind w:firstLine="720"/>
        <w:jc w:val="both"/>
        <w:rPr>
          <w:rFonts w:ascii="Arial" w:eastAsia="Times New Roman" w:hAnsi="Arial" w:cs="Arial"/>
          <w:sz w:val="24"/>
          <w:szCs w:val="24"/>
        </w:rPr>
      </w:pPr>
      <w:r w:rsidRPr="00533F73">
        <w:rPr>
          <w:rFonts w:ascii="Arial" w:eastAsia="Times New Roman" w:hAnsi="Arial" w:cs="Arial"/>
          <w:sz w:val="24"/>
          <w:szCs w:val="24"/>
        </w:rPr>
        <w:t xml:space="preserve">  </w:t>
      </w:r>
    </w:p>
    <w:p w:rsidR="00533F73" w:rsidRPr="00533F73" w:rsidRDefault="00533F73" w:rsidP="00533F73">
      <w:pPr>
        <w:autoSpaceDE w:val="0"/>
        <w:autoSpaceDN w:val="0"/>
        <w:adjustRightInd w:val="0"/>
        <w:spacing w:after="0" w:line="240" w:lineRule="auto"/>
        <w:jc w:val="both"/>
        <w:rPr>
          <w:rFonts w:ascii="Arial" w:eastAsia="Times New Roman" w:hAnsi="Arial" w:cs="Arial"/>
          <w:sz w:val="24"/>
          <w:szCs w:val="24"/>
        </w:rPr>
      </w:pPr>
      <w:r w:rsidRPr="00533F73">
        <w:rPr>
          <w:rFonts w:ascii="Arial" w:eastAsia="Times New Roman" w:hAnsi="Arial" w:cs="Arial"/>
          <w:sz w:val="24"/>
          <w:szCs w:val="24"/>
        </w:rPr>
        <w:t>Consumul alimentar al populaţiei constituie un aspect esenţial şi direct al condiţiilor de viaţă. Astfel, o primă problemă care interesează a constituit-o nivelul consumului mediu a principalelor produse alimentare şi mai ales variaţia în dinamica anuală 2010-2015.</w:t>
      </w:r>
    </w:p>
    <w:p w:rsidR="00533F73" w:rsidRPr="00533F73" w:rsidRDefault="00533F73" w:rsidP="00533F73">
      <w:pPr>
        <w:autoSpaceDE w:val="0"/>
        <w:autoSpaceDN w:val="0"/>
        <w:adjustRightInd w:val="0"/>
        <w:spacing w:after="0" w:line="240" w:lineRule="auto"/>
        <w:jc w:val="both"/>
        <w:rPr>
          <w:rFonts w:ascii="Arial" w:eastAsia="Times New Roman" w:hAnsi="Arial" w:cs="Arial"/>
          <w:sz w:val="24"/>
          <w:szCs w:val="24"/>
        </w:rPr>
      </w:pPr>
      <w:r w:rsidRPr="00533F73">
        <w:rPr>
          <w:rFonts w:ascii="Arial" w:eastAsia="Times New Roman" w:hAnsi="Arial" w:cs="Arial"/>
          <w:sz w:val="24"/>
          <w:szCs w:val="24"/>
        </w:rPr>
        <w:t>Datele deţinute de INS referitoare la consumul (disponibilul de consum) mediu anual de produse alimentare (în unități fizice) pe cap de locuitor precum şi consumul (disponibilul de</w:t>
      </w:r>
    </w:p>
    <w:p w:rsidR="00533F73" w:rsidRPr="00533F73" w:rsidRDefault="00533F73" w:rsidP="00533F73">
      <w:pPr>
        <w:autoSpaceDE w:val="0"/>
        <w:autoSpaceDN w:val="0"/>
        <w:adjustRightInd w:val="0"/>
        <w:spacing w:after="0" w:line="240" w:lineRule="auto"/>
        <w:jc w:val="both"/>
        <w:rPr>
          <w:rFonts w:ascii="Arial" w:eastAsia="Times New Roman" w:hAnsi="Arial" w:cs="Arial"/>
          <w:sz w:val="24"/>
          <w:szCs w:val="24"/>
        </w:rPr>
      </w:pPr>
      <w:r w:rsidRPr="00533F73">
        <w:rPr>
          <w:rFonts w:ascii="Arial" w:eastAsia="Times New Roman" w:hAnsi="Arial" w:cs="Arial"/>
          <w:sz w:val="24"/>
          <w:szCs w:val="24"/>
        </w:rPr>
        <w:t>consum) mediu anual de băuturi pe cap de locuitor, se regăsesc la nivel de macroregiuni,</w:t>
      </w:r>
    </w:p>
    <w:p w:rsidR="00533F73" w:rsidRPr="00533F73" w:rsidRDefault="00533F73" w:rsidP="00533F73">
      <w:pPr>
        <w:autoSpaceDE w:val="0"/>
        <w:autoSpaceDN w:val="0"/>
        <w:adjustRightInd w:val="0"/>
        <w:spacing w:after="0" w:line="240" w:lineRule="auto"/>
        <w:jc w:val="both"/>
        <w:rPr>
          <w:rFonts w:ascii="Arial" w:eastAsia="Times New Roman" w:hAnsi="Arial" w:cs="Arial"/>
          <w:sz w:val="24"/>
          <w:szCs w:val="24"/>
        </w:rPr>
      </w:pPr>
      <w:r w:rsidRPr="00533F73">
        <w:rPr>
          <w:rFonts w:ascii="Arial" w:eastAsia="Times New Roman" w:hAnsi="Arial" w:cs="Arial"/>
          <w:sz w:val="24"/>
          <w:szCs w:val="24"/>
        </w:rPr>
        <w:t>nu teritorial. Lipsa datelor la nivel judeţean, nu a permis estimarea trendului de evoluţie privind consumul alimentar al populaţiei raportat la nivelul judeţului Vaslui.</w:t>
      </w:r>
    </w:p>
    <w:p w:rsidR="00533F73" w:rsidRPr="00533F73" w:rsidRDefault="00533F73" w:rsidP="00533F73">
      <w:pPr>
        <w:tabs>
          <w:tab w:val="left" w:pos="1276"/>
        </w:tabs>
        <w:spacing w:after="0" w:line="240" w:lineRule="auto"/>
        <w:jc w:val="both"/>
        <w:rPr>
          <w:rFonts w:ascii="Arial" w:eastAsia="SimSun" w:hAnsi="Arial" w:cs="Arial"/>
          <w:b/>
          <w:i/>
          <w:sz w:val="24"/>
          <w:szCs w:val="24"/>
          <w:lang w:val="ro-RO"/>
        </w:rPr>
      </w:pPr>
    </w:p>
    <w:p w:rsidR="00533F73" w:rsidRPr="00533F73" w:rsidRDefault="00533F73" w:rsidP="00533F73">
      <w:pPr>
        <w:tabs>
          <w:tab w:val="left" w:pos="1276"/>
        </w:tabs>
        <w:spacing w:after="0" w:line="240" w:lineRule="auto"/>
        <w:rPr>
          <w:rFonts w:ascii="Arial" w:eastAsia="SimSun" w:hAnsi="Arial" w:cs="Arial"/>
          <w:b/>
          <w:i/>
          <w:sz w:val="24"/>
          <w:szCs w:val="24"/>
          <w:lang w:val="ro-RO"/>
        </w:rPr>
      </w:pPr>
      <w:r w:rsidRPr="00533F73">
        <w:rPr>
          <w:rFonts w:ascii="Arial" w:eastAsia="SimSun" w:hAnsi="Arial" w:cs="Arial"/>
          <w:b/>
          <w:i/>
          <w:sz w:val="24"/>
          <w:szCs w:val="24"/>
          <w:lang w:val="ro-RO"/>
        </w:rPr>
        <w:t xml:space="preserve">X.1.2. Locuinţe </w:t>
      </w:r>
    </w:p>
    <w:p w:rsidR="00533F73" w:rsidRPr="00533F73" w:rsidRDefault="00533F73" w:rsidP="00533F73">
      <w:pPr>
        <w:tabs>
          <w:tab w:val="left" w:pos="1276"/>
        </w:tabs>
        <w:spacing w:after="0" w:line="240" w:lineRule="auto"/>
        <w:rPr>
          <w:rFonts w:ascii="Times New Roman" w:eastAsia="SimSun" w:hAnsi="Times New Roman" w:cs="Times New Roman"/>
          <w:i/>
          <w:szCs w:val="26"/>
          <w:lang w:val="ro-RO"/>
        </w:rPr>
      </w:pPr>
    </w:p>
    <w:p w:rsidR="00533F73" w:rsidRPr="00533F73" w:rsidRDefault="00533F73" w:rsidP="00533F73">
      <w:pPr>
        <w:autoSpaceDE w:val="0"/>
        <w:autoSpaceDN w:val="0"/>
        <w:adjustRightInd w:val="0"/>
        <w:spacing w:after="0" w:line="240" w:lineRule="auto"/>
        <w:ind w:firstLine="720"/>
        <w:jc w:val="both"/>
        <w:rPr>
          <w:rFonts w:ascii="Arial" w:eastAsia="Times New Roman" w:hAnsi="Arial" w:cs="Arial"/>
          <w:sz w:val="24"/>
          <w:szCs w:val="24"/>
        </w:rPr>
      </w:pPr>
      <w:r w:rsidRPr="00533F73">
        <w:rPr>
          <w:rFonts w:ascii="Arial" w:eastAsia="Times New Roman" w:hAnsi="Arial" w:cs="Arial"/>
          <w:sz w:val="24"/>
          <w:szCs w:val="24"/>
        </w:rPr>
        <w:t>Locuinţa este construcţia formată din una sau mai multe camere de locuit situate la acelaşi nivel al clădirii sau la niveluri diferite, prevazută în general cu dependinţe (bucătărie, baie etc.) sau alte spaţii de deservire, independentă din punct de vedere funcţional, având intrare separată din casa scării, curte sau stradă şi care a fost construită, transformată sau amenajată în scopul de a fi folosită, în principiu, de o singură gospodărie.</w:t>
      </w:r>
    </w:p>
    <w:p w:rsidR="00533F73" w:rsidRPr="00533F73" w:rsidRDefault="00533F73" w:rsidP="00533F73">
      <w:pPr>
        <w:autoSpaceDE w:val="0"/>
        <w:autoSpaceDN w:val="0"/>
        <w:adjustRightInd w:val="0"/>
        <w:spacing w:after="0" w:line="240" w:lineRule="auto"/>
        <w:ind w:firstLine="720"/>
        <w:jc w:val="both"/>
        <w:rPr>
          <w:rFonts w:ascii="Arial" w:eastAsia="TimesNewRoman" w:hAnsi="Arial" w:cs="Arial"/>
          <w:sz w:val="20"/>
          <w:szCs w:val="20"/>
        </w:rPr>
      </w:pPr>
      <w:r w:rsidRPr="00533F73">
        <w:rPr>
          <w:rFonts w:ascii="Arial" w:eastAsia="TimesNewRoman" w:hAnsi="Arial" w:cs="Arial"/>
          <w:sz w:val="24"/>
          <w:szCs w:val="24"/>
        </w:rPr>
        <w:t xml:space="preserve">Factorul care a impulsionat radical creşterea numărului de locuinţe construite de populaţie, în special în regiunile mai sărace ale ţării, a fost şi este încă migraţia peste graniţă, în căutarea unor locuri de muncă mai bine plătite. Mai mult de o treime din gospodăriile româneşti (aproximativ două milioane şi jumătate) au avut cel puţin unul dintre membrii la lucru în străinătate, după anul 1989. Şi în prezent, peste două milioane de români se află la muncă în străinătate (cei mai mulţi în Spania şi Italia), mulţi dintre aceştia având ca obiectiv principal achiziţionarea/construirea unei locuinţe, modernizarea celei existente sau/şi înzestrarea locuinţei cu bunuri de folosinţă </w:t>
      </w:r>
      <w:r w:rsidRPr="00533F73">
        <w:rPr>
          <w:rFonts w:ascii="Arial" w:eastAsia="TimesNewRoman" w:hAnsi="Arial" w:cs="Arial"/>
          <w:sz w:val="24"/>
          <w:szCs w:val="24"/>
        </w:rPr>
        <w:lastRenderedPageBreak/>
        <w:t xml:space="preserve">îndelungată, electrocasnice, automobil etc. </w:t>
      </w:r>
      <w:r w:rsidRPr="00533F73">
        <w:rPr>
          <w:rFonts w:ascii="Arial" w:eastAsia="TimesNewRoman" w:hAnsi="Arial" w:cs="Arial"/>
          <w:sz w:val="20"/>
          <w:szCs w:val="20"/>
        </w:rPr>
        <w:t xml:space="preserve">(Sursa: </w:t>
      </w:r>
      <w:r w:rsidRPr="00533F73">
        <w:rPr>
          <w:rFonts w:ascii="Arial" w:eastAsia="TimesNewRoman" w:hAnsi="Arial" w:cs="Arial"/>
          <w:iCs/>
          <w:sz w:val="20"/>
          <w:szCs w:val="20"/>
        </w:rPr>
        <w:t xml:space="preserve">Agenţia pentru Strategii Guvernamentale </w:t>
      </w:r>
      <w:r w:rsidRPr="00533F73">
        <w:rPr>
          <w:rFonts w:ascii="Arial" w:eastAsia="TimesNewRoman" w:hAnsi="Arial" w:cs="Arial"/>
          <w:sz w:val="20"/>
          <w:szCs w:val="20"/>
        </w:rPr>
        <w:t xml:space="preserve">şi </w:t>
      </w:r>
      <w:r w:rsidRPr="00533F73">
        <w:rPr>
          <w:rFonts w:ascii="Arial" w:eastAsia="TimesNewRoman" w:hAnsi="Arial" w:cs="Arial"/>
          <w:iCs/>
          <w:sz w:val="20"/>
          <w:szCs w:val="20"/>
        </w:rPr>
        <w:t>Gallup Organization</w:t>
      </w:r>
      <w:r w:rsidRPr="00533F73">
        <w:rPr>
          <w:rFonts w:ascii="Arial" w:eastAsia="TimesNewRoman" w:hAnsi="Arial" w:cs="Arial"/>
          <w:sz w:val="20"/>
          <w:szCs w:val="20"/>
        </w:rPr>
        <w:t>).</w:t>
      </w:r>
    </w:p>
    <w:p w:rsidR="00533F73" w:rsidRPr="00533F73" w:rsidRDefault="00533F73" w:rsidP="00533F73">
      <w:pPr>
        <w:autoSpaceDE w:val="0"/>
        <w:autoSpaceDN w:val="0"/>
        <w:adjustRightInd w:val="0"/>
        <w:spacing w:after="0" w:line="240" w:lineRule="auto"/>
        <w:rPr>
          <w:rFonts w:ascii="Arial" w:eastAsia="Times New Roman" w:hAnsi="Arial" w:cs="Arial"/>
          <w:sz w:val="24"/>
          <w:szCs w:val="24"/>
        </w:rPr>
      </w:pPr>
    </w:p>
    <w:p w:rsidR="00533F73" w:rsidRPr="00533F73" w:rsidRDefault="00533F73" w:rsidP="00533F73">
      <w:pPr>
        <w:autoSpaceDE w:val="0"/>
        <w:autoSpaceDN w:val="0"/>
        <w:adjustRightInd w:val="0"/>
        <w:spacing w:after="0" w:line="240" w:lineRule="auto"/>
        <w:rPr>
          <w:rFonts w:ascii="Arial" w:eastAsia="Times New Roman" w:hAnsi="Arial" w:cs="Arial"/>
          <w:sz w:val="24"/>
          <w:szCs w:val="24"/>
        </w:rPr>
      </w:pPr>
      <w:r w:rsidRPr="00533F73">
        <w:rPr>
          <w:rFonts w:ascii="Arial" w:eastAsia="Times New Roman" w:hAnsi="Arial" w:cs="Arial"/>
          <w:sz w:val="24"/>
          <w:szCs w:val="24"/>
        </w:rPr>
        <w:t>Pentru judeţul Vaslui, numărul mediu de persoane pe locu</w:t>
      </w:r>
      <w:r w:rsidR="00855393">
        <w:rPr>
          <w:rFonts w:ascii="Arial" w:eastAsia="Times New Roman" w:hAnsi="Arial" w:cs="Arial"/>
          <w:sz w:val="24"/>
          <w:szCs w:val="24"/>
        </w:rPr>
        <w:t xml:space="preserve">inţă, pentru perioada 2011-2015 </w:t>
      </w:r>
      <w:r w:rsidRPr="00533F73">
        <w:rPr>
          <w:rFonts w:ascii="Arial" w:eastAsia="Times New Roman" w:hAnsi="Arial" w:cs="Arial"/>
          <w:sz w:val="24"/>
          <w:szCs w:val="24"/>
        </w:rPr>
        <w:t>este reprezentat în figura nr. X.1.</w:t>
      </w:r>
    </w:p>
    <w:p w:rsidR="00533F73" w:rsidRPr="00533F73" w:rsidRDefault="00533F73" w:rsidP="00533F73">
      <w:pPr>
        <w:autoSpaceDE w:val="0"/>
        <w:autoSpaceDN w:val="0"/>
        <w:adjustRightInd w:val="0"/>
        <w:spacing w:after="0" w:line="240" w:lineRule="auto"/>
        <w:rPr>
          <w:rFonts w:ascii="Arial" w:eastAsia="Times New Roman" w:hAnsi="Arial" w:cs="Arial"/>
          <w:sz w:val="24"/>
          <w:szCs w:val="24"/>
        </w:rPr>
      </w:pPr>
    </w:p>
    <w:p w:rsidR="00533F73" w:rsidRPr="00533F73" w:rsidRDefault="00533F73" w:rsidP="005910C7">
      <w:pPr>
        <w:numPr>
          <w:ilvl w:val="0"/>
          <w:numId w:val="26"/>
        </w:numPr>
        <w:autoSpaceDE w:val="0"/>
        <w:autoSpaceDN w:val="0"/>
        <w:adjustRightInd w:val="0"/>
        <w:spacing w:after="0" w:line="240" w:lineRule="auto"/>
        <w:rPr>
          <w:rFonts w:ascii="Arial,BoldItalic" w:eastAsia="Times New Roman" w:hAnsi="Arial,BoldItalic" w:cs="Arial,BoldItalic"/>
          <w:bCs/>
          <w:i/>
          <w:iCs/>
          <w:sz w:val="24"/>
          <w:szCs w:val="24"/>
        </w:rPr>
      </w:pPr>
      <w:r w:rsidRPr="00533F73">
        <w:rPr>
          <w:rFonts w:ascii="Arial,BoldItalic" w:eastAsia="Times New Roman" w:hAnsi="Arial,BoldItalic" w:cs="Arial,BoldItalic"/>
          <w:bCs/>
          <w:i/>
          <w:iCs/>
          <w:sz w:val="24"/>
          <w:szCs w:val="24"/>
        </w:rPr>
        <w:t>Numărul mediu de persoane pe locuinţă reprezintă populaţia totală stabilă</w:t>
      </w:r>
    </w:p>
    <w:p w:rsidR="00533F73" w:rsidRPr="00533F73" w:rsidRDefault="00533F73" w:rsidP="00533F73">
      <w:pPr>
        <w:autoSpaceDE w:val="0"/>
        <w:autoSpaceDN w:val="0"/>
        <w:adjustRightInd w:val="0"/>
        <w:spacing w:after="0" w:line="240" w:lineRule="auto"/>
        <w:rPr>
          <w:rFonts w:ascii="Arial,BoldItalic" w:eastAsia="Times New Roman" w:hAnsi="Arial,BoldItalic" w:cs="Arial,BoldItalic"/>
          <w:bCs/>
          <w:i/>
          <w:iCs/>
          <w:sz w:val="24"/>
          <w:szCs w:val="24"/>
        </w:rPr>
      </w:pPr>
      <w:r w:rsidRPr="00533F73">
        <w:rPr>
          <w:rFonts w:ascii="Arial,BoldItalic" w:eastAsia="Times New Roman" w:hAnsi="Arial,BoldItalic" w:cs="Arial,BoldItalic"/>
          <w:bCs/>
          <w:i/>
          <w:iCs/>
          <w:sz w:val="24"/>
          <w:szCs w:val="24"/>
        </w:rPr>
        <w:t>raportată la numărul total de locuinţe</w:t>
      </w:r>
    </w:p>
    <w:p w:rsidR="00533F73" w:rsidRPr="00533F73" w:rsidRDefault="00533F73" w:rsidP="00533F73">
      <w:pPr>
        <w:autoSpaceDE w:val="0"/>
        <w:autoSpaceDN w:val="0"/>
        <w:adjustRightInd w:val="0"/>
        <w:spacing w:after="0" w:line="240" w:lineRule="auto"/>
        <w:ind w:firstLine="720"/>
        <w:jc w:val="both"/>
        <w:rPr>
          <w:rFonts w:ascii="Arial" w:eastAsia="TimesNewRoman" w:hAnsi="Arial" w:cs="Arial"/>
          <w:sz w:val="20"/>
          <w:szCs w:val="20"/>
        </w:rPr>
      </w:pPr>
    </w:p>
    <w:p w:rsidR="00533F73" w:rsidRPr="00533F73" w:rsidRDefault="00533F73" w:rsidP="00533F73">
      <w:pPr>
        <w:autoSpaceDE w:val="0"/>
        <w:autoSpaceDN w:val="0"/>
        <w:adjustRightInd w:val="0"/>
        <w:spacing w:after="0" w:line="240" w:lineRule="auto"/>
        <w:rPr>
          <w:rFonts w:ascii="Arial" w:eastAsia="Times New Roman" w:hAnsi="Arial" w:cs="Arial"/>
          <w:sz w:val="24"/>
          <w:szCs w:val="24"/>
        </w:rPr>
      </w:pPr>
      <w:r w:rsidRPr="00533F73">
        <w:rPr>
          <w:rFonts w:ascii="Arial" w:eastAsia="Times New Roman" w:hAnsi="Arial" w:cs="Arial"/>
          <w:sz w:val="24"/>
          <w:szCs w:val="24"/>
        </w:rPr>
        <w:t>Figura X.1. Numărul mediu de persoane pe locuinţă, în perioada 2011-2015, în judeţul Vaslui</w:t>
      </w:r>
    </w:p>
    <w:p w:rsidR="00533F73" w:rsidRPr="00533F73" w:rsidRDefault="00533F73" w:rsidP="00533F73">
      <w:pPr>
        <w:tabs>
          <w:tab w:val="left" w:pos="1276"/>
        </w:tabs>
        <w:spacing w:after="0" w:line="240" w:lineRule="auto"/>
        <w:jc w:val="both"/>
        <w:rPr>
          <w:rFonts w:ascii="Arial" w:eastAsia="SimSun" w:hAnsi="Arial" w:cs="Arial"/>
          <w:i/>
          <w:sz w:val="24"/>
          <w:szCs w:val="24"/>
          <w:lang w:val="ro-RO"/>
        </w:rPr>
      </w:pPr>
      <w:r>
        <w:rPr>
          <w:rFonts w:ascii="Arial" w:eastAsia="SimSun" w:hAnsi="Arial" w:cs="Arial"/>
          <w:i/>
          <w:noProof/>
          <w:sz w:val="24"/>
          <w:szCs w:val="24"/>
        </w:rPr>
        <w:drawing>
          <wp:inline distT="0" distB="0" distL="0" distR="0">
            <wp:extent cx="6086475" cy="2105025"/>
            <wp:effectExtent l="0" t="0" r="0" b="0"/>
            <wp:docPr id="283" name="Chart 2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533F73" w:rsidRPr="00533F73" w:rsidRDefault="00533F73" w:rsidP="00533F73">
      <w:pPr>
        <w:tabs>
          <w:tab w:val="left" w:pos="1276"/>
        </w:tabs>
        <w:spacing w:after="0" w:line="240" w:lineRule="auto"/>
        <w:jc w:val="both"/>
        <w:rPr>
          <w:rFonts w:ascii="Arial" w:eastAsia="SimSun" w:hAnsi="Arial" w:cs="Arial"/>
          <w:i/>
          <w:sz w:val="24"/>
          <w:szCs w:val="24"/>
          <w:lang w:val="ro-RO"/>
        </w:rPr>
      </w:pPr>
      <w:r w:rsidRPr="00533F73">
        <w:rPr>
          <w:rFonts w:ascii="Arial" w:eastAsia="SimSun" w:hAnsi="Arial" w:cs="Arial"/>
          <w:bCs/>
          <w:sz w:val="20"/>
          <w:szCs w:val="20"/>
          <w:lang w:val="en-GB"/>
        </w:rPr>
        <w:t>(Sursa: Institutul Naţional de Statistică</w:t>
      </w:r>
      <w:r w:rsidRPr="00533F73">
        <w:rPr>
          <w:rFonts w:ascii="Arial" w:eastAsia="SimSun" w:hAnsi="Arial" w:cs="Arial"/>
          <w:b/>
          <w:sz w:val="20"/>
          <w:szCs w:val="20"/>
          <w:lang w:val="en-GB"/>
        </w:rPr>
        <w:t xml:space="preserve"> - </w:t>
      </w:r>
      <w:r w:rsidRPr="00533F73">
        <w:rPr>
          <w:rFonts w:ascii="Arial" w:eastAsia="SimSun" w:hAnsi="Arial" w:cs="Arial"/>
          <w:bCs/>
          <w:sz w:val="20"/>
          <w:szCs w:val="20"/>
          <w:lang w:val="en-GB"/>
        </w:rPr>
        <w:t>Baza de date TEMPO</w:t>
      </w:r>
      <w:r w:rsidRPr="00533F73">
        <w:rPr>
          <w:rFonts w:ascii="Arial" w:eastAsia="SimSun" w:hAnsi="Arial" w:cs="Arial"/>
          <w:sz w:val="20"/>
          <w:szCs w:val="20"/>
          <w:lang w:val="en-GB"/>
        </w:rPr>
        <w:t xml:space="preserve"> Online)</w:t>
      </w:r>
    </w:p>
    <w:p w:rsidR="00533F73" w:rsidRPr="00533F73" w:rsidRDefault="00533F73" w:rsidP="00533F73">
      <w:pPr>
        <w:tabs>
          <w:tab w:val="left" w:pos="1276"/>
        </w:tabs>
        <w:spacing w:after="0" w:line="240" w:lineRule="auto"/>
        <w:rPr>
          <w:rFonts w:ascii="Times New Roman" w:eastAsia="SimSun" w:hAnsi="Times New Roman" w:cs="Times New Roman"/>
          <w:i/>
          <w:szCs w:val="26"/>
          <w:lang w:val="ro-RO"/>
        </w:rPr>
      </w:pPr>
    </w:p>
    <w:p w:rsidR="00533F73" w:rsidRPr="00533F73" w:rsidRDefault="00533F73" w:rsidP="005910C7">
      <w:pPr>
        <w:numPr>
          <w:ilvl w:val="0"/>
          <w:numId w:val="27"/>
        </w:numPr>
        <w:autoSpaceDE w:val="0"/>
        <w:autoSpaceDN w:val="0"/>
        <w:adjustRightInd w:val="0"/>
        <w:spacing w:after="0" w:line="240" w:lineRule="auto"/>
        <w:rPr>
          <w:rFonts w:ascii="Arial,BoldItalic" w:eastAsia="Times New Roman" w:hAnsi="Arial,BoldItalic" w:cs="Arial,BoldItalic"/>
          <w:bCs/>
          <w:i/>
          <w:iCs/>
          <w:sz w:val="24"/>
          <w:szCs w:val="24"/>
        </w:rPr>
      </w:pPr>
      <w:r w:rsidRPr="00533F73">
        <w:rPr>
          <w:rFonts w:ascii="Arial,BoldItalic" w:eastAsia="Times New Roman" w:hAnsi="Arial,BoldItalic" w:cs="Arial,BoldItalic"/>
          <w:bCs/>
          <w:i/>
          <w:iCs/>
          <w:sz w:val="24"/>
          <w:szCs w:val="24"/>
        </w:rPr>
        <w:t>Consumul de energie electrică în locuinţe</w:t>
      </w:r>
    </w:p>
    <w:p w:rsidR="00533F73" w:rsidRPr="00533F73" w:rsidRDefault="00533F73" w:rsidP="00533F73">
      <w:pPr>
        <w:autoSpaceDE w:val="0"/>
        <w:autoSpaceDN w:val="0"/>
        <w:adjustRightInd w:val="0"/>
        <w:spacing w:after="0" w:line="240" w:lineRule="auto"/>
        <w:ind w:firstLine="720"/>
        <w:jc w:val="both"/>
        <w:rPr>
          <w:rFonts w:ascii="Arial" w:eastAsia="Times New Roman" w:hAnsi="Arial" w:cs="Arial"/>
          <w:sz w:val="24"/>
          <w:szCs w:val="24"/>
        </w:rPr>
      </w:pPr>
      <w:r w:rsidRPr="00533F73">
        <w:rPr>
          <w:rFonts w:ascii="Arial" w:eastAsia="Times New Roman" w:hAnsi="Arial" w:cs="Arial"/>
          <w:sz w:val="24"/>
          <w:szCs w:val="24"/>
        </w:rPr>
        <w:t>Consumul de energie electrică în locuinţe (exprimat în MWh şi mii tep) reprezintă consumul de energie electrică al populaţiei obţinut prin însumarea tuturor cantităţilor de energie electrică furnizată populaţiei de către agenţii economici în anul de referinţă.</w:t>
      </w:r>
    </w:p>
    <w:p w:rsidR="00533F73" w:rsidRPr="00533F73" w:rsidRDefault="00533F73" w:rsidP="00533F73">
      <w:pPr>
        <w:autoSpaceDE w:val="0"/>
        <w:autoSpaceDN w:val="0"/>
        <w:adjustRightInd w:val="0"/>
        <w:spacing w:after="0" w:line="240" w:lineRule="auto"/>
        <w:jc w:val="both"/>
        <w:rPr>
          <w:rFonts w:ascii="Arial" w:eastAsia="Times New Roman" w:hAnsi="Arial" w:cs="Arial"/>
          <w:sz w:val="24"/>
          <w:szCs w:val="24"/>
        </w:rPr>
      </w:pPr>
      <w:r w:rsidRPr="00533F73">
        <w:rPr>
          <w:rFonts w:ascii="Arial" w:eastAsia="Times New Roman" w:hAnsi="Arial" w:cs="Arial"/>
          <w:sz w:val="24"/>
          <w:szCs w:val="24"/>
        </w:rPr>
        <w:t>Consumul de energie electrică în gospodării se bazează pe date care sunt agregate la nivel naţional.</w:t>
      </w:r>
    </w:p>
    <w:p w:rsidR="00533F73" w:rsidRPr="00533F73" w:rsidRDefault="00533F73" w:rsidP="00533F73">
      <w:pPr>
        <w:tabs>
          <w:tab w:val="left" w:pos="1276"/>
        </w:tabs>
        <w:spacing w:after="0" w:line="240" w:lineRule="auto"/>
        <w:rPr>
          <w:rFonts w:ascii="Times New Roman" w:eastAsia="SimSun" w:hAnsi="Times New Roman" w:cs="Times New Roman"/>
          <w:i/>
          <w:szCs w:val="26"/>
          <w:lang w:val="ro-RO"/>
        </w:rPr>
      </w:pPr>
    </w:p>
    <w:p w:rsidR="00533F73" w:rsidRPr="00533F73" w:rsidRDefault="00533F73" w:rsidP="005910C7">
      <w:pPr>
        <w:numPr>
          <w:ilvl w:val="0"/>
          <w:numId w:val="27"/>
        </w:numPr>
        <w:autoSpaceDE w:val="0"/>
        <w:autoSpaceDN w:val="0"/>
        <w:adjustRightInd w:val="0"/>
        <w:spacing w:after="0" w:line="240" w:lineRule="auto"/>
        <w:rPr>
          <w:rFonts w:ascii="Arial,BoldItalic" w:eastAsia="Times New Roman" w:hAnsi="Arial,BoldItalic" w:cs="Arial,BoldItalic"/>
          <w:bCs/>
          <w:i/>
          <w:iCs/>
          <w:sz w:val="24"/>
          <w:szCs w:val="24"/>
        </w:rPr>
      </w:pPr>
      <w:r w:rsidRPr="00533F73">
        <w:rPr>
          <w:rFonts w:ascii="Arial,BoldItalic" w:eastAsia="Times New Roman" w:hAnsi="Arial,BoldItalic" w:cs="Arial,BoldItalic"/>
          <w:bCs/>
          <w:i/>
          <w:iCs/>
          <w:sz w:val="24"/>
          <w:szCs w:val="24"/>
        </w:rPr>
        <w:t>Cheltuieli de consum medii pe persoană</w:t>
      </w:r>
    </w:p>
    <w:p w:rsidR="00533F73" w:rsidRPr="00533F73" w:rsidRDefault="00533F73" w:rsidP="0084419D">
      <w:pPr>
        <w:autoSpaceDE w:val="0"/>
        <w:autoSpaceDN w:val="0"/>
        <w:adjustRightInd w:val="0"/>
        <w:spacing w:after="0" w:line="240" w:lineRule="auto"/>
        <w:ind w:firstLine="720"/>
        <w:jc w:val="both"/>
        <w:rPr>
          <w:rFonts w:ascii="Arial" w:eastAsia="Times New Roman" w:hAnsi="Arial" w:cs="Arial"/>
          <w:sz w:val="24"/>
          <w:szCs w:val="24"/>
        </w:rPr>
      </w:pPr>
      <w:r w:rsidRPr="00533F73">
        <w:rPr>
          <w:rFonts w:ascii="Arial" w:eastAsia="Times New Roman" w:hAnsi="Arial" w:cs="Arial"/>
          <w:sz w:val="24"/>
          <w:szCs w:val="24"/>
        </w:rPr>
        <w:t>Cheltuielile de consum medii pe persoană reprezintă ansamblul cheltuielilor efectuate de populaţie pentru necesităţile de consum curent şi intrate în consum (produse alimentare, mărfuri nealimentare, servicii) şi contravaloarea consumului uman de produse agroalimentare din resursele proprii ale gospodăriei. Metoda de calcul o reprezintă însumarea cheltuielilor efectuate de gospodării pentru necesităţile de consum curent (alimentare, nealimentare, servicii şi autoconsumul uman de produse agroalimentare).</w:t>
      </w:r>
    </w:p>
    <w:p w:rsidR="00533F73" w:rsidRPr="00533F73" w:rsidRDefault="00533F73" w:rsidP="0084419D">
      <w:pPr>
        <w:autoSpaceDE w:val="0"/>
        <w:autoSpaceDN w:val="0"/>
        <w:adjustRightInd w:val="0"/>
        <w:spacing w:after="0" w:line="240" w:lineRule="auto"/>
        <w:ind w:firstLine="720"/>
        <w:jc w:val="both"/>
        <w:rPr>
          <w:rFonts w:ascii="Arial" w:eastAsia="Times New Roman" w:hAnsi="Arial" w:cs="Arial"/>
          <w:sz w:val="24"/>
          <w:szCs w:val="24"/>
        </w:rPr>
      </w:pPr>
      <w:r w:rsidRPr="00533F73">
        <w:rPr>
          <w:rFonts w:ascii="Arial" w:eastAsia="Times New Roman" w:hAnsi="Arial" w:cs="Arial"/>
          <w:sz w:val="24"/>
          <w:szCs w:val="24"/>
        </w:rPr>
        <w:t>Datele necesare acestui calcul se regăsesc la nivel naţional şi pe regiuni de dezvoltare, astfel că nu a fost posibilă prezentarea la nivelul judeţului Vaslui.</w:t>
      </w:r>
    </w:p>
    <w:p w:rsidR="0084419D" w:rsidRDefault="0084419D" w:rsidP="00533F73">
      <w:pPr>
        <w:tabs>
          <w:tab w:val="left" w:pos="1276"/>
        </w:tabs>
        <w:spacing w:after="0" w:line="240" w:lineRule="auto"/>
        <w:rPr>
          <w:rFonts w:ascii="Arial" w:eastAsia="SimSun" w:hAnsi="Arial" w:cs="Arial"/>
          <w:b/>
          <w:i/>
          <w:sz w:val="24"/>
          <w:szCs w:val="24"/>
          <w:lang w:val="ro-RO"/>
        </w:rPr>
      </w:pPr>
    </w:p>
    <w:p w:rsidR="00533F73" w:rsidRPr="00533F73" w:rsidRDefault="00533F73" w:rsidP="00533F73">
      <w:pPr>
        <w:tabs>
          <w:tab w:val="left" w:pos="1276"/>
        </w:tabs>
        <w:spacing w:after="0" w:line="240" w:lineRule="auto"/>
        <w:rPr>
          <w:rFonts w:ascii="Arial" w:eastAsia="SimSun" w:hAnsi="Arial" w:cs="Arial"/>
          <w:b/>
          <w:i/>
          <w:sz w:val="24"/>
          <w:szCs w:val="24"/>
          <w:lang w:val="ro-RO"/>
        </w:rPr>
      </w:pPr>
      <w:r w:rsidRPr="00533F73">
        <w:rPr>
          <w:rFonts w:ascii="Arial" w:eastAsia="SimSun" w:hAnsi="Arial" w:cs="Arial"/>
          <w:b/>
          <w:i/>
          <w:sz w:val="24"/>
          <w:szCs w:val="24"/>
          <w:lang w:val="ro-RO"/>
        </w:rPr>
        <w:t xml:space="preserve">X.1.3. Mobilitate </w:t>
      </w:r>
      <w:r w:rsidRPr="00533F73">
        <w:rPr>
          <w:rFonts w:ascii="Arial" w:eastAsia="SimSun" w:hAnsi="Arial" w:cs="Arial"/>
          <w:b/>
          <w:i/>
          <w:sz w:val="24"/>
          <w:szCs w:val="24"/>
          <w:lang w:val="ro-RO"/>
        </w:rPr>
        <w:tab/>
      </w:r>
    </w:p>
    <w:p w:rsidR="00533F73" w:rsidRPr="00533F73" w:rsidRDefault="00533F73" w:rsidP="00533F73">
      <w:pPr>
        <w:tabs>
          <w:tab w:val="left" w:pos="1276"/>
        </w:tabs>
        <w:spacing w:after="0" w:line="240" w:lineRule="auto"/>
        <w:rPr>
          <w:rFonts w:ascii="Arial" w:eastAsia="SimSun" w:hAnsi="Arial" w:cs="Arial"/>
          <w:b/>
          <w:i/>
          <w:sz w:val="24"/>
          <w:szCs w:val="24"/>
          <w:lang w:val="ro-RO"/>
        </w:rPr>
      </w:pPr>
    </w:p>
    <w:p w:rsidR="00533F73" w:rsidRPr="00533F73" w:rsidRDefault="00533F73" w:rsidP="00533F73">
      <w:pPr>
        <w:autoSpaceDE w:val="0"/>
        <w:autoSpaceDN w:val="0"/>
        <w:adjustRightInd w:val="0"/>
        <w:spacing w:after="0" w:line="240" w:lineRule="auto"/>
        <w:ind w:firstLine="720"/>
        <w:jc w:val="both"/>
        <w:rPr>
          <w:rFonts w:ascii="Arial" w:eastAsia="Times New Roman" w:hAnsi="Arial" w:cs="Arial"/>
          <w:sz w:val="24"/>
          <w:szCs w:val="24"/>
        </w:rPr>
      </w:pPr>
      <w:r w:rsidRPr="00533F73">
        <w:rPr>
          <w:rFonts w:ascii="Arial" w:eastAsia="Times New Roman" w:hAnsi="Arial" w:cs="Arial"/>
          <w:sz w:val="24"/>
          <w:szCs w:val="24"/>
        </w:rPr>
        <w:t xml:space="preserve">Mobilitatea reprezintă esența de dezvoltare continuă a omenirii, bazată pe transportul de persoane și mărfuri prin diferite moduri. Transportul s-a dezvoltat într-un </w:t>
      </w:r>
      <w:r w:rsidRPr="00533F73">
        <w:rPr>
          <w:rFonts w:ascii="Arial" w:eastAsia="Times New Roman" w:hAnsi="Arial" w:cs="Arial"/>
          <w:sz w:val="24"/>
          <w:szCs w:val="24"/>
        </w:rPr>
        <w:lastRenderedPageBreak/>
        <w:t xml:space="preserve">conglomerat de subsisteme și serviciile pe care acestea le furnizează. Datorită naturii sale omniprezente, transportul ocupă o poziție centrală în structura unei națiuni urbanizate. Modul în care oamenii trăiesc și muncesc s-a schimbat pe parcursul timpului, ca urmare a îmbunătățirii stilului de viață și a capacităților transportului. Transportul rutier joacă un rol vital în satisfacerea nevoilor de mobilitate ale societății moderne, prin sprijinirea activităților variate ale comunităților: muncă, educație, recreere, cultură etc. Numărul și utilizarea vehiculelor rutiere motorizate este în creștere aproape peste tot în lume. Acest lucru se întâmplă în detrimentul transportului public, care este, în general, mai inofensiv pentru mediul înconjurător. </w:t>
      </w:r>
    </w:p>
    <w:p w:rsidR="00533F73" w:rsidRPr="00533F73" w:rsidRDefault="00533F73" w:rsidP="00533F73">
      <w:pPr>
        <w:autoSpaceDE w:val="0"/>
        <w:autoSpaceDN w:val="0"/>
        <w:adjustRightInd w:val="0"/>
        <w:spacing w:after="0" w:line="240" w:lineRule="auto"/>
        <w:jc w:val="both"/>
        <w:rPr>
          <w:rFonts w:ascii="Arial" w:eastAsia="Times New Roman" w:hAnsi="Arial" w:cs="Arial"/>
          <w:sz w:val="24"/>
          <w:szCs w:val="24"/>
        </w:rPr>
      </w:pPr>
      <w:r w:rsidRPr="00533F73">
        <w:rPr>
          <w:rFonts w:ascii="Arial" w:eastAsia="Times New Roman" w:hAnsi="Arial" w:cs="Arial"/>
          <w:sz w:val="24"/>
          <w:szCs w:val="24"/>
        </w:rPr>
        <w:t>Un sistem de mobilitate modern, eficient din punct de vedere al resurselor, care servește atât pentru pasageri, cât și pentru mărfuri poate contribui în mod semnificativ la competitivitate și sustenabilitate.</w:t>
      </w:r>
    </w:p>
    <w:p w:rsidR="00533F73" w:rsidRPr="00533F73" w:rsidRDefault="00533F73" w:rsidP="00533F73">
      <w:pPr>
        <w:autoSpaceDE w:val="0"/>
        <w:autoSpaceDN w:val="0"/>
        <w:adjustRightInd w:val="0"/>
        <w:spacing w:after="0" w:line="240" w:lineRule="auto"/>
        <w:jc w:val="both"/>
        <w:rPr>
          <w:rFonts w:ascii="Arial" w:eastAsia="Times New Roman" w:hAnsi="Arial" w:cs="Arial"/>
          <w:sz w:val="24"/>
          <w:szCs w:val="24"/>
        </w:rPr>
      </w:pPr>
    </w:p>
    <w:p w:rsidR="00533F73" w:rsidRPr="00533F73" w:rsidRDefault="00533F73" w:rsidP="00533F73">
      <w:pPr>
        <w:spacing w:after="0" w:line="240" w:lineRule="auto"/>
        <w:rPr>
          <w:rFonts w:ascii="Arial" w:eastAsia="SimSun" w:hAnsi="Arial" w:cs="Arial"/>
          <w:sz w:val="24"/>
          <w:szCs w:val="24"/>
          <w:lang w:val="ro-RO"/>
        </w:rPr>
      </w:pPr>
      <w:r w:rsidRPr="00533F73">
        <w:rPr>
          <w:rFonts w:ascii="Arial" w:eastAsia="SimSun" w:hAnsi="Arial" w:cs="Arial"/>
          <w:sz w:val="24"/>
          <w:szCs w:val="24"/>
          <w:lang w:val="ro-RO"/>
        </w:rPr>
        <w:t xml:space="preserve">X.1.3.1. Transportul de pasageri </w:t>
      </w:r>
    </w:p>
    <w:p w:rsidR="00533F73" w:rsidRPr="00533F73" w:rsidRDefault="00533F73" w:rsidP="00533F73">
      <w:pPr>
        <w:spacing w:after="0" w:line="240" w:lineRule="auto"/>
        <w:ind w:left="2520"/>
        <w:rPr>
          <w:rFonts w:ascii="Times New Roman" w:eastAsia="SimSun" w:hAnsi="Times New Roman" w:cs="Times New Roman"/>
          <w:sz w:val="20"/>
          <w:szCs w:val="26"/>
          <w:lang w:val="ro-RO"/>
        </w:rPr>
      </w:pPr>
    </w:p>
    <w:p w:rsidR="00533F73" w:rsidRPr="00533F73" w:rsidRDefault="00533F73" w:rsidP="00533F73">
      <w:pPr>
        <w:spacing w:after="0" w:line="240" w:lineRule="auto"/>
        <w:ind w:firstLine="720"/>
        <w:jc w:val="both"/>
        <w:rPr>
          <w:rFonts w:ascii="Arial" w:eastAsia="SimSun" w:hAnsi="Arial" w:cs="Arial"/>
          <w:sz w:val="24"/>
          <w:szCs w:val="24"/>
          <w:lang w:val="en-GB"/>
        </w:rPr>
      </w:pPr>
      <w:r w:rsidRPr="00533F73">
        <w:rPr>
          <w:rFonts w:ascii="Arial" w:eastAsia="SimSun" w:hAnsi="Arial" w:cs="Arial"/>
          <w:sz w:val="24"/>
          <w:szCs w:val="24"/>
          <w:lang w:val="en-GB"/>
        </w:rPr>
        <w:t>Cererea de transport de pasageri este definită ca suma pasageri-kilometru interni parcurşi în fiecare an. Transportul de pasageri intern include transportul cu autoturisme, autobuze şi autocare şi trenuri.</w:t>
      </w:r>
    </w:p>
    <w:p w:rsidR="00533F73" w:rsidRPr="00533F73" w:rsidRDefault="00533F73" w:rsidP="00533F73">
      <w:pPr>
        <w:autoSpaceDE w:val="0"/>
        <w:autoSpaceDN w:val="0"/>
        <w:adjustRightInd w:val="0"/>
        <w:spacing w:after="0" w:line="240" w:lineRule="auto"/>
        <w:ind w:firstLine="720"/>
        <w:jc w:val="both"/>
        <w:rPr>
          <w:rFonts w:ascii="Arial" w:eastAsia="Times New Roman" w:hAnsi="Arial" w:cs="Arial"/>
          <w:sz w:val="24"/>
          <w:szCs w:val="24"/>
        </w:rPr>
      </w:pPr>
      <w:r w:rsidRPr="00533F73">
        <w:rPr>
          <w:rFonts w:ascii="Arial" w:eastAsia="Times New Roman" w:hAnsi="Arial" w:cs="Arial"/>
          <w:sz w:val="24"/>
          <w:szCs w:val="24"/>
        </w:rPr>
        <w:t>Principalele cauze care stau la baza creşterii cererii de transport de pasageri este creșterea veniturilor împreună cu o tendinţă de a cheltui mai mult sau mai puţin din procentul din venit pentru transport. Prin urmare, venitul suplimentar înseamnă buget suplimentar de călătorie, care permite călătorii mai frecvente, mai rapide, mai îndepartate şi mai luxoase.</w:t>
      </w:r>
    </w:p>
    <w:p w:rsidR="00533F73" w:rsidRPr="00533F73" w:rsidRDefault="00533F73" w:rsidP="00855393">
      <w:pPr>
        <w:autoSpaceDE w:val="0"/>
        <w:autoSpaceDN w:val="0"/>
        <w:adjustRightInd w:val="0"/>
        <w:spacing w:after="0" w:line="240" w:lineRule="auto"/>
        <w:jc w:val="both"/>
        <w:rPr>
          <w:rFonts w:ascii="Arial" w:eastAsia="Times New Roman" w:hAnsi="Arial" w:cs="Arial"/>
          <w:sz w:val="24"/>
          <w:szCs w:val="24"/>
        </w:rPr>
      </w:pPr>
      <w:r w:rsidRPr="00533F73">
        <w:rPr>
          <w:rFonts w:ascii="Arial" w:eastAsia="Times New Roman" w:hAnsi="Arial" w:cs="Arial"/>
          <w:sz w:val="24"/>
          <w:szCs w:val="24"/>
        </w:rPr>
        <w:t>Activitatea de transport este una dintre principalele surse de emisii de gaze cu efect de seră şi, de asemenea, dă naştere la poluarea semnificativă a aerului şi la zgomot, care pot</w:t>
      </w:r>
      <w:r w:rsidR="00855393">
        <w:rPr>
          <w:rFonts w:ascii="Arial" w:eastAsia="Times New Roman" w:hAnsi="Arial" w:cs="Arial"/>
          <w:sz w:val="24"/>
          <w:szCs w:val="24"/>
        </w:rPr>
        <w:t xml:space="preserve"> </w:t>
      </w:r>
      <w:r w:rsidRPr="00533F73">
        <w:rPr>
          <w:rFonts w:ascii="Arial" w:eastAsia="Times New Roman" w:hAnsi="Arial" w:cs="Arial"/>
          <w:sz w:val="24"/>
          <w:szCs w:val="24"/>
        </w:rPr>
        <w:t>afecta grav sănatatea umană şi ecosistemele.</w:t>
      </w:r>
    </w:p>
    <w:p w:rsidR="00533F73" w:rsidRPr="00533F73" w:rsidRDefault="00533F73" w:rsidP="00533F73">
      <w:pPr>
        <w:spacing w:after="0" w:line="240" w:lineRule="auto"/>
        <w:jc w:val="both"/>
        <w:rPr>
          <w:rFonts w:ascii="Times New Roman" w:eastAsia="SimSun" w:hAnsi="Times New Roman" w:cs="Times New Roman"/>
          <w:sz w:val="20"/>
          <w:szCs w:val="26"/>
          <w:lang w:val="ro-RO"/>
        </w:rPr>
      </w:pPr>
    </w:p>
    <w:p w:rsidR="00533F73" w:rsidRPr="00533F73" w:rsidRDefault="00533F73" w:rsidP="00533F73">
      <w:pPr>
        <w:autoSpaceDE w:val="0"/>
        <w:autoSpaceDN w:val="0"/>
        <w:adjustRightInd w:val="0"/>
        <w:spacing w:after="0" w:line="240" w:lineRule="auto"/>
        <w:rPr>
          <w:rFonts w:ascii="Arial" w:eastAsia="Calibri" w:hAnsi="Arial" w:cs="Arial"/>
          <w:sz w:val="24"/>
          <w:szCs w:val="24"/>
        </w:rPr>
      </w:pPr>
      <w:r w:rsidRPr="00533F73">
        <w:rPr>
          <w:rFonts w:ascii="Arial" w:eastAsia="Calibri" w:hAnsi="Arial" w:cs="Arial"/>
          <w:sz w:val="24"/>
          <w:szCs w:val="24"/>
        </w:rPr>
        <w:t>Tabelul X.1. Transportul public local de pasageri, la nivelul judeţului Vaslui, în perioada 2011-2015</w:t>
      </w:r>
    </w:p>
    <w:tbl>
      <w:tblPr>
        <w:tblW w:w="0" w:type="auto"/>
        <w:jc w:val="center"/>
        <w:tblInd w:w="-1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993"/>
        <w:gridCol w:w="1134"/>
        <w:gridCol w:w="1275"/>
        <w:gridCol w:w="1276"/>
        <w:gridCol w:w="1276"/>
      </w:tblGrid>
      <w:tr w:rsidR="00533F73" w:rsidRPr="00533F73" w:rsidTr="007B7576">
        <w:trPr>
          <w:trHeight w:val="155"/>
          <w:jc w:val="center"/>
        </w:trPr>
        <w:tc>
          <w:tcPr>
            <w:tcW w:w="3018" w:type="dxa"/>
            <w:vMerge w:val="restart"/>
          </w:tcPr>
          <w:p w:rsidR="00533F73" w:rsidRPr="00533F73" w:rsidRDefault="00533F73" w:rsidP="00533F73">
            <w:pPr>
              <w:autoSpaceDE w:val="0"/>
              <w:autoSpaceDN w:val="0"/>
              <w:adjustRightInd w:val="0"/>
              <w:spacing w:after="0" w:line="240" w:lineRule="auto"/>
              <w:jc w:val="center"/>
              <w:rPr>
                <w:rFonts w:ascii="Arial" w:eastAsia="Calibri" w:hAnsi="Arial" w:cs="Arial"/>
                <w:b/>
                <w:sz w:val="24"/>
                <w:szCs w:val="24"/>
              </w:rPr>
            </w:pPr>
            <w:r w:rsidRPr="00533F73">
              <w:rPr>
                <w:rFonts w:ascii="Arial" w:eastAsia="Calibri" w:hAnsi="Arial" w:cs="Arial"/>
                <w:b/>
                <w:sz w:val="24"/>
                <w:szCs w:val="24"/>
              </w:rPr>
              <w:t>Judeţul</w:t>
            </w:r>
          </w:p>
        </w:tc>
        <w:tc>
          <w:tcPr>
            <w:tcW w:w="993" w:type="dxa"/>
          </w:tcPr>
          <w:p w:rsidR="00533F73" w:rsidRPr="00533F73" w:rsidRDefault="00533F73" w:rsidP="00533F73">
            <w:pPr>
              <w:autoSpaceDE w:val="0"/>
              <w:autoSpaceDN w:val="0"/>
              <w:adjustRightInd w:val="0"/>
              <w:spacing w:after="0" w:line="240" w:lineRule="auto"/>
              <w:rPr>
                <w:rFonts w:ascii="Arial" w:eastAsia="Calibri" w:hAnsi="Arial" w:cs="Arial"/>
                <w:b/>
                <w:sz w:val="24"/>
                <w:szCs w:val="24"/>
              </w:rPr>
            </w:pPr>
            <w:r w:rsidRPr="00533F73">
              <w:rPr>
                <w:rFonts w:ascii="Arial" w:eastAsia="Calibri" w:hAnsi="Arial" w:cs="Arial"/>
                <w:b/>
                <w:sz w:val="24"/>
                <w:szCs w:val="24"/>
              </w:rPr>
              <w:t>2011</w:t>
            </w:r>
          </w:p>
        </w:tc>
        <w:tc>
          <w:tcPr>
            <w:tcW w:w="1134" w:type="dxa"/>
          </w:tcPr>
          <w:p w:rsidR="00533F73" w:rsidRPr="00533F73" w:rsidRDefault="00533F73" w:rsidP="00533F73">
            <w:pPr>
              <w:autoSpaceDE w:val="0"/>
              <w:autoSpaceDN w:val="0"/>
              <w:adjustRightInd w:val="0"/>
              <w:spacing w:after="0" w:line="240" w:lineRule="auto"/>
              <w:rPr>
                <w:rFonts w:ascii="Arial" w:eastAsia="Calibri" w:hAnsi="Arial" w:cs="Arial"/>
                <w:b/>
                <w:sz w:val="24"/>
                <w:szCs w:val="24"/>
              </w:rPr>
            </w:pPr>
            <w:r w:rsidRPr="00533F73">
              <w:rPr>
                <w:rFonts w:ascii="Arial" w:eastAsia="Calibri" w:hAnsi="Arial" w:cs="Arial"/>
                <w:b/>
                <w:sz w:val="24"/>
                <w:szCs w:val="24"/>
              </w:rPr>
              <w:t>2012</w:t>
            </w:r>
          </w:p>
        </w:tc>
        <w:tc>
          <w:tcPr>
            <w:tcW w:w="1275" w:type="dxa"/>
          </w:tcPr>
          <w:p w:rsidR="00533F73" w:rsidRPr="00533F73" w:rsidRDefault="00533F73" w:rsidP="00533F73">
            <w:pPr>
              <w:autoSpaceDE w:val="0"/>
              <w:autoSpaceDN w:val="0"/>
              <w:adjustRightInd w:val="0"/>
              <w:spacing w:after="0" w:line="240" w:lineRule="auto"/>
              <w:rPr>
                <w:rFonts w:ascii="Arial" w:eastAsia="Calibri" w:hAnsi="Arial" w:cs="Arial"/>
                <w:b/>
                <w:sz w:val="24"/>
                <w:szCs w:val="24"/>
              </w:rPr>
            </w:pPr>
            <w:r w:rsidRPr="00533F73">
              <w:rPr>
                <w:rFonts w:ascii="Arial" w:eastAsia="Calibri" w:hAnsi="Arial" w:cs="Arial"/>
                <w:b/>
                <w:sz w:val="24"/>
                <w:szCs w:val="24"/>
              </w:rPr>
              <w:t>2013</w:t>
            </w:r>
          </w:p>
        </w:tc>
        <w:tc>
          <w:tcPr>
            <w:tcW w:w="1276" w:type="dxa"/>
          </w:tcPr>
          <w:p w:rsidR="00533F73" w:rsidRPr="00533F73" w:rsidRDefault="00533F73" w:rsidP="00533F73">
            <w:pPr>
              <w:autoSpaceDE w:val="0"/>
              <w:autoSpaceDN w:val="0"/>
              <w:adjustRightInd w:val="0"/>
              <w:spacing w:after="0" w:line="240" w:lineRule="auto"/>
              <w:rPr>
                <w:rFonts w:ascii="Arial" w:eastAsia="Calibri" w:hAnsi="Arial" w:cs="Arial"/>
                <w:b/>
                <w:sz w:val="24"/>
                <w:szCs w:val="24"/>
              </w:rPr>
            </w:pPr>
            <w:r w:rsidRPr="00533F73">
              <w:rPr>
                <w:rFonts w:ascii="Arial" w:eastAsia="Calibri" w:hAnsi="Arial" w:cs="Arial"/>
                <w:b/>
                <w:sz w:val="24"/>
                <w:szCs w:val="24"/>
              </w:rPr>
              <w:t>2014</w:t>
            </w:r>
          </w:p>
        </w:tc>
        <w:tc>
          <w:tcPr>
            <w:tcW w:w="1276" w:type="dxa"/>
          </w:tcPr>
          <w:p w:rsidR="00533F73" w:rsidRPr="00533F73" w:rsidRDefault="00533F73" w:rsidP="00533F73">
            <w:pPr>
              <w:autoSpaceDE w:val="0"/>
              <w:autoSpaceDN w:val="0"/>
              <w:adjustRightInd w:val="0"/>
              <w:spacing w:after="0" w:line="240" w:lineRule="auto"/>
              <w:rPr>
                <w:rFonts w:ascii="Arial" w:eastAsia="Calibri" w:hAnsi="Arial" w:cs="Arial"/>
                <w:b/>
                <w:sz w:val="24"/>
                <w:szCs w:val="24"/>
              </w:rPr>
            </w:pPr>
            <w:r w:rsidRPr="00533F73">
              <w:rPr>
                <w:rFonts w:ascii="Arial" w:eastAsia="Calibri" w:hAnsi="Arial" w:cs="Arial"/>
                <w:b/>
                <w:sz w:val="24"/>
                <w:szCs w:val="24"/>
              </w:rPr>
              <w:t>2015</w:t>
            </w:r>
          </w:p>
        </w:tc>
      </w:tr>
      <w:tr w:rsidR="00533F73" w:rsidRPr="00533F73" w:rsidTr="007B7576">
        <w:trPr>
          <w:trHeight w:val="225"/>
          <w:jc w:val="center"/>
        </w:trPr>
        <w:tc>
          <w:tcPr>
            <w:tcW w:w="3018" w:type="dxa"/>
            <w:vMerge/>
          </w:tcPr>
          <w:p w:rsidR="00533F73" w:rsidRPr="00533F73" w:rsidRDefault="00533F73" w:rsidP="00533F73">
            <w:pPr>
              <w:autoSpaceDE w:val="0"/>
              <w:autoSpaceDN w:val="0"/>
              <w:adjustRightInd w:val="0"/>
              <w:spacing w:after="0" w:line="240" w:lineRule="auto"/>
              <w:jc w:val="center"/>
              <w:rPr>
                <w:rFonts w:ascii="Arial" w:eastAsia="Calibri" w:hAnsi="Arial" w:cs="Arial"/>
                <w:sz w:val="24"/>
                <w:szCs w:val="24"/>
              </w:rPr>
            </w:pPr>
          </w:p>
        </w:tc>
        <w:tc>
          <w:tcPr>
            <w:tcW w:w="5954" w:type="dxa"/>
            <w:gridSpan w:val="5"/>
          </w:tcPr>
          <w:p w:rsidR="00533F73" w:rsidRPr="00533F73" w:rsidRDefault="00533F73" w:rsidP="00533F73">
            <w:pPr>
              <w:autoSpaceDE w:val="0"/>
              <w:autoSpaceDN w:val="0"/>
              <w:adjustRightInd w:val="0"/>
              <w:spacing w:after="0" w:line="240" w:lineRule="auto"/>
              <w:jc w:val="center"/>
              <w:rPr>
                <w:rFonts w:ascii="Arial" w:eastAsia="Calibri" w:hAnsi="Arial" w:cs="Arial"/>
                <w:sz w:val="24"/>
                <w:szCs w:val="24"/>
              </w:rPr>
            </w:pPr>
            <w:r w:rsidRPr="00533F73">
              <w:rPr>
                <w:rFonts w:ascii="Arial" w:eastAsia="Calibri" w:hAnsi="Arial" w:cs="Arial"/>
                <w:sz w:val="24"/>
                <w:szCs w:val="24"/>
              </w:rPr>
              <w:t>mii pasageri (autobuze/microbuze)</w:t>
            </w:r>
          </w:p>
        </w:tc>
      </w:tr>
      <w:tr w:rsidR="00533F73" w:rsidRPr="00533F73" w:rsidTr="007B7576">
        <w:trPr>
          <w:trHeight w:val="150"/>
          <w:jc w:val="center"/>
        </w:trPr>
        <w:tc>
          <w:tcPr>
            <w:tcW w:w="3018" w:type="dxa"/>
          </w:tcPr>
          <w:p w:rsidR="00533F73" w:rsidRPr="00533F73" w:rsidRDefault="00533F73" w:rsidP="00533F73">
            <w:pPr>
              <w:autoSpaceDE w:val="0"/>
              <w:autoSpaceDN w:val="0"/>
              <w:adjustRightInd w:val="0"/>
              <w:spacing w:after="0" w:line="240" w:lineRule="auto"/>
              <w:rPr>
                <w:rFonts w:ascii="Arial" w:eastAsia="Calibri" w:hAnsi="Arial" w:cs="Arial"/>
                <w:sz w:val="24"/>
                <w:szCs w:val="24"/>
              </w:rPr>
            </w:pPr>
            <w:r w:rsidRPr="00533F73">
              <w:rPr>
                <w:rFonts w:ascii="Arial" w:eastAsia="Calibri" w:hAnsi="Arial" w:cs="Arial"/>
                <w:b/>
                <w:sz w:val="24"/>
                <w:szCs w:val="24"/>
              </w:rPr>
              <w:t>Vaslui</w:t>
            </w:r>
          </w:p>
        </w:tc>
        <w:tc>
          <w:tcPr>
            <w:tcW w:w="993" w:type="dxa"/>
          </w:tcPr>
          <w:p w:rsidR="00533F73" w:rsidRPr="00533F73" w:rsidRDefault="00533F73" w:rsidP="00533F73">
            <w:pPr>
              <w:autoSpaceDE w:val="0"/>
              <w:autoSpaceDN w:val="0"/>
              <w:adjustRightInd w:val="0"/>
              <w:spacing w:after="0" w:line="240" w:lineRule="auto"/>
              <w:rPr>
                <w:rFonts w:ascii="Arial" w:eastAsia="Calibri" w:hAnsi="Arial" w:cs="Arial"/>
                <w:sz w:val="24"/>
                <w:szCs w:val="24"/>
              </w:rPr>
            </w:pPr>
            <w:r w:rsidRPr="00533F73">
              <w:rPr>
                <w:rFonts w:ascii="Arial" w:eastAsia="Calibri" w:hAnsi="Arial" w:cs="Arial"/>
                <w:sz w:val="24"/>
                <w:szCs w:val="24"/>
              </w:rPr>
              <w:t>5387,0</w:t>
            </w:r>
          </w:p>
        </w:tc>
        <w:tc>
          <w:tcPr>
            <w:tcW w:w="1134" w:type="dxa"/>
          </w:tcPr>
          <w:p w:rsidR="00533F73" w:rsidRPr="00533F73" w:rsidRDefault="00533F73" w:rsidP="00533F73">
            <w:pPr>
              <w:autoSpaceDE w:val="0"/>
              <w:autoSpaceDN w:val="0"/>
              <w:adjustRightInd w:val="0"/>
              <w:spacing w:after="0" w:line="240" w:lineRule="auto"/>
              <w:rPr>
                <w:rFonts w:ascii="Arial" w:eastAsia="Calibri" w:hAnsi="Arial" w:cs="Arial"/>
                <w:sz w:val="24"/>
                <w:szCs w:val="24"/>
              </w:rPr>
            </w:pPr>
            <w:r w:rsidRPr="00533F73">
              <w:rPr>
                <w:rFonts w:ascii="Arial" w:eastAsia="Calibri" w:hAnsi="Arial" w:cs="Arial"/>
                <w:sz w:val="24"/>
                <w:szCs w:val="24"/>
              </w:rPr>
              <w:t>5556,7</w:t>
            </w:r>
          </w:p>
        </w:tc>
        <w:tc>
          <w:tcPr>
            <w:tcW w:w="1275" w:type="dxa"/>
          </w:tcPr>
          <w:p w:rsidR="00533F73" w:rsidRPr="00533F73" w:rsidRDefault="00533F73" w:rsidP="00533F73">
            <w:pPr>
              <w:autoSpaceDE w:val="0"/>
              <w:autoSpaceDN w:val="0"/>
              <w:adjustRightInd w:val="0"/>
              <w:spacing w:after="0" w:line="240" w:lineRule="auto"/>
              <w:rPr>
                <w:rFonts w:ascii="Arial" w:eastAsia="Calibri" w:hAnsi="Arial" w:cs="Arial"/>
                <w:sz w:val="24"/>
                <w:szCs w:val="24"/>
              </w:rPr>
            </w:pPr>
            <w:r w:rsidRPr="00533F73">
              <w:rPr>
                <w:rFonts w:ascii="Arial" w:eastAsia="Calibri" w:hAnsi="Arial" w:cs="Arial"/>
                <w:sz w:val="24"/>
                <w:szCs w:val="24"/>
              </w:rPr>
              <w:t>5391,0</w:t>
            </w:r>
          </w:p>
        </w:tc>
        <w:tc>
          <w:tcPr>
            <w:tcW w:w="1276" w:type="dxa"/>
          </w:tcPr>
          <w:p w:rsidR="00533F73" w:rsidRPr="00533F73" w:rsidRDefault="00533F73" w:rsidP="00533F73">
            <w:pPr>
              <w:autoSpaceDE w:val="0"/>
              <w:autoSpaceDN w:val="0"/>
              <w:adjustRightInd w:val="0"/>
              <w:spacing w:after="0" w:line="240" w:lineRule="auto"/>
              <w:rPr>
                <w:rFonts w:ascii="Arial" w:eastAsia="Calibri" w:hAnsi="Arial" w:cs="Arial"/>
                <w:sz w:val="24"/>
                <w:szCs w:val="24"/>
              </w:rPr>
            </w:pPr>
            <w:r w:rsidRPr="00533F73">
              <w:rPr>
                <w:rFonts w:ascii="Arial" w:eastAsia="Calibri" w:hAnsi="Arial" w:cs="Arial"/>
                <w:sz w:val="24"/>
                <w:szCs w:val="24"/>
              </w:rPr>
              <w:t>5050,6</w:t>
            </w:r>
          </w:p>
        </w:tc>
        <w:tc>
          <w:tcPr>
            <w:tcW w:w="1276" w:type="dxa"/>
          </w:tcPr>
          <w:p w:rsidR="00533F73" w:rsidRPr="00533F73" w:rsidRDefault="00533F73" w:rsidP="00533F73">
            <w:pPr>
              <w:autoSpaceDE w:val="0"/>
              <w:autoSpaceDN w:val="0"/>
              <w:adjustRightInd w:val="0"/>
              <w:spacing w:after="0" w:line="240" w:lineRule="auto"/>
              <w:rPr>
                <w:rFonts w:ascii="Arial" w:eastAsia="Calibri" w:hAnsi="Arial" w:cs="Arial"/>
                <w:sz w:val="24"/>
                <w:szCs w:val="24"/>
              </w:rPr>
            </w:pPr>
            <w:r w:rsidRPr="00533F73">
              <w:rPr>
                <w:rFonts w:ascii="Arial" w:eastAsia="Calibri" w:hAnsi="Arial" w:cs="Arial"/>
                <w:sz w:val="24"/>
                <w:szCs w:val="24"/>
              </w:rPr>
              <w:t>5309,5</w:t>
            </w:r>
          </w:p>
        </w:tc>
      </w:tr>
    </w:tbl>
    <w:p w:rsidR="00533F73" w:rsidRPr="00533F73" w:rsidRDefault="00533F73" w:rsidP="00533F73">
      <w:pPr>
        <w:tabs>
          <w:tab w:val="left" w:pos="1276"/>
        </w:tabs>
        <w:spacing w:after="0" w:line="240" w:lineRule="auto"/>
        <w:rPr>
          <w:rFonts w:ascii="Arial" w:eastAsia="SimSun" w:hAnsi="Arial" w:cs="Arial"/>
          <w:i/>
          <w:sz w:val="24"/>
          <w:szCs w:val="24"/>
          <w:lang w:val="ro-RO"/>
        </w:rPr>
      </w:pPr>
      <w:r w:rsidRPr="00533F73">
        <w:rPr>
          <w:rFonts w:ascii="Arial" w:eastAsia="SimSun" w:hAnsi="Arial" w:cs="Arial"/>
          <w:bCs/>
          <w:sz w:val="20"/>
          <w:szCs w:val="20"/>
          <w:lang w:val="en-GB"/>
        </w:rPr>
        <w:t xml:space="preserve">       (Sursa: Institutul Naţional de Statistică</w:t>
      </w:r>
      <w:r w:rsidRPr="00533F73">
        <w:rPr>
          <w:rFonts w:ascii="Arial" w:eastAsia="SimSun" w:hAnsi="Arial" w:cs="Arial"/>
          <w:b/>
          <w:sz w:val="20"/>
          <w:szCs w:val="20"/>
          <w:lang w:val="en-GB"/>
        </w:rPr>
        <w:t xml:space="preserve"> - </w:t>
      </w:r>
      <w:r w:rsidRPr="00533F73">
        <w:rPr>
          <w:rFonts w:ascii="Arial" w:eastAsia="SimSun" w:hAnsi="Arial" w:cs="Arial"/>
          <w:bCs/>
          <w:sz w:val="20"/>
          <w:szCs w:val="20"/>
          <w:lang w:val="en-GB"/>
        </w:rPr>
        <w:t>Baza de date TEMPO</w:t>
      </w:r>
      <w:r w:rsidRPr="00533F73">
        <w:rPr>
          <w:rFonts w:ascii="Arial" w:eastAsia="SimSun" w:hAnsi="Arial" w:cs="Arial"/>
          <w:sz w:val="20"/>
          <w:szCs w:val="20"/>
          <w:lang w:val="en-GB"/>
        </w:rPr>
        <w:t xml:space="preserve"> Online)</w:t>
      </w:r>
    </w:p>
    <w:p w:rsidR="00533F73" w:rsidRPr="00533F73" w:rsidRDefault="00533F73" w:rsidP="00533F73">
      <w:pPr>
        <w:autoSpaceDE w:val="0"/>
        <w:autoSpaceDN w:val="0"/>
        <w:adjustRightInd w:val="0"/>
        <w:spacing w:after="0" w:line="240" w:lineRule="auto"/>
        <w:rPr>
          <w:rFonts w:ascii="Arial" w:eastAsia="Calibri" w:hAnsi="Arial" w:cs="Arial"/>
          <w:sz w:val="24"/>
          <w:szCs w:val="24"/>
        </w:rPr>
      </w:pPr>
    </w:p>
    <w:p w:rsidR="00533F73" w:rsidRPr="00533F73" w:rsidRDefault="00533F73" w:rsidP="00533F73">
      <w:pPr>
        <w:autoSpaceDE w:val="0"/>
        <w:autoSpaceDN w:val="0"/>
        <w:adjustRightInd w:val="0"/>
        <w:spacing w:after="0" w:line="240" w:lineRule="auto"/>
        <w:rPr>
          <w:rFonts w:ascii="Arial" w:eastAsia="Calibri" w:hAnsi="Arial" w:cs="Arial"/>
          <w:sz w:val="24"/>
          <w:szCs w:val="24"/>
        </w:rPr>
      </w:pPr>
      <w:r w:rsidRPr="00533F73">
        <w:rPr>
          <w:rFonts w:ascii="Arial" w:eastAsia="Calibri" w:hAnsi="Arial" w:cs="Arial"/>
          <w:sz w:val="24"/>
          <w:szCs w:val="24"/>
        </w:rPr>
        <w:t>Figura X.2. Evoluţia numărului de pasageri transportaţi în transportul public local, în perioada 2011-2015, la nivelul judeţului Vaslui</w:t>
      </w:r>
    </w:p>
    <w:p w:rsidR="00533F73" w:rsidRPr="00533F73" w:rsidRDefault="00533F73" w:rsidP="00533F73">
      <w:pPr>
        <w:autoSpaceDE w:val="0"/>
        <w:autoSpaceDN w:val="0"/>
        <w:adjustRightInd w:val="0"/>
        <w:spacing w:after="0" w:line="240" w:lineRule="auto"/>
        <w:rPr>
          <w:rFonts w:ascii="Arial" w:eastAsia="Calibri" w:hAnsi="Arial" w:cs="Arial"/>
          <w:sz w:val="24"/>
          <w:szCs w:val="24"/>
        </w:rPr>
      </w:pPr>
      <w:r>
        <w:rPr>
          <w:rFonts w:ascii="Arial" w:eastAsia="Calibri" w:hAnsi="Arial" w:cs="Arial"/>
          <w:noProof/>
          <w:sz w:val="24"/>
          <w:szCs w:val="24"/>
        </w:rPr>
        <w:drawing>
          <wp:inline distT="0" distB="0" distL="0" distR="0">
            <wp:extent cx="5962650" cy="1666875"/>
            <wp:effectExtent l="0" t="0" r="0" b="0"/>
            <wp:docPr id="282" name="Chart 28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533F73" w:rsidRPr="00533F73" w:rsidRDefault="00533F73" w:rsidP="00533F73">
      <w:pPr>
        <w:autoSpaceDE w:val="0"/>
        <w:autoSpaceDN w:val="0"/>
        <w:adjustRightInd w:val="0"/>
        <w:spacing w:after="0" w:line="240" w:lineRule="auto"/>
        <w:jc w:val="center"/>
        <w:rPr>
          <w:rFonts w:ascii="Arial" w:eastAsia="Calibri" w:hAnsi="Arial" w:cs="Arial"/>
          <w:sz w:val="24"/>
          <w:szCs w:val="24"/>
        </w:rPr>
      </w:pPr>
    </w:p>
    <w:p w:rsidR="00533F73" w:rsidRPr="00533F73" w:rsidRDefault="00533F73" w:rsidP="0084419D">
      <w:pPr>
        <w:autoSpaceDE w:val="0"/>
        <w:autoSpaceDN w:val="0"/>
        <w:adjustRightInd w:val="0"/>
        <w:spacing w:after="0" w:line="240" w:lineRule="auto"/>
        <w:ind w:firstLine="720"/>
        <w:jc w:val="both"/>
        <w:rPr>
          <w:rFonts w:ascii="Arial" w:eastAsia="Times New Roman" w:hAnsi="Arial" w:cs="Arial"/>
          <w:bCs/>
          <w:i/>
          <w:sz w:val="24"/>
          <w:szCs w:val="24"/>
        </w:rPr>
      </w:pPr>
      <w:r w:rsidRPr="00533F73">
        <w:rPr>
          <w:rFonts w:ascii="Arial" w:eastAsia="Times New Roman" w:hAnsi="Arial" w:cs="Arial"/>
          <w:bCs/>
          <w:sz w:val="24"/>
          <w:szCs w:val="24"/>
        </w:rPr>
        <w:lastRenderedPageBreak/>
        <w:t>Volumul transportului de pasageri raportat la PIB</w:t>
      </w:r>
      <w:r w:rsidRPr="00533F73">
        <w:rPr>
          <w:rFonts w:ascii="Arial" w:eastAsia="Times New Roman" w:hAnsi="Arial" w:cs="Arial"/>
          <w:bCs/>
          <w:i/>
          <w:sz w:val="24"/>
          <w:szCs w:val="24"/>
        </w:rPr>
        <w:t xml:space="preserve"> </w:t>
      </w:r>
      <w:r w:rsidRPr="00533F73">
        <w:rPr>
          <w:rFonts w:ascii="Arial" w:eastAsia="Times New Roman" w:hAnsi="Arial" w:cs="Arial"/>
          <w:sz w:val="24"/>
          <w:szCs w:val="24"/>
        </w:rPr>
        <w:t>reprezintă volumul transportului intern de pasageri (exprimat ca modificare procentuală faţă de anul de bază, din perioada analizată, a valorii din anul curent pentru pasageri-km) raportat la produsul intern brut (exprimat ca modificare procentuală faţă de anul de bază, din perioada analizată, a valorii din anul curent în euro preţuri constante la nivelul anului 2005). Variabila este calculată din indicatorul pasageri-km (pkm), definit ca transportul unui pasager pe distanţa de un kilometru. Datele sunt agregate la nivel național.</w:t>
      </w:r>
    </w:p>
    <w:p w:rsidR="00533F73" w:rsidRPr="00533F73" w:rsidRDefault="00533F73" w:rsidP="00533F73">
      <w:pPr>
        <w:autoSpaceDE w:val="0"/>
        <w:autoSpaceDN w:val="0"/>
        <w:adjustRightInd w:val="0"/>
        <w:spacing w:after="0" w:line="240" w:lineRule="auto"/>
        <w:jc w:val="both"/>
        <w:rPr>
          <w:rFonts w:ascii="Arial" w:eastAsia="Times New Roman" w:hAnsi="Arial" w:cs="Arial"/>
          <w:sz w:val="24"/>
          <w:szCs w:val="24"/>
        </w:rPr>
      </w:pPr>
    </w:p>
    <w:p w:rsidR="00533F73" w:rsidRPr="00533F73" w:rsidRDefault="00533F73" w:rsidP="005910C7">
      <w:pPr>
        <w:numPr>
          <w:ilvl w:val="0"/>
          <w:numId w:val="28"/>
        </w:numPr>
        <w:autoSpaceDE w:val="0"/>
        <w:autoSpaceDN w:val="0"/>
        <w:adjustRightInd w:val="0"/>
        <w:spacing w:after="0" w:line="240" w:lineRule="auto"/>
        <w:jc w:val="both"/>
        <w:rPr>
          <w:rFonts w:ascii="Arial" w:eastAsia="Times New Roman" w:hAnsi="Arial" w:cs="Arial"/>
          <w:sz w:val="24"/>
          <w:szCs w:val="24"/>
        </w:rPr>
      </w:pPr>
      <w:r w:rsidRPr="00533F73">
        <w:rPr>
          <w:rFonts w:ascii="Arial" w:eastAsia="Times New Roman" w:hAnsi="Arial" w:cs="Arial"/>
          <w:bCs/>
          <w:i/>
          <w:sz w:val="24"/>
          <w:szCs w:val="24"/>
        </w:rPr>
        <w:t>Ponderea fiecărui mod în transportul de pasageri</w:t>
      </w:r>
      <w:r w:rsidRPr="00533F73">
        <w:rPr>
          <w:rFonts w:ascii="Arial" w:eastAsia="Times New Roman" w:hAnsi="Arial" w:cs="Arial"/>
          <w:b/>
          <w:bCs/>
          <w:sz w:val="24"/>
          <w:szCs w:val="24"/>
        </w:rPr>
        <w:t xml:space="preserve"> </w:t>
      </w:r>
      <w:r w:rsidRPr="00533F73">
        <w:rPr>
          <w:rFonts w:ascii="Arial" w:eastAsia="Times New Roman" w:hAnsi="Arial" w:cs="Arial"/>
          <w:bCs/>
          <w:sz w:val="24"/>
          <w:szCs w:val="24"/>
        </w:rPr>
        <w:t>reprezintă</w:t>
      </w:r>
      <w:r w:rsidRPr="00533F73">
        <w:rPr>
          <w:rFonts w:ascii="Arial" w:eastAsia="Times New Roman" w:hAnsi="Arial" w:cs="Arial"/>
          <w:b/>
          <w:bCs/>
          <w:sz w:val="24"/>
          <w:szCs w:val="24"/>
        </w:rPr>
        <w:t xml:space="preserve"> </w:t>
      </w:r>
      <w:r w:rsidRPr="00533F73">
        <w:rPr>
          <w:rFonts w:ascii="Arial" w:eastAsia="Times New Roman" w:hAnsi="Arial" w:cs="Arial"/>
          <w:sz w:val="24"/>
          <w:szCs w:val="24"/>
        </w:rPr>
        <w:t>ponderea (în %) a fiecărui mod de transport (autoturisme; autobuze și autocare; trenuri) în totalul transportului intern de pasageri. Conform INSSE, datele sunt agregate la nivel național.</w:t>
      </w:r>
    </w:p>
    <w:p w:rsidR="00533F73" w:rsidRPr="00533F73" w:rsidRDefault="00533F73" w:rsidP="005910C7">
      <w:pPr>
        <w:numPr>
          <w:ilvl w:val="0"/>
          <w:numId w:val="29"/>
        </w:numPr>
        <w:autoSpaceDE w:val="0"/>
        <w:autoSpaceDN w:val="0"/>
        <w:adjustRightInd w:val="0"/>
        <w:spacing w:after="0" w:line="240" w:lineRule="auto"/>
        <w:jc w:val="both"/>
        <w:rPr>
          <w:rFonts w:ascii="Arial" w:eastAsia="Times New Roman" w:hAnsi="Arial" w:cs="Arial"/>
          <w:sz w:val="24"/>
          <w:szCs w:val="24"/>
        </w:rPr>
      </w:pPr>
      <w:r w:rsidRPr="00533F73">
        <w:rPr>
          <w:rFonts w:ascii="Arial" w:eastAsia="Times New Roman" w:hAnsi="Arial" w:cs="Arial"/>
          <w:bCs/>
          <w:i/>
          <w:sz w:val="24"/>
          <w:szCs w:val="24"/>
        </w:rPr>
        <w:t>Utilizarea transportului în comun</w:t>
      </w:r>
      <w:r w:rsidRPr="00533F73">
        <w:rPr>
          <w:rFonts w:ascii="Arial" w:eastAsia="Times New Roman" w:hAnsi="Arial" w:cs="Arial"/>
          <w:b/>
          <w:bCs/>
          <w:sz w:val="24"/>
          <w:szCs w:val="24"/>
        </w:rPr>
        <w:t xml:space="preserve"> </w:t>
      </w:r>
      <w:r w:rsidRPr="00533F73">
        <w:rPr>
          <w:rFonts w:ascii="Arial" w:eastAsia="Times New Roman" w:hAnsi="Arial" w:cs="Arial"/>
          <w:sz w:val="24"/>
          <w:szCs w:val="24"/>
        </w:rPr>
        <w:t>se exprimă prin volumul transportului public local de pasageri pe moduri de transport (transportul cu autobuze si microbuze, tramvaiele si troleibuzele).Transportul public local de pasageri cuprinde transportul, în interiorul zonei administrativ-teritoriale a unei localități, fără a depăși limitele acesteia. Datele sunt agregate la nivel național.</w:t>
      </w:r>
    </w:p>
    <w:p w:rsidR="00533F73" w:rsidRPr="00533F73" w:rsidRDefault="00533F73" w:rsidP="00533F73">
      <w:pPr>
        <w:autoSpaceDE w:val="0"/>
        <w:autoSpaceDN w:val="0"/>
        <w:adjustRightInd w:val="0"/>
        <w:spacing w:after="0" w:line="240" w:lineRule="auto"/>
        <w:rPr>
          <w:rFonts w:ascii="Arial" w:eastAsia="Calibri" w:hAnsi="Arial" w:cs="Arial"/>
          <w:sz w:val="24"/>
          <w:szCs w:val="24"/>
        </w:rPr>
      </w:pPr>
    </w:p>
    <w:p w:rsidR="00533F73" w:rsidRPr="00533F73" w:rsidRDefault="00533F73" w:rsidP="00533F73">
      <w:pPr>
        <w:spacing w:after="0" w:line="240" w:lineRule="auto"/>
        <w:rPr>
          <w:rFonts w:ascii="Arial" w:eastAsia="SimSun" w:hAnsi="Arial" w:cs="Arial"/>
          <w:sz w:val="24"/>
          <w:szCs w:val="24"/>
          <w:lang w:val="ro-RO"/>
        </w:rPr>
      </w:pPr>
      <w:r w:rsidRPr="00533F73">
        <w:rPr>
          <w:rFonts w:ascii="Arial" w:eastAsia="SimSun" w:hAnsi="Arial" w:cs="Arial"/>
          <w:sz w:val="24"/>
          <w:szCs w:val="24"/>
          <w:lang w:val="ro-RO"/>
        </w:rPr>
        <w:t xml:space="preserve">X.1.3.2. Transportul de mărfuri </w:t>
      </w:r>
      <w:r w:rsidRPr="00533F73">
        <w:rPr>
          <w:rFonts w:ascii="Arial" w:eastAsia="SimSun" w:hAnsi="Arial" w:cs="Arial"/>
          <w:sz w:val="24"/>
          <w:szCs w:val="24"/>
          <w:lang w:val="ro-RO"/>
        </w:rPr>
        <w:tab/>
      </w:r>
    </w:p>
    <w:p w:rsidR="00533F73" w:rsidRPr="00533F73" w:rsidRDefault="00533F73" w:rsidP="00533F73">
      <w:pPr>
        <w:autoSpaceDE w:val="0"/>
        <w:autoSpaceDN w:val="0"/>
        <w:adjustRightInd w:val="0"/>
        <w:spacing w:after="0" w:line="240" w:lineRule="auto"/>
        <w:ind w:firstLine="720"/>
        <w:jc w:val="both"/>
        <w:rPr>
          <w:rFonts w:ascii="Arial" w:eastAsia="Calibri" w:hAnsi="Arial" w:cs="Arial"/>
          <w:sz w:val="24"/>
          <w:szCs w:val="24"/>
        </w:rPr>
      </w:pPr>
    </w:p>
    <w:p w:rsidR="00533F73" w:rsidRPr="00533F73" w:rsidRDefault="00533F73" w:rsidP="00533F73">
      <w:pPr>
        <w:autoSpaceDE w:val="0"/>
        <w:autoSpaceDN w:val="0"/>
        <w:adjustRightInd w:val="0"/>
        <w:spacing w:after="0" w:line="240" w:lineRule="auto"/>
        <w:ind w:firstLine="720"/>
        <w:jc w:val="both"/>
        <w:rPr>
          <w:rFonts w:ascii="Arial" w:eastAsia="Times New Roman" w:hAnsi="Arial" w:cs="Arial"/>
          <w:sz w:val="24"/>
          <w:szCs w:val="24"/>
        </w:rPr>
      </w:pPr>
      <w:r w:rsidRPr="00533F73">
        <w:rPr>
          <w:rFonts w:ascii="Arial" w:eastAsia="Times New Roman" w:hAnsi="Arial" w:cs="Arial"/>
          <w:sz w:val="24"/>
          <w:szCs w:val="24"/>
        </w:rPr>
        <w:t>Sectorul transporturilor este unul din principalele surse de emisii a gazelor cu efect de seră şi de asemenea dă naştere nivelurilor semnificative de poluare a aerului, care pot afecta grav sănătatea umană şi ecosistemele. Reducerea cererii de transport ar diminua, prin urmare, impactul asupra mediului. Potrivit celor mai recente metadate transportul intern include transportul rutier, feroviar şi pe căi navigabile interioare. Căile navigabile şi de transport feroviar interioare se bazează pe mişcările de pe teritoriul naţional ("principiul teritorialităţii"), indiferent de naţionalitatea vehiculului sau a navei iar transportul rutier se bazează pe toate deplasările vehiculelor înregistrate în ţara de raportare.</w:t>
      </w:r>
    </w:p>
    <w:p w:rsidR="00533F73" w:rsidRPr="00533F73" w:rsidRDefault="00533F73" w:rsidP="00533F73">
      <w:pPr>
        <w:autoSpaceDE w:val="0"/>
        <w:autoSpaceDN w:val="0"/>
        <w:adjustRightInd w:val="0"/>
        <w:spacing w:after="0" w:line="240" w:lineRule="auto"/>
        <w:ind w:firstLine="720"/>
        <w:jc w:val="both"/>
        <w:rPr>
          <w:rFonts w:ascii="Arial" w:eastAsia="Times New Roman" w:hAnsi="Arial" w:cs="Arial"/>
          <w:sz w:val="24"/>
          <w:szCs w:val="24"/>
        </w:rPr>
      </w:pPr>
    </w:p>
    <w:p w:rsidR="00533F73" w:rsidRPr="00533F73" w:rsidRDefault="00533F73" w:rsidP="005910C7">
      <w:pPr>
        <w:numPr>
          <w:ilvl w:val="0"/>
          <w:numId w:val="29"/>
        </w:numPr>
        <w:autoSpaceDE w:val="0"/>
        <w:autoSpaceDN w:val="0"/>
        <w:adjustRightInd w:val="0"/>
        <w:spacing w:after="0" w:line="240" w:lineRule="auto"/>
        <w:rPr>
          <w:rFonts w:ascii="Arial" w:eastAsia="Times New Roman" w:hAnsi="Arial" w:cs="Arial"/>
          <w:sz w:val="24"/>
          <w:szCs w:val="24"/>
        </w:rPr>
      </w:pPr>
      <w:r w:rsidRPr="00533F73">
        <w:rPr>
          <w:rFonts w:ascii="Arial" w:eastAsia="Times New Roman" w:hAnsi="Arial" w:cs="Arial"/>
          <w:bCs/>
          <w:i/>
          <w:sz w:val="24"/>
          <w:szCs w:val="24"/>
        </w:rPr>
        <w:t>Volumul transportului de mărfuri raportat la PIB</w:t>
      </w:r>
      <w:r w:rsidRPr="00533F73">
        <w:rPr>
          <w:rFonts w:ascii="Arial" w:eastAsia="Times New Roman" w:hAnsi="Arial" w:cs="Arial"/>
          <w:b/>
          <w:bCs/>
          <w:sz w:val="24"/>
          <w:szCs w:val="24"/>
        </w:rPr>
        <w:t xml:space="preserve"> </w:t>
      </w:r>
      <w:r w:rsidRPr="00533F73">
        <w:rPr>
          <w:rFonts w:ascii="Arial" w:eastAsia="Times New Roman" w:hAnsi="Arial" w:cs="Arial"/>
          <w:sz w:val="24"/>
          <w:szCs w:val="24"/>
        </w:rPr>
        <w:t>este dat de volumul transportului intern de mărfuri rutier, feroviar şi pe căi navigabile interioare (exprimat ca modificare procentuală faţă de anul de bază, din perioada analizată, a valorii din anul curent pentru tone-km) raportat la produsul intern brut (exprimat ca modificare procentuală faţă de anul de bază, din perioada analizată, a valorii din anul curent în euro preţuri constante la nivelul anului 2005). Datele sunt agregate la nivel naţional.</w:t>
      </w:r>
    </w:p>
    <w:p w:rsidR="00533F73" w:rsidRPr="00533F73" w:rsidRDefault="00533F73" w:rsidP="00533F73">
      <w:pPr>
        <w:autoSpaceDE w:val="0"/>
        <w:autoSpaceDN w:val="0"/>
        <w:adjustRightInd w:val="0"/>
        <w:spacing w:after="0" w:line="240" w:lineRule="auto"/>
        <w:rPr>
          <w:rFonts w:ascii="Arial" w:eastAsia="Times New Roman" w:hAnsi="Arial" w:cs="Arial"/>
          <w:sz w:val="24"/>
          <w:szCs w:val="24"/>
        </w:rPr>
      </w:pPr>
    </w:p>
    <w:p w:rsidR="00533F73" w:rsidRPr="00533F73" w:rsidRDefault="00533F73" w:rsidP="005910C7">
      <w:pPr>
        <w:numPr>
          <w:ilvl w:val="0"/>
          <w:numId w:val="29"/>
        </w:numPr>
        <w:autoSpaceDE w:val="0"/>
        <w:autoSpaceDN w:val="0"/>
        <w:adjustRightInd w:val="0"/>
        <w:spacing w:after="0" w:line="240" w:lineRule="auto"/>
        <w:rPr>
          <w:rFonts w:ascii="Arial" w:eastAsia="Times New Roman" w:hAnsi="Arial" w:cs="Arial"/>
          <w:sz w:val="24"/>
          <w:szCs w:val="24"/>
        </w:rPr>
      </w:pPr>
      <w:r w:rsidRPr="00533F73">
        <w:rPr>
          <w:rFonts w:ascii="Arial" w:eastAsia="Times New Roman" w:hAnsi="Arial" w:cs="Arial"/>
          <w:bCs/>
          <w:i/>
          <w:sz w:val="24"/>
          <w:szCs w:val="24"/>
        </w:rPr>
        <w:t>Ponderea fiecărui mod în transportul de mărfuri</w:t>
      </w:r>
      <w:r w:rsidRPr="00533F73">
        <w:rPr>
          <w:rFonts w:ascii="Arial" w:eastAsia="Times New Roman" w:hAnsi="Arial" w:cs="Arial"/>
          <w:b/>
          <w:bCs/>
          <w:sz w:val="24"/>
          <w:szCs w:val="24"/>
        </w:rPr>
        <w:t xml:space="preserve"> </w:t>
      </w:r>
      <w:r w:rsidRPr="00533F73">
        <w:rPr>
          <w:rFonts w:ascii="Arial" w:eastAsia="Times New Roman" w:hAnsi="Arial" w:cs="Arial"/>
          <w:bCs/>
          <w:sz w:val="24"/>
          <w:szCs w:val="24"/>
        </w:rPr>
        <w:t xml:space="preserve">reprezintă </w:t>
      </w:r>
      <w:r w:rsidRPr="00533F73">
        <w:rPr>
          <w:rFonts w:ascii="Arial" w:eastAsia="Times New Roman" w:hAnsi="Arial" w:cs="Arial"/>
          <w:sz w:val="24"/>
          <w:szCs w:val="24"/>
        </w:rPr>
        <w:t>ponderea (în %) a fiecărui mod de transport în totalul transportului intern de mărfuri (rutier; feroviar; căi navigabile interioare). Datele sunt agregate la nivel naţional.</w:t>
      </w:r>
    </w:p>
    <w:p w:rsidR="00533F73" w:rsidRPr="00533F73" w:rsidRDefault="00533F73" w:rsidP="00533F73">
      <w:pPr>
        <w:autoSpaceDE w:val="0"/>
        <w:autoSpaceDN w:val="0"/>
        <w:adjustRightInd w:val="0"/>
        <w:spacing w:after="0" w:line="240" w:lineRule="auto"/>
        <w:ind w:firstLine="720"/>
        <w:jc w:val="both"/>
        <w:rPr>
          <w:rFonts w:ascii="Arial" w:eastAsia="SimSun" w:hAnsi="Arial" w:cs="Arial"/>
          <w:sz w:val="24"/>
          <w:szCs w:val="24"/>
          <w:lang w:val="en-GB"/>
        </w:rPr>
      </w:pPr>
    </w:p>
    <w:p w:rsidR="00533F73" w:rsidRPr="00533F73" w:rsidRDefault="00533F73" w:rsidP="00533F73">
      <w:pPr>
        <w:spacing w:after="0" w:line="240" w:lineRule="auto"/>
        <w:rPr>
          <w:rFonts w:ascii="Arial" w:eastAsia="SimSun" w:hAnsi="Arial" w:cs="Arial"/>
          <w:b/>
          <w:sz w:val="24"/>
          <w:szCs w:val="26"/>
          <w:lang w:val="ro-RO"/>
        </w:rPr>
      </w:pPr>
      <w:r w:rsidRPr="00533F73">
        <w:rPr>
          <w:rFonts w:ascii="Arial" w:eastAsia="SimSun" w:hAnsi="Arial" w:cs="Arial"/>
          <w:b/>
          <w:sz w:val="24"/>
          <w:szCs w:val="26"/>
          <w:lang w:val="ro-RO"/>
        </w:rPr>
        <w:t xml:space="preserve">X.2. Factori care influenţează consumul </w:t>
      </w:r>
    </w:p>
    <w:p w:rsidR="00533F73" w:rsidRPr="00533F73" w:rsidRDefault="00533F73" w:rsidP="00533F73">
      <w:pPr>
        <w:spacing w:after="0" w:line="240" w:lineRule="auto"/>
        <w:rPr>
          <w:rFonts w:ascii="Arial" w:eastAsia="SimSun" w:hAnsi="Arial" w:cs="Arial"/>
          <w:b/>
          <w:sz w:val="24"/>
          <w:szCs w:val="26"/>
          <w:lang w:val="ro-RO"/>
        </w:rPr>
      </w:pPr>
      <w:r w:rsidRPr="00533F73">
        <w:rPr>
          <w:rFonts w:ascii="Arial" w:eastAsia="SimSun" w:hAnsi="Arial" w:cs="Arial"/>
          <w:b/>
          <w:sz w:val="24"/>
          <w:szCs w:val="26"/>
          <w:lang w:val="ro-RO"/>
        </w:rPr>
        <w:tab/>
      </w:r>
    </w:p>
    <w:p w:rsidR="00533F73" w:rsidRPr="00533F73" w:rsidRDefault="00533F73" w:rsidP="00533F73">
      <w:pPr>
        <w:autoSpaceDE w:val="0"/>
        <w:autoSpaceDN w:val="0"/>
        <w:adjustRightInd w:val="0"/>
        <w:spacing w:after="0" w:line="240" w:lineRule="auto"/>
        <w:ind w:firstLine="720"/>
        <w:jc w:val="both"/>
        <w:rPr>
          <w:rFonts w:ascii="Arial" w:eastAsia="Times New Roman" w:hAnsi="Arial" w:cs="Arial"/>
          <w:sz w:val="24"/>
          <w:szCs w:val="24"/>
        </w:rPr>
      </w:pPr>
      <w:r w:rsidRPr="00533F73">
        <w:rPr>
          <w:rFonts w:ascii="Arial" w:eastAsia="Times New Roman" w:hAnsi="Arial" w:cs="Arial"/>
          <w:sz w:val="24"/>
          <w:szCs w:val="24"/>
        </w:rPr>
        <w:t xml:space="preserve">Maniera în care consumatorii abordează deciziile de cumpărare cunoaşte o mare diversitate, întrucât reacţiile acestora sunt determinate în foarte mare masură de </w:t>
      </w:r>
      <w:r w:rsidRPr="00533F73">
        <w:rPr>
          <w:rFonts w:ascii="Arial" w:eastAsia="Times New Roman" w:hAnsi="Arial" w:cs="Arial"/>
          <w:sz w:val="24"/>
          <w:szCs w:val="24"/>
        </w:rPr>
        <w:lastRenderedPageBreak/>
        <w:t>problemele mediului ambiant în care îşi trăiesc viaţa. Complexitatea deosebită a comportamentului consumatorului se explică şi prin multitudinea factorilor care influenţează direct sau indirect în ultimă instanţă procesul decizional de cumpărare şi de consum. Toţi specialiştii recunosc, că în fapt, comportamentul consumatorului nu se poate explica, decât  prin cunoașterea sistemului de factori ce acţionează în stransă legatură şi intercondiţionare reciprocă, dar modul în care acţionează şi mai ales locul şi rolul pe care aceştia le au în sistem, sunt privite în mod diferit şi de aceea întâlnim în literatura de specialitate diferite clasificări ale acestor factori.</w:t>
      </w:r>
    </w:p>
    <w:p w:rsidR="00533F73" w:rsidRPr="00533F73" w:rsidRDefault="00533F73" w:rsidP="0084419D">
      <w:pPr>
        <w:autoSpaceDE w:val="0"/>
        <w:autoSpaceDN w:val="0"/>
        <w:adjustRightInd w:val="0"/>
        <w:spacing w:after="0" w:line="240" w:lineRule="auto"/>
        <w:ind w:firstLine="720"/>
        <w:jc w:val="both"/>
        <w:rPr>
          <w:rFonts w:ascii="Arial" w:eastAsia="Times New Roman" w:hAnsi="Arial" w:cs="Arial"/>
          <w:sz w:val="24"/>
          <w:szCs w:val="24"/>
        </w:rPr>
      </w:pPr>
      <w:r w:rsidRPr="00533F73">
        <w:rPr>
          <w:rFonts w:ascii="Arial" w:eastAsia="Times New Roman" w:hAnsi="Arial" w:cs="Arial"/>
          <w:sz w:val="24"/>
          <w:szCs w:val="24"/>
        </w:rPr>
        <w:t>Principalii factori care-şi vor pune amprenta asupra consumului sunt veniturile, îmbătrânirea populaţiei, preţurile alimentelor şi dezvoltarea internetului şi a tehnologiei. Efectele principale ale acestor factori vor fi consumul sustenabil, modificări în sistemele de pensionare, dispariţia preţurilor fixe, modificarea modului de comunicare cu consumatorii şi a modelelor de afaceri, precum şi micşoarea marjelor în afaceri.</w:t>
      </w:r>
    </w:p>
    <w:p w:rsidR="00533F73" w:rsidRPr="00533F73" w:rsidRDefault="00533F73" w:rsidP="00533F73">
      <w:pPr>
        <w:spacing w:after="0" w:line="240" w:lineRule="auto"/>
        <w:ind w:firstLine="720"/>
        <w:jc w:val="both"/>
        <w:rPr>
          <w:rFonts w:ascii="Arial" w:eastAsia="SimSun" w:hAnsi="Arial" w:cs="Arial"/>
          <w:sz w:val="24"/>
          <w:szCs w:val="24"/>
          <w:lang w:val="ro-RO"/>
        </w:rPr>
      </w:pPr>
    </w:p>
    <w:p w:rsidR="00533F73" w:rsidRPr="00533F73" w:rsidRDefault="00533F73" w:rsidP="00533F73">
      <w:pPr>
        <w:spacing w:after="0" w:line="240" w:lineRule="auto"/>
        <w:rPr>
          <w:rFonts w:ascii="Arial" w:eastAsia="SimSun" w:hAnsi="Arial" w:cs="Arial"/>
          <w:b/>
          <w:sz w:val="24"/>
          <w:szCs w:val="26"/>
          <w:lang w:val="ro-RO"/>
        </w:rPr>
      </w:pPr>
      <w:r w:rsidRPr="00533F73">
        <w:rPr>
          <w:rFonts w:ascii="Arial" w:eastAsia="SimSun" w:hAnsi="Arial" w:cs="Arial"/>
          <w:b/>
          <w:sz w:val="24"/>
          <w:szCs w:val="26"/>
          <w:lang w:val="ro-RO"/>
        </w:rPr>
        <w:t xml:space="preserve">X.3. Presiunile asupra mediului cauzate de consum </w:t>
      </w:r>
    </w:p>
    <w:p w:rsidR="00533F73" w:rsidRPr="00533F73" w:rsidRDefault="00533F73" w:rsidP="00533F73">
      <w:pPr>
        <w:spacing w:after="0" w:line="240" w:lineRule="auto"/>
        <w:rPr>
          <w:rFonts w:ascii="Arial" w:eastAsia="SimSun" w:hAnsi="Arial" w:cs="Arial"/>
          <w:b/>
          <w:sz w:val="24"/>
          <w:szCs w:val="26"/>
          <w:lang w:val="ro-RO"/>
        </w:rPr>
      </w:pPr>
      <w:r w:rsidRPr="00533F73">
        <w:rPr>
          <w:rFonts w:ascii="Arial" w:eastAsia="SimSun" w:hAnsi="Arial" w:cs="Arial"/>
          <w:b/>
          <w:sz w:val="24"/>
          <w:szCs w:val="26"/>
          <w:lang w:val="ro-RO"/>
        </w:rPr>
        <w:tab/>
      </w:r>
    </w:p>
    <w:p w:rsidR="00533F73" w:rsidRPr="00533F73" w:rsidRDefault="00533F73" w:rsidP="00533F73">
      <w:pPr>
        <w:spacing w:after="0" w:line="240" w:lineRule="auto"/>
        <w:ind w:firstLine="720"/>
        <w:jc w:val="both"/>
        <w:rPr>
          <w:rFonts w:ascii="Arial" w:eastAsia="SimSun" w:hAnsi="Arial" w:cs="Arial"/>
          <w:sz w:val="24"/>
          <w:szCs w:val="24"/>
          <w:lang w:val="en-GB"/>
        </w:rPr>
      </w:pPr>
      <w:r w:rsidRPr="00533F73">
        <w:rPr>
          <w:rFonts w:ascii="Arial" w:eastAsia="SimSun" w:hAnsi="Arial" w:cs="Arial"/>
          <w:sz w:val="24"/>
          <w:szCs w:val="24"/>
          <w:lang w:val="en-GB"/>
        </w:rPr>
        <w:t xml:space="preserve">Consumul de hrană şi băuturi, consumul de energie şi apă în cadrul locuinţelor, prezintă un mare potenţial de creştere a nivelului de trai, dar reprezintă şi un factor semnificativ al utilizării resurselor şi, ca urmare, produce presiuni şi efecte nefaste asupra mediului înconjurător. </w:t>
      </w:r>
    </w:p>
    <w:p w:rsidR="0084419D" w:rsidRDefault="00533F73" w:rsidP="00533F73">
      <w:pPr>
        <w:spacing w:after="0" w:line="240" w:lineRule="auto"/>
        <w:ind w:firstLine="720"/>
        <w:jc w:val="both"/>
        <w:rPr>
          <w:rFonts w:ascii="Arial" w:eastAsia="SimSun" w:hAnsi="Arial" w:cs="Arial"/>
          <w:sz w:val="24"/>
          <w:szCs w:val="24"/>
          <w:lang w:val="en-GB"/>
        </w:rPr>
      </w:pPr>
      <w:r w:rsidRPr="00533F73">
        <w:rPr>
          <w:rFonts w:ascii="Arial" w:eastAsia="SimSun" w:hAnsi="Arial" w:cs="Arial"/>
          <w:sz w:val="24"/>
          <w:szCs w:val="24"/>
          <w:lang w:val="en-GB"/>
        </w:rPr>
        <w:t xml:space="preserve">Reducerea acestor presiuni presupune o asumare a răspunderii tuturor participanţilor implicaţi – autorităţi publice, întreprinderi şi consumatori – şi aceasta deoarece anumite probleme de mediu, cum sunt schimbările climatice, nu pot fi soluţionate doar prin îmbunătăţiri tehnologice. Sunt necesare şi acţiuni care să influenţeze comportamentul de consum, care, indirect, pot avea efecte asupra producţiei. Asemenea acţiuni ţintesc încurajarea cererii pentru produse cu o presiune mai mică asupra mediului, prin urmare, încurajarea unui consum mai sustenabil. Întrucât majoritatea consumatorilor manifestă, în majoritatea situaţiilor, un comportament nesustenabil, deoarece nu au internalizat sustenabilitatea în gândirea lor, se impune necesitatea dezvoltării de instrumente noi şi eficiente pentru ca aceştia să adopte un comportament sustenabil al consumului. Problema schimbării comportamentului de consum are în vedere aspecte legate de economisirea energiei, micşorarea cantităţilor de deşeuri, utilizarea raţională a apei, economisirea resurselor de hrană. Problemele legate de consumul sustenabil sunt abordate prin politici sectoriale, cum sunt cele de mediu, transport, energetice sau agricole. Cadrul general al politicii Uniunii Europene în domeniul consumului sustenabil este trasat de o serie de iniţiative strategice. Astfel, promovarea consumului sustenabil a fost identificată ca una dintre cele şapte provocări ale Strategiei de Dezvoltare Sustenabilă a Uniunii Europene. </w:t>
      </w:r>
    </w:p>
    <w:p w:rsidR="00533F73" w:rsidRPr="00533F73" w:rsidRDefault="00533F73" w:rsidP="00533F73">
      <w:pPr>
        <w:spacing w:after="0" w:line="240" w:lineRule="auto"/>
        <w:ind w:firstLine="720"/>
        <w:jc w:val="both"/>
        <w:rPr>
          <w:rFonts w:ascii="Times New Roman" w:eastAsia="SimSun" w:hAnsi="Times New Roman" w:cs="Times New Roman"/>
          <w:sz w:val="20"/>
          <w:szCs w:val="20"/>
          <w:lang w:val="en-GB"/>
        </w:rPr>
      </w:pPr>
      <w:r w:rsidRPr="00533F73">
        <w:rPr>
          <w:rFonts w:ascii="Arial" w:eastAsia="SimSun" w:hAnsi="Arial" w:cs="Arial"/>
          <w:sz w:val="24"/>
          <w:szCs w:val="24"/>
          <w:lang w:val="en-GB"/>
        </w:rPr>
        <w:t xml:space="preserve">În plus, ca parte a Strategiei, Planul de Acţiune al UE privind Consumul şi Producţia Sustenabilă şi Politica Industrială Integrată include propuneri care urmăresc să îmbunătăţească performanţa de mediu a produselor, pentru a creşte cererea pentru bunuri mai sustenabile şi pentru a influenţa comportamentul de consum. În ţara noastră, orientările Strategiei Europene se regăsesc în Strategia Naţională pentru Dezvoltare Durabilă a României. Orizonturi 2013–2020–2030, în care producţia şi consumul sustenabil se numără printre provocări, iar promovarea unor politici de consum şi producţie sustenabilă reprezintă un obiectiv-ţintă. Pentru atingerea acestuia, respectiv </w:t>
      </w:r>
      <w:r w:rsidRPr="00533F73">
        <w:rPr>
          <w:rFonts w:ascii="Arial" w:eastAsia="SimSun" w:hAnsi="Arial" w:cs="Arial"/>
          <w:sz w:val="24"/>
          <w:szCs w:val="24"/>
          <w:lang w:val="en-GB"/>
        </w:rPr>
        <w:lastRenderedPageBreak/>
        <w:t>„pentru promovarea produselor şi serviciilor eco-eficiente, inclusiv a celor din agricultura ecologică”, este prevăzută ca măsură informarea consumatorilor prin „etichetarea produselor în funcţie de performanţele ecologice”, prin „campanii coerente de informare” a acestora. De asemenea, este prevăzută „crearea unui sistem de taxe care să încurajeze consumul durabil (de exemplu, avantaje fiscale, reduceri sau scutiri de taxe, pentru achiziţia de case ecologice, instalarea de panouri solare etc.)”. (</w:t>
      </w:r>
      <w:r w:rsidRPr="00533F73">
        <w:rPr>
          <w:rFonts w:ascii="Arial" w:eastAsia="SimSun" w:hAnsi="Arial" w:cs="Arial"/>
          <w:sz w:val="20"/>
          <w:szCs w:val="20"/>
          <w:lang w:val="en-GB"/>
        </w:rPr>
        <w:t>Sursa: Revista Calitatea Vieţii, Cristina Humă: Modificarea comportamentului de consum al populaţiei, din perspectivă ecologistă, în ţările Uniunii Europene).</w:t>
      </w:r>
    </w:p>
    <w:p w:rsidR="00533F73" w:rsidRPr="00533F73" w:rsidRDefault="00533F73" w:rsidP="00533F73">
      <w:pPr>
        <w:spacing w:after="0" w:line="240" w:lineRule="auto"/>
        <w:rPr>
          <w:rFonts w:ascii="Times New Roman" w:eastAsia="SimSun" w:hAnsi="Times New Roman" w:cs="Times New Roman"/>
          <w:b/>
          <w:sz w:val="24"/>
          <w:szCs w:val="26"/>
          <w:lang w:val="ro-RO"/>
        </w:rPr>
      </w:pPr>
    </w:p>
    <w:p w:rsidR="00533F73" w:rsidRPr="00533F73" w:rsidRDefault="00533F73" w:rsidP="00533F73">
      <w:pPr>
        <w:spacing w:after="0" w:line="240" w:lineRule="auto"/>
        <w:rPr>
          <w:rFonts w:ascii="Arial" w:eastAsia="SimSun" w:hAnsi="Arial" w:cs="Arial"/>
          <w:b/>
          <w:sz w:val="24"/>
          <w:szCs w:val="24"/>
          <w:lang w:val="ro-RO"/>
        </w:rPr>
      </w:pPr>
      <w:r w:rsidRPr="00533F73">
        <w:rPr>
          <w:rFonts w:ascii="Arial" w:eastAsia="SimSun" w:hAnsi="Arial" w:cs="Arial"/>
          <w:b/>
          <w:i/>
          <w:sz w:val="24"/>
          <w:szCs w:val="24"/>
          <w:lang w:val="ro-RO"/>
        </w:rPr>
        <w:t xml:space="preserve">X.3.1. Emisii de gaze cu efect de seră din sectorul rezidenţial </w:t>
      </w:r>
      <w:r w:rsidRPr="00533F73">
        <w:rPr>
          <w:rFonts w:ascii="Arial" w:eastAsia="SimSun" w:hAnsi="Arial" w:cs="Arial"/>
          <w:b/>
          <w:i/>
          <w:sz w:val="24"/>
          <w:szCs w:val="24"/>
          <w:lang w:val="ro-RO"/>
        </w:rPr>
        <w:tab/>
      </w:r>
    </w:p>
    <w:p w:rsidR="00533F73" w:rsidRPr="00533F73" w:rsidRDefault="00533F73" w:rsidP="00533F73">
      <w:pPr>
        <w:tabs>
          <w:tab w:val="left" w:pos="1276"/>
        </w:tabs>
        <w:spacing w:after="0" w:line="240" w:lineRule="auto"/>
        <w:jc w:val="both"/>
        <w:rPr>
          <w:rFonts w:ascii="Arial" w:eastAsia="SimSun" w:hAnsi="Arial" w:cs="Arial"/>
          <w:sz w:val="24"/>
          <w:szCs w:val="24"/>
          <w:lang w:val="en-GB"/>
        </w:rPr>
      </w:pPr>
      <w:r w:rsidRPr="00533F73">
        <w:rPr>
          <w:rFonts w:ascii="Arial" w:eastAsia="SimSun" w:hAnsi="Arial" w:cs="Arial"/>
          <w:sz w:val="24"/>
          <w:szCs w:val="24"/>
          <w:lang w:val="en-GB"/>
        </w:rPr>
        <w:t xml:space="preserve">            </w:t>
      </w:r>
    </w:p>
    <w:p w:rsidR="00533F73" w:rsidRPr="00533F73" w:rsidRDefault="00533F73" w:rsidP="00533F73">
      <w:pPr>
        <w:tabs>
          <w:tab w:val="left" w:pos="1276"/>
        </w:tabs>
        <w:spacing w:after="0" w:line="240" w:lineRule="auto"/>
        <w:jc w:val="both"/>
        <w:rPr>
          <w:rFonts w:ascii="Arial" w:eastAsia="SimSun" w:hAnsi="Arial" w:cs="Arial"/>
          <w:sz w:val="24"/>
          <w:szCs w:val="24"/>
          <w:lang w:val="en-GB"/>
        </w:rPr>
      </w:pPr>
      <w:r w:rsidRPr="00533F73">
        <w:rPr>
          <w:rFonts w:ascii="Arial" w:eastAsia="SimSun" w:hAnsi="Arial" w:cs="Arial"/>
          <w:sz w:val="24"/>
          <w:szCs w:val="24"/>
          <w:lang w:val="en-GB"/>
        </w:rPr>
        <w:t xml:space="preserve">        Acest indicator evidenţiază emisiile de gaze cu efect de serǎ pe sectoarele de activitate (surse de emisii) definite de Agenţia Europeanǎ de Mediu: Energie, Procese industriale, Utilizarea solvenţilor şi a altor produse, Deşeuri, Agricultură, Alte sectoare, Cantitatea netă de CO2 (sechestrări şi emisii) şi cantităţile de CO2, CH4, N2O, (emisii) aferente sectorului LULUCF (Utilizarea terenurilor, schimbarea folosinţei terenurilor şi silvicultură). </w:t>
      </w:r>
    </w:p>
    <w:p w:rsidR="00533F73" w:rsidRPr="00533F73" w:rsidRDefault="00855393" w:rsidP="00855393">
      <w:pPr>
        <w:tabs>
          <w:tab w:val="left" w:pos="426"/>
        </w:tabs>
        <w:spacing w:after="0" w:line="240" w:lineRule="auto"/>
        <w:jc w:val="both"/>
        <w:rPr>
          <w:rFonts w:ascii="Arial" w:eastAsia="SimSun" w:hAnsi="Arial" w:cs="Arial"/>
          <w:b/>
          <w:i/>
          <w:sz w:val="24"/>
          <w:szCs w:val="24"/>
          <w:lang w:val="ro-RO"/>
        </w:rPr>
      </w:pPr>
      <w:r>
        <w:rPr>
          <w:rFonts w:ascii="Arial" w:eastAsia="SimSun" w:hAnsi="Arial" w:cs="Arial"/>
          <w:sz w:val="24"/>
          <w:szCs w:val="24"/>
          <w:lang w:val="en-GB"/>
        </w:rPr>
        <w:tab/>
        <w:t xml:space="preserve"> </w:t>
      </w:r>
      <w:r w:rsidR="00533F73" w:rsidRPr="00533F73">
        <w:rPr>
          <w:rFonts w:ascii="Arial" w:eastAsia="SimSun" w:hAnsi="Arial" w:cs="Arial"/>
          <w:sz w:val="24"/>
          <w:szCs w:val="24"/>
          <w:lang w:val="en-GB"/>
        </w:rPr>
        <w:t xml:space="preserve">Sectorul rezidenţial are o pondere de 40% din consumul energetic al UE, oferind un potenţial deosebit pentru eficienţă energetică şi în consecinţă pentru reducerea emisiilor de gaze cu efect de seră. Având în vedere că în România există aproximativ 8,1 milioane de proprietari de locuinţe şi 4,85 milioane de locuinţe, potenţialul de reducere a emisiilor de gaze cu efect de seră în sectoarele rezidenţial şi comercial este considerabil. Intensitatea energetică a sectorului rezidenţial din România este de 8 ori mai mare decât cea din UE, ca urmare a ineficienţei de încălzire centralizată şi a lipsei de izolare termică a majorităţii locuinţelor (apartamentelor). </w:t>
      </w:r>
    </w:p>
    <w:p w:rsidR="00533F73" w:rsidRPr="00533F73" w:rsidRDefault="00533F73" w:rsidP="00533F73">
      <w:pPr>
        <w:tabs>
          <w:tab w:val="left" w:pos="1276"/>
        </w:tabs>
        <w:spacing w:after="0" w:line="240" w:lineRule="auto"/>
        <w:rPr>
          <w:rFonts w:ascii="Arial" w:eastAsia="SimSun" w:hAnsi="Arial" w:cs="Arial"/>
          <w:b/>
          <w:i/>
          <w:sz w:val="24"/>
          <w:szCs w:val="24"/>
          <w:lang w:val="ro-RO"/>
        </w:rPr>
      </w:pPr>
    </w:p>
    <w:p w:rsidR="00533F73" w:rsidRPr="00533F73" w:rsidRDefault="00533F73" w:rsidP="00533F73">
      <w:pPr>
        <w:tabs>
          <w:tab w:val="left" w:pos="1276"/>
        </w:tabs>
        <w:spacing w:after="0" w:line="240" w:lineRule="auto"/>
        <w:rPr>
          <w:rFonts w:ascii="Arial" w:eastAsia="SimSun" w:hAnsi="Arial" w:cs="Arial"/>
          <w:b/>
          <w:i/>
          <w:sz w:val="24"/>
          <w:szCs w:val="24"/>
          <w:lang w:val="ro-RO"/>
        </w:rPr>
      </w:pPr>
      <w:r w:rsidRPr="00533F73">
        <w:rPr>
          <w:rFonts w:ascii="Arial" w:eastAsia="SimSun" w:hAnsi="Arial" w:cs="Arial"/>
          <w:b/>
          <w:i/>
          <w:sz w:val="24"/>
          <w:szCs w:val="24"/>
          <w:lang w:val="ro-RO"/>
        </w:rPr>
        <w:t xml:space="preserve">X.3.2. Consumul de energie pe locuitor </w:t>
      </w:r>
    </w:p>
    <w:p w:rsidR="00533F73" w:rsidRPr="00533F73" w:rsidRDefault="00533F73" w:rsidP="00533F73">
      <w:pPr>
        <w:tabs>
          <w:tab w:val="left" w:pos="1276"/>
        </w:tabs>
        <w:spacing w:after="0" w:line="240" w:lineRule="auto"/>
        <w:rPr>
          <w:rFonts w:ascii="Arial" w:eastAsia="SimSun" w:hAnsi="Arial" w:cs="Arial"/>
          <w:b/>
          <w:i/>
          <w:sz w:val="24"/>
          <w:szCs w:val="24"/>
          <w:lang w:val="ro-RO"/>
        </w:rPr>
      </w:pPr>
      <w:r w:rsidRPr="00533F73">
        <w:rPr>
          <w:rFonts w:ascii="Arial" w:eastAsia="SimSun" w:hAnsi="Arial" w:cs="Arial"/>
          <w:b/>
          <w:i/>
          <w:sz w:val="24"/>
          <w:szCs w:val="24"/>
          <w:lang w:val="ro-RO"/>
        </w:rPr>
        <w:tab/>
      </w:r>
    </w:p>
    <w:p w:rsidR="00533F73" w:rsidRPr="00533F73" w:rsidRDefault="00533F73" w:rsidP="00533F73">
      <w:pPr>
        <w:spacing w:after="0" w:line="240" w:lineRule="auto"/>
        <w:jc w:val="both"/>
        <w:rPr>
          <w:rFonts w:ascii="Arial" w:eastAsia="Arial Unicode MS" w:hAnsi="Arial" w:cs="Arial"/>
          <w:sz w:val="24"/>
          <w:szCs w:val="24"/>
          <w:shd w:val="clear" w:color="auto" w:fill="FFFFFF"/>
          <w:lang w:val="ro-RO" w:eastAsia="ro-RO"/>
        </w:rPr>
      </w:pPr>
      <w:r w:rsidRPr="00533F73">
        <w:rPr>
          <w:rFonts w:ascii="Arial" w:eastAsia="Arial Unicode MS" w:hAnsi="Arial" w:cs="Arial"/>
          <w:sz w:val="24"/>
          <w:szCs w:val="24"/>
          <w:lang w:val="ro-RO" w:eastAsia="ro-RO"/>
        </w:rPr>
        <w:t xml:space="preserve">           </w:t>
      </w:r>
      <w:r w:rsidRPr="00533F73">
        <w:rPr>
          <w:rFonts w:ascii="Arial" w:eastAsia="Times New Roman" w:hAnsi="Arial" w:cs="Arial"/>
          <w:sz w:val="24"/>
          <w:szCs w:val="24"/>
        </w:rPr>
        <w:t xml:space="preserve">Potrivit Eurostat, consumul de energie electrică în gospodăriile din România este cel mai mic din Uniunea Europeană. </w:t>
      </w:r>
      <w:r w:rsidRPr="00533F73">
        <w:rPr>
          <w:rFonts w:ascii="Arial" w:eastAsia="Times New Roman" w:hAnsi="Arial" w:cs="Arial"/>
          <w:sz w:val="24"/>
          <w:szCs w:val="24"/>
          <w:lang w:eastAsia="ro-RO"/>
        </w:rPr>
        <w:t xml:space="preserve">În ţara noastră fiecare persoană consumă lunar în medie 50 kilowaţi oră. Media consumului în mediul rezidenţial pe cap de locuitor este de aproape trei ori mai mare în Uniunea Europeană. Pe de altă parte, eficienţa energetică a României este extrem de modestă. Conform Eurostat, eficienţa energetică reprezintă cantitatea de curent consumată pentru a produce bunuri şi servicii în valoare de o mie de euro. Dacă media Uniunii Europene este de 238 de MWh la o mie de euro, în România se consumă aproape dublu, pentru realizarea aceleaşi valori. Mai precis, eficienţa energetică a României este la jumătate faţă de cea a Uniunii Europene şi este de peste 450 de MWh la mia de euro. </w:t>
      </w:r>
      <w:r w:rsidRPr="00533F73">
        <w:rPr>
          <w:rFonts w:ascii="Arial" w:eastAsia="Arial Unicode MS" w:hAnsi="Arial" w:cs="Arial"/>
          <w:sz w:val="24"/>
          <w:szCs w:val="24"/>
          <w:shd w:val="clear" w:color="auto" w:fill="FFFFFF"/>
          <w:lang w:val="ro-RO" w:eastAsia="ro-RO"/>
        </w:rPr>
        <w:t>În ceea ce priveşte consumul casnic, în România o persoană consumă anual 600 KWh, cel mai mic consum din Europa.</w:t>
      </w:r>
    </w:p>
    <w:p w:rsidR="00533F73" w:rsidRPr="00533F73" w:rsidRDefault="00533F73" w:rsidP="00A56506">
      <w:pPr>
        <w:autoSpaceDE w:val="0"/>
        <w:autoSpaceDN w:val="0"/>
        <w:adjustRightInd w:val="0"/>
        <w:spacing w:after="0" w:line="240" w:lineRule="auto"/>
        <w:ind w:firstLine="720"/>
        <w:jc w:val="both"/>
        <w:rPr>
          <w:rFonts w:ascii="Arial" w:eastAsia="Times New Roman" w:hAnsi="Arial" w:cs="Arial"/>
          <w:sz w:val="24"/>
          <w:szCs w:val="24"/>
        </w:rPr>
      </w:pPr>
      <w:r w:rsidRPr="00533F73">
        <w:rPr>
          <w:rFonts w:ascii="Arial" w:eastAsia="SimSun" w:hAnsi="Arial" w:cs="Arial"/>
          <w:sz w:val="24"/>
          <w:szCs w:val="24"/>
          <w:lang w:val="en-GB"/>
        </w:rPr>
        <w:t>Consumul final de energie reprezintă cantitatea de energie furnizată consumatorului final în cele mai diverse scopuri energetice, pe locuitor.</w:t>
      </w:r>
    </w:p>
    <w:p w:rsidR="00533F73" w:rsidRPr="00533F73" w:rsidRDefault="00533F73" w:rsidP="00A56506">
      <w:pPr>
        <w:autoSpaceDE w:val="0"/>
        <w:autoSpaceDN w:val="0"/>
        <w:adjustRightInd w:val="0"/>
        <w:spacing w:after="0" w:line="240" w:lineRule="auto"/>
        <w:ind w:firstLine="720"/>
        <w:jc w:val="both"/>
        <w:rPr>
          <w:rFonts w:ascii="Arial" w:eastAsia="Times New Roman" w:hAnsi="Arial" w:cs="Arial"/>
          <w:sz w:val="24"/>
          <w:szCs w:val="24"/>
        </w:rPr>
      </w:pPr>
      <w:r w:rsidRPr="00533F73">
        <w:rPr>
          <w:rFonts w:ascii="Arial" w:eastAsia="Times New Roman" w:hAnsi="Arial" w:cs="Arial"/>
          <w:sz w:val="24"/>
          <w:szCs w:val="24"/>
        </w:rPr>
        <w:t>Consumul de energie pe locuitor se bazează pe date care sunt agregate la nivel naţional.</w:t>
      </w:r>
    </w:p>
    <w:p w:rsidR="00533F73" w:rsidRPr="00533F73" w:rsidRDefault="00533F73" w:rsidP="00533F73">
      <w:pPr>
        <w:spacing w:after="0" w:line="240" w:lineRule="auto"/>
        <w:jc w:val="both"/>
        <w:rPr>
          <w:rFonts w:ascii="Arial" w:eastAsia="Times New Roman" w:hAnsi="Arial" w:cs="Arial"/>
          <w:sz w:val="24"/>
          <w:szCs w:val="24"/>
          <w:lang w:eastAsia="ro-RO"/>
        </w:rPr>
      </w:pPr>
    </w:p>
    <w:p w:rsidR="00855393" w:rsidRDefault="00855393" w:rsidP="00533F73">
      <w:pPr>
        <w:tabs>
          <w:tab w:val="left" w:pos="1276"/>
        </w:tabs>
        <w:spacing w:after="0" w:line="240" w:lineRule="auto"/>
        <w:rPr>
          <w:rFonts w:ascii="Arial" w:eastAsia="SimSun" w:hAnsi="Arial" w:cs="Arial"/>
          <w:b/>
          <w:i/>
          <w:sz w:val="24"/>
          <w:szCs w:val="24"/>
          <w:lang w:val="ro-RO"/>
        </w:rPr>
      </w:pPr>
    </w:p>
    <w:p w:rsidR="00855393" w:rsidRDefault="00855393" w:rsidP="00533F73">
      <w:pPr>
        <w:tabs>
          <w:tab w:val="left" w:pos="1276"/>
        </w:tabs>
        <w:spacing w:after="0" w:line="240" w:lineRule="auto"/>
        <w:rPr>
          <w:rFonts w:ascii="Arial" w:eastAsia="SimSun" w:hAnsi="Arial" w:cs="Arial"/>
          <w:b/>
          <w:i/>
          <w:sz w:val="24"/>
          <w:szCs w:val="24"/>
          <w:lang w:val="ro-RO"/>
        </w:rPr>
      </w:pPr>
    </w:p>
    <w:p w:rsidR="00533F73" w:rsidRPr="00533F73" w:rsidRDefault="00533F73" w:rsidP="00533F73">
      <w:pPr>
        <w:tabs>
          <w:tab w:val="left" w:pos="1276"/>
        </w:tabs>
        <w:spacing w:after="0" w:line="240" w:lineRule="auto"/>
        <w:rPr>
          <w:rFonts w:ascii="Arial" w:eastAsia="SimSun" w:hAnsi="Arial" w:cs="Arial"/>
          <w:b/>
          <w:i/>
          <w:sz w:val="24"/>
          <w:szCs w:val="24"/>
          <w:lang w:val="ro-RO"/>
        </w:rPr>
      </w:pPr>
      <w:r w:rsidRPr="00533F73">
        <w:rPr>
          <w:rFonts w:ascii="Arial" w:eastAsia="SimSun" w:hAnsi="Arial" w:cs="Arial"/>
          <w:b/>
          <w:i/>
          <w:sz w:val="24"/>
          <w:szCs w:val="24"/>
          <w:lang w:val="ro-RO"/>
        </w:rPr>
        <w:lastRenderedPageBreak/>
        <w:t xml:space="preserve">X.3.3. Utilizarea materialelor </w:t>
      </w:r>
    </w:p>
    <w:p w:rsidR="00533F73" w:rsidRPr="00533F73" w:rsidRDefault="00533F73" w:rsidP="00533F73">
      <w:pPr>
        <w:tabs>
          <w:tab w:val="left" w:pos="1276"/>
        </w:tabs>
        <w:spacing w:after="0" w:line="240" w:lineRule="auto"/>
        <w:rPr>
          <w:rFonts w:ascii="Arial" w:eastAsia="SimSun" w:hAnsi="Arial" w:cs="Arial"/>
          <w:b/>
          <w:i/>
          <w:sz w:val="24"/>
          <w:szCs w:val="24"/>
          <w:lang w:val="ro-RO"/>
        </w:rPr>
      </w:pPr>
    </w:p>
    <w:p w:rsidR="00533F73" w:rsidRPr="00533F73" w:rsidRDefault="00533F73" w:rsidP="00533F73">
      <w:pPr>
        <w:tabs>
          <w:tab w:val="left" w:pos="1276"/>
        </w:tabs>
        <w:spacing w:after="0" w:line="240" w:lineRule="auto"/>
        <w:jc w:val="both"/>
        <w:rPr>
          <w:rFonts w:ascii="Arial" w:eastAsia="SimSun" w:hAnsi="Arial" w:cs="Arial"/>
          <w:sz w:val="24"/>
          <w:szCs w:val="24"/>
          <w:lang w:val="en-GB"/>
        </w:rPr>
      </w:pPr>
      <w:r w:rsidRPr="00533F73">
        <w:rPr>
          <w:rFonts w:ascii="Arial" w:eastAsia="SimSun" w:hAnsi="Arial" w:cs="Arial"/>
          <w:sz w:val="24"/>
          <w:szCs w:val="24"/>
          <w:lang w:val="en-GB"/>
        </w:rPr>
        <w:t xml:space="preserve">          Extracţia de materii prime şi nivelul redus de prelucrare sunt asociate cu mari presiuni asupra mediului de la contaminarea aerului, solului şi apei până la distrugerea peisajului şi constituie o ameninţare la adresa biodiversităţii. Comerţul internaţional, aşadar, conduce la o deplasare a problemelor ecologice dinspre ţările consumatoare spre ţările exportatoare, deoarece pagubele ecologice semnificative au loc în acestea din urmă.</w:t>
      </w:r>
    </w:p>
    <w:p w:rsidR="00533F73" w:rsidRPr="00533F73" w:rsidRDefault="00A56506" w:rsidP="00533F73">
      <w:pPr>
        <w:tabs>
          <w:tab w:val="left" w:pos="1276"/>
        </w:tabs>
        <w:spacing w:after="0" w:line="240" w:lineRule="auto"/>
        <w:jc w:val="both"/>
        <w:rPr>
          <w:rFonts w:ascii="Arial" w:eastAsia="SimSun" w:hAnsi="Arial" w:cs="Arial"/>
          <w:sz w:val="24"/>
          <w:szCs w:val="24"/>
          <w:lang w:val="en-GB"/>
        </w:rPr>
      </w:pPr>
      <w:r>
        <w:rPr>
          <w:rFonts w:ascii="Arial" w:eastAsia="SimSun" w:hAnsi="Arial" w:cs="Arial"/>
          <w:sz w:val="24"/>
          <w:szCs w:val="24"/>
          <w:lang w:val="en-GB"/>
        </w:rPr>
        <w:t xml:space="preserve">         </w:t>
      </w:r>
      <w:r w:rsidR="00533F73" w:rsidRPr="00533F73">
        <w:rPr>
          <w:rFonts w:ascii="Arial" w:eastAsia="SimSun" w:hAnsi="Arial" w:cs="Arial"/>
          <w:sz w:val="24"/>
          <w:szCs w:val="24"/>
          <w:lang w:val="en-GB"/>
        </w:rPr>
        <w:t xml:space="preserve">Ţările exportatoare de resurse riscă să se transforme în „economii monoindustriale”, în care creşterea economică are la bază un singur sector dominant, cum ar fi extracţia de resurse naturale. Economiile de acest tip sunt foarte vulnerabile. De aceea, pe termen lung, ţările aflate în această situaţie preferă uneori să-şi diversifice economiile şi să-şi dezvolte capacităţile de fabricaţie şi serviciile. </w:t>
      </w:r>
    </w:p>
    <w:p w:rsidR="00533F73" w:rsidRPr="00533F73" w:rsidRDefault="00533F73" w:rsidP="00533F73">
      <w:pPr>
        <w:tabs>
          <w:tab w:val="left" w:pos="1276"/>
        </w:tabs>
        <w:spacing w:after="0" w:line="240" w:lineRule="auto"/>
        <w:jc w:val="both"/>
        <w:rPr>
          <w:rFonts w:ascii="Arial" w:eastAsia="SimSun" w:hAnsi="Arial" w:cs="Arial"/>
          <w:i/>
          <w:sz w:val="24"/>
          <w:szCs w:val="24"/>
          <w:lang w:val="ro-RO"/>
        </w:rPr>
      </w:pPr>
      <w:r w:rsidRPr="00533F73">
        <w:rPr>
          <w:rFonts w:ascii="Arial" w:eastAsia="SimSun" w:hAnsi="Arial" w:cs="Arial"/>
          <w:sz w:val="20"/>
          <w:szCs w:val="20"/>
          <w:lang w:val="ro-RO"/>
        </w:rPr>
        <w:t xml:space="preserve">(Sursa: </w:t>
      </w:r>
      <w:hyperlink r:id="rId164" w:history="1">
        <w:r w:rsidRPr="00533F73">
          <w:rPr>
            <w:rFonts w:ascii="Arial" w:eastAsia="SimSun" w:hAnsi="Arial" w:cs="Arial"/>
            <w:sz w:val="20"/>
            <w:szCs w:val="20"/>
            <w:lang w:val="ro-RO"/>
          </w:rPr>
          <w:t>http://www.eea.europa.eu/ro</w:t>
        </w:r>
      </w:hyperlink>
      <w:r w:rsidRPr="00533F73">
        <w:rPr>
          <w:rFonts w:ascii="Arial" w:eastAsia="SimSun" w:hAnsi="Arial" w:cs="Arial"/>
          <w:sz w:val="20"/>
          <w:szCs w:val="20"/>
          <w:lang w:val="ro-RO"/>
        </w:rPr>
        <w:t xml:space="preserve"> - Consumul şi producţia durabile - Mediul în Europa — A patra evaluare)</w:t>
      </w:r>
    </w:p>
    <w:p w:rsidR="00533F73" w:rsidRPr="00533F73" w:rsidRDefault="00533F73" w:rsidP="00533F73">
      <w:pPr>
        <w:tabs>
          <w:tab w:val="left" w:pos="1276"/>
        </w:tabs>
        <w:spacing w:after="0" w:line="240" w:lineRule="auto"/>
        <w:jc w:val="both"/>
        <w:rPr>
          <w:rFonts w:ascii="Arial" w:eastAsia="SimSun" w:hAnsi="Arial" w:cs="Arial"/>
          <w:b/>
          <w:sz w:val="24"/>
          <w:szCs w:val="26"/>
          <w:lang w:val="ro-RO"/>
        </w:rPr>
      </w:pPr>
    </w:p>
    <w:p w:rsidR="00533F73" w:rsidRPr="00533F73" w:rsidRDefault="00533F73" w:rsidP="00533F73">
      <w:pPr>
        <w:spacing w:after="0" w:line="240" w:lineRule="auto"/>
        <w:jc w:val="both"/>
        <w:rPr>
          <w:rFonts w:ascii="Arial" w:eastAsia="SimSun" w:hAnsi="Arial" w:cs="Arial"/>
          <w:sz w:val="24"/>
          <w:szCs w:val="24"/>
          <w:lang w:val="en-GB"/>
        </w:rPr>
      </w:pPr>
      <w:r w:rsidRPr="00533F73">
        <w:rPr>
          <w:rFonts w:ascii="Arial" w:eastAsia="SimSun" w:hAnsi="Arial" w:cs="Arial"/>
          <w:sz w:val="24"/>
          <w:szCs w:val="24"/>
          <w:lang w:val="en-GB"/>
        </w:rPr>
        <w:t>La nivel local, Direcţia Judeţeană de Statistică Vaslui nu deţine informaţii privind consumul intern de materiale.</w:t>
      </w:r>
    </w:p>
    <w:p w:rsidR="00533F73" w:rsidRPr="00533F73" w:rsidRDefault="00533F73" w:rsidP="00533F73">
      <w:pPr>
        <w:spacing w:after="0" w:line="240" w:lineRule="auto"/>
        <w:jc w:val="both"/>
        <w:rPr>
          <w:rFonts w:ascii="Arial" w:eastAsia="SimSun" w:hAnsi="Arial" w:cs="Arial"/>
          <w:b/>
          <w:sz w:val="24"/>
          <w:szCs w:val="24"/>
          <w:lang w:val="ro-RO"/>
        </w:rPr>
      </w:pPr>
    </w:p>
    <w:p w:rsidR="00533F73" w:rsidRPr="00533F73" w:rsidRDefault="00533F73" w:rsidP="00533F73">
      <w:pPr>
        <w:spacing w:after="0" w:line="240" w:lineRule="auto"/>
        <w:jc w:val="both"/>
        <w:rPr>
          <w:rFonts w:ascii="Arial" w:eastAsia="SimSun" w:hAnsi="Arial" w:cs="Arial"/>
          <w:b/>
          <w:sz w:val="24"/>
          <w:szCs w:val="26"/>
          <w:lang w:val="ro-RO"/>
        </w:rPr>
      </w:pPr>
      <w:r w:rsidRPr="00533F73">
        <w:rPr>
          <w:rFonts w:ascii="Arial" w:eastAsia="SimSun" w:hAnsi="Arial" w:cs="Arial"/>
          <w:b/>
          <w:sz w:val="24"/>
          <w:szCs w:val="26"/>
          <w:lang w:val="ro-RO"/>
        </w:rPr>
        <w:t xml:space="preserve">X.4. Prognoze, politici şi măsuri privind consumul şi mediul  </w:t>
      </w:r>
    </w:p>
    <w:p w:rsidR="00533F73" w:rsidRPr="00533F73" w:rsidRDefault="00533F73" w:rsidP="00533F73">
      <w:pPr>
        <w:spacing w:after="0" w:line="240" w:lineRule="auto"/>
        <w:jc w:val="both"/>
        <w:rPr>
          <w:rFonts w:ascii="Times New Roman" w:eastAsia="SimSun" w:hAnsi="Times New Roman" w:cs="Times New Roman"/>
          <w:b/>
          <w:sz w:val="24"/>
          <w:szCs w:val="26"/>
          <w:lang w:val="ro-RO"/>
        </w:rPr>
      </w:pPr>
    </w:p>
    <w:p w:rsidR="00533F73" w:rsidRPr="00533F73" w:rsidRDefault="00533F73" w:rsidP="00533F73">
      <w:pPr>
        <w:autoSpaceDE w:val="0"/>
        <w:autoSpaceDN w:val="0"/>
        <w:adjustRightInd w:val="0"/>
        <w:spacing w:after="0" w:line="240" w:lineRule="auto"/>
        <w:ind w:firstLine="720"/>
        <w:jc w:val="both"/>
        <w:rPr>
          <w:rFonts w:ascii="Arial" w:eastAsia="Times New Roman" w:hAnsi="Arial" w:cs="Arial"/>
          <w:sz w:val="24"/>
          <w:szCs w:val="24"/>
        </w:rPr>
      </w:pPr>
      <w:r w:rsidRPr="00533F73">
        <w:rPr>
          <w:rFonts w:ascii="Arial" w:eastAsia="Times New Roman" w:hAnsi="Arial" w:cs="Arial"/>
          <w:sz w:val="24"/>
          <w:szCs w:val="24"/>
        </w:rPr>
        <w:t xml:space="preserve">În contextul creşterii populaţiei şi al consumului de resurse naturale, dezvoltarea durabilă este un model de dezvoltare ce vizează echilibrul între creşterea economică, calitatea vieţii şi prezervarea mediului pe termen mediu şi lung, fără creşterea consumului de resurse naturale dincolo de capacitatea de suportabilitate a Pământului. </w:t>
      </w:r>
    </w:p>
    <w:p w:rsidR="00533F73" w:rsidRPr="00533F73" w:rsidRDefault="00533F73" w:rsidP="00533F73">
      <w:pPr>
        <w:autoSpaceDE w:val="0"/>
        <w:autoSpaceDN w:val="0"/>
        <w:adjustRightInd w:val="0"/>
        <w:spacing w:after="0" w:line="240" w:lineRule="auto"/>
        <w:jc w:val="both"/>
        <w:rPr>
          <w:rFonts w:ascii="Arial" w:eastAsia="Times New Roman" w:hAnsi="Arial" w:cs="Arial"/>
          <w:sz w:val="24"/>
          <w:szCs w:val="24"/>
        </w:rPr>
      </w:pPr>
      <w:r w:rsidRPr="00533F73">
        <w:rPr>
          <w:rFonts w:ascii="Arial" w:eastAsia="Times New Roman" w:hAnsi="Arial" w:cs="Arial"/>
          <w:sz w:val="24"/>
          <w:szCs w:val="24"/>
        </w:rPr>
        <w:t xml:space="preserve">Strategie de Dezvoltare Durabilă (EU SDS) vizează promovarea unei ’’economii dinamice, cu un nivel maxim de ocupare, înalt nivel de educaţie, protecţie a sănătăţii, coeziune socială şi teritorială şi protecţie a mediului, într-o lume paşnică şi sigură, respectând diversitatea culturală’’. Cele patru dimensiuni ale acesteia sunt: </w:t>
      </w:r>
    </w:p>
    <w:p w:rsidR="00533F73" w:rsidRPr="00533F73" w:rsidRDefault="00533F73" w:rsidP="005910C7">
      <w:pPr>
        <w:numPr>
          <w:ilvl w:val="0"/>
          <w:numId w:val="30"/>
        </w:numPr>
        <w:autoSpaceDE w:val="0"/>
        <w:autoSpaceDN w:val="0"/>
        <w:adjustRightInd w:val="0"/>
        <w:spacing w:after="0" w:line="240" w:lineRule="auto"/>
        <w:jc w:val="both"/>
        <w:rPr>
          <w:rFonts w:ascii="Arial" w:eastAsia="Times New Roman" w:hAnsi="Arial" w:cs="Arial"/>
          <w:sz w:val="24"/>
          <w:szCs w:val="24"/>
        </w:rPr>
      </w:pPr>
      <w:r w:rsidRPr="00533F73">
        <w:rPr>
          <w:rFonts w:ascii="Arial" w:eastAsia="Times New Roman" w:hAnsi="Arial" w:cs="Arial"/>
          <w:sz w:val="24"/>
          <w:szCs w:val="24"/>
        </w:rPr>
        <w:t xml:space="preserve">protecţia mediului; </w:t>
      </w:r>
    </w:p>
    <w:p w:rsidR="00533F73" w:rsidRPr="00533F73" w:rsidRDefault="00533F73" w:rsidP="005910C7">
      <w:pPr>
        <w:numPr>
          <w:ilvl w:val="0"/>
          <w:numId w:val="30"/>
        </w:numPr>
        <w:autoSpaceDE w:val="0"/>
        <w:autoSpaceDN w:val="0"/>
        <w:adjustRightInd w:val="0"/>
        <w:spacing w:after="0" w:line="240" w:lineRule="auto"/>
        <w:jc w:val="both"/>
        <w:rPr>
          <w:rFonts w:ascii="Arial" w:eastAsia="Times New Roman" w:hAnsi="Arial" w:cs="Arial"/>
          <w:sz w:val="24"/>
          <w:szCs w:val="24"/>
        </w:rPr>
      </w:pPr>
      <w:r w:rsidRPr="00533F73">
        <w:rPr>
          <w:rFonts w:ascii="Arial" w:eastAsia="Times New Roman" w:hAnsi="Arial" w:cs="Arial"/>
          <w:sz w:val="24"/>
          <w:szCs w:val="24"/>
        </w:rPr>
        <w:t>prevenirea şi reducerea poluării mediului şi promovarea consumului şi a producţiei durabile, în scopul decuplării creşterii economice de impactul asupra mediului;</w:t>
      </w:r>
    </w:p>
    <w:p w:rsidR="00533F73" w:rsidRPr="00533F73" w:rsidRDefault="00533F73" w:rsidP="005910C7">
      <w:pPr>
        <w:numPr>
          <w:ilvl w:val="0"/>
          <w:numId w:val="30"/>
        </w:numPr>
        <w:autoSpaceDE w:val="0"/>
        <w:autoSpaceDN w:val="0"/>
        <w:adjustRightInd w:val="0"/>
        <w:spacing w:after="0" w:line="240" w:lineRule="auto"/>
        <w:jc w:val="both"/>
        <w:rPr>
          <w:rFonts w:ascii="Arial" w:eastAsia="Times New Roman" w:hAnsi="Arial" w:cs="Arial"/>
          <w:sz w:val="24"/>
          <w:szCs w:val="24"/>
        </w:rPr>
      </w:pPr>
      <w:r w:rsidRPr="00533F73">
        <w:rPr>
          <w:rFonts w:ascii="Arial" w:eastAsia="Times New Roman" w:hAnsi="Arial" w:cs="Arial"/>
          <w:sz w:val="24"/>
          <w:szCs w:val="24"/>
        </w:rPr>
        <w:t xml:space="preserve">coeziune şi echitate social; </w:t>
      </w:r>
    </w:p>
    <w:p w:rsidR="00533F73" w:rsidRPr="00533F73" w:rsidRDefault="00533F73" w:rsidP="005910C7">
      <w:pPr>
        <w:numPr>
          <w:ilvl w:val="0"/>
          <w:numId w:val="30"/>
        </w:numPr>
        <w:autoSpaceDE w:val="0"/>
        <w:autoSpaceDN w:val="0"/>
        <w:adjustRightInd w:val="0"/>
        <w:spacing w:after="0" w:line="240" w:lineRule="auto"/>
        <w:jc w:val="both"/>
        <w:rPr>
          <w:rFonts w:ascii="Arial" w:eastAsia="Times New Roman" w:hAnsi="Arial" w:cs="Arial"/>
          <w:sz w:val="24"/>
          <w:szCs w:val="24"/>
        </w:rPr>
      </w:pPr>
      <w:r w:rsidRPr="00533F73">
        <w:rPr>
          <w:rFonts w:ascii="Arial" w:eastAsia="Times New Roman" w:hAnsi="Arial" w:cs="Arial"/>
          <w:sz w:val="24"/>
          <w:szCs w:val="24"/>
        </w:rPr>
        <w:t xml:space="preserve">promovarea unei societăţi democratice, sănătoase, sigure şi coezive din punct de vedere social, cu respectarea drepturilor fundamentale şi a diversitătii culturale; </w:t>
      </w:r>
    </w:p>
    <w:p w:rsidR="00533F73" w:rsidRPr="00533F73" w:rsidRDefault="00533F73" w:rsidP="005910C7">
      <w:pPr>
        <w:numPr>
          <w:ilvl w:val="0"/>
          <w:numId w:val="30"/>
        </w:numPr>
        <w:autoSpaceDE w:val="0"/>
        <w:autoSpaceDN w:val="0"/>
        <w:adjustRightInd w:val="0"/>
        <w:spacing w:after="0" w:line="240" w:lineRule="auto"/>
        <w:jc w:val="both"/>
        <w:rPr>
          <w:rFonts w:ascii="Arial" w:eastAsia="Times New Roman" w:hAnsi="Arial" w:cs="Arial"/>
          <w:sz w:val="24"/>
          <w:szCs w:val="24"/>
        </w:rPr>
      </w:pPr>
      <w:r w:rsidRPr="00533F73">
        <w:rPr>
          <w:rFonts w:ascii="Arial" w:eastAsia="Times New Roman" w:hAnsi="Arial" w:cs="Arial"/>
          <w:sz w:val="24"/>
          <w:szCs w:val="24"/>
        </w:rPr>
        <w:t xml:space="preserve">prosperitate economică; </w:t>
      </w:r>
    </w:p>
    <w:p w:rsidR="00533F73" w:rsidRPr="00533F73" w:rsidRDefault="00533F73" w:rsidP="005910C7">
      <w:pPr>
        <w:numPr>
          <w:ilvl w:val="0"/>
          <w:numId w:val="30"/>
        </w:numPr>
        <w:autoSpaceDE w:val="0"/>
        <w:autoSpaceDN w:val="0"/>
        <w:adjustRightInd w:val="0"/>
        <w:spacing w:after="0" w:line="240" w:lineRule="auto"/>
        <w:jc w:val="both"/>
        <w:rPr>
          <w:rFonts w:ascii="Arial" w:eastAsia="Times New Roman" w:hAnsi="Arial" w:cs="Arial"/>
          <w:sz w:val="24"/>
          <w:szCs w:val="24"/>
        </w:rPr>
      </w:pPr>
      <w:r w:rsidRPr="00533F73">
        <w:rPr>
          <w:rFonts w:ascii="Arial" w:eastAsia="Times New Roman" w:hAnsi="Arial" w:cs="Arial"/>
          <w:sz w:val="24"/>
          <w:szCs w:val="24"/>
        </w:rPr>
        <w:t xml:space="preserve">promovarea unei economii inovative, competitive şi ecoeficiente, care să asigure un nivel înalt de ocupare; </w:t>
      </w:r>
    </w:p>
    <w:p w:rsidR="00533F73" w:rsidRPr="00533F73" w:rsidRDefault="00533F73" w:rsidP="005910C7">
      <w:pPr>
        <w:numPr>
          <w:ilvl w:val="0"/>
          <w:numId w:val="30"/>
        </w:numPr>
        <w:autoSpaceDE w:val="0"/>
        <w:autoSpaceDN w:val="0"/>
        <w:adjustRightInd w:val="0"/>
        <w:spacing w:after="0" w:line="240" w:lineRule="auto"/>
        <w:jc w:val="both"/>
        <w:rPr>
          <w:rFonts w:ascii="Arial" w:eastAsia="Times New Roman" w:hAnsi="Arial" w:cs="Arial"/>
          <w:sz w:val="24"/>
          <w:szCs w:val="24"/>
        </w:rPr>
      </w:pPr>
      <w:r w:rsidRPr="00533F73">
        <w:rPr>
          <w:rFonts w:ascii="Arial" w:eastAsia="Times New Roman" w:hAnsi="Arial" w:cs="Arial"/>
          <w:sz w:val="24"/>
          <w:szCs w:val="24"/>
        </w:rPr>
        <w:t xml:space="preserve">responsabilitate internaţională pentru întreaga Uniunea Europeană. </w:t>
      </w:r>
    </w:p>
    <w:p w:rsidR="00A56506" w:rsidRDefault="00A56506" w:rsidP="00A56506">
      <w:pPr>
        <w:autoSpaceDE w:val="0"/>
        <w:autoSpaceDN w:val="0"/>
        <w:adjustRightInd w:val="0"/>
        <w:spacing w:after="0" w:line="240" w:lineRule="auto"/>
        <w:ind w:firstLine="360"/>
        <w:jc w:val="both"/>
        <w:rPr>
          <w:rFonts w:ascii="Arial" w:eastAsia="Times New Roman" w:hAnsi="Arial" w:cs="Arial"/>
          <w:sz w:val="24"/>
          <w:szCs w:val="24"/>
        </w:rPr>
      </w:pPr>
    </w:p>
    <w:p w:rsidR="00533F73" w:rsidRPr="00533F73" w:rsidRDefault="00533F73" w:rsidP="00A56506">
      <w:pPr>
        <w:autoSpaceDE w:val="0"/>
        <w:autoSpaceDN w:val="0"/>
        <w:adjustRightInd w:val="0"/>
        <w:spacing w:after="0" w:line="240" w:lineRule="auto"/>
        <w:ind w:firstLine="360"/>
        <w:jc w:val="both"/>
        <w:rPr>
          <w:rFonts w:ascii="Arial" w:eastAsia="Times New Roman" w:hAnsi="Arial" w:cs="Arial"/>
          <w:sz w:val="24"/>
          <w:szCs w:val="24"/>
        </w:rPr>
      </w:pPr>
      <w:r w:rsidRPr="00533F73">
        <w:rPr>
          <w:rFonts w:ascii="Arial" w:eastAsia="Times New Roman" w:hAnsi="Arial" w:cs="Arial"/>
          <w:sz w:val="24"/>
          <w:szCs w:val="24"/>
        </w:rPr>
        <w:t xml:space="preserve">Obiectivele generale ale Strategiei de Dezvoltare Durabilă (EU SDS): </w:t>
      </w:r>
    </w:p>
    <w:p w:rsidR="00533F73" w:rsidRPr="00533F73" w:rsidRDefault="00533F73" w:rsidP="005910C7">
      <w:pPr>
        <w:numPr>
          <w:ilvl w:val="0"/>
          <w:numId w:val="31"/>
        </w:numPr>
        <w:autoSpaceDE w:val="0"/>
        <w:autoSpaceDN w:val="0"/>
        <w:adjustRightInd w:val="0"/>
        <w:spacing w:after="0" w:line="240" w:lineRule="auto"/>
        <w:jc w:val="both"/>
        <w:rPr>
          <w:rFonts w:ascii="Arial" w:eastAsia="Times New Roman" w:hAnsi="Arial" w:cs="Arial"/>
          <w:sz w:val="24"/>
          <w:szCs w:val="24"/>
        </w:rPr>
      </w:pPr>
      <w:r w:rsidRPr="00533F73">
        <w:rPr>
          <w:rFonts w:ascii="Arial" w:eastAsia="Times New Roman" w:hAnsi="Arial" w:cs="Arial"/>
          <w:sz w:val="24"/>
          <w:szCs w:val="24"/>
        </w:rPr>
        <w:t xml:space="preserve">Limitarea efectelor încălzirii globale asupra societăţii şi mediului şi diminuarea costurilor acesteia; </w:t>
      </w:r>
    </w:p>
    <w:p w:rsidR="00533F73" w:rsidRPr="00533F73" w:rsidRDefault="00533F73" w:rsidP="005910C7">
      <w:pPr>
        <w:numPr>
          <w:ilvl w:val="0"/>
          <w:numId w:val="31"/>
        </w:numPr>
        <w:autoSpaceDE w:val="0"/>
        <w:autoSpaceDN w:val="0"/>
        <w:adjustRightInd w:val="0"/>
        <w:spacing w:after="0" w:line="240" w:lineRule="auto"/>
        <w:jc w:val="both"/>
        <w:rPr>
          <w:rFonts w:ascii="Arial" w:eastAsia="Times New Roman" w:hAnsi="Arial" w:cs="Arial"/>
          <w:sz w:val="24"/>
          <w:szCs w:val="24"/>
        </w:rPr>
      </w:pPr>
      <w:r w:rsidRPr="00533F73">
        <w:rPr>
          <w:rFonts w:ascii="Arial" w:eastAsia="Times New Roman" w:hAnsi="Arial" w:cs="Arial"/>
          <w:sz w:val="24"/>
          <w:szCs w:val="24"/>
        </w:rPr>
        <w:lastRenderedPageBreak/>
        <w:t xml:space="preserve">Sisteme de transport care să vină în îmtâmpinarea nevoilor economice, sociale şi de mediu, evitând impactele nedorite asupra economiei, transportului şi mediului; </w:t>
      </w:r>
    </w:p>
    <w:p w:rsidR="00533F73" w:rsidRPr="00533F73" w:rsidRDefault="00533F73" w:rsidP="005910C7">
      <w:pPr>
        <w:numPr>
          <w:ilvl w:val="0"/>
          <w:numId w:val="31"/>
        </w:numPr>
        <w:autoSpaceDE w:val="0"/>
        <w:autoSpaceDN w:val="0"/>
        <w:adjustRightInd w:val="0"/>
        <w:spacing w:after="0" w:line="240" w:lineRule="auto"/>
        <w:jc w:val="both"/>
        <w:rPr>
          <w:rFonts w:ascii="Arial" w:eastAsia="Times New Roman" w:hAnsi="Arial" w:cs="Arial"/>
          <w:sz w:val="24"/>
          <w:szCs w:val="24"/>
        </w:rPr>
      </w:pPr>
      <w:r w:rsidRPr="00533F73">
        <w:rPr>
          <w:rFonts w:ascii="Arial" w:eastAsia="Times New Roman" w:hAnsi="Arial" w:cs="Arial"/>
          <w:sz w:val="24"/>
          <w:szCs w:val="24"/>
        </w:rPr>
        <w:t xml:space="preserve">Conservarea biodiversităţii, îmbunătăţirea managementului şi evitarea supraexploatării resurselor naturale, recunoscând valoarea serviciilor ecosistemelor; </w:t>
      </w:r>
    </w:p>
    <w:p w:rsidR="00533F73" w:rsidRPr="00533F73" w:rsidRDefault="00533F73" w:rsidP="005910C7">
      <w:pPr>
        <w:numPr>
          <w:ilvl w:val="0"/>
          <w:numId w:val="31"/>
        </w:numPr>
        <w:autoSpaceDE w:val="0"/>
        <w:autoSpaceDN w:val="0"/>
        <w:adjustRightInd w:val="0"/>
        <w:spacing w:after="0" w:line="240" w:lineRule="auto"/>
        <w:jc w:val="both"/>
        <w:rPr>
          <w:rFonts w:ascii="Arial" w:eastAsia="Times New Roman" w:hAnsi="Arial" w:cs="Arial"/>
          <w:sz w:val="24"/>
          <w:szCs w:val="24"/>
        </w:rPr>
      </w:pPr>
      <w:r w:rsidRPr="00533F73">
        <w:rPr>
          <w:rFonts w:ascii="Arial" w:eastAsia="Times New Roman" w:hAnsi="Arial" w:cs="Arial"/>
          <w:sz w:val="24"/>
          <w:szCs w:val="24"/>
        </w:rPr>
        <w:t xml:space="preserve">Asigurarea nediscriminatorie a unei bune stări de sănătate a populaţiei, ambientarea habitatelor şi îmbunătăţirea mijloacelor de protecţie împotriva ameninţărilor de sănătate; </w:t>
      </w:r>
    </w:p>
    <w:p w:rsidR="00533F73" w:rsidRPr="00533F73" w:rsidRDefault="00533F73" w:rsidP="005910C7">
      <w:pPr>
        <w:numPr>
          <w:ilvl w:val="0"/>
          <w:numId w:val="31"/>
        </w:numPr>
        <w:autoSpaceDE w:val="0"/>
        <w:autoSpaceDN w:val="0"/>
        <w:adjustRightInd w:val="0"/>
        <w:spacing w:after="0" w:line="240" w:lineRule="auto"/>
        <w:jc w:val="both"/>
        <w:rPr>
          <w:rFonts w:ascii="Arial" w:eastAsia="Times New Roman" w:hAnsi="Arial" w:cs="Arial"/>
          <w:sz w:val="24"/>
          <w:szCs w:val="24"/>
        </w:rPr>
      </w:pPr>
      <w:r w:rsidRPr="00533F73">
        <w:rPr>
          <w:rFonts w:ascii="Arial" w:eastAsia="Times New Roman" w:hAnsi="Arial" w:cs="Arial"/>
          <w:sz w:val="24"/>
          <w:szCs w:val="24"/>
        </w:rPr>
        <w:t xml:space="preserve">Adoptarea unor modele de producţie şi consum energetic durabile. </w:t>
      </w:r>
    </w:p>
    <w:p w:rsidR="00533F73" w:rsidRPr="00533F73" w:rsidRDefault="00533F73" w:rsidP="00A56506">
      <w:pPr>
        <w:autoSpaceDE w:val="0"/>
        <w:autoSpaceDN w:val="0"/>
        <w:adjustRightInd w:val="0"/>
        <w:spacing w:after="0" w:line="240" w:lineRule="auto"/>
        <w:ind w:firstLine="360"/>
        <w:jc w:val="both"/>
        <w:rPr>
          <w:rFonts w:ascii="Arial" w:eastAsia="Times New Roman" w:hAnsi="Arial" w:cs="Arial"/>
          <w:sz w:val="24"/>
          <w:szCs w:val="24"/>
        </w:rPr>
      </w:pPr>
      <w:r w:rsidRPr="00533F73">
        <w:rPr>
          <w:rFonts w:ascii="Arial" w:eastAsia="Times New Roman" w:hAnsi="Arial" w:cs="Arial"/>
          <w:sz w:val="24"/>
          <w:szCs w:val="24"/>
        </w:rPr>
        <w:t xml:space="preserve">Politica de mediu a UE a reprezentat un aspect cheie în elaborarea Strategiei Naţionale de Dezvoltare Durabilă a României, reflectată în formularea obiectivului său global. Ea nu poate să sune altfel decât priorităţile globale şi europene identificate şi comunicate de Structurile ONU şi, respectiv, ale Uniunii Europene. </w:t>
      </w:r>
    </w:p>
    <w:p w:rsidR="00533F73" w:rsidRPr="00533F73" w:rsidRDefault="00533F73" w:rsidP="00A56506">
      <w:pPr>
        <w:autoSpaceDE w:val="0"/>
        <w:autoSpaceDN w:val="0"/>
        <w:adjustRightInd w:val="0"/>
        <w:spacing w:after="0" w:line="240" w:lineRule="auto"/>
        <w:ind w:firstLine="360"/>
        <w:jc w:val="both"/>
        <w:rPr>
          <w:rFonts w:ascii="Arial" w:eastAsia="Times New Roman" w:hAnsi="Arial" w:cs="Arial"/>
          <w:sz w:val="24"/>
          <w:szCs w:val="24"/>
        </w:rPr>
      </w:pPr>
      <w:r w:rsidRPr="00533F73">
        <w:rPr>
          <w:rFonts w:ascii="Arial" w:eastAsia="Times New Roman" w:hAnsi="Arial" w:cs="Arial"/>
          <w:sz w:val="24"/>
          <w:szCs w:val="24"/>
        </w:rPr>
        <w:t xml:space="preserve">Obiectivul fundamental al Strategiei Naţionale de Dezvoltare Durabilă constă în: </w:t>
      </w:r>
    </w:p>
    <w:p w:rsidR="00533F73" w:rsidRPr="00533F73" w:rsidRDefault="00533F73" w:rsidP="005910C7">
      <w:pPr>
        <w:numPr>
          <w:ilvl w:val="0"/>
          <w:numId w:val="32"/>
        </w:numPr>
        <w:autoSpaceDE w:val="0"/>
        <w:autoSpaceDN w:val="0"/>
        <w:adjustRightInd w:val="0"/>
        <w:spacing w:after="0" w:line="240" w:lineRule="auto"/>
        <w:jc w:val="both"/>
        <w:rPr>
          <w:rFonts w:ascii="Arial" w:eastAsia="Times New Roman" w:hAnsi="Arial" w:cs="Arial"/>
          <w:sz w:val="24"/>
          <w:szCs w:val="24"/>
        </w:rPr>
      </w:pPr>
      <w:r w:rsidRPr="00533F73">
        <w:rPr>
          <w:rFonts w:ascii="Arial" w:eastAsia="Times New Roman" w:hAnsi="Arial" w:cs="Arial"/>
          <w:sz w:val="24"/>
          <w:szCs w:val="24"/>
        </w:rPr>
        <w:t xml:space="preserve">asigurarea unui standard crescut de viaţă şi prosperitate pentru oameni şi societate în ansamblul ei, la nivel naţional; </w:t>
      </w:r>
    </w:p>
    <w:p w:rsidR="00533F73" w:rsidRPr="00533F73" w:rsidRDefault="00533F73" w:rsidP="005910C7">
      <w:pPr>
        <w:numPr>
          <w:ilvl w:val="0"/>
          <w:numId w:val="32"/>
        </w:numPr>
        <w:autoSpaceDE w:val="0"/>
        <w:autoSpaceDN w:val="0"/>
        <w:adjustRightInd w:val="0"/>
        <w:spacing w:after="0" w:line="240" w:lineRule="auto"/>
        <w:jc w:val="both"/>
        <w:rPr>
          <w:rFonts w:ascii="Arial" w:eastAsia="Times New Roman" w:hAnsi="Arial" w:cs="Arial"/>
          <w:sz w:val="24"/>
          <w:szCs w:val="24"/>
        </w:rPr>
      </w:pPr>
      <w:r w:rsidRPr="00533F73">
        <w:rPr>
          <w:rFonts w:ascii="Arial" w:eastAsia="Times New Roman" w:hAnsi="Arial" w:cs="Arial"/>
          <w:sz w:val="24"/>
          <w:szCs w:val="24"/>
        </w:rPr>
        <w:t xml:space="preserve">dezvoltarea economică în limitele durabilităţii, determinată de oferta capitalului natural, astfel încât să nu se afecteze nevoile de bază ale generaţiilor viitoare. </w:t>
      </w:r>
    </w:p>
    <w:p w:rsidR="00533F73" w:rsidRPr="00533F73" w:rsidRDefault="00A56506" w:rsidP="00533F73">
      <w:pPr>
        <w:tabs>
          <w:tab w:val="left" w:pos="1276"/>
        </w:tabs>
        <w:spacing w:after="0" w:line="240" w:lineRule="auto"/>
        <w:jc w:val="both"/>
        <w:rPr>
          <w:rFonts w:ascii="Arial" w:eastAsia="SimSun" w:hAnsi="Arial" w:cs="Arial"/>
          <w:sz w:val="24"/>
          <w:szCs w:val="24"/>
          <w:lang w:val="en-GB"/>
        </w:rPr>
      </w:pPr>
      <w:r>
        <w:rPr>
          <w:rFonts w:ascii="Arial" w:eastAsia="SimSun" w:hAnsi="Arial" w:cs="Arial"/>
          <w:sz w:val="24"/>
          <w:szCs w:val="24"/>
          <w:lang w:val="en-GB"/>
        </w:rPr>
        <w:t xml:space="preserve">       </w:t>
      </w:r>
      <w:r w:rsidR="00533F73" w:rsidRPr="00533F73">
        <w:rPr>
          <w:rFonts w:ascii="Arial" w:eastAsia="SimSun" w:hAnsi="Arial" w:cs="Arial"/>
          <w:sz w:val="24"/>
          <w:szCs w:val="24"/>
          <w:lang w:val="en-GB"/>
        </w:rPr>
        <w:t>Strategia prevede crearea unui sistem-suport pentru următoarele priorităţi: sănătate publică; educaţie; creştere economică; conservarea resurselor energetice, susţinute de o activitate complexă şi interdisciplinară pentru protecţia mediului.</w:t>
      </w:r>
    </w:p>
    <w:p w:rsidR="00533F73" w:rsidRPr="00533F73" w:rsidRDefault="00533F73" w:rsidP="00533F73">
      <w:pPr>
        <w:tabs>
          <w:tab w:val="left" w:pos="1276"/>
        </w:tabs>
        <w:spacing w:after="0" w:line="240" w:lineRule="auto"/>
        <w:jc w:val="both"/>
        <w:rPr>
          <w:rFonts w:ascii="Arial" w:eastAsia="SimSun" w:hAnsi="Arial" w:cs="Arial"/>
          <w:i/>
          <w:sz w:val="20"/>
          <w:szCs w:val="20"/>
          <w:lang w:val="ro-RO"/>
        </w:rPr>
      </w:pPr>
      <w:r w:rsidRPr="00533F73">
        <w:rPr>
          <w:rFonts w:ascii="Arial" w:eastAsia="SimSun" w:hAnsi="Arial" w:cs="Arial"/>
          <w:sz w:val="20"/>
          <w:szCs w:val="20"/>
          <w:lang w:val="en-GB"/>
        </w:rPr>
        <w:t xml:space="preserve"> (Sursa: </w:t>
      </w:r>
      <w:r w:rsidRPr="00533F73">
        <w:rPr>
          <w:rFonts w:ascii="Arial" w:eastAsia="Times New Roman" w:hAnsi="Arial" w:cs="Arial"/>
          <w:bCs/>
          <w:sz w:val="20"/>
          <w:szCs w:val="20"/>
        </w:rPr>
        <w:t>Constantin Ciupagea – Direc</w:t>
      </w:r>
      <w:r w:rsidRPr="00533F73">
        <w:rPr>
          <w:rFonts w:ascii="Arial" w:eastAsia="Times New Roman" w:hAnsi="Arial" w:cs="Arial"/>
          <w:sz w:val="20"/>
          <w:szCs w:val="20"/>
        </w:rPr>
        <w:t>ţ</w:t>
      </w:r>
      <w:r w:rsidRPr="00533F73">
        <w:rPr>
          <w:rFonts w:ascii="Arial" w:eastAsia="Times New Roman" w:hAnsi="Arial" w:cs="Arial"/>
          <w:bCs/>
          <w:sz w:val="20"/>
          <w:szCs w:val="20"/>
        </w:rPr>
        <w:t>ii strategice ale dezvolt</w:t>
      </w:r>
      <w:r w:rsidRPr="00533F73">
        <w:rPr>
          <w:rFonts w:ascii="Arial" w:eastAsia="Times New Roman" w:hAnsi="Arial" w:cs="Arial"/>
          <w:sz w:val="20"/>
          <w:szCs w:val="20"/>
        </w:rPr>
        <w:t>ă</w:t>
      </w:r>
      <w:r w:rsidRPr="00533F73">
        <w:rPr>
          <w:rFonts w:ascii="Arial" w:eastAsia="Times New Roman" w:hAnsi="Arial" w:cs="Arial"/>
          <w:bCs/>
          <w:sz w:val="20"/>
          <w:szCs w:val="20"/>
        </w:rPr>
        <w:t>rii durabile în România)</w:t>
      </w:r>
    </w:p>
    <w:p w:rsidR="00477FE7" w:rsidRDefault="00477FE7" w:rsidP="00830DBB">
      <w:pPr>
        <w:autoSpaceDE w:val="0"/>
        <w:autoSpaceDN w:val="0"/>
        <w:adjustRightInd w:val="0"/>
        <w:spacing w:after="120" w:line="240" w:lineRule="auto"/>
        <w:jc w:val="both"/>
        <w:rPr>
          <w:rFonts w:ascii="Arial" w:eastAsia="SimSun" w:hAnsi="Arial" w:cs="Arial"/>
          <w:color w:val="000000" w:themeColor="text1"/>
          <w:sz w:val="24"/>
          <w:szCs w:val="24"/>
          <w:lang w:val="en-GB"/>
        </w:rPr>
      </w:pPr>
    </w:p>
    <w:p w:rsidR="00477FE7" w:rsidRDefault="00477FE7" w:rsidP="00830DBB">
      <w:pPr>
        <w:autoSpaceDE w:val="0"/>
        <w:autoSpaceDN w:val="0"/>
        <w:adjustRightInd w:val="0"/>
        <w:spacing w:after="120" w:line="240" w:lineRule="auto"/>
        <w:jc w:val="both"/>
        <w:rPr>
          <w:rFonts w:ascii="Arial" w:eastAsia="SimSun" w:hAnsi="Arial" w:cs="Arial"/>
          <w:color w:val="000000" w:themeColor="text1"/>
          <w:sz w:val="24"/>
          <w:szCs w:val="24"/>
          <w:lang w:val="en-GB"/>
        </w:rPr>
      </w:pPr>
    </w:p>
    <w:sectPr w:rsidR="00477FE7" w:rsidSect="00444864">
      <w:pgSz w:w="12240" w:h="15840"/>
      <w:pgMar w:top="1440" w:right="1440" w:bottom="1440" w:left="1440" w:header="709" w:footer="709" w:gutter="0"/>
      <w:pgNumType w:start="13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452B" w:rsidRDefault="00B3452B" w:rsidP="00F2046E">
      <w:pPr>
        <w:spacing w:after="0" w:line="240" w:lineRule="auto"/>
      </w:pPr>
      <w:r>
        <w:separator/>
      </w:r>
    </w:p>
  </w:endnote>
  <w:endnote w:type="continuationSeparator" w:id="0">
    <w:p w:rsidR="00B3452B" w:rsidRDefault="00B3452B" w:rsidP="00F204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EC Square Sans Pro">
    <w:altName w:val="EC Square Sans Pro"/>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7" w:usb1="00000000" w:usb2="00000000" w:usb3="00000000" w:csb0="00000003" w:csb1="00000000"/>
  </w:font>
  <w:font w:name="Cambria Math">
    <w:panose1 w:val="02040503050406030204"/>
    <w:charset w:val="00"/>
    <w:family w:val="roman"/>
    <w:pitch w:val="variable"/>
    <w:sig w:usb0="E00002FF" w:usb1="420024FF" w:usb2="00000000" w:usb3="00000000" w:csb0="0000019F" w:csb1="00000000"/>
  </w:font>
  <w:font w:name="TrebuchetMS">
    <w:altName w:val="MS Mincho"/>
    <w:panose1 w:val="00000000000000000000"/>
    <w:charset w:val="80"/>
    <w:family w:val="auto"/>
    <w:notTrueType/>
    <w:pitch w:val="default"/>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TimesNewRoman,Italic">
    <w:panose1 w:val="00000000000000000000"/>
    <w:charset w:val="00"/>
    <w:family w:val="auto"/>
    <w:notTrueType/>
    <w:pitch w:val="default"/>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EE"/>
    <w:family w:val="auto"/>
    <w:notTrueType/>
    <w:pitch w:val="default"/>
    <w:sig w:usb0="00000007" w:usb1="08070000" w:usb2="00000010" w:usb3="00000000" w:csb0="00020003" w:csb1="00000000"/>
  </w:font>
  <w:font w:name="Arial,Bold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821" w:rsidRDefault="002A2821" w:rsidP="00080B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A2821" w:rsidRDefault="002A2821" w:rsidP="00080B9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0821160"/>
      <w:docPartObj>
        <w:docPartGallery w:val="Page Numbers (Bottom of Page)"/>
        <w:docPartUnique/>
      </w:docPartObj>
    </w:sdtPr>
    <w:sdtEndPr>
      <w:rPr>
        <w:rFonts w:ascii="Arial" w:hAnsi="Arial" w:cs="Arial"/>
        <w:noProof/>
        <w:sz w:val="24"/>
        <w:szCs w:val="24"/>
      </w:rPr>
    </w:sdtEndPr>
    <w:sdtContent>
      <w:p w:rsidR="002A2821" w:rsidRPr="00444864" w:rsidRDefault="002A2821">
        <w:pPr>
          <w:pStyle w:val="Footer"/>
          <w:jc w:val="right"/>
          <w:rPr>
            <w:rFonts w:ascii="Arial" w:hAnsi="Arial" w:cs="Arial"/>
            <w:sz w:val="24"/>
            <w:szCs w:val="24"/>
          </w:rPr>
        </w:pPr>
        <w:r w:rsidRPr="00444864">
          <w:rPr>
            <w:rFonts w:ascii="Arial" w:hAnsi="Arial" w:cs="Arial"/>
            <w:sz w:val="24"/>
            <w:szCs w:val="24"/>
          </w:rPr>
          <w:fldChar w:fldCharType="begin"/>
        </w:r>
        <w:r w:rsidRPr="00444864">
          <w:rPr>
            <w:rFonts w:ascii="Arial" w:hAnsi="Arial" w:cs="Arial"/>
            <w:sz w:val="24"/>
            <w:szCs w:val="24"/>
          </w:rPr>
          <w:instrText xml:space="preserve"> PAGE   \* MERGEFORMAT </w:instrText>
        </w:r>
        <w:r w:rsidRPr="00444864">
          <w:rPr>
            <w:rFonts w:ascii="Arial" w:hAnsi="Arial" w:cs="Arial"/>
            <w:sz w:val="24"/>
            <w:szCs w:val="24"/>
          </w:rPr>
          <w:fldChar w:fldCharType="separate"/>
        </w:r>
        <w:r w:rsidR="00860690">
          <w:rPr>
            <w:rFonts w:ascii="Arial" w:hAnsi="Arial" w:cs="Arial"/>
            <w:noProof/>
            <w:sz w:val="24"/>
            <w:szCs w:val="24"/>
          </w:rPr>
          <w:t>26</w:t>
        </w:r>
        <w:r w:rsidRPr="00444864">
          <w:rPr>
            <w:rFonts w:ascii="Arial" w:hAnsi="Arial" w:cs="Arial"/>
            <w:noProof/>
            <w:sz w:val="24"/>
            <w:szCs w:val="24"/>
          </w:rPr>
          <w:fldChar w:fldCharType="end"/>
        </w:r>
      </w:p>
    </w:sdtContent>
  </w:sdt>
  <w:p w:rsidR="002A2821" w:rsidRPr="007D23AB" w:rsidRDefault="002A2821" w:rsidP="00080B9C">
    <w:pPr>
      <w:pStyle w:val="Footer"/>
      <w:ind w:right="360"/>
      <w:rPr>
        <w:rFonts w:ascii="Arial" w:hAnsi="Arial" w:cs="Arial"/>
        <w:i/>
      </w:rPr>
    </w:pPr>
    <w:r>
      <w:rPr>
        <w:rFonts w:ascii="Arial" w:hAnsi="Arial" w:cs="Arial"/>
        <w:i/>
      </w:rPr>
      <w:t>Agenţia pentru Protecţia Mediului Vaslui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821" w:rsidRDefault="002A2821" w:rsidP="00080B9C">
    <w:pPr>
      <w:pStyle w:val="Footer"/>
      <w:jc w:val="right"/>
    </w:pPr>
  </w:p>
  <w:p w:rsidR="002A2821" w:rsidRDefault="002A2821" w:rsidP="00080B9C">
    <w:pPr>
      <w:pStyle w:val="Footer"/>
    </w:pPr>
    <w:r w:rsidRPr="005C1A9B">
      <w:rPr>
        <w:rStyle w:val="PageNumber"/>
        <w:rFonts w:ascii="Arial" w:hAnsi="Arial" w:cs="Arial"/>
        <w:i/>
      </w:rPr>
      <w:t>Agenţia pentru Protecţia Mediului Vaslui</w:t>
    </w:r>
    <w:r>
      <w:rPr>
        <w:rStyle w:val="PageNumber"/>
        <w:rFonts w:ascii="Arial" w:hAnsi="Arial" w:cs="Arial"/>
        <w:i/>
      </w:rPr>
      <w:t xml:space="preserve">                                                                       </w:t>
    </w:r>
    <w:r>
      <w:rPr>
        <w:rStyle w:val="PageNumber"/>
      </w:rPr>
      <w:fldChar w:fldCharType="begin"/>
    </w:r>
    <w:r>
      <w:rPr>
        <w:rStyle w:val="PageNumber"/>
      </w:rPr>
      <w:instrText xml:space="preserve">PAGE  </w:instrText>
    </w:r>
    <w:r>
      <w:rPr>
        <w:rStyle w:val="PageNumber"/>
      </w:rPr>
      <w:fldChar w:fldCharType="separate"/>
    </w:r>
    <w:r>
      <w:rPr>
        <w:rStyle w:val="PageNumber"/>
        <w:noProof/>
      </w:rPr>
      <w:t>139</w:t>
    </w:r>
    <w:r>
      <w:rPr>
        <w:rStyle w:val="PageNumber"/>
      </w:rPr>
      <w:fldChar w:fldCharType="end"/>
    </w:r>
  </w:p>
  <w:p w:rsidR="002A2821" w:rsidRPr="005C1A9B" w:rsidRDefault="002A2821" w:rsidP="00080B9C">
    <w:pPr>
      <w:pStyle w:val="Footer"/>
      <w:ind w:right="360"/>
      <w:rPr>
        <w:rFonts w:ascii="Arial" w:hAnsi="Arial" w:cs="Arial"/>
      </w:rPr>
    </w:pPr>
  </w:p>
  <w:p w:rsidR="002A2821" w:rsidRDefault="002A2821" w:rsidP="00080B9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821" w:rsidRDefault="002A2821" w:rsidP="00080B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A2821" w:rsidRDefault="002A2821" w:rsidP="00080B9C">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821" w:rsidRPr="00953EA5" w:rsidRDefault="002A2821" w:rsidP="00B3396D">
    <w:pPr>
      <w:pStyle w:val="Footer"/>
      <w:rPr>
        <w:rFonts w:ascii="Arial" w:hAnsi="Arial" w:cs="Arial"/>
        <w:i/>
        <w:sz w:val="24"/>
        <w:szCs w:val="24"/>
      </w:rPr>
    </w:pPr>
    <w:r w:rsidRPr="00953EA5">
      <w:rPr>
        <w:rFonts w:ascii="Arial" w:hAnsi="Arial" w:cs="Arial"/>
        <w:i/>
        <w:sz w:val="24"/>
        <w:szCs w:val="24"/>
      </w:rPr>
      <w:t>Agenţia pentru Protecţia Mediului Vaslui</w:t>
    </w:r>
  </w:p>
  <w:p w:rsidR="002A2821" w:rsidRPr="00B3396D" w:rsidRDefault="002A2821" w:rsidP="00B3396D">
    <w:pPr>
      <w:pStyle w:val="Footer"/>
      <w:tabs>
        <w:tab w:val="left" w:pos="945"/>
        <w:tab w:val="right" w:pos="13572"/>
      </w:tabs>
      <w:rPr>
        <w:rFonts w:ascii="Arial" w:hAnsi="Arial" w:cs="Arial"/>
        <w:sz w:val="24"/>
        <w:szCs w:val="24"/>
      </w:rPr>
    </w:pPr>
    <w:r>
      <w:tab/>
    </w:r>
    <w:r>
      <w:tab/>
    </w:r>
    <w:r>
      <w:tab/>
    </w:r>
    <w:r w:rsidRPr="00B3396D">
      <w:rPr>
        <w:rFonts w:ascii="Arial" w:hAnsi="Arial" w:cs="Arial"/>
        <w:sz w:val="24"/>
        <w:szCs w:val="24"/>
      </w:rPr>
      <w:fldChar w:fldCharType="begin"/>
    </w:r>
    <w:r w:rsidRPr="00B3396D">
      <w:rPr>
        <w:rFonts w:ascii="Arial" w:hAnsi="Arial" w:cs="Arial"/>
        <w:sz w:val="24"/>
        <w:szCs w:val="24"/>
      </w:rPr>
      <w:instrText xml:space="preserve"> PAGE   \* MERGEFORMAT </w:instrText>
    </w:r>
    <w:r w:rsidRPr="00B3396D">
      <w:rPr>
        <w:rFonts w:ascii="Arial" w:hAnsi="Arial" w:cs="Arial"/>
        <w:sz w:val="24"/>
        <w:szCs w:val="24"/>
      </w:rPr>
      <w:fldChar w:fldCharType="separate"/>
    </w:r>
    <w:r w:rsidR="00933951">
      <w:rPr>
        <w:rFonts w:ascii="Arial" w:hAnsi="Arial" w:cs="Arial"/>
        <w:noProof/>
        <w:sz w:val="24"/>
        <w:szCs w:val="24"/>
      </w:rPr>
      <w:t>66</w:t>
    </w:r>
    <w:r w:rsidRPr="00B3396D">
      <w:rPr>
        <w:rFonts w:ascii="Arial" w:hAnsi="Arial" w:cs="Arial"/>
        <w:noProof/>
        <w:sz w:val="24"/>
        <w:szCs w:val="24"/>
      </w:rPr>
      <w:fldChar w:fldCharType="end"/>
    </w:r>
  </w:p>
  <w:p w:rsidR="002A2821" w:rsidRPr="00CE30A2" w:rsidRDefault="002A2821" w:rsidP="00080B9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8785317"/>
      <w:docPartObj>
        <w:docPartGallery w:val="Page Numbers (Bottom of Page)"/>
        <w:docPartUnique/>
      </w:docPartObj>
    </w:sdtPr>
    <w:sdtEndPr>
      <w:rPr>
        <w:rFonts w:ascii="Arial" w:hAnsi="Arial" w:cs="Arial"/>
        <w:noProof/>
        <w:sz w:val="24"/>
        <w:szCs w:val="24"/>
      </w:rPr>
    </w:sdtEndPr>
    <w:sdtContent>
      <w:p w:rsidR="002A2821" w:rsidRPr="00B3396D" w:rsidRDefault="002A2821">
        <w:pPr>
          <w:pStyle w:val="Footer"/>
          <w:jc w:val="right"/>
          <w:rPr>
            <w:rFonts w:ascii="Arial" w:hAnsi="Arial" w:cs="Arial"/>
            <w:sz w:val="24"/>
            <w:szCs w:val="24"/>
          </w:rPr>
        </w:pPr>
        <w:r w:rsidRPr="00B3396D">
          <w:rPr>
            <w:rFonts w:ascii="Arial" w:hAnsi="Arial" w:cs="Arial"/>
            <w:sz w:val="24"/>
            <w:szCs w:val="24"/>
          </w:rPr>
          <w:fldChar w:fldCharType="begin"/>
        </w:r>
        <w:r w:rsidRPr="00B3396D">
          <w:rPr>
            <w:rFonts w:ascii="Arial" w:hAnsi="Arial" w:cs="Arial"/>
            <w:sz w:val="24"/>
            <w:szCs w:val="24"/>
          </w:rPr>
          <w:instrText xml:space="preserve"> PAGE   \* MERGEFORMAT </w:instrText>
        </w:r>
        <w:r w:rsidRPr="00B3396D">
          <w:rPr>
            <w:rFonts w:ascii="Arial" w:hAnsi="Arial" w:cs="Arial"/>
            <w:sz w:val="24"/>
            <w:szCs w:val="24"/>
          </w:rPr>
          <w:fldChar w:fldCharType="separate"/>
        </w:r>
        <w:r w:rsidR="00933951">
          <w:rPr>
            <w:rFonts w:ascii="Arial" w:hAnsi="Arial" w:cs="Arial"/>
            <w:noProof/>
            <w:sz w:val="24"/>
            <w:szCs w:val="24"/>
          </w:rPr>
          <w:t>94</w:t>
        </w:r>
        <w:r w:rsidRPr="00B3396D">
          <w:rPr>
            <w:rFonts w:ascii="Arial" w:hAnsi="Arial" w:cs="Arial"/>
            <w:noProof/>
            <w:sz w:val="24"/>
            <w:szCs w:val="24"/>
          </w:rPr>
          <w:fldChar w:fldCharType="end"/>
        </w:r>
      </w:p>
    </w:sdtContent>
  </w:sdt>
  <w:p w:rsidR="002A2821" w:rsidRPr="00953EA5" w:rsidRDefault="002A2821">
    <w:pPr>
      <w:pStyle w:val="Footer"/>
      <w:rPr>
        <w:rFonts w:ascii="Arial" w:hAnsi="Arial" w:cs="Arial"/>
        <w:i/>
        <w:sz w:val="24"/>
        <w:szCs w:val="24"/>
      </w:rPr>
    </w:pPr>
    <w:r w:rsidRPr="00953EA5">
      <w:rPr>
        <w:rFonts w:ascii="Arial" w:hAnsi="Arial" w:cs="Arial"/>
        <w:i/>
        <w:sz w:val="24"/>
        <w:szCs w:val="24"/>
      </w:rPr>
      <w:t>Agenţia pentru Protecţia Mediului Vaslui</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8809800"/>
      <w:docPartObj>
        <w:docPartGallery w:val="Page Numbers (Bottom of Page)"/>
        <w:docPartUnique/>
      </w:docPartObj>
    </w:sdtPr>
    <w:sdtEndPr>
      <w:rPr>
        <w:rFonts w:ascii="Arial" w:hAnsi="Arial" w:cs="Arial"/>
        <w:noProof/>
        <w:sz w:val="24"/>
        <w:szCs w:val="24"/>
      </w:rPr>
    </w:sdtEndPr>
    <w:sdtContent>
      <w:p w:rsidR="002A2821" w:rsidRPr="00953EA5" w:rsidRDefault="002A2821" w:rsidP="00006A97">
        <w:pPr>
          <w:pStyle w:val="Footer"/>
          <w:rPr>
            <w:rFonts w:ascii="Arial" w:hAnsi="Arial" w:cs="Arial"/>
            <w:i/>
            <w:sz w:val="24"/>
            <w:szCs w:val="24"/>
          </w:rPr>
        </w:pPr>
        <w:r w:rsidRPr="00953EA5">
          <w:rPr>
            <w:rFonts w:ascii="Arial" w:hAnsi="Arial" w:cs="Arial"/>
            <w:i/>
            <w:sz w:val="24"/>
            <w:szCs w:val="24"/>
          </w:rPr>
          <w:t>Agenţia pentru Protecţia Mediului Vaslui</w:t>
        </w:r>
      </w:p>
      <w:p w:rsidR="002A2821" w:rsidRPr="00444864" w:rsidRDefault="002A2821">
        <w:pPr>
          <w:pStyle w:val="Footer"/>
          <w:jc w:val="right"/>
          <w:rPr>
            <w:rFonts w:ascii="Arial" w:hAnsi="Arial" w:cs="Arial"/>
            <w:sz w:val="24"/>
            <w:szCs w:val="24"/>
          </w:rPr>
        </w:pPr>
        <w:r w:rsidRPr="00444864">
          <w:rPr>
            <w:rFonts w:ascii="Arial" w:hAnsi="Arial" w:cs="Arial"/>
            <w:sz w:val="24"/>
            <w:szCs w:val="24"/>
          </w:rPr>
          <w:fldChar w:fldCharType="begin"/>
        </w:r>
        <w:r w:rsidRPr="00444864">
          <w:rPr>
            <w:rFonts w:ascii="Arial" w:hAnsi="Arial" w:cs="Arial"/>
            <w:sz w:val="24"/>
            <w:szCs w:val="24"/>
          </w:rPr>
          <w:instrText xml:space="preserve"> PAGE   \* MERGEFORMAT </w:instrText>
        </w:r>
        <w:r w:rsidRPr="00444864">
          <w:rPr>
            <w:rFonts w:ascii="Arial" w:hAnsi="Arial" w:cs="Arial"/>
            <w:sz w:val="24"/>
            <w:szCs w:val="24"/>
          </w:rPr>
          <w:fldChar w:fldCharType="separate"/>
        </w:r>
        <w:r w:rsidR="00933951">
          <w:rPr>
            <w:rFonts w:ascii="Arial" w:hAnsi="Arial" w:cs="Arial"/>
            <w:noProof/>
            <w:sz w:val="24"/>
            <w:szCs w:val="24"/>
          </w:rPr>
          <w:t>169</w:t>
        </w:r>
        <w:r w:rsidRPr="00444864">
          <w:rPr>
            <w:rFonts w:ascii="Arial" w:hAnsi="Arial" w:cs="Arial"/>
            <w:noProof/>
            <w:sz w:val="24"/>
            <w:szCs w:val="24"/>
          </w:rPr>
          <w:fldChar w:fldCharType="end"/>
        </w:r>
      </w:p>
    </w:sdtContent>
  </w:sdt>
  <w:p w:rsidR="002A2821" w:rsidRPr="000C0DB7" w:rsidRDefault="002A2821">
    <w:pPr>
      <w:pStyle w:val="Footer"/>
      <w:rPr>
        <w:rFonts w:ascii="Arial" w:hAnsi="Arial" w:cs="Arial"/>
        <w:i/>
        <w:sz w:val="24"/>
        <w:szCs w:val="24"/>
        <w:lang w:val="ro-R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452B" w:rsidRDefault="00B3452B" w:rsidP="00F2046E">
      <w:pPr>
        <w:spacing w:after="0" w:line="240" w:lineRule="auto"/>
      </w:pPr>
      <w:r>
        <w:separator/>
      </w:r>
    </w:p>
  </w:footnote>
  <w:footnote w:type="continuationSeparator" w:id="0">
    <w:p w:rsidR="00B3452B" w:rsidRDefault="00B3452B" w:rsidP="00F204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821" w:rsidRPr="008B7C14" w:rsidRDefault="002A2821" w:rsidP="00080B9C">
    <w:pPr>
      <w:pStyle w:val="Header"/>
      <w:rPr>
        <w:rFonts w:ascii="Arial" w:eastAsia="Calibri" w:hAnsi="Arial" w:cs="Arial"/>
      </w:rPr>
    </w:pPr>
    <w:r w:rsidRPr="008B7C14">
      <w:rPr>
        <w:rFonts w:ascii="Arial" w:eastAsia="Calibri" w:hAnsi="Arial" w:cs="Arial"/>
        <w:i/>
        <w:u w:val="single"/>
      </w:rPr>
      <w:t>Raport judeţean privind starea mediului pentru anul 201</w:t>
    </w:r>
    <w:r>
      <w:rPr>
        <w:rFonts w:ascii="Arial" w:eastAsia="Calibri" w:hAnsi="Arial" w:cs="Arial"/>
        <w:i/>
        <w:u w:val="single"/>
      </w:rPr>
      <w:t>5</w:t>
    </w:r>
    <w:r w:rsidRPr="008B7C14">
      <w:rPr>
        <w:rFonts w:ascii="Arial" w:eastAsia="Calibri" w:hAnsi="Arial" w:cs="Arial"/>
      </w:rPr>
      <w:t xml:space="preserve">                  </w:t>
    </w:r>
  </w:p>
  <w:p w:rsidR="002A2821" w:rsidRPr="008B7C14" w:rsidRDefault="002A2821">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821" w:rsidRPr="007D450B" w:rsidRDefault="002A2821" w:rsidP="00080B9C">
    <w:pPr>
      <w:pStyle w:val="Header"/>
      <w:rPr>
        <w:rFonts w:ascii="Arial" w:hAnsi="Arial" w:cs="Arial"/>
      </w:rPr>
    </w:pPr>
    <w:r w:rsidRPr="007D450B">
      <w:rPr>
        <w:rFonts w:ascii="Arial" w:hAnsi="Arial" w:cs="Arial"/>
        <w:i/>
        <w:u w:val="single"/>
      </w:rPr>
      <w:t xml:space="preserve">Raport anual privind starea mediului în judeţul Vaslui </w:t>
    </w:r>
    <w:r>
      <w:rPr>
        <w:rFonts w:ascii="Arial" w:hAnsi="Arial" w:cs="Arial"/>
        <w:i/>
        <w:u w:val="single"/>
      </w:rPr>
      <w:t>pentru anul 2013</w:t>
    </w:r>
    <w:r w:rsidRPr="007D450B">
      <w:rPr>
        <w:rFonts w:ascii="Arial" w:hAnsi="Arial" w:cs="Arial"/>
        <w:i/>
        <w:u w:val="single"/>
      </w:rPr>
      <w:t xml:space="preserve"> </w:t>
    </w:r>
    <w:r w:rsidRPr="007D450B">
      <w:rPr>
        <w:rFonts w:ascii="Arial" w:hAnsi="Arial" w:cs="Arial"/>
      </w:rPr>
      <w:t xml:space="preserve">                        </w:t>
    </w:r>
  </w:p>
  <w:p w:rsidR="002A2821" w:rsidRDefault="002A282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821" w:rsidRPr="00746A41" w:rsidRDefault="002A2821" w:rsidP="002403BF">
    <w:pPr>
      <w:pStyle w:val="Header"/>
      <w:rPr>
        <w:rFonts w:ascii="Arial" w:eastAsia="Calibri" w:hAnsi="Arial" w:cs="Arial"/>
        <w:sz w:val="24"/>
        <w:szCs w:val="24"/>
      </w:rPr>
    </w:pPr>
    <w:r w:rsidRPr="00746A41">
      <w:rPr>
        <w:rFonts w:ascii="Arial" w:eastAsia="Calibri" w:hAnsi="Arial" w:cs="Arial"/>
        <w:i/>
        <w:sz w:val="24"/>
        <w:szCs w:val="24"/>
        <w:u w:val="single"/>
      </w:rPr>
      <w:t xml:space="preserve">Raport judeţean privind </w:t>
    </w:r>
    <w:r>
      <w:rPr>
        <w:rFonts w:ascii="Arial" w:eastAsia="Calibri" w:hAnsi="Arial" w:cs="Arial"/>
        <w:i/>
        <w:sz w:val="24"/>
        <w:szCs w:val="24"/>
        <w:u w:val="single"/>
      </w:rPr>
      <w:t>starea mediului pentru anul 2015</w:t>
    </w:r>
    <w:r w:rsidRPr="00746A41">
      <w:rPr>
        <w:rFonts w:ascii="Arial" w:eastAsia="Calibri" w:hAnsi="Arial" w:cs="Arial"/>
        <w:sz w:val="24"/>
        <w:szCs w:val="24"/>
      </w:rPr>
      <w:t xml:space="preserve">                  </w:t>
    </w:r>
  </w:p>
  <w:p w:rsidR="002A2821" w:rsidRPr="00746A41" w:rsidRDefault="002A2821">
    <w:pPr>
      <w:pStyle w:val="Header"/>
      <w:rPr>
        <w:rFonts w:ascii="Arial" w:hAnsi="Arial" w:cs="Aria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821" w:rsidRPr="0025071D" w:rsidRDefault="002A2821" w:rsidP="0025071D">
    <w:pPr>
      <w:pStyle w:val="Header"/>
      <w:rPr>
        <w:rFonts w:ascii="Arial" w:hAnsi="Arial" w:cs="Arial"/>
        <w:i/>
        <w:lang w:val="ro-RO"/>
      </w:rPr>
    </w:pPr>
    <w:r w:rsidRPr="0025071D">
      <w:rPr>
        <w:rFonts w:ascii="Arial" w:hAnsi="Arial" w:cs="Arial"/>
        <w:i/>
        <w:lang w:val="ro-RO"/>
      </w:rPr>
      <w:t>Raport anual privind starea mediului în judeţul Vaslui - 2015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101F3"/>
    <w:multiLevelType w:val="hybridMultilevel"/>
    <w:tmpl w:val="118C8E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9F4A88"/>
    <w:multiLevelType w:val="hybridMultilevel"/>
    <w:tmpl w:val="532C52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4C4D2A"/>
    <w:multiLevelType w:val="hybridMultilevel"/>
    <w:tmpl w:val="19E826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793972"/>
    <w:multiLevelType w:val="hybridMultilevel"/>
    <w:tmpl w:val="0DB42132"/>
    <w:lvl w:ilvl="0" w:tplc="0409000B">
      <w:start w:val="1"/>
      <w:numFmt w:val="bullet"/>
      <w:lvlText w:val=""/>
      <w:lvlJc w:val="left"/>
      <w:pPr>
        <w:tabs>
          <w:tab w:val="num" w:pos="1428"/>
        </w:tabs>
        <w:ind w:left="1428" w:hanging="360"/>
      </w:pPr>
      <w:rPr>
        <w:rFonts w:ascii="Wingdings" w:hAnsi="Wingdings" w:hint="default"/>
      </w:rPr>
    </w:lvl>
    <w:lvl w:ilvl="1" w:tplc="0409000F">
      <w:start w:val="1"/>
      <w:numFmt w:val="decimal"/>
      <w:lvlText w:val="%2."/>
      <w:lvlJc w:val="left"/>
      <w:pPr>
        <w:tabs>
          <w:tab w:val="num" w:pos="2148"/>
        </w:tabs>
        <w:ind w:left="2148" w:hanging="360"/>
      </w:pPr>
      <w:rPr>
        <w:rFonts w:hint="default"/>
      </w:rPr>
    </w:lvl>
    <w:lvl w:ilvl="2" w:tplc="0409000B">
      <w:start w:val="1"/>
      <w:numFmt w:val="bullet"/>
      <w:lvlText w:val=""/>
      <w:lvlJc w:val="left"/>
      <w:pPr>
        <w:tabs>
          <w:tab w:val="num" w:pos="2868"/>
        </w:tabs>
        <w:ind w:left="2868" w:hanging="360"/>
      </w:pPr>
      <w:rPr>
        <w:rFonts w:ascii="Wingdings" w:hAnsi="Wingdings" w:hint="default"/>
      </w:rPr>
    </w:lvl>
    <w:lvl w:ilvl="3" w:tplc="C52E29B0">
      <w:start w:val="1"/>
      <w:numFmt w:val="lowerLetter"/>
      <w:lvlText w:val="%4)"/>
      <w:lvlJc w:val="left"/>
      <w:pPr>
        <w:tabs>
          <w:tab w:val="num" w:pos="3588"/>
        </w:tabs>
        <w:ind w:left="3588" w:hanging="360"/>
      </w:pPr>
      <w:rPr>
        <w:rFonts w:hint="default"/>
      </w:rPr>
    </w:lvl>
    <w:lvl w:ilvl="4" w:tplc="04090003" w:tentative="1">
      <w:start w:val="1"/>
      <w:numFmt w:val="bullet"/>
      <w:lvlText w:val="o"/>
      <w:lvlJc w:val="left"/>
      <w:pPr>
        <w:tabs>
          <w:tab w:val="num" w:pos="4308"/>
        </w:tabs>
        <w:ind w:left="4308" w:hanging="360"/>
      </w:pPr>
      <w:rPr>
        <w:rFonts w:ascii="Courier New" w:hAnsi="Courier New" w:cs="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cs="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4">
    <w:nsid w:val="08C657E1"/>
    <w:multiLevelType w:val="hybridMultilevel"/>
    <w:tmpl w:val="C0E822F6"/>
    <w:lvl w:ilvl="0" w:tplc="A0B6068E">
      <w:start w:val="8"/>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A35BFE"/>
    <w:multiLevelType w:val="hybridMultilevel"/>
    <w:tmpl w:val="C04CC530"/>
    <w:lvl w:ilvl="0" w:tplc="04090001">
      <w:start w:val="1"/>
      <w:numFmt w:val="bullet"/>
      <w:lvlText w:val=""/>
      <w:lvlJc w:val="left"/>
      <w:pPr>
        <w:ind w:left="1406" w:hanging="360"/>
      </w:pPr>
      <w:rPr>
        <w:rFonts w:ascii="Symbol" w:hAnsi="Symbol" w:hint="default"/>
      </w:rPr>
    </w:lvl>
    <w:lvl w:ilvl="1" w:tplc="04090003" w:tentative="1">
      <w:start w:val="1"/>
      <w:numFmt w:val="bullet"/>
      <w:lvlText w:val="o"/>
      <w:lvlJc w:val="left"/>
      <w:pPr>
        <w:ind w:left="2126" w:hanging="360"/>
      </w:pPr>
      <w:rPr>
        <w:rFonts w:ascii="Courier New" w:hAnsi="Courier New" w:cs="Courier New" w:hint="default"/>
      </w:rPr>
    </w:lvl>
    <w:lvl w:ilvl="2" w:tplc="04090005" w:tentative="1">
      <w:start w:val="1"/>
      <w:numFmt w:val="bullet"/>
      <w:lvlText w:val=""/>
      <w:lvlJc w:val="left"/>
      <w:pPr>
        <w:ind w:left="2846" w:hanging="360"/>
      </w:pPr>
      <w:rPr>
        <w:rFonts w:ascii="Wingdings" w:hAnsi="Wingdings" w:hint="default"/>
      </w:rPr>
    </w:lvl>
    <w:lvl w:ilvl="3" w:tplc="04090001" w:tentative="1">
      <w:start w:val="1"/>
      <w:numFmt w:val="bullet"/>
      <w:lvlText w:val=""/>
      <w:lvlJc w:val="left"/>
      <w:pPr>
        <w:ind w:left="3566" w:hanging="360"/>
      </w:pPr>
      <w:rPr>
        <w:rFonts w:ascii="Symbol" w:hAnsi="Symbol" w:hint="default"/>
      </w:rPr>
    </w:lvl>
    <w:lvl w:ilvl="4" w:tplc="04090003" w:tentative="1">
      <w:start w:val="1"/>
      <w:numFmt w:val="bullet"/>
      <w:lvlText w:val="o"/>
      <w:lvlJc w:val="left"/>
      <w:pPr>
        <w:ind w:left="4286" w:hanging="360"/>
      </w:pPr>
      <w:rPr>
        <w:rFonts w:ascii="Courier New" w:hAnsi="Courier New" w:cs="Courier New" w:hint="default"/>
      </w:rPr>
    </w:lvl>
    <w:lvl w:ilvl="5" w:tplc="04090005" w:tentative="1">
      <w:start w:val="1"/>
      <w:numFmt w:val="bullet"/>
      <w:lvlText w:val=""/>
      <w:lvlJc w:val="left"/>
      <w:pPr>
        <w:ind w:left="5006" w:hanging="360"/>
      </w:pPr>
      <w:rPr>
        <w:rFonts w:ascii="Wingdings" w:hAnsi="Wingdings" w:hint="default"/>
      </w:rPr>
    </w:lvl>
    <w:lvl w:ilvl="6" w:tplc="04090001" w:tentative="1">
      <w:start w:val="1"/>
      <w:numFmt w:val="bullet"/>
      <w:lvlText w:val=""/>
      <w:lvlJc w:val="left"/>
      <w:pPr>
        <w:ind w:left="5726" w:hanging="360"/>
      </w:pPr>
      <w:rPr>
        <w:rFonts w:ascii="Symbol" w:hAnsi="Symbol" w:hint="default"/>
      </w:rPr>
    </w:lvl>
    <w:lvl w:ilvl="7" w:tplc="04090003" w:tentative="1">
      <w:start w:val="1"/>
      <w:numFmt w:val="bullet"/>
      <w:lvlText w:val="o"/>
      <w:lvlJc w:val="left"/>
      <w:pPr>
        <w:ind w:left="6446" w:hanging="360"/>
      </w:pPr>
      <w:rPr>
        <w:rFonts w:ascii="Courier New" w:hAnsi="Courier New" w:cs="Courier New" w:hint="default"/>
      </w:rPr>
    </w:lvl>
    <w:lvl w:ilvl="8" w:tplc="04090005" w:tentative="1">
      <w:start w:val="1"/>
      <w:numFmt w:val="bullet"/>
      <w:lvlText w:val=""/>
      <w:lvlJc w:val="left"/>
      <w:pPr>
        <w:ind w:left="7166" w:hanging="360"/>
      </w:pPr>
      <w:rPr>
        <w:rFonts w:ascii="Wingdings" w:hAnsi="Wingdings" w:hint="default"/>
      </w:rPr>
    </w:lvl>
  </w:abstractNum>
  <w:abstractNum w:abstractNumId="6">
    <w:nsid w:val="10624100"/>
    <w:multiLevelType w:val="hybridMultilevel"/>
    <w:tmpl w:val="C1686A5C"/>
    <w:lvl w:ilvl="0" w:tplc="7D5CCEC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052065"/>
    <w:multiLevelType w:val="hybridMultilevel"/>
    <w:tmpl w:val="38BE5894"/>
    <w:lvl w:ilvl="0" w:tplc="9664FC3C">
      <w:numFmt w:val="bullet"/>
      <w:lvlText w:val="-"/>
      <w:lvlJc w:val="left"/>
      <w:pPr>
        <w:tabs>
          <w:tab w:val="num" w:pos="420"/>
        </w:tabs>
        <w:ind w:left="420" w:hanging="360"/>
      </w:pPr>
      <w:rPr>
        <w:rFonts w:ascii="Arial" w:eastAsia="Times New Roman" w:hAnsi="Arial" w:cs="Arial"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8">
    <w:nsid w:val="1D340AAD"/>
    <w:multiLevelType w:val="multilevel"/>
    <w:tmpl w:val="2474DE34"/>
    <w:lvl w:ilvl="0">
      <w:start w:val="1"/>
      <w:numFmt w:val="upperRoman"/>
      <w:lvlText w:val=" %1. "/>
      <w:lvlJc w:val="left"/>
      <w:pPr>
        <w:tabs>
          <w:tab w:val="num" w:pos="0"/>
        </w:tabs>
        <w:ind w:left="735" w:hanging="735"/>
      </w:pPr>
      <w:rPr>
        <w:rFonts w:cs="Times New Roman" w:hint="default"/>
        <w:b/>
        <w:i w:val="0"/>
        <w:caps w:val="0"/>
        <w:strike w:val="0"/>
        <w:dstrike w:val="0"/>
        <w:vanish w:val="0"/>
        <w:color w:val="000000"/>
        <w:sz w:val="26"/>
        <w:szCs w:val="26"/>
        <w:vertAlign w:val="baseline"/>
      </w:rPr>
    </w:lvl>
    <w:lvl w:ilvl="1">
      <w:start w:val="1"/>
      <w:numFmt w:val="decimal"/>
      <w:suff w:val="space"/>
      <w:lvlText w:val="%1.%2."/>
      <w:lvlJc w:val="left"/>
      <w:pPr>
        <w:ind w:left="737" w:hanging="624"/>
      </w:pPr>
      <w:rPr>
        <w:rFonts w:cs="Times New Roman" w:hint="default"/>
        <w:sz w:val="22"/>
      </w:rPr>
    </w:lvl>
    <w:lvl w:ilvl="2">
      <w:start w:val="1"/>
      <w:numFmt w:val="decimal"/>
      <w:lvlText w:val="%1.%2.%3."/>
      <w:lvlJc w:val="left"/>
      <w:pPr>
        <w:tabs>
          <w:tab w:val="num" w:pos="540"/>
        </w:tabs>
        <w:ind w:left="1107" w:hanging="397"/>
      </w:pPr>
      <w:rPr>
        <w:rFonts w:cs="Times New Roman" w:hint="default"/>
        <w:b/>
        <w:sz w:val="20"/>
      </w:rPr>
    </w:lvl>
    <w:lvl w:ilvl="3">
      <w:start w:val="1"/>
      <w:numFmt w:val="decimal"/>
      <w:lvlText w:val="%1.%2.%3.%4."/>
      <w:lvlJc w:val="left"/>
      <w:pPr>
        <w:tabs>
          <w:tab w:val="num" w:pos="1931"/>
        </w:tabs>
        <w:ind w:left="1931" w:hanging="1080"/>
      </w:pPr>
      <w:rPr>
        <w:rFonts w:cs="Times New Roman" w:hint="default"/>
        <w:b w:val="0"/>
        <w:sz w:val="20"/>
      </w:rPr>
    </w:lvl>
    <w:lvl w:ilvl="4">
      <w:start w:val="1"/>
      <w:numFmt w:val="decimal"/>
      <w:lvlText w:val="%1.%2.%3.%4.%5."/>
      <w:lvlJc w:val="left"/>
      <w:pPr>
        <w:tabs>
          <w:tab w:val="num" w:pos="1080"/>
        </w:tabs>
        <w:ind w:left="1080" w:hanging="1080"/>
      </w:pPr>
      <w:rPr>
        <w:rFonts w:cs="Times New Roman" w:hint="default"/>
        <w:sz w:val="20"/>
      </w:rPr>
    </w:lvl>
    <w:lvl w:ilvl="5">
      <w:start w:val="1"/>
      <w:numFmt w:val="decimal"/>
      <w:lvlText w:val="%1.%2.%3.%4.%5.%6."/>
      <w:lvlJc w:val="left"/>
      <w:pPr>
        <w:tabs>
          <w:tab w:val="num" w:pos="1440"/>
        </w:tabs>
        <w:ind w:left="1440" w:hanging="1440"/>
      </w:pPr>
      <w:rPr>
        <w:rFonts w:cs="Times New Roman" w:hint="default"/>
        <w:sz w:val="20"/>
      </w:rPr>
    </w:lvl>
    <w:lvl w:ilvl="6">
      <w:start w:val="1"/>
      <w:numFmt w:val="decimal"/>
      <w:lvlText w:val="%1.%2.%3.%4.%5.%6.%7."/>
      <w:lvlJc w:val="left"/>
      <w:pPr>
        <w:tabs>
          <w:tab w:val="num" w:pos="1800"/>
        </w:tabs>
        <w:ind w:left="1800" w:hanging="1800"/>
      </w:pPr>
      <w:rPr>
        <w:rFonts w:cs="Times New Roman" w:hint="default"/>
        <w:sz w:val="20"/>
      </w:rPr>
    </w:lvl>
    <w:lvl w:ilvl="7">
      <w:start w:val="1"/>
      <w:numFmt w:val="decimal"/>
      <w:lvlText w:val="%1.%2.%3.%4.%5.%6.%7.%8."/>
      <w:lvlJc w:val="left"/>
      <w:pPr>
        <w:tabs>
          <w:tab w:val="num" w:pos="1800"/>
        </w:tabs>
        <w:ind w:left="1800" w:hanging="1800"/>
      </w:pPr>
      <w:rPr>
        <w:rFonts w:cs="Times New Roman" w:hint="default"/>
        <w:sz w:val="20"/>
      </w:rPr>
    </w:lvl>
    <w:lvl w:ilvl="8">
      <w:start w:val="1"/>
      <w:numFmt w:val="decimal"/>
      <w:lvlText w:val="%1.%2.%3.%4.%5.%6.%7.%8.%9."/>
      <w:lvlJc w:val="left"/>
      <w:pPr>
        <w:tabs>
          <w:tab w:val="num" w:pos="2160"/>
        </w:tabs>
        <w:ind w:left="2160" w:hanging="2160"/>
      </w:pPr>
      <w:rPr>
        <w:rFonts w:cs="Times New Roman" w:hint="default"/>
        <w:sz w:val="20"/>
      </w:rPr>
    </w:lvl>
  </w:abstractNum>
  <w:abstractNum w:abstractNumId="9">
    <w:nsid w:val="21C40AEB"/>
    <w:multiLevelType w:val="hybridMultilevel"/>
    <w:tmpl w:val="09FC8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9C2498"/>
    <w:multiLevelType w:val="hybridMultilevel"/>
    <w:tmpl w:val="4EA442AC"/>
    <w:lvl w:ilvl="0" w:tplc="765C0F40">
      <w:start w:val="6"/>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3E6BC4"/>
    <w:multiLevelType w:val="hybridMultilevel"/>
    <w:tmpl w:val="93F8248C"/>
    <w:lvl w:ilvl="0" w:tplc="04180001">
      <w:start w:val="1"/>
      <w:numFmt w:val="bullet"/>
      <w:lvlText w:val=""/>
      <w:lvlJc w:val="left"/>
      <w:pPr>
        <w:ind w:left="780" w:hanging="360"/>
      </w:pPr>
      <w:rPr>
        <w:rFonts w:ascii="Symbol" w:hAnsi="Symbol"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12">
    <w:nsid w:val="26BF2DAD"/>
    <w:multiLevelType w:val="hybridMultilevel"/>
    <w:tmpl w:val="FED0012C"/>
    <w:lvl w:ilvl="0" w:tplc="2D50D5CE">
      <w:start w:val="1"/>
      <w:numFmt w:val="bullet"/>
      <w:pStyle w:val="RT3"/>
      <w:lvlText w:val=""/>
      <w:lvlJc w:val="left"/>
      <w:pPr>
        <w:tabs>
          <w:tab w:val="num" w:pos="666"/>
        </w:tabs>
        <w:ind w:left="700" w:hanging="340"/>
      </w:pPr>
      <w:rPr>
        <w:rFonts w:ascii="Wingdings" w:hAnsi="Wingdings" w:hint="default"/>
      </w:rPr>
    </w:lvl>
    <w:lvl w:ilvl="1" w:tplc="240646FE">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B9F346B"/>
    <w:multiLevelType w:val="hybridMultilevel"/>
    <w:tmpl w:val="403EFB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3159D3"/>
    <w:multiLevelType w:val="hybridMultilevel"/>
    <w:tmpl w:val="B8A2A5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6EE1172"/>
    <w:multiLevelType w:val="hybridMultilevel"/>
    <w:tmpl w:val="F05480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2556E5"/>
    <w:multiLevelType w:val="hybridMultilevel"/>
    <w:tmpl w:val="E38C2330"/>
    <w:lvl w:ilvl="0" w:tplc="5EEC22EA">
      <w:numFmt w:val="bullet"/>
      <w:lvlText w:val="-"/>
      <w:lvlJc w:val="left"/>
      <w:pPr>
        <w:ind w:left="720" w:hanging="360"/>
      </w:pPr>
      <w:rPr>
        <w:rFonts w:ascii="Arial" w:eastAsia="Calibri" w:hAnsi="Arial" w:cs="Arial"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E924C7"/>
    <w:multiLevelType w:val="hybridMultilevel"/>
    <w:tmpl w:val="389874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FD7172"/>
    <w:multiLevelType w:val="hybridMultilevel"/>
    <w:tmpl w:val="D58839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8C791B"/>
    <w:multiLevelType w:val="hybridMultilevel"/>
    <w:tmpl w:val="A12802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A46D9A"/>
    <w:multiLevelType w:val="hybridMultilevel"/>
    <w:tmpl w:val="01B24F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716C4B"/>
    <w:multiLevelType w:val="hybridMultilevel"/>
    <w:tmpl w:val="AD74AC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094549"/>
    <w:multiLevelType w:val="hybridMultilevel"/>
    <w:tmpl w:val="976EBC5A"/>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3">
    <w:nsid w:val="5869753D"/>
    <w:multiLevelType w:val="hybridMultilevel"/>
    <w:tmpl w:val="B0D20F04"/>
    <w:lvl w:ilvl="0" w:tplc="418AB63E">
      <w:start w:val="2"/>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21605B"/>
    <w:multiLevelType w:val="hybridMultilevel"/>
    <w:tmpl w:val="B02CFD5C"/>
    <w:lvl w:ilvl="0" w:tplc="9A4A8206">
      <w:start w:val="12"/>
      <w:numFmt w:val="bullet"/>
      <w:lvlText w:val="-"/>
      <w:lvlJc w:val="left"/>
      <w:pPr>
        <w:tabs>
          <w:tab w:val="num" w:pos="720"/>
        </w:tabs>
        <w:ind w:left="720" w:hanging="360"/>
      </w:pPr>
      <w:rPr>
        <w:rFonts w:ascii="Arial" w:eastAsia="Times New Roman" w:hAnsi="Arial" w:cs="Arial"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5">
    <w:nsid w:val="6D3B4954"/>
    <w:multiLevelType w:val="hybridMultilevel"/>
    <w:tmpl w:val="6AF49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4704C1C"/>
    <w:multiLevelType w:val="hybridMultilevel"/>
    <w:tmpl w:val="065662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56C101C"/>
    <w:multiLevelType w:val="hybridMultilevel"/>
    <w:tmpl w:val="72C6A0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77800D1"/>
    <w:multiLevelType w:val="singleLevel"/>
    <w:tmpl w:val="F12001D4"/>
    <w:lvl w:ilvl="0">
      <w:start w:val="1"/>
      <w:numFmt w:val="bullet"/>
      <w:pStyle w:val="ELISEBODYTEXT1"/>
      <w:lvlText w:val=""/>
      <w:lvlJc w:val="left"/>
      <w:pPr>
        <w:tabs>
          <w:tab w:val="num" w:pos="737"/>
        </w:tabs>
        <w:ind w:left="737" w:hanging="397"/>
      </w:pPr>
      <w:rPr>
        <w:rFonts w:ascii="Symbol" w:hAnsi="Symbol" w:hint="default"/>
      </w:rPr>
    </w:lvl>
  </w:abstractNum>
  <w:abstractNum w:abstractNumId="29">
    <w:nsid w:val="7A171B11"/>
    <w:multiLevelType w:val="hybridMultilevel"/>
    <w:tmpl w:val="966E9F52"/>
    <w:lvl w:ilvl="0" w:tplc="04180001">
      <w:start w:val="1"/>
      <w:numFmt w:val="bullet"/>
      <w:lvlText w:val=""/>
      <w:lvlJc w:val="left"/>
      <w:pPr>
        <w:ind w:left="1095" w:hanging="360"/>
      </w:pPr>
      <w:rPr>
        <w:rFonts w:ascii="Symbol" w:hAnsi="Symbol" w:hint="default"/>
      </w:rPr>
    </w:lvl>
    <w:lvl w:ilvl="1" w:tplc="04180003" w:tentative="1">
      <w:start w:val="1"/>
      <w:numFmt w:val="bullet"/>
      <w:lvlText w:val="o"/>
      <w:lvlJc w:val="left"/>
      <w:pPr>
        <w:ind w:left="1815" w:hanging="360"/>
      </w:pPr>
      <w:rPr>
        <w:rFonts w:ascii="Courier New" w:hAnsi="Courier New" w:cs="Courier New" w:hint="default"/>
      </w:rPr>
    </w:lvl>
    <w:lvl w:ilvl="2" w:tplc="04180005" w:tentative="1">
      <w:start w:val="1"/>
      <w:numFmt w:val="bullet"/>
      <w:lvlText w:val=""/>
      <w:lvlJc w:val="left"/>
      <w:pPr>
        <w:ind w:left="2535" w:hanging="360"/>
      </w:pPr>
      <w:rPr>
        <w:rFonts w:ascii="Wingdings" w:hAnsi="Wingdings" w:hint="default"/>
      </w:rPr>
    </w:lvl>
    <w:lvl w:ilvl="3" w:tplc="04180001" w:tentative="1">
      <w:start w:val="1"/>
      <w:numFmt w:val="bullet"/>
      <w:lvlText w:val=""/>
      <w:lvlJc w:val="left"/>
      <w:pPr>
        <w:ind w:left="3255" w:hanging="360"/>
      </w:pPr>
      <w:rPr>
        <w:rFonts w:ascii="Symbol" w:hAnsi="Symbol" w:hint="default"/>
      </w:rPr>
    </w:lvl>
    <w:lvl w:ilvl="4" w:tplc="04180003" w:tentative="1">
      <w:start w:val="1"/>
      <w:numFmt w:val="bullet"/>
      <w:lvlText w:val="o"/>
      <w:lvlJc w:val="left"/>
      <w:pPr>
        <w:ind w:left="3975" w:hanging="360"/>
      </w:pPr>
      <w:rPr>
        <w:rFonts w:ascii="Courier New" w:hAnsi="Courier New" w:cs="Courier New" w:hint="default"/>
      </w:rPr>
    </w:lvl>
    <w:lvl w:ilvl="5" w:tplc="04180005" w:tentative="1">
      <w:start w:val="1"/>
      <w:numFmt w:val="bullet"/>
      <w:lvlText w:val=""/>
      <w:lvlJc w:val="left"/>
      <w:pPr>
        <w:ind w:left="4695" w:hanging="360"/>
      </w:pPr>
      <w:rPr>
        <w:rFonts w:ascii="Wingdings" w:hAnsi="Wingdings" w:hint="default"/>
      </w:rPr>
    </w:lvl>
    <w:lvl w:ilvl="6" w:tplc="04180001" w:tentative="1">
      <w:start w:val="1"/>
      <w:numFmt w:val="bullet"/>
      <w:lvlText w:val=""/>
      <w:lvlJc w:val="left"/>
      <w:pPr>
        <w:ind w:left="5415" w:hanging="360"/>
      </w:pPr>
      <w:rPr>
        <w:rFonts w:ascii="Symbol" w:hAnsi="Symbol" w:hint="default"/>
      </w:rPr>
    </w:lvl>
    <w:lvl w:ilvl="7" w:tplc="04180003" w:tentative="1">
      <w:start w:val="1"/>
      <w:numFmt w:val="bullet"/>
      <w:lvlText w:val="o"/>
      <w:lvlJc w:val="left"/>
      <w:pPr>
        <w:ind w:left="6135" w:hanging="360"/>
      </w:pPr>
      <w:rPr>
        <w:rFonts w:ascii="Courier New" w:hAnsi="Courier New" w:cs="Courier New" w:hint="default"/>
      </w:rPr>
    </w:lvl>
    <w:lvl w:ilvl="8" w:tplc="04180005" w:tentative="1">
      <w:start w:val="1"/>
      <w:numFmt w:val="bullet"/>
      <w:lvlText w:val=""/>
      <w:lvlJc w:val="left"/>
      <w:pPr>
        <w:ind w:left="6855" w:hanging="360"/>
      </w:pPr>
      <w:rPr>
        <w:rFonts w:ascii="Wingdings" w:hAnsi="Wingdings" w:hint="default"/>
      </w:rPr>
    </w:lvl>
  </w:abstractNum>
  <w:abstractNum w:abstractNumId="30">
    <w:nsid w:val="7E652CE1"/>
    <w:multiLevelType w:val="hybridMultilevel"/>
    <w:tmpl w:val="2C04FC9A"/>
    <w:lvl w:ilvl="0" w:tplc="7090E404">
      <w:start w:val="17"/>
      <w:numFmt w:val="bullet"/>
      <w:lvlText w:val="-"/>
      <w:lvlJc w:val="left"/>
      <w:pPr>
        <w:ind w:left="1785" w:hanging="360"/>
      </w:pPr>
      <w:rPr>
        <w:rFonts w:ascii="Calibri" w:eastAsiaTheme="minorHAnsi" w:hAnsi="Calibri" w:cstheme="minorBidi" w:hint="default"/>
      </w:rPr>
    </w:lvl>
    <w:lvl w:ilvl="1" w:tplc="04090003" w:tentative="1">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31">
    <w:nsid w:val="7EE606CF"/>
    <w:multiLevelType w:val="hybridMultilevel"/>
    <w:tmpl w:val="84A8C41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8"/>
  </w:num>
  <w:num w:numId="3">
    <w:abstractNumId w:val="4"/>
  </w:num>
  <w:num w:numId="4">
    <w:abstractNumId w:val="3"/>
  </w:num>
  <w:num w:numId="5">
    <w:abstractNumId w:val="24"/>
  </w:num>
  <w:num w:numId="6">
    <w:abstractNumId w:val="31"/>
  </w:num>
  <w:num w:numId="7">
    <w:abstractNumId w:val="14"/>
  </w:num>
  <w:num w:numId="8">
    <w:abstractNumId w:val="29"/>
  </w:num>
  <w:num w:numId="9">
    <w:abstractNumId w:val="9"/>
  </w:num>
  <w:num w:numId="10">
    <w:abstractNumId w:val="12"/>
  </w:num>
  <w:num w:numId="11">
    <w:abstractNumId w:val="28"/>
  </w:num>
  <w:num w:numId="12">
    <w:abstractNumId w:val="1"/>
  </w:num>
  <w:num w:numId="13">
    <w:abstractNumId w:val="21"/>
  </w:num>
  <w:num w:numId="14">
    <w:abstractNumId w:val="13"/>
  </w:num>
  <w:num w:numId="15">
    <w:abstractNumId w:val="18"/>
  </w:num>
  <w:num w:numId="16">
    <w:abstractNumId w:val="10"/>
  </w:num>
  <w:num w:numId="17">
    <w:abstractNumId w:val="30"/>
  </w:num>
  <w:num w:numId="18">
    <w:abstractNumId w:val="11"/>
  </w:num>
  <w:num w:numId="19">
    <w:abstractNumId w:val="25"/>
  </w:num>
  <w:num w:numId="2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6"/>
  </w:num>
  <w:num w:numId="23">
    <w:abstractNumId w:val="5"/>
  </w:num>
  <w:num w:numId="24">
    <w:abstractNumId w:val="22"/>
  </w:num>
  <w:num w:numId="25">
    <w:abstractNumId w:val="2"/>
  </w:num>
  <w:num w:numId="26">
    <w:abstractNumId w:val="20"/>
  </w:num>
  <w:num w:numId="27">
    <w:abstractNumId w:val="15"/>
  </w:num>
  <w:num w:numId="28">
    <w:abstractNumId w:val="17"/>
  </w:num>
  <w:num w:numId="29">
    <w:abstractNumId w:val="19"/>
  </w:num>
  <w:num w:numId="30">
    <w:abstractNumId w:val="0"/>
  </w:num>
  <w:num w:numId="31">
    <w:abstractNumId w:val="26"/>
  </w:num>
  <w:num w:numId="32">
    <w:abstractNumId w:val="2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421C6"/>
    <w:rsid w:val="00006A97"/>
    <w:rsid w:val="000104D4"/>
    <w:rsid w:val="00026934"/>
    <w:rsid w:val="00036FC3"/>
    <w:rsid w:val="00050343"/>
    <w:rsid w:val="00080B9C"/>
    <w:rsid w:val="000C0DB7"/>
    <w:rsid w:val="000C5552"/>
    <w:rsid w:val="000E02B6"/>
    <w:rsid w:val="00105E73"/>
    <w:rsid w:val="00110973"/>
    <w:rsid w:val="00120F2E"/>
    <w:rsid w:val="00136324"/>
    <w:rsid w:val="00185C81"/>
    <w:rsid w:val="001C3346"/>
    <w:rsid w:val="001C5365"/>
    <w:rsid w:val="00217786"/>
    <w:rsid w:val="002403BF"/>
    <w:rsid w:val="0024226F"/>
    <w:rsid w:val="0025071D"/>
    <w:rsid w:val="002566D2"/>
    <w:rsid w:val="002A2821"/>
    <w:rsid w:val="002C0DB1"/>
    <w:rsid w:val="002E6952"/>
    <w:rsid w:val="003259B6"/>
    <w:rsid w:val="003406FA"/>
    <w:rsid w:val="00341504"/>
    <w:rsid w:val="00354461"/>
    <w:rsid w:val="00396034"/>
    <w:rsid w:val="003B7DB0"/>
    <w:rsid w:val="004131FE"/>
    <w:rsid w:val="004163B5"/>
    <w:rsid w:val="004224CB"/>
    <w:rsid w:val="004347EB"/>
    <w:rsid w:val="00444864"/>
    <w:rsid w:val="004677FD"/>
    <w:rsid w:val="00477FE7"/>
    <w:rsid w:val="004B225A"/>
    <w:rsid w:val="004B269B"/>
    <w:rsid w:val="004B6EF1"/>
    <w:rsid w:val="004F131A"/>
    <w:rsid w:val="00533F73"/>
    <w:rsid w:val="00587B71"/>
    <w:rsid w:val="005910C7"/>
    <w:rsid w:val="005928E8"/>
    <w:rsid w:val="005C752A"/>
    <w:rsid w:val="005D1AAE"/>
    <w:rsid w:val="005D7304"/>
    <w:rsid w:val="005F57AD"/>
    <w:rsid w:val="00613045"/>
    <w:rsid w:val="00673A73"/>
    <w:rsid w:val="006B05C6"/>
    <w:rsid w:val="006B1419"/>
    <w:rsid w:val="006B3EFF"/>
    <w:rsid w:val="006D1BC2"/>
    <w:rsid w:val="006F52BF"/>
    <w:rsid w:val="007303C2"/>
    <w:rsid w:val="00760572"/>
    <w:rsid w:val="007B7576"/>
    <w:rsid w:val="007C4251"/>
    <w:rsid w:val="007C45A1"/>
    <w:rsid w:val="007F5E86"/>
    <w:rsid w:val="00830DBB"/>
    <w:rsid w:val="00836C9F"/>
    <w:rsid w:val="0084419D"/>
    <w:rsid w:val="008506EB"/>
    <w:rsid w:val="00855393"/>
    <w:rsid w:val="00860690"/>
    <w:rsid w:val="008729C6"/>
    <w:rsid w:val="008C719A"/>
    <w:rsid w:val="008D2617"/>
    <w:rsid w:val="00913DCB"/>
    <w:rsid w:val="0092527A"/>
    <w:rsid w:val="00933951"/>
    <w:rsid w:val="00934C02"/>
    <w:rsid w:val="00960090"/>
    <w:rsid w:val="009A4960"/>
    <w:rsid w:val="009B495A"/>
    <w:rsid w:val="00A04EB3"/>
    <w:rsid w:val="00A337D8"/>
    <w:rsid w:val="00A421C6"/>
    <w:rsid w:val="00A56506"/>
    <w:rsid w:val="00A72268"/>
    <w:rsid w:val="00AB5797"/>
    <w:rsid w:val="00B000B2"/>
    <w:rsid w:val="00B01F76"/>
    <w:rsid w:val="00B13390"/>
    <w:rsid w:val="00B3396D"/>
    <w:rsid w:val="00B3452B"/>
    <w:rsid w:val="00B43722"/>
    <w:rsid w:val="00B46D18"/>
    <w:rsid w:val="00B50CC6"/>
    <w:rsid w:val="00B635CB"/>
    <w:rsid w:val="00B8771D"/>
    <w:rsid w:val="00B96467"/>
    <w:rsid w:val="00B97C28"/>
    <w:rsid w:val="00BB218B"/>
    <w:rsid w:val="00BC1657"/>
    <w:rsid w:val="00BD3349"/>
    <w:rsid w:val="00BF6B1A"/>
    <w:rsid w:val="00C619AC"/>
    <w:rsid w:val="00C77715"/>
    <w:rsid w:val="00CA2D13"/>
    <w:rsid w:val="00D03DC7"/>
    <w:rsid w:val="00D116B9"/>
    <w:rsid w:val="00D15589"/>
    <w:rsid w:val="00D20484"/>
    <w:rsid w:val="00D25B5C"/>
    <w:rsid w:val="00D32552"/>
    <w:rsid w:val="00D7335A"/>
    <w:rsid w:val="00D86D23"/>
    <w:rsid w:val="00DD6E62"/>
    <w:rsid w:val="00E22333"/>
    <w:rsid w:val="00E264EC"/>
    <w:rsid w:val="00EC35B8"/>
    <w:rsid w:val="00F2046E"/>
    <w:rsid w:val="00F2181A"/>
    <w:rsid w:val="00F56F0F"/>
    <w:rsid w:val="00F8236D"/>
    <w:rsid w:val="00F910BE"/>
    <w:rsid w:val="00FA7096"/>
    <w:rsid w:val="00FB0BE1"/>
    <w:rsid w:val="00FE61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HTML Cite"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046E"/>
  </w:style>
  <w:style w:type="paragraph" w:styleId="Heading1">
    <w:name w:val="heading 1"/>
    <w:basedOn w:val="Normal"/>
    <w:next w:val="Normal"/>
    <w:link w:val="Heading1Char"/>
    <w:qFormat/>
    <w:rsid w:val="00F2046E"/>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1"/>
    <w:qFormat/>
    <w:rsid w:val="00F2046E"/>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F2046E"/>
    <w:pPr>
      <w:keepNext/>
      <w:spacing w:after="0" w:line="240" w:lineRule="auto"/>
      <w:jc w:val="both"/>
      <w:outlineLvl w:val="2"/>
    </w:pPr>
    <w:rPr>
      <w:rFonts w:ascii="Times New Roman" w:eastAsia="Times New Roman" w:hAnsi="Times New Roman" w:cs="Times New Roman"/>
      <w:b/>
      <w:bCs/>
      <w:sz w:val="24"/>
      <w:szCs w:val="24"/>
    </w:rPr>
  </w:style>
  <w:style w:type="paragraph" w:styleId="Heading4">
    <w:name w:val="heading 4"/>
    <w:basedOn w:val="Normal"/>
    <w:next w:val="Normal"/>
    <w:link w:val="Heading4Char1"/>
    <w:qFormat/>
    <w:rsid w:val="00F2046E"/>
    <w:pPr>
      <w:keepNext/>
      <w:spacing w:before="240" w:after="60" w:line="240" w:lineRule="auto"/>
      <w:jc w:val="both"/>
      <w:outlineLvl w:val="3"/>
    </w:pPr>
    <w:rPr>
      <w:rFonts w:ascii="Arial" w:eastAsia="Times New Roman" w:hAnsi="Arial" w:cs="Times New Roman"/>
      <w:bCs/>
      <w:i/>
      <w:sz w:val="24"/>
      <w:szCs w:val="24"/>
    </w:rPr>
  </w:style>
  <w:style w:type="paragraph" w:styleId="Heading5">
    <w:name w:val="heading 5"/>
    <w:basedOn w:val="Normal"/>
    <w:next w:val="Normal"/>
    <w:link w:val="Heading5Char"/>
    <w:qFormat/>
    <w:rsid w:val="00F2046E"/>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F2046E"/>
    <w:pPr>
      <w:keepNext/>
      <w:spacing w:after="0" w:line="240" w:lineRule="auto"/>
      <w:outlineLvl w:val="5"/>
    </w:pPr>
    <w:rPr>
      <w:rFonts w:ascii="Times New Roman" w:eastAsia="Times New Roman" w:hAnsi="Times New Roman" w:cs="Times New Roman"/>
      <w:b/>
      <w:sz w:val="24"/>
      <w:szCs w:val="20"/>
      <w:lang w:eastAsia="ro-RO"/>
    </w:rPr>
  </w:style>
  <w:style w:type="paragraph" w:styleId="Heading7">
    <w:name w:val="heading 7"/>
    <w:basedOn w:val="Normal"/>
    <w:next w:val="Normal"/>
    <w:link w:val="Heading7Char"/>
    <w:qFormat/>
    <w:rsid w:val="00F2046E"/>
    <w:pPr>
      <w:keepNext/>
      <w:spacing w:after="0" w:line="240" w:lineRule="auto"/>
      <w:jc w:val="center"/>
      <w:outlineLvl w:val="6"/>
    </w:pPr>
    <w:rPr>
      <w:rFonts w:ascii="Times New Roman" w:eastAsia="Times New Roman" w:hAnsi="Times New Roman" w:cs="Times New Roman"/>
      <w:b/>
      <w:sz w:val="24"/>
      <w:szCs w:val="20"/>
      <w:lang w:eastAsia="ro-RO"/>
    </w:rPr>
  </w:style>
  <w:style w:type="paragraph" w:styleId="Heading8">
    <w:name w:val="heading 8"/>
    <w:basedOn w:val="Normal"/>
    <w:next w:val="Normal"/>
    <w:link w:val="Heading8Char"/>
    <w:qFormat/>
    <w:rsid w:val="00F2046E"/>
    <w:pPr>
      <w:keepNext/>
      <w:spacing w:after="0" w:line="240" w:lineRule="auto"/>
      <w:ind w:firstLine="720"/>
      <w:outlineLvl w:val="7"/>
    </w:pPr>
    <w:rPr>
      <w:rFonts w:ascii="Arial" w:eastAsia="Times New Roman" w:hAnsi="Arial" w:cs="Arial"/>
      <w:sz w:val="24"/>
      <w:szCs w:val="20"/>
      <w:lang w:val="fr-FR" w:eastAsia="ro-RO"/>
    </w:rPr>
  </w:style>
  <w:style w:type="paragraph" w:styleId="Heading9">
    <w:name w:val="heading 9"/>
    <w:basedOn w:val="Normal"/>
    <w:next w:val="Normal"/>
    <w:link w:val="Heading9Char"/>
    <w:qFormat/>
    <w:rsid w:val="00F2046E"/>
    <w:pPr>
      <w:keepNext/>
      <w:spacing w:after="0" w:line="240" w:lineRule="auto"/>
      <w:ind w:firstLine="720"/>
      <w:jc w:val="both"/>
      <w:outlineLvl w:val="8"/>
    </w:pPr>
    <w:rPr>
      <w:rFonts w:ascii="Arial" w:eastAsia="Times New Roman" w:hAnsi="Arial" w:cs="Arial"/>
      <w:i/>
      <w:iCs/>
      <w:sz w:val="24"/>
      <w:szCs w:val="20"/>
      <w:lang w:val="fr-FR"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04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046E"/>
  </w:style>
  <w:style w:type="paragraph" w:styleId="Footer">
    <w:name w:val="footer"/>
    <w:basedOn w:val="Normal"/>
    <w:link w:val="FooterChar"/>
    <w:uiPriority w:val="99"/>
    <w:unhideWhenUsed/>
    <w:rsid w:val="00F204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046E"/>
  </w:style>
  <w:style w:type="paragraph" w:styleId="ListParagraph">
    <w:name w:val="List Paragraph"/>
    <w:basedOn w:val="Normal"/>
    <w:uiPriority w:val="34"/>
    <w:qFormat/>
    <w:rsid w:val="00F2046E"/>
    <w:pPr>
      <w:ind w:left="720"/>
      <w:contextualSpacing/>
    </w:pPr>
  </w:style>
  <w:style w:type="character" w:customStyle="1" w:styleId="Heading1Char">
    <w:name w:val="Heading 1 Char"/>
    <w:basedOn w:val="DefaultParagraphFont"/>
    <w:link w:val="Heading1"/>
    <w:rsid w:val="00F2046E"/>
    <w:rPr>
      <w:rFonts w:ascii="Arial" w:eastAsia="Times New Roman" w:hAnsi="Arial" w:cs="Arial"/>
      <w:b/>
      <w:bCs/>
      <w:kern w:val="32"/>
      <w:sz w:val="32"/>
      <w:szCs w:val="32"/>
    </w:rPr>
  </w:style>
  <w:style w:type="character" w:customStyle="1" w:styleId="Heading2Char">
    <w:name w:val="Heading 2 Char"/>
    <w:basedOn w:val="DefaultParagraphFont"/>
    <w:rsid w:val="00F2046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F2046E"/>
    <w:rPr>
      <w:rFonts w:ascii="Times New Roman" w:eastAsia="Times New Roman" w:hAnsi="Times New Roman" w:cs="Times New Roman"/>
      <w:b/>
      <w:bCs/>
      <w:sz w:val="24"/>
      <w:szCs w:val="24"/>
    </w:rPr>
  </w:style>
  <w:style w:type="character" w:customStyle="1" w:styleId="Heading4Char">
    <w:name w:val="Heading 4 Char"/>
    <w:basedOn w:val="DefaultParagraphFont"/>
    <w:rsid w:val="00F2046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F2046E"/>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F2046E"/>
    <w:rPr>
      <w:rFonts w:ascii="Times New Roman" w:eastAsia="Times New Roman" w:hAnsi="Times New Roman" w:cs="Times New Roman"/>
      <w:b/>
      <w:sz w:val="24"/>
      <w:szCs w:val="20"/>
      <w:lang w:eastAsia="ro-RO"/>
    </w:rPr>
  </w:style>
  <w:style w:type="character" w:customStyle="1" w:styleId="Heading7Char">
    <w:name w:val="Heading 7 Char"/>
    <w:basedOn w:val="DefaultParagraphFont"/>
    <w:link w:val="Heading7"/>
    <w:rsid w:val="00F2046E"/>
    <w:rPr>
      <w:rFonts w:ascii="Times New Roman" w:eastAsia="Times New Roman" w:hAnsi="Times New Roman" w:cs="Times New Roman"/>
      <w:b/>
      <w:sz w:val="24"/>
      <w:szCs w:val="20"/>
      <w:lang w:eastAsia="ro-RO"/>
    </w:rPr>
  </w:style>
  <w:style w:type="character" w:customStyle="1" w:styleId="Heading8Char">
    <w:name w:val="Heading 8 Char"/>
    <w:basedOn w:val="DefaultParagraphFont"/>
    <w:link w:val="Heading8"/>
    <w:rsid w:val="00F2046E"/>
    <w:rPr>
      <w:rFonts w:ascii="Arial" w:eastAsia="Times New Roman" w:hAnsi="Arial" w:cs="Arial"/>
      <w:sz w:val="24"/>
      <w:szCs w:val="20"/>
      <w:lang w:val="fr-FR" w:eastAsia="ro-RO"/>
    </w:rPr>
  </w:style>
  <w:style w:type="character" w:customStyle="1" w:styleId="Heading9Char">
    <w:name w:val="Heading 9 Char"/>
    <w:basedOn w:val="DefaultParagraphFont"/>
    <w:link w:val="Heading9"/>
    <w:rsid w:val="00F2046E"/>
    <w:rPr>
      <w:rFonts w:ascii="Arial" w:eastAsia="Times New Roman" w:hAnsi="Arial" w:cs="Arial"/>
      <w:i/>
      <w:iCs/>
      <w:sz w:val="24"/>
      <w:szCs w:val="20"/>
      <w:lang w:val="fr-FR" w:eastAsia="ro-RO"/>
    </w:rPr>
  </w:style>
  <w:style w:type="numbering" w:customStyle="1" w:styleId="NoList1">
    <w:name w:val="No List1"/>
    <w:next w:val="NoList"/>
    <w:semiHidden/>
    <w:rsid w:val="00F2046E"/>
  </w:style>
  <w:style w:type="paragraph" w:styleId="NoSpacing">
    <w:name w:val="No Spacing"/>
    <w:link w:val="NoSpacingChar"/>
    <w:qFormat/>
    <w:rsid w:val="00F2046E"/>
    <w:pPr>
      <w:spacing w:after="0" w:line="240" w:lineRule="auto"/>
    </w:pPr>
    <w:rPr>
      <w:rFonts w:ascii="Calibri" w:eastAsia="Times New Roman" w:hAnsi="Calibri" w:cs="Times New Roman"/>
    </w:rPr>
  </w:style>
  <w:style w:type="character" w:customStyle="1" w:styleId="NoSpacingChar">
    <w:name w:val="No Spacing Char"/>
    <w:link w:val="NoSpacing"/>
    <w:rsid w:val="00F2046E"/>
    <w:rPr>
      <w:rFonts w:ascii="Calibri" w:eastAsia="Times New Roman" w:hAnsi="Calibri" w:cs="Times New Roman"/>
    </w:rPr>
  </w:style>
  <w:style w:type="paragraph" w:styleId="BalloonText">
    <w:name w:val="Balloon Text"/>
    <w:basedOn w:val="Normal"/>
    <w:link w:val="BalloonTextChar"/>
    <w:rsid w:val="00F2046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F2046E"/>
    <w:rPr>
      <w:rFonts w:ascii="Tahoma" w:eastAsia="Times New Roman" w:hAnsi="Tahoma" w:cs="Tahoma"/>
      <w:sz w:val="16"/>
      <w:szCs w:val="16"/>
    </w:rPr>
  </w:style>
  <w:style w:type="character" w:styleId="Hyperlink">
    <w:name w:val="Hyperlink"/>
    <w:uiPriority w:val="99"/>
    <w:rsid w:val="00F2046E"/>
    <w:rPr>
      <w:color w:val="0000FF"/>
      <w:u w:val="single"/>
    </w:rPr>
  </w:style>
  <w:style w:type="paragraph" w:styleId="TOC1">
    <w:name w:val="toc 1"/>
    <w:basedOn w:val="Normal"/>
    <w:next w:val="Normal"/>
    <w:autoRedefine/>
    <w:rsid w:val="00F2046E"/>
    <w:pPr>
      <w:spacing w:before="120" w:after="120" w:line="240" w:lineRule="auto"/>
    </w:pPr>
    <w:rPr>
      <w:rFonts w:ascii="Arial" w:eastAsia="Times New Roman" w:hAnsi="Arial" w:cs="Times New Roman"/>
      <w:b/>
      <w:bCs/>
      <w:caps/>
      <w:sz w:val="24"/>
      <w:szCs w:val="24"/>
    </w:rPr>
  </w:style>
  <w:style w:type="paragraph" w:styleId="TOC2">
    <w:name w:val="toc 2"/>
    <w:basedOn w:val="Normal"/>
    <w:next w:val="Normal"/>
    <w:autoRedefine/>
    <w:rsid w:val="00F2046E"/>
    <w:pPr>
      <w:tabs>
        <w:tab w:val="left" w:pos="720"/>
        <w:tab w:val="right" w:leader="dot" w:pos="9628"/>
      </w:tabs>
      <w:spacing w:after="0" w:line="240" w:lineRule="auto"/>
      <w:ind w:left="240"/>
    </w:pPr>
    <w:rPr>
      <w:rFonts w:ascii="Times New Roman" w:eastAsia="Times New Roman" w:hAnsi="Times New Roman" w:cs="Times New Roman"/>
      <w:smallCaps/>
      <w:sz w:val="20"/>
      <w:szCs w:val="20"/>
    </w:rPr>
  </w:style>
  <w:style w:type="character" w:customStyle="1" w:styleId="FooterChar2">
    <w:name w:val="Footer Char2"/>
    <w:locked/>
    <w:rsid w:val="00F2046E"/>
    <w:rPr>
      <w:rFonts w:ascii="Arial" w:hAnsi="Arial"/>
      <w:sz w:val="24"/>
      <w:szCs w:val="24"/>
      <w:lang w:val="en-US" w:eastAsia="en-US" w:bidi="ar-SA"/>
    </w:rPr>
  </w:style>
  <w:style w:type="character" w:styleId="PageNumber">
    <w:name w:val="page number"/>
    <w:basedOn w:val="DefaultParagraphFont"/>
    <w:rsid w:val="00F2046E"/>
  </w:style>
  <w:style w:type="character" w:customStyle="1" w:styleId="Heading2Char1">
    <w:name w:val="Heading 2 Char1"/>
    <w:link w:val="Heading2"/>
    <w:locked/>
    <w:rsid w:val="00F2046E"/>
    <w:rPr>
      <w:rFonts w:ascii="Arial" w:eastAsia="Times New Roman" w:hAnsi="Arial" w:cs="Arial"/>
      <w:b/>
      <w:bCs/>
      <w:i/>
      <w:iCs/>
      <w:sz w:val="28"/>
      <w:szCs w:val="28"/>
    </w:rPr>
  </w:style>
  <w:style w:type="character" w:customStyle="1" w:styleId="Heading4Char1">
    <w:name w:val="Heading 4 Char1"/>
    <w:link w:val="Heading4"/>
    <w:rsid w:val="00F2046E"/>
    <w:rPr>
      <w:rFonts w:ascii="Arial" w:eastAsia="Times New Roman" w:hAnsi="Arial" w:cs="Times New Roman"/>
      <w:bCs/>
      <w:i/>
      <w:sz w:val="24"/>
      <w:szCs w:val="24"/>
    </w:rPr>
  </w:style>
  <w:style w:type="paragraph" w:styleId="BodyText">
    <w:name w:val="Body Text"/>
    <w:basedOn w:val="Normal"/>
    <w:link w:val="BodyTextChar"/>
    <w:rsid w:val="00F2046E"/>
    <w:pPr>
      <w:spacing w:after="120" w:line="240" w:lineRule="auto"/>
      <w:jc w:val="both"/>
    </w:pPr>
    <w:rPr>
      <w:rFonts w:ascii="Arial" w:eastAsia="Times New Roman" w:hAnsi="Arial" w:cs="Times New Roman"/>
      <w:sz w:val="24"/>
      <w:szCs w:val="24"/>
    </w:rPr>
  </w:style>
  <w:style w:type="character" w:customStyle="1" w:styleId="BodyTextChar">
    <w:name w:val="Body Text Char"/>
    <w:basedOn w:val="DefaultParagraphFont"/>
    <w:link w:val="BodyText"/>
    <w:rsid w:val="00F2046E"/>
    <w:rPr>
      <w:rFonts w:ascii="Arial" w:eastAsia="Times New Roman" w:hAnsi="Arial" w:cs="Times New Roman"/>
      <w:sz w:val="24"/>
      <w:szCs w:val="24"/>
    </w:rPr>
  </w:style>
  <w:style w:type="paragraph" w:styleId="BodyTextIndent2">
    <w:name w:val="Body Text Indent 2"/>
    <w:basedOn w:val="Normal"/>
    <w:link w:val="BodyTextIndent2Char"/>
    <w:rsid w:val="00F2046E"/>
    <w:pPr>
      <w:spacing w:after="120" w:line="480" w:lineRule="auto"/>
      <w:ind w:left="360"/>
      <w:jc w:val="both"/>
    </w:pPr>
    <w:rPr>
      <w:rFonts w:ascii="Arial" w:eastAsia="Times New Roman" w:hAnsi="Arial" w:cs="Times New Roman"/>
      <w:sz w:val="24"/>
      <w:szCs w:val="24"/>
    </w:rPr>
  </w:style>
  <w:style w:type="character" w:customStyle="1" w:styleId="BodyTextIndent2Char">
    <w:name w:val="Body Text Indent 2 Char"/>
    <w:basedOn w:val="DefaultParagraphFont"/>
    <w:link w:val="BodyTextIndent2"/>
    <w:rsid w:val="00F2046E"/>
    <w:rPr>
      <w:rFonts w:ascii="Arial" w:eastAsia="Times New Roman" w:hAnsi="Arial" w:cs="Times New Roman"/>
      <w:sz w:val="24"/>
      <w:szCs w:val="24"/>
    </w:rPr>
  </w:style>
  <w:style w:type="character" w:customStyle="1" w:styleId="bluetext3">
    <w:name w:val="bluetext3"/>
    <w:rsid w:val="00F2046E"/>
    <w:rPr>
      <w:color w:val="556A95"/>
    </w:rPr>
  </w:style>
  <w:style w:type="character" w:styleId="Emphasis">
    <w:name w:val="Emphasis"/>
    <w:uiPriority w:val="20"/>
    <w:qFormat/>
    <w:rsid w:val="00F2046E"/>
    <w:rPr>
      <w:i/>
      <w:iCs/>
    </w:rPr>
  </w:style>
  <w:style w:type="paragraph" w:styleId="BodyText3">
    <w:name w:val="Body Text 3"/>
    <w:basedOn w:val="Normal"/>
    <w:link w:val="BodyText3Char"/>
    <w:rsid w:val="00F2046E"/>
    <w:pPr>
      <w:spacing w:after="120" w:line="240" w:lineRule="auto"/>
    </w:pPr>
    <w:rPr>
      <w:rFonts w:ascii="Times New Roman" w:eastAsia="Times New Roman" w:hAnsi="Times New Roman" w:cs="Times New Roman"/>
      <w:sz w:val="16"/>
      <w:szCs w:val="16"/>
      <w:lang w:val="ro-RO" w:eastAsia="ro-RO"/>
    </w:rPr>
  </w:style>
  <w:style w:type="character" w:customStyle="1" w:styleId="BodyText3Char">
    <w:name w:val="Body Text 3 Char"/>
    <w:basedOn w:val="DefaultParagraphFont"/>
    <w:link w:val="BodyText3"/>
    <w:rsid w:val="00F2046E"/>
    <w:rPr>
      <w:rFonts w:ascii="Times New Roman" w:eastAsia="Times New Roman" w:hAnsi="Times New Roman" w:cs="Times New Roman"/>
      <w:sz w:val="16"/>
      <w:szCs w:val="16"/>
      <w:lang w:val="ro-RO" w:eastAsia="ro-RO"/>
    </w:rPr>
  </w:style>
  <w:style w:type="paragraph" w:customStyle="1" w:styleId="CaracterCaracter1">
    <w:name w:val="Caracter Caracter1"/>
    <w:basedOn w:val="Normal"/>
    <w:rsid w:val="00F2046E"/>
    <w:pPr>
      <w:spacing w:after="0" w:line="240" w:lineRule="auto"/>
    </w:pPr>
    <w:rPr>
      <w:rFonts w:ascii="Times New Roman" w:eastAsia="Times New Roman" w:hAnsi="Times New Roman" w:cs="Times New Roman"/>
      <w:sz w:val="24"/>
      <w:szCs w:val="24"/>
      <w:lang w:val="pl-PL" w:eastAsia="pl-PL"/>
    </w:rPr>
  </w:style>
  <w:style w:type="paragraph" w:styleId="NormalWeb">
    <w:name w:val="Normal (Web)"/>
    <w:basedOn w:val="Normal"/>
    <w:uiPriority w:val="99"/>
    <w:rsid w:val="00F2046E"/>
    <w:pPr>
      <w:spacing w:before="100" w:beforeAutospacing="1" w:after="100" w:afterAutospacing="1" w:line="240" w:lineRule="auto"/>
    </w:pPr>
    <w:rPr>
      <w:rFonts w:ascii="Arial Unicode MS" w:eastAsia="Arial Unicode MS" w:hAnsi="Arial Unicode MS" w:cs="Arial Unicode MS"/>
      <w:sz w:val="24"/>
      <w:szCs w:val="24"/>
      <w:lang w:val="ro-RO" w:eastAsia="ro-RO"/>
    </w:rPr>
  </w:style>
  <w:style w:type="paragraph" w:styleId="Caption">
    <w:name w:val="caption"/>
    <w:basedOn w:val="Normal"/>
    <w:next w:val="Normal"/>
    <w:qFormat/>
    <w:rsid w:val="00F2046E"/>
    <w:pPr>
      <w:spacing w:before="120" w:after="120" w:line="240" w:lineRule="auto"/>
    </w:pPr>
    <w:rPr>
      <w:rFonts w:ascii="Times New Roman" w:eastAsia="Times New Roman" w:hAnsi="Times New Roman" w:cs="Times New Roman"/>
      <w:b/>
      <w:bCs/>
      <w:sz w:val="20"/>
      <w:szCs w:val="20"/>
    </w:rPr>
  </w:style>
  <w:style w:type="paragraph" w:styleId="BodyText2">
    <w:name w:val="Body Text 2"/>
    <w:basedOn w:val="Normal"/>
    <w:link w:val="BodyText2Char"/>
    <w:rsid w:val="00F2046E"/>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F2046E"/>
    <w:rPr>
      <w:rFonts w:ascii="Times New Roman" w:eastAsia="Times New Roman" w:hAnsi="Times New Roman" w:cs="Times New Roman"/>
      <w:sz w:val="24"/>
      <w:szCs w:val="24"/>
    </w:rPr>
  </w:style>
  <w:style w:type="paragraph" w:styleId="BodyTextIndent">
    <w:name w:val="Body Text Indent"/>
    <w:basedOn w:val="Normal"/>
    <w:link w:val="BodyTextIndentChar"/>
    <w:rsid w:val="00F2046E"/>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F2046E"/>
    <w:rPr>
      <w:rFonts w:ascii="Times New Roman" w:eastAsia="Times New Roman" w:hAnsi="Times New Roman" w:cs="Times New Roman"/>
      <w:sz w:val="24"/>
      <w:szCs w:val="24"/>
    </w:rPr>
  </w:style>
  <w:style w:type="paragraph" w:styleId="BodyTextIndent3">
    <w:name w:val="Body Text Indent 3"/>
    <w:basedOn w:val="Normal"/>
    <w:link w:val="BodyTextIndent3Char"/>
    <w:rsid w:val="00F2046E"/>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F2046E"/>
    <w:rPr>
      <w:rFonts w:ascii="Times New Roman" w:eastAsia="Times New Roman" w:hAnsi="Times New Roman" w:cs="Times New Roman"/>
      <w:sz w:val="16"/>
      <w:szCs w:val="16"/>
    </w:rPr>
  </w:style>
  <w:style w:type="table" w:styleId="TableGrid">
    <w:name w:val="Table Grid"/>
    <w:basedOn w:val="TableNormal"/>
    <w:uiPriority w:val="59"/>
    <w:rsid w:val="00F204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F2046E"/>
    <w:pPr>
      <w:spacing w:after="0" w:line="240" w:lineRule="auto"/>
      <w:jc w:val="center"/>
    </w:pPr>
    <w:rPr>
      <w:rFonts w:ascii="Times New Roman" w:eastAsia="Times New Roman" w:hAnsi="Times New Roman" w:cs="Times New Roman"/>
      <w:sz w:val="28"/>
      <w:szCs w:val="20"/>
      <w:lang w:val="ro-RO"/>
    </w:rPr>
  </w:style>
  <w:style w:type="character" w:customStyle="1" w:styleId="TitleChar">
    <w:name w:val="Title Char"/>
    <w:basedOn w:val="DefaultParagraphFont"/>
    <w:link w:val="Title"/>
    <w:rsid w:val="00F2046E"/>
    <w:rPr>
      <w:rFonts w:ascii="Times New Roman" w:eastAsia="Times New Roman" w:hAnsi="Times New Roman" w:cs="Times New Roman"/>
      <w:sz w:val="28"/>
      <w:szCs w:val="20"/>
      <w:lang w:val="ro-RO"/>
    </w:rPr>
  </w:style>
  <w:style w:type="character" w:styleId="Strong">
    <w:name w:val="Strong"/>
    <w:uiPriority w:val="22"/>
    <w:qFormat/>
    <w:rsid w:val="00F2046E"/>
    <w:rPr>
      <w:b/>
      <w:bCs/>
    </w:rPr>
  </w:style>
  <w:style w:type="paragraph" w:customStyle="1" w:styleId="CharCharCaracterCaracterCharCharCaracterCaracter">
    <w:name w:val="Char Char Caracter Caracter Char Char Caracter Caracter"/>
    <w:basedOn w:val="Normal"/>
    <w:rsid w:val="00F2046E"/>
    <w:pPr>
      <w:spacing w:after="0" w:line="240" w:lineRule="auto"/>
    </w:pPr>
    <w:rPr>
      <w:rFonts w:ascii="Times New Roman" w:eastAsia="Times New Roman" w:hAnsi="Times New Roman" w:cs="Times New Roman"/>
      <w:sz w:val="24"/>
      <w:szCs w:val="24"/>
      <w:lang w:val="pl-PL" w:eastAsia="pl-PL"/>
    </w:rPr>
  </w:style>
  <w:style w:type="paragraph" w:customStyle="1" w:styleId="Caracter">
    <w:name w:val="Caracter"/>
    <w:basedOn w:val="Normal"/>
    <w:rsid w:val="00F2046E"/>
    <w:pPr>
      <w:spacing w:after="0" w:line="240" w:lineRule="auto"/>
    </w:pPr>
    <w:rPr>
      <w:rFonts w:ascii="Times New Roman" w:eastAsia="Times New Roman" w:hAnsi="Times New Roman" w:cs="Times New Roman"/>
      <w:sz w:val="24"/>
      <w:szCs w:val="24"/>
      <w:lang w:val="pl-PL" w:eastAsia="pl-PL"/>
    </w:rPr>
  </w:style>
  <w:style w:type="character" w:customStyle="1" w:styleId="ln2tlitera">
    <w:name w:val="ln2tlitera"/>
    <w:basedOn w:val="DefaultParagraphFont"/>
    <w:rsid w:val="00F2046E"/>
  </w:style>
  <w:style w:type="character" w:customStyle="1" w:styleId="style61">
    <w:name w:val="style61"/>
    <w:rsid w:val="00F2046E"/>
    <w:rPr>
      <w:b/>
      <w:bCs/>
      <w:color w:val="0000CC"/>
    </w:rPr>
  </w:style>
  <w:style w:type="paragraph" w:customStyle="1" w:styleId="CaracterCaracter">
    <w:name w:val="Caracter Caracter"/>
    <w:basedOn w:val="Normal"/>
    <w:rsid w:val="00F2046E"/>
    <w:pPr>
      <w:spacing w:after="0" w:line="240" w:lineRule="auto"/>
    </w:pPr>
    <w:rPr>
      <w:rFonts w:ascii="Times New Roman" w:eastAsia="Times New Roman" w:hAnsi="Times New Roman" w:cs="Times New Roman"/>
      <w:sz w:val="24"/>
      <w:szCs w:val="24"/>
      <w:lang w:val="pl-PL" w:eastAsia="pl-PL"/>
    </w:rPr>
  </w:style>
  <w:style w:type="paragraph" w:customStyle="1" w:styleId="Char">
    <w:name w:val="Char"/>
    <w:basedOn w:val="Normal"/>
    <w:rsid w:val="00F2046E"/>
    <w:pPr>
      <w:spacing w:after="0" w:line="240" w:lineRule="auto"/>
    </w:pPr>
    <w:rPr>
      <w:rFonts w:ascii="Times New Roman" w:eastAsia="Times New Roman" w:hAnsi="Times New Roman" w:cs="Times New Roman"/>
      <w:sz w:val="24"/>
      <w:szCs w:val="24"/>
      <w:lang w:val="pl-PL" w:eastAsia="pl-PL"/>
    </w:rPr>
  </w:style>
  <w:style w:type="paragraph" w:customStyle="1" w:styleId="Char0">
    <w:name w:val="Char"/>
    <w:basedOn w:val="Normal"/>
    <w:rsid w:val="00F2046E"/>
    <w:pPr>
      <w:spacing w:after="0" w:line="240" w:lineRule="auto"/>
      <w:jc w:val="both"/>
    </w:pPr>
    <w:rPr>
      <w:rFonts w:ascii="Arial" w:eastAsia="Times New Roman" w:hAnsi="Arial" w:cs="Times New Roman"/>
      <w:sz w:val="24"/>
      <w:szCs w:val="24"/>
      <w:lang w:val="pl-PL" w:eastAsia="pl-PL"/>
    </w:rPr>
  </w:style>
  <w:style w:type="paragraph" w:customStyle="1" w:styleId="CharCharCaracterCaracter">
    <w:name w:val="Char Char Caracter Caracter"/>
    <w:basedOn w:val="Normal"/>
    <w:rsid w:val="00F2046E"/>
    <w:pPr>
      <w:spacing w:after="0" w:line="240" w:lineRule="auto"/>
    </w:pPr>
    <w:rPr>
      <w:rFonts w:ascii="Times New Roman" w:eastAsia="Times New Roman" w:hAnsi="Times New Roman" w:cs="Times New Roman"/>
      <w:sz w:val="24"/>
      <w:szCs w:val="24"/>
      <w:lang w:val="pl-PL" w:eastAsia="pl-PL"/>
    </w:rPr>
  </w:style>
  <w:style w:type="character" w:customStyle="1" w:styleId="link-aspid444">
    <w:name w:val="link-asp?id=444"/>
    <w:basedOn w:val="DefaultParagraphFont"/>
    <w:rsid w:val="00F2046E"/>
  </w:style>
  <w:style w:type="character" w:customStyle="1" w:styleId="languagecodes">
    <w:name w:val="languagecodes"/>
    <w:basedOn w:val="DefaultParagraphFont"/>
    <w:rsid w:val="00F2046E"/>
  </w:style>
  <w:style w:type="character" w:customStyle="1" w:styleId="link-aspid435">
    <w:name w:val="link-asp?id=435"/>
    <w:basedOn w:val="DefaultParagraphFont"/>
    <w:rsid w:val="00F2046E"/>
  </w:style>
  <w:style w:type="character" w:customStyle="1" w:styleId="link-html">
    <w:name w:val="link-html"/>
    <w:basedOn w:val="DefaultParagraphFont"/>
    <w:rsid w:val="00F2046E"/>
  </w:style>
  <w:style w:type="character" w:customStyle="1" w:styleId="link-external">
    <w:name w:val="link-external"/>
    <w:basedOn w:val="DefaultParagraphFont"/>
    <w:rsid w:val="00F2046E"/>
  </w:style>
  <w:style w:type="paragraph" w:customStyle="1" w:styleId="xl29">
    <w:name w:val="xl29"/>
    <w:basedOn w:val="Normal"/>
    <w:rsid w:val="00F2046E"/>
    <w:pPr>
      <w:pBdr>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val="en-GB"/>
    </w:rPr>
  </w:style>
  <w:style w:type="paragraph" w:customStyle="1" w:styleId="CharCharCharChar">
    <w:name w:val="Char Char Char Char"/>
    <w:basedOn w:val="Normal"/>
    <w:rsid w:val="00F2046E"/>
    <w:pPr>
      <w:spacing w:after="0" w:line="240" w:lineRule="auto"/>
    </w:pPr>
    <w:rPr>
      <w:rFonts w:ascii="Times New Roman" w:eastAsia="SimSun" w:hAnsi="Times New Roman" w:cs="Times New Roman"/>
      <w:sz w:val="24"/>
      <w:szCs w:val="24"/>
      <w:lang w:val="pl-PL" w:eastAsia="pl-PL"/>
    </w:rPr>
  </w:style>
  <w:style w:type="paragraph" w:customStyle="1" w:styleId="Default">
    <w:name w:val="Default"/>
    <w:rsid w:val="00F2046E"/>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ighlightedsearchterm">
    <w:name w:val="highlightedsearchterm"/>
    <w:basedOn w:val="DefaultParagraphFont"/>
    <w:rsid w:val="00F2046E"/>
  </w:style>
  <w:style w:type="character" w:customStyle="1" w:styleId="apple-converted-space">
    <w:name w:val="apple-converted-space"/>
    <w:basedOn w:val="DefaultParagraphFont"/>
    <w:rsid w:val="00F2046E"/>
  </w:style>
  <w:style w:type="paragraph" w:customStyle="1" w:styleId="rvps3">
    <w:name w:val="rvps3"/>
    <w:basedOn w:val="Normal"/>
    <w:rsid w:val="00F204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
    <w:name w:val="rvts7"/>
    <w:basedOn w:val="DefaultParagraphFont"/>
    <w:rsid w:val="00F2046E"/>
  </w:style>
  <w:style w:type="character" w:customStyle="1" w:styleId="rvts9">
    <w:name w:val="rvts9"/>
    <w:basedOn w:val="DefaultParagraphFont"/>
    <w:rsid w:val="00F2046E"/>
  </w:style>
  <w:style w:type="character" w:customStyle="1" w:styleId="rvts12">
    <w:name w:val="rvts12"/>
    <w:basedOn w:val="DefaultParagraphFont"/>
    <w:rsid w:val="00F2046E"/>
  </w:style>
  <w:style w:type="character" w:customStyle="1" w:styleId="rvts20">
    <w:name w:val="rvts20"/>
    <w:basedOn w:val="DefaultParagraphFont"/>
    <w:rsid w:val="00F2046E"/>
  </w:style>
  <w:style w:type="character" w:customStyle="1" w:styleId="rvts25">
    <w:name w:val="rvts25"/>
    <w:basedOn w:val="DefaultParagraphFont"/>
    <w:rsid w:val="00F2046E"/>
  </w:style>
  <w:style w:type="paragraph" w:customStyle="1" w:styleId="Pa6">
    <w:name w:val="Pa6"/>
    <w:basedOn w:val="Default"/>
    <w:next w:val="Default"/>
    <w:rsid w:val="00F2046E"/>
    <w:pPr>
      <w:spacing w:line="201" w:lineRule="atLeast"/>
    </w:pPr>
    <w:rPr>
      <w:rFonts w:ascii="EC Square Sans Pro" w:hAnsi="EC Square Sans Pro" w:cs="Times New Roman"/>
      <w:color w:val="auto"/>
    </w:rPr>
  </w:style>
  <w:style w:type="paragraph" w:customStyle="1" w:styleId="CaracterCaracter10">
    <w:name w:val="Caracter Caracter1"/>
    <w:basedOn w:val="Normal"/>
    <w:rsid w:val="00F2046E"/>
    <w:pPr>
      <w:spacing w:after="0" w:line="240" w:lineRule="auto"/>
    </w:pPr>
    <w:rPr>
      <w:rFonts w:ascii="Times New Roman" w:eastAsia="Times New Roman" w:hAnsi="Times New Roman" w:cs="Times New Roman"/>
      <w:sz w:val="24"/>
      <w:szCs w:val="24"/>
      <w:lang w:val="pl-PL" w:eastAsia="pl-PL"/>
    </w:rPr>
  </w:style>
  <w:style w:type="paragraph" w:customStyle="1" w:styleId="CharCharCaracterCaracterCharCharCaracterCaracter0">
    <w:name w:val="Char Char Caracter Caracter Char Char Caracter Caracter"/>
    <w:basedOn w:val="Normal"/>
    <w:rsid w:val="00F2046E"/>
    <w:pPr>
      <w:spacing w:after="0" w:line="240" w:lineRule="auto"/>
    </w:pPr>
    <w:rPr>
      <w:rFonts w:ascii="Times New Roman" w:eastAsia="Times New Roman" w:hAnsi="Times New Roman" w:cs="Times New Roman"/>
      <w:sz w:val="24"/>
      <w:szCs w:val="24"/>
      <w:lang w:val="pl-PL" w:eastAsia="pl-PL"/>
    </w:rPr>
  </w:style>
  <w:style w:type="paragraph" w:customStyle="1" w:styleId="Caracter0">
    <w:name w:val="Caracter"/>
    <w:basedOn w:val="Normal"/>
    <w:rsid w:val="00F2046E"/>
    <w:pPr>
      <w:spacing w:after="0" w:line="240" w:lineRule="auto"/>
    </w:pPr>
    <w:rPr>
      <w:rFonts w:ascii="Times New Roman" w:eastAsia="Times New Roman" w:hAnsi="Times New Roman" w:cs="Times New Roman"/>
      <w:sz w:val="24"/>
      <w:szCs w:val="24"/>
      <w:lang w:val="pl-PL" w:eastAsia="pl-PL"/>
    </w:rPr>
  </w:style>
  <w:style w:type="paragraph" w:customStyle="1" w:styleId="CaracterCaracter0">
    <w:name w:val="Caracter Caracter"/>
    <w:basedOn w:val="Normal"/>
    <w:rsid w:val="00F2046E"/>
    <w:pPr>
      <w:spacing w:after="0" w:line="240" w:lineRule="auto"/>
    </w:pPr>
    <w:rPr>
      <w:rFonts w:ascii="Times New Roman" w:eastAsia="Times New Roman" w:hAnsi="Times New Roman" w:cs="Times New Roman"/>
      <w:sz w:val="24"/>
      <w:szCs w:val="24"/>
      <w:lang w:val="pl-PL" w:eastAsia="pl-PL"/>
    </w:rPr>
  </w:style>
  <w:style w:type="paragraph" w:customStyle="1" w:styleId="CharCharCaracterCaracter0">
    <w:name w:val="Char Char Caracter Caracter"/>
    <w:basedOn w:val="Normal"/>
    <w:rsid w:val="00F2046E"/>
    <w:pPr>
      <w:spacing w:after="0" w:line="240" w:lineRule="auto"/>
    </w:pPr>
    <w:rPr>
      <w:rFonts w:ascii="Times New Roman" w:eastAsia="Times New Roman" w:hAnsi="Times New Roman" w:cs="Times New Roman"/>
      <w:sz w:val="24"/>
      <w:szCs w:val="24"/>
      <w:lang w:val="pl-PL" w:eastAsia="pl-PL"/>
    </w:rPr>
  </w:style>
  <w:style w:type="character" w:customStyle="1" w:styleId="CharChar2">
    <w:name w:val="Char Char2"/>
    <w:rsid w:val="00F2046E"/>
    <w:rPr>
      <w:sz w:val="24"/>
      <w:szCs w:val="24"/>
      <w:lang w:val="en-US" w:eastAsia="en-US" w:bidi="ar-SA"/>
    </w:rPr>
  </w:style>
  <w:style w:type="character" w:customStyle="1" w:styleId="a1">
    <w:name w:val="a1"/>
    <w:rsid w:val="00F2046E"/>
    <w:rPr>
      <w:bdr w:val="none" w:sz="0" w:space="0" w:color="auto" w:frame="1"/>
    </w:rPr>
  </w:style>
  <w:style w:type="character" w:styleId="FollowedHyperlink">
    <w:name w:val="FollowedHyperlink"/>
    <w:uiPriority w:val="99"/>
    <w:rsid w:val="00F2046E"/>
    <w:rPr>
      <w:color w:val="800080"/>
      <w:u w:val="single"/>
    </w:rPr>
  </w:style>
  <w:style w:type="character" w:customStyle="1" w:styleId="style51">
    <w:name w:val="style51"/>
    <w:rsid w:val="00F2046E"/>
    <w:rPr>
      <w:color w:val="000066"/>
    </w:rPr>
  </w:style>
  <w:style w:type="paragraph" w:customStyle="1" w:styleId="titlu-gri1">
    <w:name w:val="titlu-gri1"/>
    <w:basedOn w:val="Normal"/>
    <w:rsid w:val="00F2046E"/>
    <w:pPr>
      <w:spacing w:after="120" w:line="240" w:lineRule="auto"/>
      <w:jc w:val="both"/>
    </w:pPr>
    <w:rPr>
      <w:rFonts w:ascii="Arial" w:eastAsia="Times New Roman" w:hAnsi="Arial" w:cs="Times New Roman"/>
      <w:b/>
      <w:bCs/>
      <w:color w:val="666666"/>
      <w:sz w:val="26"/>
      <w:szCs w:val="26"/>
      <w:lang w:val="ro-RO"/>
    </w:rPr>
  </w:style>
  <w:style w:type="character" w:customStyle="1" w:styleId="CharChar">
    <w:name w:val="Char Char"/>
    <w:locked/>
    <w:rsid w:val="00F2046E"/>
    <w:rPr>
      <w:sz w:val="24"/>
      <w:szCs w:val="24"/>
      <w:lang w:val="en-GB" w:eastAsia="en-US" w:bidi="ar-SA"/>
    </w:rPr>
  </w:style>
  <w:style w:type="character" w:customStyle="1" w:styleId="google-src-text1">
    <w:name w:val="google-src-text1"/>
    <w:rsid w:val="00F2046E"/>
    <w:rPr>
      <w:vanish/>
      <w:webHidden w:val="0"/>
      <w:specVanish w:val="0"/>
    </w:rPr>
  </w:style>
  <w:style w:type="paragraph" w:customStyle="1" w:styleId="char1">
    <w:name w:val="char"/>
    <w:basedOn w:val="Normal"/>
    <w:rsid w:val="00F2046E"/>
    <w:pPr>
      <w:spacing w:after="0" w:line="240" w:lineRule="auto"/>
    </w:pPr>
    <w:rPr>
      <w:rFonts w:ascii="Times New Roman" w:eastAsia="Times New Roman" w:hAnsi="Times New Roman" w:cs="Times New Roman"/>
      <w:sz w:val="24"/>
      <w:szCs w:val="24"/>
    </w:rPr>
  </w:style>
  <w:style w:type="paragraph" w:customStyle="1" w:styleId="HyphenIndent">
    <w:name w:val="Hyphen Indent"/>
    <w:basedOn w:val="Normal"/>
    <w:rsid w:val="00F2046E"/>
    <w:pPr>
      <w:spacing w:after="120" w:line="240" w:lineRule="auto"/>
      <w:ind w:left="2376"/>
    </w:pPr>
    <w:rPr>
      <w:rFonts w:ascii="Arial" w:eastAsia="Times New Roman" w:hAnsi="Arial" w:cs="Arial"/>
      <w:lang w:val="en-GB"/>
    </w:rPr>
  </w:style>
  <w:style w:type="character" w:customStyle="1" w:styleId="i41">
    <w:name w:val="i41"/>
    <w:rsid w:val="00F2046E"/>
    <w:rPr>
      <w:rFonts w:ascii="Arial" w:hAnsi="Arial" w:cs="Arial" w:hint="default"/>
      <w:strike w:val="0"/>
      <w:dstrike w:val="0"/>
      <w:color w:val="333399"/>
      <w:sz w:val="17"/>
      <w:szCs w:val="17"/>
      <w:u w:val="none"/>
      <w:effect w:val="none"/>
    </w:rPr>
  </w:style>
  <w:style w:type="character" w:customStyle="1" w:styleId="bbtext">
    <w:name w:val="bbtext"/>
    <w:basedOn w:val="DefaultParagraphFont"/>
    <w:rsid w:val="00F2046E"/>
  </w:style>
  <w:style w:type="character" w:customStyle="1" w:styleId="A4">
    <w:name w:val="A4"/>
    <w:rsid w:val="00F2046E"/>
    <w:rPr>
      <w:rFonts w:cs="Palatino Linotype"/>
      <w:color w:val="000000"/>
      <w:sz w:val="20"/>
      <w:szCs w:val="20"/>
    </w:rPr>
  </w:style>
  <w:style w:type="character" w:customStyle="1" w:styleId="l62">
    <w:name w:val="l62"/>
    <w:rsid w:val="00F2046E"/>
    <w:rPr>
      <w:vanish w:val="0"/>
      <w:webHidden w:val="0"/>
      <w:bdr w:val="none" w:sz="0" w:space="0" w:color="auto" w:frame="1"/>
      <w:specVanish w:val="0"/>
    </w:rPr>
  </w:style>
  <w:style w:type="paragraph" w:customStyle="1" w:styleId="documentdescription">
    <w:name w:val="documentdescription"/>
    <w:basedOn w:val="Normal"/>
    <w:rsid w:val="00F204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shortcuts">
    <w:name w:val="yshortcuts"/>
    <w:basedOn w:val="DefaultParagraphFont"/>
    <w:rsid w:val="00F2046E"/>
  </w:style>
  <w:style w:type="paragraph" w:customStyle="1" w:styleId="CharCharCharCharCharCharCharCharChar">
    <w:name w:val="Char Char Char Char Char Char Char Char Char"/>
    <w:basedOn w:val="Normal"/>
    <w:rsid w:val="00F2046E"/>
    <w:pPr>
      <w:spacing w:after="0" w:line="240" w:lineRule="auto"/>
    </w:pPr>
    <w:rPr>
      <w:rFonts w:ascii="Times New Roman" w:eastAsia="Times New Roman" w:hAnsi="Times New Roman" w:cs="Times New Roman"/>
      <w:sz w:val="24"/>
      <w:szCs w:val="24"/>
      <w:lang w:val="pl-PL" w:eastAsia="pl-PL"/>
    </w:rPr>
  </w:style>
  <w:style w:type="character" w:customStyle="1" w:styleId="spatiu11">
    <w:name w:val="spatiu11"/>
    <w:basedOn w:val="DefaultParagraphFont"/>
    <w:rsid w:val="00F2046E"/>
  </w:style>
  <w:style w:type="character" w:customStyle="1" w:styleId="CharChar0">
    <w:name w:val="Char Char"/>
    <w:rsid w:val="00F2046E"/>
    <w:rPr>
      <w:sz w:val="24"/>
      <w:szCs w:val="24"/>
      <w:lang w:val="en-GB" w:eastAsia="en-US" w:bidi="ar-SA"/>
    </w:rPr>
  </w:style>
  <w:style w:type="character" w:customStyle="1" w:styleId="CharChar4">
    <w:name w:val="Char Char4"/>
    <w:locked/>
    <w:rsid w:val="00F2046E"/>
    <w:rPr>
      <w:lang w:val="en-AU" w:eastAsia="en-US" w:bidi="ar-SA"/>
    </w:rPr>
  </w:style>
  <w:style w:type="character" w:customStyle="1" w:styleId="FontStyle36">
    <w:name w:val="Font Style36"/>
    <w:rsid w:val="00F2046E"/>
    <w:rPr>
      <w:rFonts w:ascii="Times New Roman" w:hAnsi="Times New Roman" w:cs="Times New Roman"/>
      <w:sz w:val="20"/>
      <w:szCs w:val="20"/>
    </w:rPr>
  </w:style>
  <w:style w:type="paragraph" w:customStyle="1" w:styleId="Style1">
    <w:name w:val="Style1"/>
    <w:basedOn w:val="Normal"/>
    <w:rsid w:val="00F2046E"/>
    <w:pPr>
      <w:widowControl w:val="0"/>
      <w:autoSpaceDE w:val="0"/>
      <w:autoSpaceDN w:val="0"/>
      <w:adjustRightInd w:val="0"/>
      <w:spacing w:after="0" w:line="264" w:lineRule="exact"/>
      <w:ind w:firstLine="418"/>
    </w:pPr>
    <w:rPr>
      <w:rFonts w:ascii="Times New Roman" w:eastAsia="Times New Roman" w:hAnsi="Times New Roman" w:cs="Times New Roman"/>
      <w:sz w:val="24"/>
      <w:szCs w:val="24"/>
    </w:rPr>
  </w:style>
  <w:style w:type="character" w:customStyle="1" w:styleId="CharChar20">
    <w:name w:val="Char Char2"/>
    <w:rsid w:val="00F2046E"/>
    <w:rPr>
      <w:sz w:val="24"/>
      <w:szCs w:val="24"/>
      <w:lang w:val="en-GB" w:eastAsia="en-US" w:bidi="ar-SA"/>
    </w:rPr>
  </w:style>
  <w:style w:type="character" w:customStyle="1" w:styleId="FooterChar1">
    <w:name w:val="Footer Char1"/>
    <w:locked/>
    <w:rsid w:val="00F2046E"/>
    <w:rPr>
      <w:sz w:val="24"/>
      <w:szCs w:val="24"/>
      <w:lang w:val="en-GB" w:eastAsia="en-US" w:bidi="ar-SA"/>
    </w:rPr>
  </w:style>
  <w:style w:type="character" w:customStyle="1" w:styleId="hps">
    <w:name w:val="hps"/>
    <w:basedOn w:val="DefaultParagraphFont"/>
    <w:rsid w:val="00F2046E"/>
  </w:style>
  <w:style w:type="paragraph" w:customStyle="1" w:styleId="Pa5">
    <w:name w:val="Pa5"/>
    <w:basedOn w:val="Default"/>
    <w:next w:val="Default"/>
    <w:rsid w:val="00F2046E"/>
    <w:pPr>
      <w:spacing w:line="221" w:lineRule="atLeast"/>
    </w:pPr>
    <w:rPr>
      <w:rFonts w:ascii="Times New Roman" w:hAnsi="Times New Roman" w:cs="Times New Roman"/>
      <w:color w:val="auto"/>
    </w:rPr>
  </w:style>
  <w:style w:type="character" w:customStyle="1" w:styleId="A7">
    <w:name w:val="A7"/>
    <w:rsid w:val="00F2046E"/>
    <w:rPr>
      <w:color w:val="000000"/>
      <w:sz w:val="10"/>
      <w:szCs w:val="10"/>
    </w:rPr>
  </w:style>
  <w:style w:type="character" w:customStyle="1" w:styleId="A0">
    <w:name w:val="A0"/>
    <w:rsid w:val="00F2046E"/>
    <w:rPr>
      <w:color w:val="000000"/>
      <w:sz w:val="22"/>
      <w:szCs w:val="22"/>
    </w:rPr>
  </w:style>
  <w:style w:type="character" w:customStyle="1" w:styleId="a">
    <w:name w:val="a"/>
    <w:basedOn w:val="DefaultParagraphFont"/>
    <w:rsid w:val="00F2046E"/>
  </w:style>
  <w:style w:type="paragraph" w:customStyle="1" w:styleId="bodytext0">
    <w:name w:val="bodytext"/>
    <w:basedOn w:val="Normal"/>
    <w:rsid w:val="00F2046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CharCharCharCharCharCharChar0">
    <w:name w:val="Char Char Char Char Char Char Char Char Char"/>
    <w:basedOn w:val="Normal"/>
    <w:rsid w:val="00F2046E"/>
    <w:pPr>
      <w:spacing w:after="0" w:line="240" w:lineRule="auto"/>
    </w:pPr>
    <w:rPr>
      <w:rFonts w:ascii="Times New Roman" w:eastAsia="Times New Roman" w:hAnsi="Times New Roman" w:cs="Times New Roman"/>
      <w:sz w:val="24"/>
      <w:szCs w:val="24"/>
      <w:lang w:val="pl-PL" w:eastAsia="pl-PL"/>
    </w:rPr>
  </w:style>
  <w:style w:type="paragraph" w:styleId="FootnoteText">
    <w:name w:val="footnote text"/>
    <w:basedOn w:val="Normal"/>
    <w:link w:val="FootnoteTextChar"/>
    <w:rsid w:val="00F2046E"/>
    <w:pPr>
      <w:spacing w:after="0" w:line="240" w:lineRule="auto"/>
    </w:pPr>
    <w:rPr>
      <w:rFonts w:ascii="Times New Roman" w:eastAsia="Times New Roman" w:hAnsi="Times New Roman" w:cs="Times New Roman"/>
      <w:sz w:val="20"/>
      <w:szCs w:val="20"/>
      <w:lang w:val="ro-RO"/>
    </w:rPr>
  </w:style>
  <w:style w:type="character" w:customStyle="1" w:styleId="FootnoteTextChar">
    <w:name w:val="Footnote Text Char"/>
    <w:basedOn w:val="DefaultParagraphFont"/>
    <w:link w:val="FootnoteText"/>
    <w:rsid w:val="00F2046E"/>
    <w:rPr>
      <w:rFonts w:ascii="Times New Roman" w:eastAsia="Times New Roman" w:hAnsi="Times New Roman" w:cs="Times New Roman"/>
      <w:sz w:val="20"/>
      <w:szCs w:val="20"/>
      <w:lang w:val="ro-RO"/>
    </w:rPr>
  </w:style>
  <w:style w:type="character" w:styleId="FootnoteReference">
    <w:name w:val="footnote reference"/>
    <w:rsid w:val="00F2046E"/>
    <w:rPr>
      <w:vertAlign w:val="superscript"/>
    </w:rPr>
  </w:style>
  <w:style w:type="paragraph" w:customStyle="1" w:styleId="default0">
    <w:name w:val="default"/>
    <w:basedOn w:val="Normal"/>
    <w:rsid w:val="00F204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pa1">
    <w:name w:val="tpa1"/>
    <w:basedOn w:val="DefaultParagraphFont"/>
    <w:rsid w:val="00F2046E"/>
  </w:style>
  <w:style w:type="character" w:customStyle="1" w:styleId="FontStyle15">
    <w:name w:val="Font Style15"/>
    <w:rsid w:val="00F2046E"/>
    <w:rPr>
      <w:rFonts w:ascii="Arial" w:hAnsi="Arial" w:cs="Arial"/>
      <w:b/>
      <w:bCs/>
      <w:spacing w:val="-10"/>
      <w:sz w:val="24"/>
      <w:szCs w:val="24"/>
    </w:rPr>
  </w:style>
  <w:style w:type="character" w:customStyle="1" w:styleId="CharChar3">
    <w:name w:val="Char Char3"/>
    <w:rsid w:val="00F2046E"/>
    <w:rPr>
      <w:sz w:val="24"/>
      <w:szCs w:val="24"/>
      <w:lang w:val="ro-RO" w:eastAsia="ro-RO"/>
    </w:rPr>
  </w:style>
  <w:style w:type="character" w:customStyle="1" w:styleId="atn">
    <w:name w:val="atn"/>
    <w:basedOn w:val="DefaultParagraphFont"/>
    <w:rsid w:val="00F2046E"/>
  </w:style>
  <w:style w:type="paragraph" w:styleId="PlainText">
    <w:name w:val="Plain Text"/>
    <w:basedOn w:val="Normal"/>
    <w:link w:val="PlainTextChar"/>
    <w:rsid w:val="00F2046E"/>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F2046E"/>
    <w:rPr>
      <w:rFonts w:ascii="Courier New" w:eastAsia="Times New Roman" w:hAnsi="Courier New" w:cs="Times New Roman"/>
      <w:sz w:val="20"/>
      <w:szCs w:val="20"/>
    </w:rPr>
  </w:style>
  <w:style w:type="paragraph" w:customStyle="1" w:styleId="bul1">
    <w:name w:val="bul1"/>
    <w:basedOn w:val="Normal"/>
    <w:rsid w:val="00F2046E"/>
    <w:pPr>
      <w:tabs>
        <w:tab w:val="left" w:pos="567"/>
        <w:tab w:val="num" w:pos="680"/>
      </w:tabs>
      <w:spacing w:after="60" w:line="240" w:lineRule="auto"/>
      <w:ind w:left="680" w:hanging="396"/>
      <w:jc w:val="both"/>
    </w:pPr>
    <w:rPr>
      <w:rFonts w:ascii="Arial" w:eastAsia="Times New Roman" w:hAnsi="Arial" w:cs="Times New Roman"/>
      <w:noProof/>
      <w:sz w:val="19"/>
      <w:szCs w:val="24"/>
      <w:lang w:val="ro-RO"/>
    </w:rPr>
  </w:style>
  <w:style w:type="paragraph" w:customStyle="1" w:styleId="bul2">
    <w:name w:val="bul2"/>
    <w:basedOn w:val="Normal"/>
    <w:rsid w:val="00F2046E"/>
    <w:pPr>
      <w:tabs>
        <w:tab w:val="left" w:pos="851"/>
      </w:tabs>
      <w:spacing w:after="60" w:line="240" w:lineRule="auto"/>
      <w:ind w:left="851" w:hanging="284"/>
      <w:jc w:val="both"/>
    </w:pPr>
    <w:rPr>
      <w:rFonts w:ascii="Arial" w:eastAsia="Times New Roman" w:hAnsi="Arial" w:cs="Times New Roman"/>
      <w:noProof/>
      <w:sz w:val="19"/>
      <w:szCs w:val="24"/>
      <w:lang w:val="ro-RO"/>
    </w:rPr>
  </w:style>
  <w:style w:type="character" w:customStyle="1" w:styleId="hpsatn">
    <w:name w:val="hps atn"/>
    <w:basedOn w:val="DefaultParagraphFont"/>
    <w:rsid w:val="00F2046E"/>
  </w:style>
  <w:style w:type="paragraph" w:customStyle="1" w:styleId="Char10">
    <w:name w:val="Char1"/>
    <w:basedOn w:val="Normal"/>
    <w:uiPriority w:val="99"/>
    <w:rsid w:val="00F2046E"/>
    <w:pPr>
      <w:spacing w:after="0" w:line="240" w:lineRule="auto"/>
    </w:pPr>
    <w:rPr>
      <w:rFonts w:ascii="Times New Roman" w:eastAsia="Times New Roman" w:hAnsi="Times New Roman" w:cs="Times New Roman"/>
      <w:sz w:val="24"/>
      <w:szCs w:val="24"/>
      <w:lang w:val="pl-PL" w:eastAsia="pl-PL"/>
    </w:rPr>
  </w:style>
  <w:style w:type="paragraph" w:customStyle="1" w:styleId="CM1">
    <w:name w:val="CM1"/>
    <w:basedOn w:val="Default"/>
    <w:next w:val="Default"/>
    <w:uiPriority w:val="99"/>
    <w:rsid w:val="00F2046E"/>
    <w:rPr>
      <w:rFonts w:ascii="EUAlbertina" w:hAnsi="EUAlbertina" w:cs="Times New Roman"/>
      <w:color w:val="auto"/>
    </w:rPr>
  </w:style>
  <w:style w:type="paragraph" w:customStyle="1" w:styleId="CM3">
    <w:name w:val="CM3"/>
    <w:basedOn w:val="Default"/>
    <w:next w:val="Default"/>
    <w:uiPriority w:val="99"/>
    <w:rsid w:val="00F2046E"/>
    <w:rPr>
      <w:rFonts w:ascii="EUAlbertina" w:hAnsi="EUAlbertina" w:cs="Times New Roman"/>
      <w:color w:val="auto"/>
    </w:rPr>
  </w:style>
  <w:style w:type="paragraph" w:customStyle="1" w:styleId="CM4">
    <w:name w:val="CM4"/>
    <w:basedOn w:val="Default"/>
    <w:next w:val="Default"/>
    <w:uiPriority w:val="99"/>
    <w:rsid w:val="00F2046E"/>
    <w:rPr>
      <w:rFonts w:ascii="EUAlbertina" w:hAnsi="EUAlbertina" w:cs="Times New Roman"/>
      <w:color w:val="auto"/>
    </w:rPr>
  </w:style>
  <w:style w:type="character" w:customStyle="1" w:styleId="st1">
    <w:name w:val="st1"/>
    <w:basedOn w:val="DefaultParagraphFont"/>
    <w:rsid w:val="00F2046E"/>
  </w:style>
  <w:style w:type="character" w:styleId="HTMLCite">
    <w:name w:val="HTML Cite"/>
    <w:rsid w:val="00F2046E"/>
    <w:rPr>
      <w:i w:val="0"/>
      <w:iCs w:val="0"/>
      <w:color w:val="008000"/>
    </w:rPr>
  </w:style>
  <w:style w:type="numbering" w:customStyle="1" w:styleId="NoList2">
    <w:name w:val="No List2"/>
    <w:next w:val="NoList"/>
    <w:uiPriority w:val="99"/>
    <w:semiHidden/>
    <w:rsid w:val="00F2046E"/>
  </w:style>
  <w:style w:type="table" w:customStyle="1" w:styleId="TableGrid1">
    <w:name w:val="Table Grid1"/>
    <w:basedOn w:val="TableNormal"/>
    <w:next w:val="TableGrid"/>
    <w:uiPriority w:val="39"/>
    <w:rsid w:val="00F204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1">
    <w:name w:val="xl71"/>
    <w:basedOn w:val="Normal"/>
    <w:rsid w:val="00F2046E"/>
    <w:pPr>
      <w:spacing w:before="100" w:beforeAutospacing="1" w:after="100" w:afterAutospacing="1" w:line="240" w:lineRule="auto"/>
    </w:pPr>
    <w:rPr>
      <w:rFonts w:ascii="Arial Narrow" w:eastAsia="Times New Roman" w:hAnsi="Arial Narrow" w:cs="Times New Roman"/>
      <w:color w:val="000000"/>
      <w:sz w:val="24"/>
      <w:szCs w:val="24"/>
    </w:rPr>
  </w:style>
  <w:style w:type="paragraph" w:customStyle="1" w:styleId="xl72">
    <w:name w:val="xl72"/>
    <w:basedOn w:val="Normal"/>
    <w:rsid w:val="00F2046E"/>
    <w:pP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73">
    <w:name w:val="xl73"/>
    <w:basedOn w:val="Normal"/>
    <w:rsid w:val="00F204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74">
    <w:name w:val="xl74"/>
    <w:basedOn w:val="Normal"/>
    <w:rsid w:val="00F2046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F2046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6">
    <w:name w:val="xl76"/>
    <w:basedOn w:val="Normal"/>
    <w:rsid w:val="00F204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77">
    <w:name w:val="xl77"/>
    <w:basedOn w:val="Normal"/>
    <w:rsid w:val="00F204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78">
    <w:name w:val="xl78"/>
    <w:basedOn w:val="Normal"/>
    <w:rsid w:val="00F2046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79">
    <w:name w:val="xl79"/>
    <w:basedOn w:val="Normal"/>
    <w:rsid w:val="00F2046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80">
    <w:name w:val="xl80"/>
    <w:basedOn w:val="Normal"/>
    <w:rsid w:val="00F2046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81">
    <w:name w:val="xl81"/>
    <w:basedOn w:val="Normal"/>
    <w:rsid w:val="00F2046E"/>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82">
    <w:name w:val="xl82"/>
    <w:basedOn w:val="Normal"/>
    <w:rsid w:val="00F2046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83">
    <w:name w:val="xl83"/>
    <w:basedOn w:val="Normal"/>
    <w:rsid w:val="00F2046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84">
    <w:name w:val="xl84"/>
    <w:basedOn w:val="Normal"/>
    <w:rsid w:val="00F2046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0"/>
      <w:szCs w:val="20"/>
    </w:rPr>
  </w:style>
  <w:style w:type="paragraph" w:customStyle="1" w:styleId="xl85">
    <w:name w:val="xl85"/>
    <w:basedOn w:val="Normal"/>
    <w:rsid w:val="00F2046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0"/>
      <w:szCs w:val="20"/>
    </w:rPr>
  </w:style>
  <w:style w:type="paragraph" w:customStyle="1" w:styleId="xl86">
    <w:name w:val="xl86"/>
    <w:basedOn w:val="Normal"/>
    <w:rsid w:val="00F2046E"/>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0"/>
      <w:szCs w:val="20"/>
    </w:rPr>
  </w:style>
  <w:style w:type="paragraph" w:customStyle="1" w:styleId="xl87">
    <w:name w:val="xl87"/>
    <w:basedOn w:val="Normal"/>
    <w:rsid w:val="00F204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0"/>
      <w:szCs w:val="20"/>
    </w:rPr>
  </w:style>
  <w:style w:type="paragraph" w:customStyle="1" w:styleId="xl88">
    <w:name w:val="xl88"/>
    <w:basedOn w:val="Normal"/>
    <w:rsid w:val="00F204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0"/>
      <w:szCs w:val="20"/>
    </w:rPr>
  </w:style>
  <w:style w:type="paragraph" w:customStyle="1" w:styleId="xl89">
    <w:name w:val="xl89"/>
    <w:basedOn w:val="Normal"/>
    <w:rsid w:val="00F2046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0"/>
      <w:szCs w:val="20"/>
    </w:rPr>
  </w:style>
  <w:style w:type="paragraph" w:customStyle="1" w:styleId="xl90">
    <w:name w:val="xl90"/>
    <w:basedOn w:val="Normal"/>
    <w:rsid w:val="00F204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0"/>
      <w:szCs w:val="20"/>
    </w:rPr>
  </w:style>
  <w:style w:type="paragraph" w:customStyle="1" w:styleId="xl91">
    <w:name w:val="xl91"/>
    <w:basedOn w:val="Normal"/>
    <w:rsid w:val="00F2046E"/>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F2046E"/>
    <w:pPr>
      <w:pBdr>
        <w:left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F2046E"/>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F2046E"/>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F2046E"/>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F2046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F2046E"/>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F2046E"/>
    <w:pPr>
      <w:pBdr>
        <w:top w:val="single" w:sz="8"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F2046E"/>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0">
    <w:name w:val="xl100"/>
    <w:basedOn w:val="Normal"/>
    <w:rsid w:val="00F2046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1">
    <w:name w:val="xl101"/>
    <w:basedOn w:val="Normal"/>
    <w:rsid w:val="00F2046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2">
    <w:name w:val="xl102"/>
    <w:basedOn w:val="Normal"/>
    <w:rsid w:val="00F2046E"/>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3">
    <w:name w:val="xl103"/>
    <w:basedOn w:val="Normal"/>
    <w:rsid w:val="00F2046E"/>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4">
    <w:name w:val="xl104"/>
    <w:basedOn w:val="Normal"/>
    <w:rsid w:val="00F2046E"/>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numbering" w:customStyle="1" w:styleId="NoList11">
    <w:name w:val="No List11"/>
    <w:next w:val="NoList"/>
    <w:uiPriority w:val="99"/>
    <w:semiHidden/>
    <w:unhideWhenUsed/>
    <w:rsid w:val="00F2046E"/>
  </w:style>
  <w:style w:type="paragraph" w:customStyle="1" w:styleId="BodyHeading">
    <w:name w:val="~BodyHeading"/>
    <w:basedOn w:val="Normal"/>
    <w:next w:val="Normal"/>
    <w:link w:val="BodyHeadingChar"/>
    <w:rsid w:val="00F2046E"/>
    <w:pPr>
      <w:keepNext/>
      <w:spacing w:before="260" w:after="0" w:line="260" w:lineRule="exact"/>
    </w:pPr>
    <w:rPr>
      <w:rFonts w:ascii="Arial" w:eastAsia="Times New Roman" w:hAnsi="Arial" w:cs="Times New Roman"/>
      <w:b/>
      <w:sz w:val="20"/>
      <w:szCs w:val="24"/>
      <w:lang w:val="en-GB" w:eastAsia="en-GB"/>
    </w:rPr>
  </w:style>
  <w:style w:type="character" w:customStyle="1" w:styleId="BodyHeadingChar">
    <w:name w:val="~BodyHeading Char"/>
    <w:link w:val="BodyHeading"/>
    <w:rsid w:val="00F2046E"/>
    <w:rPr>
      <w:rFonts w:ascii="Arial" w:eastAsia="Times New Roman" w:hAnsi="Arial" w:cs="Times New Roman"/>
      <w:b/>
      <w:sz w:val="20"/>
      <w:szCs w:val="24"/>
      <w:lang w:val="en-GB" w:eastAsia="en-GB"/>
    </w:rPr>
  </w:style>
  <w:style w:type="paragraph" w:customStyle="1" w:styleId="1titlu2">
    <w:name w:val="1titlu2"/>
    <w:basedOn w:val="Normal"/>
    <w:uiPriority w:val="99"/>
    <w:rsid w:val="00F2046E"/>
    <w:pPr>
      <w:spacing w:before="100" w:beforeAutospacing="1" w:after="100" w:afterAutospacing="1" w:line="240" w:lineRule="auto"/>
    </w:pPr>
    <w:rPr>
      <w:rFonts w:ascii="Times New Roman" w:eastAsia="Calibri" w:hAnsi="Times New Roman" w:cs="Times New Roman"/>
      <w:sz w:val="24"/>
      <w:szCs w:val="24"/>
      <w:lang w:val="ro-RO"/>
    </w:rPr>
  </w:style>
  <w:style w:type="paragraph" w:customStyle="1" w:styleId="ELISEBODYTEXT">
    <w:name w:val="ELISE BODY TEXT"/>
    <w:basedOn w:val="BodyText"/>
    <w:uiPriority w:val="99"/>
    <w:rsid w:val="00F2046E"/>
    <w:pPr>
      <w:spacing w:before="80" w:after="80"/>
    </w:pPr>
    <w:rPr>
      <w:rFonts w:ascii="Arial Narrow" w:hAnsi="Arial Narrow"/>
      <w:szCs w:val="20"/>
    </w:rPr>
  </w:style>
  <w:style w:type="paragraph" w:customStyle="1" w:styleId="ELISETABLE2">
    <w:name w:val="ELISE TABLE 2"/>
    <w:basedOn w:val="Normal"/>
    <w:uiPriority w:val="99"/>
    <w:rsid w:val="00F2046E"/>
    <w:pPr>
      <w:spacing w:before="120" w:after="120" w:line="240" w:lineRule="auto"/>
      <w:jc w:val="center"/>
    </w:pPr>
    <w:rPr>
      <w:rFonts w:ascii="Arial Narrow" w:eastAsia="Times New Roman" w:hAnsi="Arial Narrow" w:cs="Times New Roman"/>
      <w:b/>
      <w:caps/>
      <w:sz w:val="24"/>
      <w:szCs w:val="20"/>
      <w:lang w:val="ro-RO"/>
    </w:rPr>
  </w:style>
  <w:style w:type="paragraph" w:customStyle="1" w:styleId="RT3">
    <w:name w:val="RT3"/>
    <w:basedOn w:val="Normal"/>
    <w:uiPriority w:val="99"/>
    <w:rsid w:val="00F2046E"/>
    <w:pPr>
      <w:numPr>
        <w:numId w:val="10"/>
      </w:numPr>
      <w:tabs>
        <w:tab w:val="clear" w:pos="666"/>
        <w:tab w:val="num" w:pos="1440"/>
      </w:tabs>
      <w:spacing w:before="120" w:after="120" w:line="240" w:lineRule="auto"/>
      <w:ind w:left="1440" w:hanging="360"/>
      <w:jc w:val="both"/>
    </w:pPr>
    <w:rPr>
      <w:rFonts w:ascii="Arial" w:eastAsia="Times New Roman" w:hAnsi="Arial" w:cs="Arial"/>
      <w:bCs/>
      <w:iCs/>
      <w:szCs w:val="24"/>
      <w:lang w:val="fr-FR"/>
    </w:rPr>
  </w:style>
  <w:style w:type="character" w:customStyle="1" w:styleId="boldsimplu">
    <w:name w:val="boldsimplu"/>
    <w:rsid w:val="00F2046E"/>
  </w:style>
  <w:style w:type="character" w:customStyle="1" w:styleId="text">
    <w:name w:val="text"/>
    <w:rsid w:val="00F2046E"/>
  </w:style>
  <w:style w:type="paragraph" w:customStyle="1" w:styleId="ELISEBODYTEXT1">
    <w:name w:val="ELISE BODY TEXT 1"/>
    <w:basedOn w:val="Normal"/>
    <w:uiPriority w:val="99"/>
    <w:rsid w:val="00F2046E"/>
    <w:pPr>
      <w:numPr>
        <w:numId w:val="11"/>
      </w:numPr>
      <w:spacing w:before="120" w:after="120" w:line="240" w:lineRule="auto"/>
      <w:jc w:val="both"/>
    </w:pPr>
    <w:rPr>
      <w:rFonts w:ascii="Arial Narrow" w:eastAsia="Times New Roman" w:hAnsi="Arial Narrow" w:cs="Times New Roman"/>
      <w:sz w:val="24"/>
      <w:szCs w:val="20"/>
      <w:lang w:val="ro-RO"/>
    </w:rPr>
  </w:style>
  <w:style w:type="paragraph" w:customStyle="1" w:styleId="RT1">
    <w:name w:val="RT1"/>
    <w:basedOn w:val="BodyText2"/>
    <w:uiPriority w:val="99"/>
    <w:rsid w:val="00F2046E"/>
    <w:pPr>
      <w:spacing w:before="120" w:line="240" w:lineRule="auto"/>
      <w:jc w:val="both"/>
    </w:pPr>
    <w:rPr>
      <w:rFonts w:ascii="Arial" w:hAnsi="Arial" w:cs="Arial"/>
      <w:sz w:val="22"/>
      <w:szCs w:val="22"/>
      <w:lang w:val="fr-FR"/>
    </w:rPr>
  </w:style>
  <w:style w:type="character" w:customStyle="1" w:styleId="FontStyle54">
    <w:name w:val="Font Style54"/>
    <w:rsid w:val="00F2046E"/>
    <w:rPr>
      <w:rFonts w:ascii="Century Schoolbook" w:hAnsi="Century Schoolbook" w:cs="Century Schoolbook" w:hint="default"/>
      <w:sz w:val="16"/>
      <w:szCs w:val="16"/>
    </w:rPr>
  </w:style>
  <w:style w:type="character" w:customStyle="1" w:styleId="FontStyle55">
    <w:name w:val="Font Style55"/>
    <w:rsid w:val="00F2046E"/>
    <w:rPr>
      <w:rFonts w:ascii="Century Schoolbook" w:hAnsi="Century Schoolbook" w:cs="Century Schoolbook" w:hint="default"/>
      <w:i/>
      <w:iCs/>
      <w:sz w:val="16"/>
      <w:szCs w:val="16"/>
    </w:rPr>
  </w:style>
  <w:style w:type="character" w:customStyle="1" w:styleId="FontStyle66">
    <w:name w:val="Font Style66"/>
    <w:rsid w:val="00F2046E"/>
    <w:rPr>
      <w:rFonts w:ascii="Century Schoolbook" w:hAnsi="Century Schoolbook" w:cs="Century Schoolbook" w:hint="default"/>
      <w:b/>
      <w:bCs/>
      <w:i/>
      <w:iCs/>
      <w:spacing w:val="-10"/>
      <w:sz w:val="16"/>
      <w:szCs w:val="16"/>
    </w:rPr>
  </w:style>
  <w:style w:type="paragraph" w:customStyle="1" w:styleId="xmsonormal">
    <w:name w:val="x_msonormal"/>
    <w:basedOn w:val="Normal"/>
    <w:uiPriority w:val="99"/>
    <w:rsid w:val="00F2046E"/>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1text">
    <w:name w:val="1 text"/>
    <w:basedOn w:val="BodyText2"/>
    <w:uiPriority w:val="99"/>
    <w:qFormat/>
    <w:rsid w:val="00F2046E"/>
    <w:pPr>
      <w:spacing w:before="120" w:line="240" w:lineRule="auto"/>
      <w:ind w:firstLine="720"/>
      <w:jc w:val="both"/>
    </w:pPr>
    <w:rPr>
      <w:rFonts w:ascii="Arial" w:hAnsi="Arial"/>
      <w:lang w:val="ro-RO"/>
    </w:rPr>
  </w:style>
  <w:style w:type="paragraph" w:customStyle="1" w:styleId="yiv27729466521text">
    <w:name w:val="yiv27729466521text"/>
    <w:basedOn w:val="Normal"/>
    <w:uiPriority w:val="99"/>
    <w:rsid w:val="00F2046E"/>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yiv27729466521bull1">
    <w:name w:val="yiv27729466521bull1"/>
    <w:basedOn w:val="Normal"/>
    <w:uiPriority w:val="99"/>
    <w:rsid w:val="00F2046E"/>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customStyle="1" w:styleId="yiv2772946652fontstyle14">
    <w:name w:val="yiv2772946652fontstyle14"/>
    <w:rsid w:val="00F2046E"/>
  </w:style>
  <w:style w:type="paragraph" w:customStyle="1" w:styleId="yiv27729466521bull2">
    <w:name w:val="yiv27729466521bull2"/>
    <w:basedOn w:val="Normal"/>
    <w:uiPriority w:val="99"/>
    <w:rsid w:val="00F2046E"/>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yiv27729466521tabtitlu">
    <w:name w:val="yiv27729466521tabtitlu"/>
    <w:basedOn w:val="Normal"/>
    <w:uiPriority w:val="99"/>
    <w:rsid w:val="00F2046E"/>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yiv27729466521tabelr1">
    <w:name w:val="yiv27729466521tabelr1"/>
    <w:basedOn w:val="Normal"/>
    <w:uiPriority w:val="99"/>
    <w:rsid w:val="00F2046E"/>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yiv27729466521tabelrest">
    <w:name w:val="yiv27729466521tabelrest"/>
    <w:basedOn w:val="Normal"/>
    <w:uiPriority w:val="99"/>
    <w:rsid w:val="00F2046E"/>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yiv2772946652msonormal">
    <w:name w:val="yiv2772946652msonormal"/>
    <w:basedOn w:val="Normal"/>
    <w:uiPriority w:val="99"/>
    <w:rsid w:val="00F2046E"/>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customStyle="1" w:styleId="sttpar">
    <w:name w:val="st_tpar"/>
    <w:rsid w:val="00F2046E"/>
  </w:style>
  <w:style w:type="character" w:customStyle="1" w:styleId="sttalineat">
    <w:name w:val="st_talineat"/>
    <w:rsid w:val="00F2046E"/>
  </w:style>
  <w:style w:type="paragraph" w:customStyle="1" w:styleId="cuprins">
    <w:name w:val="cuprins"/>
    <w:basedOn w:val="Normal"/>
    <w:link w:val="cuprinsChar"/>
    <w:qFormat/>
    <w:rsid w:val="00F2046E"/>
    <w:pPr>
      <w:spacing w:after="0"/>
      <w:ind w:firstLine="567"/>
      <w:outlineLvl w:val="0"/>
    </w:pPr>
    <w:rPr>
      <w:rFonts w:ascii="Arial" w:eastAsia="Calibri" w:hAnsi="Arial" w:cs="Times New Roman"/>
      <w:b/>
      <w:sz w:val="28"/>
      <w:szCs w:val="28"/>
    </w:rPr>
  </w:style>
  <w:style w:type="character" w:customStyle="1" w:styleId="cuprinsChar">
    <w:name w:val="cuprins Char"/>
    <w:link w:val="cuprins"/>
    <w:rsid w:val="00F2046E"/>
    <w:rPr>
      <w:rFonts w:ascii="Arial" w:eastAsia="Calibri" w:hAnsi="Arial" w:cs="Times New Roman"/>
      <w:b/>
      <w:sz w:val="28"/>
      <w:szCs w:val="28"/>
    </w:rPr>
  </w:style>
  <w:style w:type="paragraph" w:customStyle="1" w:styleId="PABHCapitol">
    <w:name w:val="PABH Capitol"/>
    <w:basedOn w:val="Normal"/>
    <w:uiPriority w:val="99"/>
    <w:rsid w:val="00F2046E"/>
    <w:pPr>
      <w:spacing w:before="240" w:after="240" w:line="240" w:lineRule="auto"/>
      <w:jc w:val="both"/>
    </w:pPr>
    <w:rPr>
      <w:rFonts w:ascii="Arial" w:eastAsia="Times New Roman" w:hAnsi="Arial" w:cs="Arial"/>
      <w:b/>
      <w:sz w:val="28"/>
      <w:szCs w:val="28"/>
      <w:lang w:val="it-IT" w:eastAsia="ro-RO"/>
    </w:rPr>
  </w:style>
  <w:style w:type="paragraph" w:styleId="DocumentMap">
    <w:name w:val="Document Map"/>
    <w:basedOn w:val="Normal"/>
    <w:link w:val="DocumentMapChar"/>
    <w:uiPriority w:val="99"/>
    <w:unhideWhenUsed/>
    <w:rsid w:val="00F2046E"/>
    <w:pPr>
      <w:spacing w:after="0" w:line="240" w:lineRule="auto"/>
    </w:pPr>
    <w:rPr>
      <w:rFonts w:ascii="Tahoma" w:eastAsia="Calibri" w:hAnsi="Tahoma" w:cs="Times New Roman"/>
      <w:sz w:val="16"/>
      <w:szCs w:val="16"/>
    </w:rPr>
  </w:style>
  <w:style w:type="character" w:customStyle="1" w:styleId="DocumentMapChar">
    <w:name w:val="Document Map Char"/>
    <w:basedOn w:val="DefaultParagraphFont"/>
    <w:link w:val="DocumentMap"/>
    <w:uiPriority w:val="99"/>
    <w:rsid w:val="00F2046E"/>
    <w:rPr>
      <w:rFonts w:ascii="Tahoma" w:eastAsia="Calibri" w:hAnsi="Tahoma" w:cs="Times New Roman"/>
      <w:sz w:val="16"/>
      <w:szCs w:val="16"/>
    </w:rPr>
  </w:style>
  <w:style w:type="paragraph" w:styleId="TOCHeading">
    <w:name w:val="TOC Heading"/>
    <w:basedOn w:val="Heading1"/>
    <w:next w:val="Normal"/>
    <w:uiPriority w:val="39"/>
    <w:unhideWhenUsed/>
    <w:qFormat/>
    <w:rsid w:val="00F2046E"/>
    <w:pPr>
      <w:keepLines/>
      <w:spacing w:before="480" w:after="0" w:line="276" w:lineRule="auto"/>
      <w:outlineLvl w:val="9"/>
    </w:pPr>
    <w:rPr>
      <w:rFonts w:ascii="Calibri Light" w:hAnsi="Calibri Light" w:cs="Times New Roman"/>
      <w:color w:val="2E74B5"/>
      <w:kern w:val="0"/>
      <w:sz w:val="28"/>
      <w:szCs w:val="28"/>
    </w:rPr>
  </w:style>
  <w:style w:type="paragraph" w:customStyle="1" w:styleId="defaulttext">
    <w:name w:val="defaulttext"/>
    <w:basedOn w:val="Normal"/>
    <w:uiPriority w:val="99"/>
    <w:rsid w:val="00F2046E"/>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table" w:customStyle="1" w:styleId="Umbriremedie1-Accentuare11">
    <w:name w:val="Umbrire medie 1 - Accentuare 11"/>
    <w:basedOn w:val="TableNormal"/>
    <w:uiPriority w:val="63"/>
    <w:rsid w:val="00F2046E"/>
    <w:pPr>
      <w:spacing w:after="0" w:line="240" w:lineRule="auto"/>
      <w:jc w:val="both"/>
    </w:pPr>
    <w:rPr>
      <w:rFonts w:ascii="Calibri" w:eastAsia="Times New Roman" w:hAnsi="Calibri" w:cs="Times New Roman"/>
      <w:sz w:val="20"/>
      <w:szCs w:val="20"/>
      <w:lang w:val="fr-F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styleId="CommentReference">
    <w:name w:val="annotation reference"/>
    <w:uiPriority w:val="99"/>
    <w:unhideWhenUsed/>
    <w:rsid w:val="00F2046E"/>
    <w:rPr>
      <w:sz w:val="16"/>
      <w:szCs w:val="16"/>
    </w:rPr>
  </w:style>
  <w:style w:type="paragraph" w:styleId="CommentText">
    <w:name w:val="annotation text"/>
    <w:basedOn w:val="Normal"/>
    <w:link w:val="CommentTextChar"/>
    <w:uiPriority w:val="99"/>
    <w:unhideWhenUsed/>
    <w:rsid w:val="00F2046E"/>
    <w:pPr>
      <w:spacing w:after="160" w:line="240" w:lineRule="auto"/>
    </w:pPr>
    <w:rPr>
      <w:rFonts w:ascii="Calibri" w:eastAsia="Calibri" w:hAnsi="Calibri" w:cs="Times New Roman"/>
      <w:color w:val="000000"/>
      <w:sz w:val="20"/>
      <w:szCs w:val="20"/>
      <w:lang w:eastAsia="ro-RO"/>
    </w:rPr>
  </w:style>
  <w:style w:type="character" w:customStyle="1" w:styleId="CommentTextChar">
    <w:name w:val="Comment Text Char"/>
    <w:basedOn w:val="DefaultParagraphFont"/>
    <w:link w:val="CommentText"/>
    <w:uiPriority w:val="99"/>
    <w:rsid w:val="00F2046E"/>
    <w:rPr>
      <w:rFonts w:ascii="Calibri" w:eastAsia="Calibri" w:hAnsi="Calibri" w:cs="Times New Roman"/>
      <w:color w:val="000000"/>
      <w:sz w:val="20"/>
      <w:szCs w:val="20"/>
      <w:lang w:eastAsia="ro-RO"/>
    </w:rPr>
  </w:style>
  <w:style w:type="paragraph" w:styleId="CommentSubject">
    <w:name w:val="annotation subject"/>
    <w:basedOn w:val="CommentText"/>
    <w:next w:val="CommentText"/>
    <w:link w:val="CommentSubjectChar"/>
    <w:uiPriority w:val="99"/>
    <w:unhideWhenUsed/>
    <w:rsid w:val="00F2046E"/>
    <w:rPr>
      <w:b/>
      <w:bCs/>
    </w:rPr>
  </w:style>
  <w:style w:type="character" w:customStyle="1" w:styleId="CommentSubjectChar">
    <w:name w:val="Comment Subject Char"/>
    <w:basedOn w:val="CommentTextChar"/>
    <w:link w:val="CommentSubject"/>
    <w:uiPriority w:val="99"/>
    <w:rsid w:val="00F2046E"/>
    <w:rPr>
      <w:rFonts w:ascii="Calibri" w:eastAsia="Calibri" w:hAnsi="Calibri" w:cs="Times New Roman"/>
      <w:b/>
      <w:bCs/>
      <w:color w:val="000000"/>
      <w:sz w:val="20"/>
      <w:szCs w:val="20"/>
      <w:lang w:eastAsia="ro-RO"/>
    </w:rPr>
  </w:style>
  <w:style w:type="paragraph" w:styleId="Revision">
    <w:name w:val="Revision"/>
    <w:hidden/>
    <w:uiPriority w:val="99"/>
    <w:semiHidden/>
    <w:rsid w:val="00F2046E"/>
    <w:pPr>
      <w:spacing w:after="0" w:line="240" w:lineRule="auto"/>
    </w:pPr>
    <w:rPr>
      <w:rFonts w:ascii="Calibri" w:eastAsia="Calibri" w:hAnsi="Calibri" w:cs="Calibri"/>
      <w:color w:val="000000"/>
      <w:lang w:val="ro-RO" w:eastAsia="ro-RO"/>
    </w:rPr>
  </w:style>
  <w:style w:type="paragraph" w:customStyle="1" w:styleId="CharChar5CharCharCharCharCharCharCharChar">
    <w:name w:val="Char Char5 Char Char Char Char Char Char Char Char"/>
    <w:basedOn w:val="Normal"/>
    <w:uiPriority w:val="99"/>
    <w:rsid w:val="00F2046E"/>
    <w:pPr>
      <w:spacing w:after="0" w:line="240" w:lineRule="auto"/>
    </w:pPr>
    <w:rPr>
      <w:rFonts w:ascii="Times New Roman" w:eastAsia="Times New Roman" w:hAnsi="Times New Roman" w:cs="Times New Roman"/>
      <w:sz w:val="24"/>
      <w:szCs w:val="24"/>
      <w:lang w:val="pl-PL" w:eastAsia="pl-PL"/>
    </w:rPr>
  </w:style>
  <w:style w:type="paragraph" w:customStyle="1" w:styleId="CharChar3CharCharCharChar">
    <w:name w:val="Char Char3 Char Char Char Char"/>
    <w:basedOn w:val="Normal"/>
    <w:uiPriority w:val="99"/>
    <w:rsid w:val="00F2046E"/>
    <w:pPr>
      <w:spacing w:after="0" w:line="240" w:lineRule="auto"/>
    </w:pPr>
    <w:rPr>
      <w:rFonts w:ascii="Times New Roman" w:eastAsia="Times New Roman" w:hAnsi="Times New Roman" w:cs="Times New Roman"/>
      <w:sz w:val="24"/>
      <w:szCs w:val="24"/>
      <w:lang w:val="pl-PL" w:eastAsia="pl-PL"/>
    </w:rPr>
  </w:style>
  <w:style w:type="paragraph" w:customStyle="1" w:styleId="1figura">
    <w:name w:val="1 figura"/>
    <w:basedOn w:val="Normal"/>
    <w:uiPriority w:val="99"/>
    <w:qFormat/>
    <w:rsid w:val="00F2046E"/>
    <w:pPr>
      <w:widowControl w:val="0"/>
      <w:autoSpaceDE w:val="0"/>
      <w:autoSpaceDN w:val="0"/>
      <w:adjustRightInd w:val="0"/>
      <w:spacing w:before="120" w:after="360" w:line="280" w:lineRule="exact"/>
      <w:jc w:val="center"/>
    </w:pPr>
    <w:rPr>
      <w:rFonts w:ascii="Arial" w:eastAsia="Times New Roman" w:hAnsi="Arial" w:cs="Arial"/>
      <w:i/>
      <w:szCs w:val="24"/>
      <w:lang w:val="ro-RO" w:eastAsia="ro-RO"/>
    </w:rPr>
  </w:style>
  <w:style w:type="paragraph" w:customStyle="1" w:styleId="1tabeltitlu">
    <w:name w:val="1 tabel titlu"/>
    <w:basedOn w:val="Normal"/>
    <w:uiPriority w:val="99"/>
    <w:qFormat/>
    <w:rsid w:val="00F2046E"/>
    <w:pPr>
      <w:spacing w:before="240" w:after="120" w:line="240" w:lineRule="auto"/>
      <w:jc w:val="center"/>
    </w:pPr>
    <w:rPr>
      <w:rFonts w:ascii="Arial" w:eastAsia="Times New Roman" w:hAnsi="Arial" w:cs="Arial"/>
      <w:b/>
      <w:szCs w:val="24"/>
      <w:lang w:val="ro-RO" w:eastAsia="ro-RO"/>
    </w:rPr>
  </w:style>
  <w:style w:type="paragraph" w:customStyle="1" w:styleId="1tabelrest">
    <w:name w:val="1 tabel rest"/>
    <w:basedOn w:val="Normal"/>
    <w:uiPriority w:val="99"/>
    <w:qFormat/>
    <w:rsid w:val="00F2046E"/>
    <w:pPr>
      <w:spacing w:after="0" w:line="240" w:lineRule="auto"/>
      <w:jc w:val="center"/>
    </w:pPr>
    <w:rPr>
      <w:rFonts w:ascii="Arial" w:eastAsia="Times New Roman" w:hAnsi="Arial" w:cs="Arial"/>
      <w:szCs w:val="24"/>
      <w:lang w:val="ro-RO" w:eastAsia="ro-RO"/>
    </w:rPr>
  </w:style>
  <w:style w:type="paragraph" w:customStyle="1" w:styleId="1text2">
    <w:name w:val="1 text 2"/>
    <w:basedOn w:val="Normal"/>
    <w:uiPriority w:val="99"/>
    <w:qFormat/>
    <w:rsid w:val="00F2046E"/>
    <w:pPr>
      <w:spacing w:before="240" w:after="0" w:line="240" w:lineRule="auto"/>
      <w:jc w:val="both"/>
    </w:pPr>
    <w:rPr>
      <w:rFonts w:ascii="Arial" w:eastAsia="Calibri" w:hAnsi="Arial" w:cs="Times New Roman"/>
      <w:iCs/>
      <w:sz w:val="24"/>
      <w:szCs w:val="24"/>
      <w:lang w:val="ro-RO"/>
    </w:rPr>
  </w:style>
  <w:style w:type="character" w:customStyle="1" w:styleId="fsl">
    <w:name w:val="fsl"/>
    <w:basedOn w:val="DefaultParagraphFont"/>
    <w:rsid w:val="00F2046E"/>
  </w:style>
  <w:style w:type="paragraph" w:customStyle="1" w:styleId="PABHtest1">
    <w:name w:val="PABH test 1"/>
    <w:basedOn w:val="Normal"/>
    <w:link w:val="PABHtest1Char"/>
    <w:rsid w:val="00F2046E"/>
    <w:pPr>
      <w:spacing w:before="240" w:after="120" w:line="240" w:lineRule="auto"/>
      <w:jc w:val="both"/>
    </w:pPr>
    <w:rPr>
      <w:rFonts w:ascii="Arial" w:eastAsia="Times New Roman" w:hAnsi="Arial" w:cs="Times New Roman"/>
      <w:sz w:val="24"/>
      <w:szCs w:val="24"/>
      <w:lang w:val="it-IT"/>
    </w:rPr>
  </w:style>
  <w:style w:type="character" w:customStyle="1" w:styleId="PABHtest1Char">
    <w:name w:val="PABH test 1 Char"/>
    <w:link w:val="PABHtest1"/>
    <w:rsid w:val="00F2046E"/>
    <w:rPr>
      <w:rFonts w:ascii="Arial" w:eastAsia="Times New Roman" w:hAnsi="Arial" w:cs="Times New Roman"/>
      <w:sz w:val="24"/>
      <w:szCs w:val="24"/>
      <w:lang w:val="it-IT"/>
    </w:rPr>
  </w:style>
  <w:style w:type="character" w:customStyle="1" w:styleId="Bodytext20">
    <w:name w:val="Body text (2)_"/>
    <w:link w:val="Bodytext21"/>
    <w:rsid w:val="00F2046E"/>
    <w:rPr>
      <w:rFonts w:ascii="Arial" w:eastAsia="Arial" w:hAnsi="Arial" w:cs="Arial"/>
      <w:shd w:val="clear" w:color="auto" w:fill="FFFFFF"/>
    </w:rPr>
  </w:style>
  <w:style w:type="paragraph" w:customStyle="1" w:styleId="Bodytext21">
    <w:name w:val="Body text (2)"/>
    <w:basedOn w:val="Normal"/>
    <w:link w:val="Bodytext20"/>
    <w:rsid w:val="00F2046E"/>
    <w:pPr>
      <w:widowControl w:val="0"/>
      <w:shd w:val="clear" w:color="auto" w:fill="FFFFFF"/>
      <w:spacing w:after="0" w:line="552" w:lineRule="exact"/>
      <w:ind w:hanging="460"/>
    </w:pPr>
    <w:rPr>
      <w:rFonts w:ascii="Arial" w:eastAsia="Arial" w:hAnsi="Arial" w:cs="Arial"/>
    </w:rPr>
  </w:style>
  <w:style w:type="table" w:customStyle="1" w:styleId="MediumShading1-Accent11">
    <w:name w:val="Medium Shading 1 - Accent 11"/>
    <w:basedOn w:val="TableNormal"/>
    <w:uiPriority w:val="63"/>
    <w:rsid w:val="00F2046E"/>
    <w:pPr>
      <w:spacing w:after="0" w:line="240" w:lineRule="auto"/>
      <w:jc w:val="both"/>
    </w:pPr>
    <w:rPr>
      <w:rFonts w:ascii="Calibri" w:eastAsia="Times New Roman" w:hAnsi="Calibri" w:cs="Times New Roman"/>
      <w:sz w:val="20"/>
      <w:szCs w:val="20"/>
      <w:lang w:val="fr-F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yiv6950314316msonormal">
    <w:name w:val="yiv6950314316msonormal"/>
    <w:basedOn w:val="Normal"/>
    <w:uiPriority w:val="99"/>
    <w:rsid w:val="00F2046E"/>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DefaultText0">
    <w:name w:val="Default Text"/>
    <w:uiPriority w:val="99"/>
    <w:rsid w:val="00F2046E"/>
    <w:pPr>
      <w:spacing w:before="60" w:after="60" w:line="260" w:lineRule="exact"/>
      <w:jc w:val="both"/>
    </w:pPr>
    <w:rPr>
      <w:rFonts w:ascii="Times New Roman" w:eastAsia="Times New Roman" w:hAnsi="Times New Roman" w:cs="Times New Roman"/>
      <w:b/>
      <w:color w:val="000000"/>
      <w:sz w:val="24"/>
      <w:szCs w:val="20"/>
    </w:rPr>
  </w:style>
  <w:style w:type="table" w:customStyle="1" w:styleId="GridTable1Light-Accent1">
    <w:name w:val="Grid Table 1 Light - Accent 1"/>
    <w:basedOn w:val="TableNormal"/>
    <w:uiPriority w:val="46"/>
    <w:rsid w:val="00F2046E"/>
    <w:pPr>
      <w:spacing w:after="0" w:line="240" w:lineRule="auto"/>
    </w:pPr>
    <w:rPr>
      <w:rFonts w:ascii="Calibri" w:eastAsia="Times New Roman" w:hAnsi="Calibri" w:cs="Times New Roman"/>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1">
    <w:name w:val="Grid Table 4 - Accent 1"/>
    <w:basedOn w:val="TableNormal"/>
    <w:uiPriority w:val="49"/>
    <w:rsid w:val="00F2046E"/>
    <w:pPr>
      <w:spacing w:after="0" w:line="240" w:lineRule="auto"/>
    </w:pPr>
    <w:rPr>
      <w:rFonts w:ascii="Calibri" w:eastAsia="Times New Roman" w:hAnsi="Calibri"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1">
    <w:name w:val="List Table 4 - Accent 1"/>
    <w:basedOn w:val="TableNormal"/>
    <w:uiPriority w:val="49"/>
    <w:rsid w:val="00F2046E"/>
    <w:pPr>
      <w:spacing w:after="0" w:line="240" w:lineRule="auto"/>
    </w:pPr>
    <w:rPr>
      <w:rFonts w:ascii="Calibri" w:eastAsia="Times New Roman" w:hAnsi="Calibri"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1Tabelr2">
    <w:name w:val="1 Tabel r2"/>
    <w:basedOn w:val="Normal"/>
    <w:uiPriority w:val="99"/>
    <w:qFormat/>
    <w:rsid w:val="00F2046E"/>
    <w:pPr>
      <w:spacing w:after="0" w:line="240" w:lineRule="auto"/>
    </w:pPr>
    <w:rPr>
      <w:rFonts w:ascii="Calibri" w:eastAsia="Times New Roman" w:hAnsi="Calibri" w:cs="Arial"/>
      <w:bCs/>
      <w:szCs w:val="24"/>
      <w:lang w:val="ro-RO"/>
    </w:rPr>
  </w:style>
  <w:style w:type="paragraph" w:customStyle="1" w:styleId="Style5">
    <w:name w:val="Style5"/>
    <w:basedOn w:val="Normal"/>
    <w:uiPriority w:val="99"/>
    <w:rsid w:val="00F2046E"/>
    <w:pPr>
      <w:widowControl w:val="0"/>
      <w:autoSpaceDE w:val="0"/>
      <w:autoSpaceDN w:val="0"/>
      <w:adjustRightInd w:val="0"/>
      <w:spacing w:after="0" w:line="269" w:lineRule="exact"/>
      <w:jc w:val="both"/>
    </w:pPr>
    <w:rPr>
      <w:rFonts w:ascii="Calibri" w:eastAsia="Times New Roman" w:hAnsi="Calibri" w:cs="Times New Roman"/>
      <w:sz w:val="24"/>
      <w:szCs w:val="24"/>
    </w:rPr>
  </w:style>
  <w:style w:type="character" w:customStyle="1" w:styleId="FontStyle62">
    <w:name w:val="Font Style62"/>
    <w:uiPriority w:val="99"/>
    <w:rsid w:val="00F2046E"/>
    <w:rPr>
      <w:rFonts w:ascii="Calibri" w:hAnsi="Calibri" w:cs="Calibri"/>
      <w:color w:val="000000"/>
      <w:sz w:val="20"/>
      <w:szCs w:val="20"/>
    </w:rPr>
  </w:style>
  <w:style w:type="paragraph" w:customStyle="1" w:styleId="font5">
    <w:name w:val="font5"/>
    <w:basedOn w:val="Normal"/>
    <w:uiPriority w:val="99"/>
    <w:rsid w:val="00F2046E"/>
    <w:pPr>
      <w:spacing w:before="100" w:beforeAutospacing="1" w:after="100" w:afterAutospacing="1" w:line="240" w:lineRule="auto"/>
    </w:pPr>
    <w:rPr>
      <w:rFonts w:ascii="Arial" w:eastAsia="Times New Roman" w:hAnsi="Arial" w:cs="Arial"/>
      <w:b/>
      <w:bCs/>
      <w:color w:val="000000"/>
      <w:sz w:val="24"/>
      <w:szCs w:val="24"/>
    </w:rPr>
  </w:style>
  <w:style w:type="paragraph" w:customStyle="1" w:styleId="font6">
    <w:name w:val="font6"/>
    <w:basedOn w:val="Normal"/>
    <w:uiPriority w:val="99"/>
    <w:rsid w:val="00F2046E"/>
    <w:pPr>
      <w:spacing w:before="100" w:beforeAutospacing="1" w:after="100" w:afterAutospacing="1" w:line="240" w:lineRule="auto"/>
    </w:pPr>
    <w:rPr>
      <w:rFonts w:ascii="Arial" w:eastAsia="Times New Roman" w:hAnsi="Arial" w:cs="Arial"/>
      <w:b/>
      <w:bCs/>
      <w:color w:val="000000"/>
      <w:sz w:val="24"/>
      <w:szCs w:val="24"/>
    </w:rPr>
  </w:style>
  <w:style w:type="paragraph" w:customStyle="1" w:styleId="xl66">
    <w:name w:val="xl66"/>
    <w:basedOn w:val="Normal"/>
    <w:uiPriority w:val="99"/>
    <w:rsid w:val="00F2046E"/>
    <w:pPr>
      <w:spacing w:before="100" w:beforeAutospacing="1" w:after="100" w:afterAutospacing="1" w:line="240" w:lineRule="auto"/>
      <w:textAlignment w:val="top"/>
    </w:pPr>
    <w:rPr>
      <w:rFonts w:ascii="Arial" w:eastAsia="Times New Roman" w:hAnsi="Arial" w:cs="Arial"/>
      <w:sz w:val="24"/>
      <w:szCs w:val="24"/>
    </w:rPr>
  </w:style>
  <w:style w:type="paragraph" w:customStyle="1" w:styleId="xl67">
    <w:name w:val="xl67"/>
    <w:basedOn w:val="Normal"/>
    <w:uiPriority w:val="99"/>
    <w:rsid w:val="00F204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rPr>
  </w:style>
  <w:style w:type="paragraph" w:customStyle="1" w:styleId="xl68">
    <w:name w:val="xl68"/>
    <w:basedOn w:val="Normal"/>
    <w:uiPriority w:val="99"/>
    <w:rsid w:val="00F204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69">
    <w:name w:val="xl69"/>
    <w:basedOn w:val="Normal"/>
    <w:uiPriority w:val="99"/>
    <w:rsid w:val="00F2046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70">
    <w:name w:val="xl70"/>
    <w:basedOn w:val="Normal"/>
    <w:uiPriority w:val="99"/>
    <w:rsid w:val="00F2046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numbering" w:customStyle="1" w:styleId="NoList3">
    <w:name w:val="No List3"/>
    <w:next w:val="NoList"/>
    <w:uiPriority w:val="99"/>
    <w:semiHidden/>
    <w:unhideWhenUsed/>
    <w:rsid w:val="00F2181A"/>
  </w:style>
  <w:style w:type="table" w:customStyle="1" w:styleId="TableGrid2">
    <w:name w:val="Table Grid2"/>
    <w:basedOn w:val="TableNormal"/>
    <w:next w:val="TableGrid"/>
    <w:uiPriority w:val="59"/>
    <w:rsid w:val="00F2181A"/>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10">
    <w:name w:val="Pa10"/>
    <w:basedOn w:val="Default"/>
    <w:next w:val="Default"/>
    <w:uiPriority w:val="99"/>
    <w:rsid w:val="00F2181A"/>
    <w:pPr>
      <w:spacing w:line="221" w:lineRule="atLeast"/>
    </w:pPr>
    <w:rPr>
      <w:rFonts w:ascii="Myriad Pro" w:eastAsiaTheme="minorHAnsi" w:hAnsi="Myriad Pro" w:cstheme="minorBidi"/>
      <w:color w:val="auto"/>
    </w:rPr>
  </w:style>
  <w:style w:type="table" w:customStyle="1" w:styleId="LightShading-Accent11">
    <w:name w:val="Light Shading - Accent 11"/>
    <w:basedOn w:val="TableNormal"/>
    <w:uiPriority w:val="60"/>
    <w:rsid w:val="00F2181A"/>
    <w:pPr>
      <w:spacing w:after="0" w:line="240" w:lineRule="auto"/>
      <w:jc w:val="both"/>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NoList4">
    <w:name w:val="No List4"/>
    <w:next w:val="NoList"/>
    <w:semiHidden/>
    <w:rsid w:val="00587B71"/>
  </w:style>
  <w:style w:type="paragraph" w:customStyle="1" w:styleId="CaracterCaracter11">
    <w:name w:val="Caracter Caracter1"/>
    <w:basedOn w:val="Normal"/>
    <w:rsid w:val="00587B71"/>
    <w:pPr>
      <w:spacing w:after="0" w:line="240" w:lineRule="auto"/>
    </w:pPr>
    <w:rPr>
      <w:rFonts w:ascii="Times New Roman" w:eastAsia="Times New Roman" w:hAnsi="Times New Roman" w:cs="Times New Roman"/>
      <w:sz w:val="24"/>
      <w:szCs w:val="24"/>
      <w:lang w:val="pl-PL" w:eastAsia="pl-PL"/>
    </w:rPr>
  </w:style>
  <w:style w:type="table" w:customStyle="1" w:styleId="TableGrid3">
    <w:name w:val="Table Grid3"/>
    <w:basedOn w:val="TableNormal"/>
    <w:next w:val="TableGrid"/>
    <w:rsid w:val="00587B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aracterCaracterCharCharCaracterCaracter1">
    <w:name w:val="Char Char Caracter Caracter Char Char Caracter Caracter"/>
    <w:basedOn w:val="Normal"/>
    <w:rsid w:val="00587B71"/>
    <w:pPr>
      <w:spacing w:after="0" w:line="240" w:lineRule="auto"/>
    </w:pPr>
    <w:rPr>
      <w:rFonts w:ascii="Times New Roman" w:eastAsia="Times New Roman" w:hAnsi="Times New Roman" w:cs="Times New Roman"/>
      <w:sz w:val="24"/>
      <w:szCs w:val="24"/>
      <w:lang w:val="pl-PL" w:eastAsia="pl-PL"/>
    </w:rPr>
  </w:style>
  <w:style w:type="paragraph" w:customStyle="1" w:styleId="Caracter1">
    <w:name w:val="Caracter"/>
    <w:basedOn w:val="Normal"/>
    <w:rsid w:val="00587B71"/>
    <w:pPr>
      <w:spacing w:after="0" w:line="240" w:lineRule="auto"/>
    </w:pPr>
    <w:rPr>
      <w:rFonts w:ascii="Times New Roman" w:eastAsia="Times New Roman" w:hAnsi="Times New Roman" w:cs="Times New Roman"/>
      <w:sz w:val="24"/>
      <w:szCs w:val="24"/>
      <w:lang w:val="pl-PL" w:eastAsia="pl-PL"/>
    </w:rPr>
  </w:style>
  <w:style w:type="paragraph" w:customStyle="1" w:styleId="CaracterCaracter2">
    <w:name w:val="Caracter Caracter"/>
    <w:basedOn w:val="Normal"/>
    <w:rsid w:val="00587B71"/>
    <w:pPr>
      <w:spacing w:after="0" w:line="240" w:lineRule="auto"/>
    </w:pPr>
    <w:rPr>
      <w:rFonts w:ascii="Times New Roman" w:eastAsia="Times New Roman" w:hAnsi="Times New Roman" w:cs="Times New Roman"/>
      <w:sz w:val="24"/>
      <w:szCs w:val="24"/>
      <w:lang w:val="pl-PL" w:eastAsia="pl-PL"/>
    </w:rPr>
  </w:style>
  <w:style w:type="paragraph" w:customStyle="1" w:styleId="Char2">
    <w:name w:val="Char"/>
    <w:basedOn w:val="Normal"/>
    <w:rsid w:val="00587B71"/>
    <w:pPr>
      <w:spacing w:after="0" w:line="240" w:lineRule="auto"/>
      <w:jc w:val="both"/>
    </w:pPr>
    <w:rPr>
      <w:rFonts w:ascii="Arial" w:eastAsia="Times New Roman" w:hAnsi="Arial" w:cs="Times New Roman"/>
      <w:sz w:val="24"/>
      <w:szCs w:val="24"/>
      <w:lang w:val="pl-PL" w:eastAsia="pl-PL"/>
    </w:rPr>
  </w:style>
  <w:style w:type="paragraph" w:customStyle="1" w:styleId="CharCharCaracterCaracter1">
    <w:name w:val="Char Char Caracter Caracter"/>
    <w:basedOn w:val="Normal"/>
    <w:rsid w:val="00587B71"/>
    <w:pPr>
      <w:spacing w:after="0" w:line="240" w:lineRule="auto"/>
    </w:pPr>
    <w:rPr>
      <w:rFonts w:ascii="Times New Roman" w:eastAsia="Times New Roman" w:hAnsi="Times New Roman" w:cs="Times New Roman"/>
      <w:sz w:val="24"/>
      <w:szCs w:val="24"/>
      <w:lang w:val="pl-PL" w:eastAsia="pl-PL"/>
    </w:rPr>
  </w:style>
  <w:style w:type="character" w:customStyle="1" w:styleId="CharChar1">
    <w:name w:val="Char Char"/>
    <w:rsid w:val="00587B71"/>
    <w:rPr>
      <w:sz w:val="24"/>
      <w:szCs w:val="24"/>
      <w:lang w:val="en-GB" w:eastAsia="en-US" w:bidi="ar-SA"/>
    </w:rPr>
  </w:style>
  <w:style w:type="character" w:customStyle="1" w:styleId="CharChar21">
    <w:name w:val="Char Char2"/>
    <w:rsid w:val="00587B71"/>
    <w:rPr>
      <w:sz w:val="24"/>
      <w:szCs w:val="24"/>
      <w:lang w:val="en-GB" w:eastAsia="en-US" w:bidi="ar-SA"/>
    </w:rPr>
  </w:style>
  <w:style w:type="paragraph" w:customStyle="1" w:styleId="CharCharCharCharCharCharCharCharChar1">
    <w:name w:val="Char Char Char Char Char Char Char Char Char"/>
    <w:basedOn w:val="Normal"/>
    <w:rsid w:val="00587B71"/>
    <w:pPr>
      <w:spacing w:after="0" w:line="240" w:lineRule="auto"/>
    </w:pPr>
    <w:rPr>
      <w:rFonts w:ascii="Times New Roman" w:eastAsia="Times New Roman" w:hAnsi="Times New Roman" w:cs="Times New Roman"/>
      <w:sz w:val="24"/>
      <w:szCs w:val="24"/>
      <w:lang w:val="pl-PL" w:eastAsia="pl-PL"/>
    </w:rPr>
  </w:style>
  <w:style w:type="character" w:customStyle="1" w:styleId="CharChar30">
    <w:name w:val="Char Char3"/>
    <w:rsid w:val="00587B71"/>
    <w:rPr>
      <w:sz w:val="24"/>
      <w:szCs w:val="24"/>
      <w:lang w:val="ro-RO" w:eastAsia="ro-RO"/>
    </w:rPr>
  </w:style>
  <w:style w:type="paragraph" w:customStyle="1" w:styleId="Char11">
    <w:name w:val="Char1"/>
    <w:basedOn w:val="Normal"/>
    <w:rsid w:val="00587B71"/>
    <w:pPr>
      <w:spacing w:after="0" w:line="240" w:lineRule="auto"/>
    </w:pPr>
    <w:rPr>
      <w:rFonts w:ascii="Times New Roman" w:eastAsia="Times New Roman" w:hAnsi="Times New Roman" w:cs="Times New Roman"/>
      <w:sz w:val="24"/>
      <w:szCs w:val="24"/>
      <w:lang w:val="pl-PL" w:eastAsia="pl-PL"/>
    </w:rPr>
  </w:style>
  <w:style w:type="numbering" w:customStyle="1" w:styleId="NoList5">
    <w:name w:val="No List5"/>
    <w:next w:val="NoList"/>
    <w:uiPriority w:val="99"/>
    <w:semiHidden/>
    <w:rsid w:val="004B269B"/>
  </w:style>
  <w:style w:type="table" w:customStyle="1" w:styleId="TableGrid4">
    <w:name w:val="Table Grid4"/>
    <w:basedOn w:val="TableNormal"/>
    <w:next w:val="TableGrid"/>
    <w:uiPriority w:val="39"/>
    <w:rsid w:val="004B269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4B269B"/>
  </w:style>
  <w:style w:type="table" w:customStyle="1" w:styleId="Umbriremedie1-Accentuare111">
    <w:name w:val="Umbrire medie 1 - Accentuare 111"/>
    <w:basedOn w:val="TableNormal"/>
    <w:uiPriority w:val="63"/>
    <w:rsid w:val="004B269B"/>
    <w:pPr>
      <w:spacing w:after="0" w:line="240" w:lineRule="auto"/>
      <w:jc w:val="both"/>
    </w:pPr>
    <w:rPr>
      <w:rFonts w:ascii="Calibri" w:eastAsia="Times New Roman" w:hAnsi="Calibri" w:cs="Times New Roman"/>
      <w:sz w:val="20"/>
      <w:szCs w:val="20"/>
      <w:lang w:val="fr-F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111">
    <w:name w:val="Medium Shading 1 - Accent 111"/>
    <w:basedOn w:val="TableNormal"/>
    <w:uiPriority w:val="63"/>
    <w:rsid w:val="004B269B"/>
    <w:pPr>
      <w:spacing w:after="0" w:line="240" w:lineRule="auto"/>
      <w:jc w:val="both"/>
    </w:pPr>
    <w:rPr>
      <w:rFonts w:ascii="Calibri" w:eastAsia="Times New Roman" w:hAnsi="Calibri" w:cs="Times New Roman"/>
      <w:sz w:val="20"/>
      <w:szCs w:val="20"/>
      <w:lang w:val="fr-F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GridTable1Light-Accent11">
    <w:name w:val="Grid Table 1 Light - Accent 11"/>
    <w:basedOn w:val="TableNormal"/>
    <w:uiPriority w:val="46"/>
    <w:rsid w:val="004B269B"/>
    <w:pPr>
      <w:spacing w:after="0" w:line="240" w:lineRule="auto"/>
    </w:pPr>
    <w:rPr>
      <w:rFonts w:ascii="Calibri" w:eastAsia="Times New Roman" w:hAnsi="Calibri" w:cs="Times New Roman"/>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4B269B"/>
    <w:pPr>
      <w:spacing w:after="0" w:line="240" w:lineRule="auto"/>
    </w:pPr>
    <w:rPr>
      <w:rFonts w:ascii="Calibri" w:eastAsia="Times New Roman" w:hAnsi="Calibri"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11">
    <w:name w:val="List Table 4 - Accent 11"/>
    <w:basedOn w:val="TableNormal"/>
    <w:uiPriority w:val="49"/>
    <w:rsid w:val="004B269B"/>
    <w:pPr>
      <w:spacing w:after="0" w:line="240" w:lineRule="auto"/>
    </w:pPr>
    <w:rPr>
      <w:rFonts w:ascii="Calibri" w:eastAsia="Times New Roman" w:hAnsi="Calibri"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6">
    <w:name w:val="No List6"/>
    <w:next w:val="NoList"/>
    <w:uiPriority w:val="99"/>
    <w:semiHidden/>
    <w:unhideWhenUsed/>
    <w:rsid w:val="00830DBB"/>
  </w:style>
  <w:style w:type="table" w:customStyle="1" w:styleId="Umbriremedie1-Accentuare112">
    <w:name w:val="Umbrire medie 1 - Accentuare 112"/>
    <w:basedOn w:val="TableNormal"/>
    <w:uiPriority w:val="63"/>
    <w:rsid w:val="00934C02"/>
    <w:pPr>
      <w:spacing w:after="0" w:line="240" w:lineRule="auto"/>
      <w:jc w:val="both"/>
    </w:pPr>
    <w:rPr>
      <w:rFonts w:ascii="Calibri" w:eastAsia="Times New Roman" w:hAnsi="Calibri" w:cs="Times New Roman"/>
      <w:sz w:val="20"/>
      <w:szCs w:val="20"/>
      <w:lang w:val="fr-FR"/>
    </w:rPr>
    <w:tblPr>
      <w:tblStyleRowBandSize w:val="1"/>
      <w:tblStyleColBandSize w:val="1"/>
      <w:tblInd w:w="0" w:type="nil"/>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Lines="0" w:before="0" w:beforeAutospacing="0" w:afterLines="0" w:after="0" w:afterAutospacing="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112">
    <w:name w:val="Medium Shading 1 - Accent 112"/>
    <w:basedOn w:val="TableNormal"/>
    <w:uiPriority w:val="63"/>
    <w:rsid w:val="00934C02"/>
    <w:pPr>
      <w:spacing w:after="0" w:line="240" w:lineRule="auto"/>
      <w:jc w:val="both"/>
    </w:pPr>
    <w:rPr>
      <w:rFonts w:ascii="Calibri" w:eastAsia="Times New Roman" w:hAnsi="Calibri" w:cs="Times New Roman"/>
      <w:sz w:val="20"/>
      <w:szCs w:val="20"/>
      <w:lang w:val="fr-FR"/>
    </w:rPr>
    <w:tblPr>
      <w:tblStyleRowBandSize w:val="1"/>
      <w:tblStyleColBandSize w:val="1"/>
      <w:tblInd w:w="0" w:type="nil"/>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Lines="0" w:before="0" w:beforeAutospacing="0" w:afterLines="0" w:after="0" w:afterAutospacing="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LightShading-Accent111">
    <w:name w:val="Light Shading - Accent 111"/>
    <w:basedOn w:val="TableNormal"/>
    <w:uiPriority w:val="60"/>
    <w:rsid w:val="00934C02"/>
    <w:pPr>
      <w:spacing w:after="0" w:line="240" w:lineRule="auto"/>
      <w:jc w:val="both"/>
    </w:pPr>
    <w:rPr>
      <w:color w:val="365F91" w:themeColor="accent1" w:themeShade="BF"/>
    </w:rPr>
    <w:tblPr>
      <w:tblStyleRowBandSize w:val="1"/>
      <w:tblStyleColBandSize w:val="1"/>
      <w:tblInd w:w="0" w:type="nil"/>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31">
    <w:name w:val="Table Grid31"/>
    <w:basedOn w:val="TableNormal"/>
    <w:next w:val="TableGrid"/>
    <w:uiPriority w:val="59"/>
    <w:rsid w:val="00934C02"/>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rsid w:val="00934C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046E"/>
  </w:style>
  <w:style w:type="paragraph" w:styleId="Heading1">
    <w:name w:val="heading 1"/>
    <w:basedOn w:val="Normal"/>
    <w:next w:val="Normal"/>
    <w:link w:val="Heading1Char"/>
    <w:uiPriority w:val="9"/>
    <w:qFormat/>
    <w:rsid w:val="00F2046E"/>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1"/>
    <w:uiPriority w:val="9"/>
    <w:qFormat/>
    <w:rsid w:val="00F2046E"/>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qFormat/>
    <w:rsid w:val="00F2046E"/>
    <w:pPr>
      <w:keepNext/>
      <w:spacing w:after="0" w:line="240" w:lineRule="auto"/>
      <w:jc w:val="both"/>
      <w:outlineLvl w:val="2"/>
    </w:pPr>
    <w:rPr>
      <w:rFonts w:ascii="Times New Roman" w:eastAsia="Times New Roman" w:hAnsi="Times New Roman" w:cs="Times New Roman"/>
      <w:b/>
      <w:bCs/>
      <w:sz w:val="24"/>
      <w:szCs w:val="24"/>
    </w:rPr>
  </w:style>
  <w:style w:type="paragraph" w:styleId="Heading4">
    <w:name w:val="heading 4"/>
    <w:basedOn w:val="Normal"/>
    <w:next w:val="Normal"/>
    <w:link w:val="Heading4Char1"/>
    <w:uiPriority w:val="9"/>
    <w:qFormat/>
    <w:rsid w:val="00F2046E"/>
    <w:pPr>
      <w:keepNext/>
      <w:spacing w:before="240" w:after="60" w:line="240" w:lineRule="auto"/>
      <w:jc w:val="both"/>
      <w:outlineLvl w:val="3"/>
    </w:pPr>
    <w:rPr>
      <w:rFonts w:ascii="Arial" w:eastAsia="Times New Roman" w:hAnsi="Arial" w:cs="Times New Roman"/>
      <w:bCs/>
      <w:i/>
      <w:sz w:val="24"/>
      <w:szCs w:val="24"/>
    </w:rPr>
  </w:style>
  <w:style w:type="paragraph" w:styleId="Heading5">
    <w:name w:val="heading 5"/>
    <w:basedOn w:val="Normal"/>
    <w:next w:val="Normal"/>
    <w:link w:val="Heading5Char"/>
    <w:uiPriority w:val="9"/>
    <w:qFormat/>
    <w:rsid w:val="00F2046E"/>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F2046E"/>
    <w:pPr>
      <w:keepNext/>
      <w:spacing w:after="0" w:line="240" w:lineRule="auto"/>
      <w:outlineLvl w:val="5"/>
    </w:pPr>
    <w:rPr>
      <w:rFonts w:ascii="Times New Roman" w:eastAsia="Times New Roman" w:hAnsi="Times New Roman" w:cs="Times New Roman"/>
      <w:b/>
      <w:sz w:val="24"/>
      <w:szCs w:val="20"/>
      <w:lang w:eastAsia="ro-RO"/>
    </w:rPr>
  </w:style>
  <w:style w:type="paragraph" w:styleId="Heading7">
    <w:name w:val="heading 7"/>
    <w:basedOn w:val="Normal"/>
    <w:next w:val="Normal"/>
    <w:link w:val="Heading7Char"/>
    <w:uiPriority w:val="9"/>
    <w:qFormat/>
    <w:rsid w:val="00F2046E"/>
    <w:pPr>
      <w:keepNext/>
      <w:spacing w:after="0" w:line="240" w:lineRule="auto"/>
      <w:jc w:val="center"/>
      <w:outlineLvl w:val="6"/>
    </w:pPr>
    <w:rPr>
      <w:rFonts w:ascii="Times New Roman" w:eastAsia="Times New Roman" w:hAnsi="Times New Roman" w:cs="Times New Roman"/>
      <w:b/>
      <w:sz w:val="24"/>
      <w:szCs w:val="20"/>
      <w:lang w:eastAsia="ro-RO"/>
    </w:rPr>
  </w:style>
  <w:style w:type="paragraph" w:styleId="Heading8">
    <w:name w:val="heading 8"/>
    <w:basedOn w:val="Normal"/>
    <w:next w:val="Normal"/>
    <w:link w:val="Heading8Char"/>
    <w:uiPriority w:val="9"/>
    <w:qFormat/>
    <w:rsid w:val="00F2046E"/>
    <w:pPr>
      <w:keepNext/>
      <w:spacing w:after="0" w:line="240" w:lineRule="auto"/>
      <w:ind w:firstLine="720"/>
      <w:outlineLvl w:val="7"/>
    </w:pPr>
    <w:rPr>
      <w:rFonts w:ascii="Arial" w:eastAsia="Times New Roman" w:hAnsi="Arial" w:cs="Arial"/>
      <w:sz w:val="24"/>
      <w:szCs w:val="20"/>
      <w:lang w:val="fr-FR" w:eastAsia="ro-RO"/>
    </w:rPr>
  </w:style>
  <w:style w:type="paragraph" w:styleId="Heading9">
    <w:name w:val="heading 9"/>
    <w:basedOn w:val="Normal"/>
    <w:next w:val="Normal"/>
    <w:link w:val="Heading9Char"/>
    <w:uiPriority w:val="9"/>
    <w:qFormat/>
    <w:rsid w:val="00F2046E"/>
    <w:pPr>
      <w:keepNext/>
      <w:spacing w:after="0" w:line="240" w:lineRule="auto"/>
      <w:ind w:firstLine="720"/>
      <w:jc w:val="both"/>
      <w:outlineLvl w:val="8"/>
    </w:pPr>
    <w:rPr>
      <w:rFonts w:ascii="Arial" w:eastAsia="Times New Roman" w:hAnsi="Arial" w:cs="Arial"/>
      <w:i/>
      <w:iCs/>
      <w:sz w:val="24"/>
      <w:szCs w:val="20"/>
      <w:lang w:val="fr-FR"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04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046E"/>
  </w:style>
  <w:style w:type="paragraph" w:styleId="Footer">
    <w:name w:val="footer"/>
    <w:basedOn w:val="Normal"/>
    <w:link w:val="FooterChar"/>
    <w:uiPriority w:val="99"/>
    <w:unhideWhenUsed/>
    <w:rsid w:val="00F204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046E"/>
  </w:style>
  <w:style w:type="paragraph" w:styleId="ListParagraph">
    <w:name w:val="List Paragraph"/>
    <w:basedOn w:val="Normal"/>
    <w:uiPriority w:val="34"/>
    <w:qFormat/>
    <w:rsid w:val="00F2046E"/>
    <w:pPr>
      <w:ind w:left="720"/>
      <w:contextualSpacing/>
    </w:pPr>
  </w:style>
  <w:style w:type="character" w:customStyle="1" w:styleId="Heading1Char">
    <w:name w:val="Heading 1 Char"/>
    <w:basedOn w:val="DefaultParagraphFont"/>
    <w:link w:val="Heading1"/>
    <w:uiPriority w:val="9"/>
    <w:rsid w:val="00F2046E"/>
    <w:rPr>
      <w:rFonts w:ascii="Arial" w:eastAsia="Times New Roman" w:hAnsi="Arial" w:cs="Arial"/>
      <w:b/>
      <w:bCs/>
      <w:kern w:val="32"/>
      <w:sz w:val="32"/>
      <w:szCs w:val="32"/>
    </w:rPr>
  </w:style>
  <w:style w:type="character" w:customStyle="1" w:styleId="Heading2Char">
    <w:name w:val="Heading 2 Char"/>
    <w:basedOn w:val="DefaultParagraphFont"/>
    <w:uiPriority w:val="9"/>
    <w:rsid w:val="00F2046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2046E"/>
    <w:rPr>
      <w:rFonts w:ascii="Times New Roman" w:eastAsia="Times New Roman" w:hAnsi="Times New Roman" w:cs="Times New Roman"/>
      <w:b/>
      <w:bCs/>
      <w:sz w:val="24"/>
      <w:szCs w:val="24"/>
    </w:rPr>
  </w:style>
  <w:style w:type="character" w:customStyle="1" w:styleId="Heading4Char">
    <w:name w:val="Heading 4 Char"/>
    <w:basedOn w:val="DefaultParagraphFont"/>
    <w:uiPriority w:val="9"/>
    <w:rsid w:val="00F2046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F2046E"/>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F2046E"/>
    <w:rPr>
      <w:rFonts w:ascii="Times New Roman" w:eastAsia="Times New Roman" w:hAnsi="Times New Roman" w:cs="Times New Roman"/>
      <w:b/>
      <w:sz w:val="24"/>
      <w:szCs w:val="20"/>
      <w:lang w:eastAsia="ro-RO"/>
    </w:rPr>
  </w:style>
  <w:style w:type="character" w:customStyle="1" w:styleId="Heading7Char">
    <w:name w:val="Heading 7 Char"/>
    <w:basedOn w:val="DefaultParagraphFont"/>
    <w:link w:val="Heading7"/>
    <w:uiPriority w:val="9"/>
    <w:rsid w:val="00F2046E"/>
    <w:rPr>
      <w:rFonts w:ascii="Times New Roman" w:eastAsia="Times New Roman" w:hAnsi="Times New Roman" w:cs="Times New Roman"/>
      <w:b/>
      <w:sz w:val="24"/>
      <w:szCs w:val="20"/>
      <w:lang w:eastAsia="ro-RO"/>
    </w:rPr>
  </w:style>
  <w:style w:type="character" w:customStyle="1" w:styleId="Heading8Char">
    <w:name w:val="Heading 8 Char"/>
    <w:basedOn w:val="DefaultParagraphFont"/>
    <w:link w:val="Heading8"/>
    <w:uiPriority w:val="9"/>
    <w:rsid w:val="00F2046E"/>
    <w:rPr>
      <w:rFonts w:ascii="Arial" w:eastAsia="Times New Roman" w:hAnsi="Arial" w:cs="Arial"/>
      <w:sz w:val="24"/>
      <w:szCs w:val="20"/>
      <w:lang w:val="fr-FR" w:eastAsia="ro-RO"/>
    </w:rPr>
  </w:style>
  <w:style w:type="character" w:customStyle="1" w:styleId="Heading9Char">
    <w:name w:val="Heading 9 Char"/>
    <w:basedOn w:val="DefaultParagraphFont"/>
    <w:link w:val="Heading9"/>
    <w:uiPriority w:val="9"/>
    <w:rsid w:val="00F2046E"/>
    <w:rPr>
      <w:rFonts w:ascii="Arial" w:eastAsia="Times New Roman" w:hAnsi="Arial" w:cs="Arial"/>
      <w:i/>
      <w:iCs/>
      <w:sz w:val="24"/>
      <w:szCs w:val="20"/>
      <w:lang w:val="fr-FR" w:eastAsia="ro-RO"/>
    </w:rPr>
  </w:style>
  <w:style w:type="numbering" w:customStyle="1" w:styleId="NoList1">
    <w:name w:val="No List1"/>
    <w:next w:val="NoList"/>
    <w:semiHidden/>
    <w:rsid w:val="00F2046E"/>
  </w:style>
  <w:style w:type="paragraph" w:styleId="NoSpacing">
    <w:name w:val="No Spacing"/>
    <w:link w:val="NoSpacingChar"/>
    <w:uiPriority w:val="1"/>
    <w:qFormat/>
    <w:rsid w:val="00F2046E"/>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F2046E"/>
    <w:rPr>
      <w:rFonts w:ascii="Calibri" w:eastAsia="Times New Roman" w:hAnsi="Calibri" w:cs="Times New Roman"/>
    </w:rPr>
  </w:style>
  <w:style w:type="paragraph" w:styleId="BalloonText">
    <w:name w:val="Balloon Text"/>
    <w:basedOn w:val="Normal"/>
    <w:link w:val="BalloonTextChar"/>
    <w:uiPriority w:val="99"/>
    <w:rsid w:val="00F2046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F2046E"/>
    <w:rPr>
      <w:rFonts w:ascii="Tahoma" w:eastAsia="Times New Roman" w:hAnsi="Tahoma" w:cs="Tahoma"/>
      <w:sz w:val="16"/>
      <w:szCs w:val="16"/>
    </w:rPr>
  </w:style>
  <w:style w:type="character" w:styleId="Hyperlink">
    <w:name w:val="Hyperlink"/>
    <w:uiPriority w:val="99"/>
    <w:rsid w:val="00F2046E"/>
    <w:rPr>
      <w:color w:val="0000FF"/>
      <w:u w:val="single"/>
    </w:rPr>
  </w:style>
  <w:style w:type="paragraph" w:styleId="TOC1">
    <w:name w:val="toc 1"/>
    <w:basedOn w:val="Normal"/>
    <w:next w:val="Normal"/>
    <w:autoRedefine/>
    <w:uiPriority w:val="39"/>
    <w:rsid w:val="00F2046E"/>
    <w:pPr>
      <w:spacing w:before="120" w:after="120" w:line="240" w:lineRule="auto"/>
    </w:pPr>
    <w:rPr>
      <w:rFonts w:ascii="Arial" w:eastAsia="Times New Roman" w:hAnsi="Arial" w:cs="Times New Roman"/>
      <w:b/>
      <w:bCs/>
      <w:caps/>
      <w:sz w:val="24"/>
      <w:szCs w:val="24"/>
    </w:rPr>
  </w:style>
  <w:style w:type="paragraph" w:styleId="TOC2">
    <w:name w:val="toc 2"/>
    <w:basedOn w:val="Normal"/>
    <w:next w:val="Normal"/>
    <w:autoRedefine/>
    <w:rsid w:val="00F2046E"/>
    <w:pPr>
      <w:tabs>
        <w:tab w:val="left" w:pos="720"/>
        <w:tab w:val="right" w:leader="dot" w:pos="9628"/>
      </w:tabs>
      <w:spacing w:after="0" w:line="240" w:lineRule="auto"/>
      <w:ind w:left="240"/>
    </w:pPr>
    <w:rPr>
      <w:rFonts w:ascii="Times New Roman" w:eastAsia="Times New Roman" w:hAnsi="Times New Roman" w:cs="Times New Roman"/>
      <w:smallCaps/>
      <w:sz w:val="20"/>
      <w:szCs w:val="20"/>
    </w:rPr>
  </w:style>
  <w:style w:type="character" w:customStyle="1" w:styleId="FooterChar2">
    <w:name w:val="Footer Char2"/>
    <w:locked/>
    <w:rsid w:val="00F2046E"/>
    <w:rPr>
      <w:rFonts w:ascii="Arial" w:hAnsi="Arial"/>
      <w:sz w:val="24"/>
      <w:szCs w:val="24"/>
      <w:lang w:val="en-US" w:eastAsia="en-US" w:bidi="ar-SA"/>
    </w:rPr>
  </w:style>
  <w:style w:type="character" w:styleId="PageNumber">
    <w:name w:val="page number"/>
    <w:basedOn w:val="DefaultParagraphFont"/>
    <w:rsid w:val="00F2046E"/>
  </w:style>
  <w:style w:type="character" w:customStyle="1" w:styleId="Heading2Char1">
    <w:name w:val="Heading 2 Char1"/>
    <w:link w:val="Heading2"/>
    <w:locked/>
    <w:rsid w:val="00F2046E"/>
    <w:rPr>
      <w:rFonts w:ascii="Arial" w:eastAsia="Times New Roman" w:hAnsi="Arial" w:cs="Arial"/>
      <w:b/>
      <w:bCs/>
      <w:i/>
      <w:iCs/>
      <w:sz w:val="28"/>
      <w:szCs w:val="28"/>
    </w:rPr>
  </w:style>
  <w:style w:type="character" w:customStyle="1" w:styleId="Heading4Char1">
    <w:name w:val="Heading 4 Char1"/>
    <w:link w:val="Heading4"/>
    <w:rsid w:val="00F2046E"/>
    <w:rPr>
      <w:rFonts w:ascii="Arial" w:eastAsia="Times New Roman" w:hAnsi="Arial" w:cs="Times New Roman"/>
      <w:bCs/>
      <w:i/>
      <w:sz w:val="24"/>
      <w:szCs w:val="24"/>
    </w:rPr>
  </w:style>
  <w:style w:type="paragraph" w:styleId="BodyText">
    <w:name w:val="Body Text"/>
    <w:basedOn w:val="Normal"/>
    <w:link w:val="BodyTextChar"/>
    <w:rsid w:val="00F2046E"/>
    <w:pPr>
      <w:spacing w:after="120" w:line="240" w:lineRule="auto"/>
      <w:jc w:val="both"/>
    </w:pPr>
    <w:rPr>
      <w:rFonts w:ascii="Arial" w:eastAsia="Times New Roman" w:hAnsi="Arial" w:cs="Times New Roman"/>
      <w:sz w:val="24"/>
      <w:szCs w:val="24"/>
    </w:rPr>
  </w:style>
  <w:style w:type="character" w:customStyle="1" w:styleId="BodyTextChar">
    <w:name w:val="Body Text Char"/>
    <w:basedOn w:val="DefaultParagraphFont"/>
    <w:link w:val="BodyText"/>
    <w:rsid w:val="00F2046E"/>
    <w:rPr>
      <w:rFonts w:ascii="Arial" w:eastAsia="Times New Roman" w:hAnsi="Arial" w:cs="Times New Roman"/>
      <w:sz w:val="24"/>
      <w:szCs w:val="24"/>
    </w:rPr>
  </w:style>
  <w:style w:type="paragraph" w:styleId="BodyTextIndent2">
    <w:name w:val="Body Text Indent 2"/>
    <w:basedOn w:val="Normal"/>
    <w:link w:val="BodyTextIndent2Char"/>
    <w:rsid w:val="00F2046E"/>
    <w:pPr>
      <w:spacing w:after="120" w:line="480" w:lineRule="auto"/>
      <w:ind w:left="360"/>
      <w:jc w:val="both"/>
    </w:pPr>
    <w:rPr>
      <w:rFonts w:ascii="Arial" w:eastAsia="Times New Roman" w:hAnsi="Arial" w:cs="Times New Roman"/>
      <w:sz w:val="24"/>
      <w:szCs w:val="24"/>
    </w:rPr>
  </w:style>
  <w:style w:type="character" w:customStyle="1" w:styleId="BodyTextIndent2Char">
    <w:name w:val="Body Text Indent 2 Char"/>
    <w:basedOn w:val="DefaultParagraphFont"/>
    <w:link w:val="BodyTextIndent2"/>
    <w:rsid w:val="00F2046E"/>
    <w:rPr>
      <w:rFonts w:ascii="Arial" w:eastAsia="Times New Roman" w:hAnsi="Arial" w:cs="Times New Roman"/>
      <w:sz w:val="24"/>
      <w:szCs w:val="24"/>
    </w:rPr>
  </w:style>
  <w:style w:type="character" w:customStyle="1" w:styleId="bluetext3">
    <w:name w:val="bluetext3"/>
    <w:rsid w:val="00F2046E"/>
    <w:rPr>
      <w:color w:val="556A95"/>
    </w:rPr>
  </w:style>
  <w:style w:type="character" w:styleId="Emphasis">
    <w:name w:val="Emphasis"/>
    <w:uiPriority w:val="20"/>
    <w:qFormat/>
    <w:rsid w:val="00F2046E"/>
    <w:rPr>
      <w:i/>
      <w:iCs/>
    </w:rPr>
  </w:style>
  <w:style w:type="paragraph" w:styleId="BodyText3">
    <w:name w:val="Body Text 3"/>
    <w:basedOn w:val="Normal"/>
    <w:link w:val="BodyText3Char"/>
    <w:rsid w:val="00F2046E"/>
    <w:pPr>
      <w:spacing w:after="120" w:line="240" w:lineRule="auto"/>
    </w:pPr>
    <w:rPr>
      <w:rFonts w:ascii="Times New Roman" w:eastAsia="Times New Roman" w:hAnsi="Times New Roman" w:cs="Times New Roman"/>
      <w:sz w:val="16"/>
      <w:szCs w:val="16"/>
      <w:lang w:val="ro-RO" w:eastAsia="ro-RO"/>
    </w:rPr>
  </w:style>
  <w:style w:type="character" w:customStyle="1" w:styleId="BodyText3Char">
    <w:name w:val="Body Text 3 Char"/>
    <w:basedOn w:val="DefaultParagraphFont"/>
    <w:link w:val="BodyText3"/>
    <w:rsid w:val="00F2046E"/>
    <w:rPr>
      <w:rFonts w:ascii="Times New Roman" w:eastAsia="Times New Roman" w:hAnsi="Times New Roman" w:cs="Times New Roman"/>
      <w:sz w:val="16"/>
      <w:szCs w:val="16"/>
      <w:lang w:val="ro-RO" w:eastAsia="ro-RO"/>
    </w:rPr>
  </w:style>
  <w:style w:type="paragraph" w:customStyle="1" w:styleId="CaracterCaracter1">
    <w:name w:val="Caracter Caracter1"/>
    <w:basedOn w:val="Normal"/>
    <w:rsid w:val="00F2046E"/>
    <w:pPr>
      <w:spacing w:after="0" w:line="240" w:lineRule="auto"/>
    </w:pPr>
    <w:rPr>
      <w:rFonts w:ascii="Times New Roman" w:eastAsia="Times New Roman" w:hAnsi="Times New Roman" w:cs="Times New Roman"/>
      <w:sz w:val="24"/>
      <w:szCs w:val="24"/>
      <w:lang w:val="pl-PL" w:eastAsia="pl-PL"/>
    </w:rPr>
  </w:style>
  <w:style w:type="paragraph" w:styleId="NormalWeb">
    <w:name w:val="Normal (Web)"/>
    <w:basedOn w:val="Normal"/>
    <w:uiPriority w:val="99"/>
    <w:rsid w:val="00F2046E"/>
    <w:pPr>
      <w:spacing w:before="100" w:beforeAutospacing="1" w:after="100" w:afterAutospacing="1" w:line="240" w:lineRule="auto"/>
    </w:pPr>
    <w:rPr>
      <w:rFonts w:ascii="Arial Unicode MS" w:eastAsia="Arial Unicode MS" w:hAnsi="Arial Unicode MS" w:cs="Arial Unicode MS"/>
      <w:sz w:val="24"/>
      <w:szCs w:val="24"/>
      <w:lang w:val="ro-RO" w:eastAsia="ro-RO"/>
    </w:rPr>
  </w:style>
  <w:style w:type="paragraph" w:styleId="Caption">
    <w:name w:val="caption"/>
    <w:basedOn w:val="Normal"/>
    <w:next w:val="Normal"/>
    <w:uiPriority w:val="35"/>
    <w:qFormat/>
    <w:rsid w:val="00F2046E"/>
    <w:pPr>
      <w:spacing w:before="120" w:after="120" w:line="240" w:lineRule="auto"/>
    </w:pPr>
    <w:rPr>
      <w:rFonts w:ascii="Times New Roman" w:eastAsia="Times New Roman" w:hAnsi="Times New Roman" w:cs="Times New Roman"/>
      <w:b/>
      <w:bCs/>
      <w:sz w:val="20"/>
      <w:szCs w:val="20"/>
    </w:rPr>
  </w:style>
  <w:style w:type="paragraph" w:styleId="BodyText2">
    <w:name w:val="Body Text 2"/>
    <w:basedOn w:val="Normal"/>
    <w:link w:val="BodyText2Char"/>
    <w:rsid w:val="00F2046E"/>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F2046E"/>
    <w:rPr>
      <w:rFonts w:ascii="Times New Roman" w:eastAsia="Times New Roman" w:hAnsi="Times New Roman" w:cs="Times New Roman"/>
      <w:sz w:val="24"/>
      <w:szCs w:val="24"/>
    </w:rPr>
  </w:style>
  <w:style w:type="paragraph" w:styleId="BodyTextIndent">
    <w:name w:val="Body Text Indent"/>
    <w:basedOn w:val="Normal"/>
    <w:link w:val="BodyTextIndentChar"/>
    <w:rsid w:val="00F2046E"/>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F2046E"/>
    <w:rPr>
      <w:rFonts w:ascii="Times New Roman" w:eastAsia="Times New Roman" w:hAnsi="Times New Roman" w:cs="Times New Roman"/>
      <w:sz w:val="24"/>
      <w:szCs w:val="24"/>
    </w:rPr>
  </w:style>
  <w:style w:type="paragraph" w:styleId="BodyTextIndent3">
    <w:name w:val="Body Text Indent 3"/>
    <w:basedOn w:val="Normal"/>
    <w:link w:val="BodyTextIndent3Char"/>
    <w:rsid w:val="00F2046E"/>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F2046E"/>
    <w:rPr>
      <w:rFonts w:ascii="Times New Roman" w:eastAsia="Times New Roman" w:hAnsi="Times New Roman" w:cs="Times New Roman"/>
      <w:sz w:val="16"/>
      <w:szCs w:val="16"/>
    </w:rPr>
  </w:style>
  <w:style w:type="table" w:styleId="TableGrid">
    <w:name w:val="Table Grid"/>
    <w:basedOn w:val="TableNormal"/>
    <w:uiPriority w:val="59"/>
    <w:rsid w:val="00F204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F2046E"/>
    <w:pPr>
      <w:spacing w:after="0" w:line="240" w:lineRule="auto"/>
      <w:jc w:val="center"/>
    </w:pPr>
    <w:rPr>
      <w:rFonts w:ascii="Times New Roman" w:eastAsia="Times New Roman" w:hAnsi="Times New Roman" w:cs="Times New Roman"/>
      <w:sz w:val="28"/>
      <w:szCs w:val="20"/>
      <w:lang w:val="ro-RO"/>
    </w:rPr>
  </w:style>
  <w:style w:type="character" w:customStyle="1" w:styleId="TitleChar">
    <w:name w:val="Title Char"/>
    <w:basedOn w:val="DefaultParagraphFont"/>
    <w:link w:val="Title"/>
    <w:uiPriority w:val="10"/>
    <w:rsid w:val="00F2046E"/>
    <w:rPr>
      <w:rFonts w:ascii="Times New Roman" w:eastAsia="Times New Roman" w:hAnsi="Times New Roman" w:cs="Times New Roman"/>
      <w:sz w:val="28"/>
      <w:szCs w:val="20"/>
      <w:lang w:val="ro-RO"/>
    </w:rPr>
  </w:style>
  <w:style w:type="character" w:styleId="Strong">
    <w:name w:val="Strong"/>
    <w:qFormat/>
    <w:rsid w:val="00F2046E"/>
    <w:rPr>
      <w:b/>
      <w:bCs/>
    </w:rPr>
  </w:style>
  <w:style w:type="paragraph" w:customStyle="1" w:styleId="CharCharCaracterCaracterCharCharCaracterCaracter">
    <w:name w:val="Char Char Caracter Caracter Char Char Caracter Caracter"/>
    <w:basedOn w:val="Normal"/>
    <w:rsid w:val="00F2046E"/>
    <w:pPr>
      <w:spacing w:after="0" w:line="240" w:lineRule="auto"/>
    </w:pPr>
    <w:rPr>
      <w:rFonts w:ascii="Times New Roman" w:eastAsia="Times New Roman" w:hAnsi="Times New Roman" w:cs="Times New Roman"/>
      <w:sz w:val="24"/>
      <w:szCs w:val="24"/>
      <w:lang w:val="pl-PL" w:eastAsia="pl-PL"/>
    </w:rPr>
  </w:style>
  <w:style w:type="paragraph" w:customStyle="1" w:styleId="Caracter">
    <w:name w:val="Caracter"/>
    <w:basedOn w:val="Normal"/>
    <w:rsid w:val="00F2046E"/>
    <w:pPr>
      <w:spacing w:after="0" w:line="240" w:lineRule="auto"/>
    </w:pPr>
    <w:rPr>
      <w:rFonts w:ascii="Times New Roman" w:eastAsia="Times New Roman" w:hAnsi="Times New Roman" w:cs="Times New Roman"/>
      <w:sz w:val="24"/>
      <w:szCs w:val="24"/>
      <w:lang w:val="pl-PL" w:eastAsia="pl-PL"/>
    </w:rPr>
  </w:style>
  <w:style w:type="character" w:customStyle="1" w:styleId="ln2tlitera">
    <w:name w:val="ln2tlitera"/>
    <w:basedOn w:val="DefaultParagraphFont"/>
    <w:rsid w:val="00F2046E"/>
  </w:style>
  <w:style w:type="character" w:customStyle="1" w:styleId="style61">
    <w:name w:val="style61"/>
    <w:rsid w:val="00F2046E"/>
    <w:rPr>
      <w:b/>
      <w:bCs/>
      <w:color w:val="0000CC"/>
    </w:rPr>
  </w:style>
  <w:style w:type="paragraph" w:customStyle="1" w:styleId="CaracterCaracter">
    <w:name w:val="Caracter Caracter"/>
    <w:basedOn w:val="Normal"/>
    <w:rsid w:val="00F2046E"/>
    <w:pPr>
      <w:spacing w:after="0" w:line="240" w:lineRule="auto"/>
    </w:pPr>
    <w:rPr>
      <w:rFonts w:ascii="Times New Roman" w:eastAsia="Times New Roman" w:hAnsi="Times New Roman" w:cs="Times New Roman"/>
      <w:sz w:val="24"/>
      <w:szCs w:val="24"/>
      <w:lang w:val="pl-PL" w:eastAsia="pl-PL"/>
    </w:rPr>
  </w:style>
  <w:style w:type="paragraph" w:customStyle="1" w:styleId="Char">
    <w:name w:val="Char"/>
    <w:basedOn w:val="Normal"/>
    <w:rsid w:val="00F2046E"/>
    <w:pPr>
      <w:spacing w:after="0" w:line="240" w:lineRule="auto"/>
    </w:pPr>
    <w:rPr>
      <w:rFonts w:ascii="Times New Roman" w:eastAsia="Times New Roman" w:hAnsi="Times New Roman" w:cs="Times New Roman"/>
      <w:sz w:val="24"/>
      <w:szCs w:val="24"/>
      <w:lang w:val="pl-PL" w:eastAsia="pl-PL"/>
    </w:rPr>
  </w:style>
  <w:style w:type="paragraph" w:customStyle="1" w:styleId="Char0">
    <w:name w:val="Char"/>
    <w:basedOn w:val="Normal"/>
    <w:rsid w:val="00F2046E"/>
    <w:pPr>
      <w:spacing w:after="0" w:line="240" w:lineRule="auto"/>
      <w:jc w:val="both"/>
    </w:pPr>
    <w:rPr>
      <w:rFonts w:ascii="Arial" w:eastAsia="Times New Roman" w:hAnsi="Arial" w:cs="Times New Roman"/>
      <w:sz w:val="24"/>
      <w:szCs w:val="24"/>
      <w:lang w:val="pl-PL" w:eastAsia="pl-PL"/>
    </w:rPr>
  </w:style>
  <w:style w:type="paragraph" w:customStyle="1" w:styleId="CharCharCaracterCaracter">
    <w:name w:val="Char Char Caracter Caracter"/>
    <w:basedOn w:val="Normal"/>
    <w:rsid w:val="00F2046E"/>
    <w:pPr>
      <w:spacing w:after="0" w:line="240" w:lineRule="auto"/>
    </w:pPr>
    <w:rPr>
      <w:rFonts w:ascii="Times New Roman" w:eastAsia="Times New Roman" w:hAnsi="Times New Roman" w:cs="Times New Roman"/>
      <w:sz w:val="24"/>
      <w:szCs w:val="24"/>
      <w:lang w:val="pl-PL" w:eastAsia="pl-PL"/>
    </w:rPr>
  </w:style>
  <w:style w:type="character" w:customStyle="1" w:styleId="link-aspid444">
    <w:name w:val="link-asp?id=444"/>
    <w:basedOn w:val="DefaultParagraphFont"/>
    <w:rsid w:val="00F2046E"/>
  </w:style>
  <w:style w:type="character" w:customStyle="1" w:styleId="languagecodes">
    <w:name w:val="languagecodes"/>
    <w:basedOn w:val="DefaultParagraphFont"/>
    <w:rsid w:val="00F2046E"/>
  </w:style>
  <w:style w:type="character" w:customStyle="1" w:styleId="link-aspid435">
    <w:name w:val="link-asp?id=435"/>
    <w:basedOn w:val="DefaultParagraphFont"/>
    <w:rsid w:val="00F2046E"/>
  </w:style>
  <w:style w:type="character" w:customStyle="1" w:styleId="link-html">
    <w:name w:val="link-html"/>
    <w:basedOn w:val="DefaultParagraphFont"/>
    <w:rsid w:val="00F2046E"/>
  </w:style>
  <w:style w:type="character" w:customStyle="1" w:styleId="link-external">
    <w:name w:val="link-external"/>
    <w:basedOn w:val="DefaultParagraphFont"/>
    <w:rsid w:val="00F2046E"/>
  </w:style>
  <w:style w:type="paragraph" w:customStyle="1" w:styleId="xl29">
    <w:name w:val="xl29"/>
    <w:basedOn w:val="Normal"/>
    <w:rsid w:val="00F2046E"/>
    <w:pPr>
      <w:pBdr>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val="en-GB"/>
    </w:rPr>
  </w:style>
  <w:style w:type="paragraph" w:customStyle="1" w:styleId="CharCharCharChar">
    <w:name w:val="Char Char Char Char"/>
    <w:basedOn w:val="Normal"/>
    <w:rsid w:val="00F2046E"/>
    <w:pPr>
      <w:spacing w:after="0" w:line="240" w:lineRule="auto"/>
    </w:pPr>
    <w:rPr>
      <w:rFonts w:ascii="Times New Roman" w:eastAsia="SimSun" w:hAnsi="Times New Roman" w:cs="Times New Roman"/>
      <w:sz w:val="24"/>
      <w:szCs w:val="24"/>
      <w:lang w:val="pl-PL" w:eastAsia="pl-PL"/>
    </w:rPr>
  </w:style>
  <w:style w:type="paragraph" w:customStyle="1" w:styleId="Default">
    <w:name w:val="Default"/>
    <w:rsid w:val="00F2046E"/>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ighlightedsearchterm">
    <w:name w:val="highlightedsearchterm"/>
    <w:basedOn w:val="DefaultParagraphFont"/>
    <w:rsid w:val="00F2046E"/>
  </w:style>
  <w:style w:type="character" w:customStyle="1" w:styleId="apple-converted-space">
    <w:name w:val="apple-converted-space"/>
    <w:basedOn w:val="DefaultParagraphFont"/>
    <w:rsid w:val="00F2046E"/>
  </w:style>
  <w:style w:type="paragraph" w:customStyle="1" w:styleId="rvps3">
    <w:name w:val="rvps3"/>
    <w:basedOn w:val="Normal"/>
    <w:rsid w:val="00F204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
    <w:name w:val="rvts7"/>
    <w:basedOn w:val="DefaultParagraphFont"/>
    <w:rsid w:val="00F2046E"/>
  </w:style>
  <w:style w:type="character" w:customStyle="1" w:styleId="rvts9">
    <w:name w:val="rvts9"/>
    <w:basedOn w:val="DefaultParagraphFont"/>
    <w:rsid w:val="00F2046E"/>
  </w:style>
  <w:style w:type="character" w:customStyle="1" w:styleId="rvts12">
    <w:name w:val="rvts12"/>
    <w:basedOn w:val="DefaultParagraphFont"/>
    <w:rsid w:val="00F2046E"/>
  </w:style>
  <w:style w:type="character" w:customStyle="1" w:styleId="rvts20">
    <w:name w:val="rvts20"/>
    <w:basedOn w:val="DefaultParagraphFont"/>
    <w:rsid w:val="00F2046E"/>
  </w:style>
  <w:style w:type="character" w:customStyle="1" w:styleId="rvts25">
    <w:name w:val="rvts25"/>
    <w:basedOn w:val="DefaultParagraphFont"/>
    <w:rsid w:val="00F2046E"/>
  </w:style>
  <w:style w:type="paragraph" w:customStyle="1" w:styleId="Pa6">
    <w:name w:val="Pa6"/>
    <w:basedOn w:val="Default"/>
    <w:next w:val="Default"/>
    <w:rsid w:val="00F2046E"/>
    <w:pPr>
      <w:spacing w:line="201" w:lineRule="atLeast"/>
    </w:pPr>
    <w:rPr>
      <w:rFonts w:ascii="EC Square Sans Pro" w:hAnsi="EC Square Sans Pro" w:cs="Times New Roman"/>
      <w:color w:val="auto"/>
    </w:rPr>
  </w:style>
  <w:style w:type="paragraph" w:customStyle="1" w:styleId="CaracterCaracter10">
    <w:name w:val="Caracter Caracter1"/>
    <w:basedOn w:val="Normal"/>
    <w:rsid w:val="00F2046E"/>
    <w:pPr>
      <w:spacing w:after="0" w:line="240" w:lineRule="auto"/>
    </w:pPr>
    <w:rPr>
      <w:rFonts w:ascii="Times New Roman" w:eastAsia="Times New Roman" w:hAnsi="Times New Roman" w:cs="Times New Roman"/>
      <w:sz w:val="24"/>
      <w:szCs w:val="24"/>
      <w:lang w:val="pl-PL" w:eastAsia="pl-PL"/>
    </w:rPr>
  </w:style>
  <w:style w:type="paragraph" w:customStyle="1" w:styleId="CharCharCaracterCaracterCharCharCaracterCaracter0">
    <w:name w:val="Char Char Caracter Caracter Char Char Caracter Caracter"/>
    <w:basedOn w:val="Normal"/>
    <w:rsid w:val="00F2046E"/>
    <w:pPr>
      <w:spacing w:after="0" w:line="240" w:lineRule="auto"/>
    </w:pPr>
    <w:rPr>
      <w:rFonts w:ascii="Times New Roman" w:eastAsia="Times New Roman" w:hAnsi="Times New Roman" w:cs="Times New Roman"/>
      <w:sz w:val="24"/>
      <w:szCs w:val="24"/>
      <w:lang w:val="pl-PL" w:eastAsia="pl-PL"/>
    </w:rPr>
  </w:style>
  <w:style w:type="paragraph" w:customStyle="1" w:styleId="Caracter0">
    <w:name w:val="Caracter"/>
    <w:basedOn w:val="Normal"/>
    <w:rsid w:val="00F2046E"/>
    <w:pPr>
      <w:spacing w:after="0" w:line="240" w:lineRule="auto"/>
    </w:pPr>
    <w:rPr>
      <w:rFonts w:ascii="Times New Roman" w:eastAsia="Times New Roman" w:hAnsi="Times New Roman" w:cs="Times New Roman"/>
      <w:sz w:val="24"/>
      <w:szCs w:val="24"/>
      <w:lang w:val="pl-PL" w:eastAsia="pl-PL"/>
    </w:rPr>
  </w:style>
  <w:style w:type="paragraph" w:customStyle="1" w:styleId="CaracterCaracter0">
    <w:name w:val="Caracter Caracter"/>
    <w:basedOn w:val="Normal"/>
    <w:rsid w:val="00F2046E"/>
    <w:pPr>
      <w:spacing w:after="0" w:line="240" w:lineRule="auto"/>
    </w:pPr>
    <w:rPr>
      <w:rFonts w:ascii="Times New Roman" w:eastAsia="Times New Roman" w:hAnsi="Times New Roman" w:cs="Times New Roman"/>
      <w:sz w:val="24"/>
      <w:szCs w:val="24"/>
      <w:lang w:val="pl-PL" w:eastAsia="pl-PL"/>
    </w:rPr>
  </w:style>
  <w:style w:type="paragraph" w:customStyle="1" w:styleId="CharCharCaracterCaracter0">
    <w:name w:val="Char Char Caracter Caracter"/>
    <w:basedOn w:val="Normal"/>
    <w:rsid w:val="00F2046E"/>
    <w:pPr>
      <w:spacing w:after="0" w:line="240" w:lineRule="auto"/>
    </w:pPr>
    <w:rPr>
      <w:rFonts w:ascii="Times New Roman" w:eastAsia="Times New Roman" w:hAnsi="Times New Roman" w:cs="Times New Roman"/>
      <w:sz w:val="24"/>
      <w:szCs w:val="24"/>
      <w:lang w:val="pl-PL" w:eastAsia="pl-PL"/>
    </w:rPr>
  </w:style>
  <w:style w:type="character" w:customStyle="1" w:styleId="CharChar2">
    <w:name w:val="Char Char2"/>
    <w:rsid w:val="00F2046E"/>
    <w:rPr>
      <w:sz w:val="24"/>
      <w:szCs w:val="24"/>
      <w:lang w:val="en-US" w:eastAsia="en-US" w:bidi="ar-SA"/>
    </w:rPr>
  </w:style>
  <w:style w:type="character" w:customStyle="1" w:styleId="a1">
    <w:name w:val="a1"/>
    <w:rsid w:val="00F2046E"/>
    <w:rPr>
      <w:bdr w:val="none" w:sz="0" w:space="0" w:color="auto" w:frame="1"/>
    </w:rPr>
  </w:style>
  <w:style w:type="character" w:styleId="FollowedHyperlink">
    <w:name w:val="FollowedHyperlink"/>
    <w:uiPriority w:val="99"/>
    <w:rsid w:val="00F2046E"/>
    <w:rPr>
      <w:color w:val="800080"/>
      <w:u w:val="single"/>
    </w:rPr>
  </w:style>
  <w:style w:type="character" w:customStyle="1" w:styleId="style51">
    <w:name w:val="style51"/>
    <w:rsid w:val="00F2046E"/>
    <w:rPr>
      <w:color w:val="000066"/>
    </w:rPr>
  </w:style>
  <w:style w:type="paragraph" w:customStyle="1" w:styleId="titlu-gri1">
    <w:name w:val="titlu-gri1"/>
    <w:basedOn w:val="Normal"/>
    <w:rsid w:val="00F2046E"/>
    <w:pPr>
      <w:spacing w:after="120" w:line="240" w:lineRule="auto"/>
      <w:jc w:val="both"/>
    </w:pPr>
    <w:rPr>
      <w:rFonts w:ascii="Arial" w:eastAsia="Times New Roman" w:hAnsi="Arial" w:cs="Times New Roman"/>
      <w:b/>
      <w:bCs/>
      <w:color w:val="666666"/>
      <w:sz w:val="26"/>
      <w:szCs w:val="26"/>
      <w:lang w:val="ro-RO"/>
    </w:rPr>
  </w:style>
  <w:style w:type="character" w:customStyle="1" w:styleId="CharChar">
    <w:name w:val="Char Char"/>
    <w:locked/>
    <w:rsid w:val="00F2046E"/>
    <w:rPr>
      <w:sz w:val="24"/>
      <w:szCs w:val="24"/>
      <w:lang w:val="en-GB" w:eastAsia="en-US" w:bidi="ar-SA"/>
    </w:rPr>
  </w:style>
  <w:style w:type="character" w:customStyle="1" w:styleId="google-src-text1">
    <w:name w:val="google-src-text1"/>
    <w:rsid w:val="00F2046E"/>
    <w:rPr>
      <w:vanish/>
      <w:webHidden w:val="0"/>
      <w:specVanish w:val="0"/>
    </w:rPr>
  </w:style>
  <w:style w:type="paragraph" w:customStyle="1" w:styleId="char1">
    <w:name w:val="char"/>
    <w:basedOn w:val="Normal"/>
    <w:rsid w:val="00F2046E"/>
    <w:pPr>
      <w:spacing w:after="0" w:line="240" w:lineRule="auto"/>
    </w:pPr>
    <w:rPr>
      <w:rFonts w:ascii="Times New Roman" w:eastAsia="Times New Roman" w:hAnsi="Times New Roman" w:cs="Times New Roman"/>
      <w:sz w:val="24"/>
      <w:szCs w:val="24"/>
    </w:rPr>
  </w:style>
  <w:style w:type="paragraph" w:customStyle="1" w:styleId="HyphenIndent">
    <w:name w:val="Hyphen Indent"/>
    <w:basedOn w:val="Normal"/>
    <w:rsid w:val="00F2046E"/>
    <w:pPr>
      <w:spacing w:after="120" w:line="240" w:lineRule="auto"/>
      <w:ind w:left="2376"/>
    </w:pPr>
    <w:rPr>
      <w:rFonts w:ascii="Arial" w:eastAsia="Times New Roman" w:hAnsi="Arial" w:cs="Arial"/>
      <w:lang w:val="en-GB"/>
    </w:rPr>
  </w:style>
  <w:style w:type="character" w:customStyle="1" w:styleId="i41">
    <w:name w:val="i41"/>
    <w:rsid w:val="00F2046E"/>
    <w:rPr>
      <w:rFonts w:ascii="Arial" w:hAnsi="Arial" w:cs="Arial" w:hint="default"/>
      <w:strike w:val="0"/>
      <w:dstrike w:val="0"/>
      <w:color w:val="333399"/>
      <w:sz w:val="17"/>
      <w:szCs w:val="17"/>
      <w:u w:val="none"/>
      <w:effect w:val="none"/>
    </w:rPr>
  </w:style>
  <w:style w:type="character" w:customStyle="1" w:styleId="bbtext">
    <w:name w:val="bbtext"/>
    <w:basedOn w:val="DefaultParagraphFont"/>
    <w:rsid w:val="00F2046E"/>
  </w:style>
  <w:style w:type="character" w:customStyle="1" w:styleId="A4">
    <w:name w:val="A4"/>
    <w:rsid w:val="00F2046E"/>
    <w:rPr>
      <w:rFonts w:cs="Palatino Linotype"/>
      <w:color w:val="000000"/>
      <w:sz w:val="20"/>
      <w:szCs w:val="20"/>
    </w:rPr>
  </w:style>
  <w:style w:type="character" w:customStyle="1" w:styleId="l62">
    <w:name w:val="l62"/>
    <w:rsid w:val="00F2046E"/>
    <w:rPr>
      <w:vanish w:val="0"/>
      <w:webHidden w:val="0"/>
      <w:bdr w:val="none" w:sz="0" w:space="0" w:color="auto" w:frame="1"/>
      <w:specVanish w:val="0"/>
    </w:rPr>
  </w:style>
  <w:style w:type="paragraph" w:customStyle="1" w:styleId="documentdescription">
    <w:name w:val="documentdescription"/>
    <w:basedOn w:val="Normal"/>
    <w:rsid w:val="00F204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shortcuts">
    <w:name w:val="yshortcuts"/>
    <w:basedOn w:val="DefaultParagraphFont"/>
    <w:rsid w:val="00F2046E"/>
  </w:style>
  <w:style w:type="paragraph" w:customStyle="1" w:styleId="CharCharCharCharCharCharCharCharChar">
    <w:name w:val="Char Char Char Char Char Char Char Char Char"/>
    <w:basedOn w:val="Normal"/>
    <w:rsid w:val="00F2046E"/>
    <w:pPr>
      <w:spacing w:after="0" w:line="240" w:lineRule="auto"/>
    </w:pPr>
    <w:rPr>
      <w:rFonts w:ascii="Times New Roman" w:eastAsia="Times New Roman" w:hAnsi="Times New Roman" w:cs="Times New Roman"/>
      <w:sz w:val="24"/>
      <w:szCs w:val="24"/>
      <w:lang w:val="pl-PL" w:eastAsia="pl-PL"/>
    </w:rPr>
  </w:style>
  <w:style w:type="character" w:customStyle="1" w:styleId="spatiu11">
    <w:name w:val="spatiu11"/>
    <w:basedOn w:val="DefaultParagraphFont"/>
    <w:rsid w:val="00F2046E"/>
  </w:style>
  <w:style w:type="character" w:customStyle="1" w:styleId="CharChar0">
    <w:name w:val="Char Char"/>
    <w:rsid w:val="00F2046E"/>
    <w:rPr>
      <w:sz w:val="24"/>
      <w:szCs w:val="24"/>
      <w:lang w:val="en-GB" w:eastAsia="en-US" w:bidi="ar-SA"/>
    </w:rPr>
  </w:style>
  <w:style w:type="character" w:customStyle="1" w:styleId="CharChar4">
    <w:name w:val="Char Char4"/>
    <w:locked/>
    <w:rsid w:val="00F2046E"/>
    <w:rPr>
      <w:lang w:val="en-AU" w:eastAsia="en-US" w:bidi="ar-SA"/>
    </w:rPr>
  </w:style>
  <w:style w:type="character" w:customStyle="1" w:styleId="FontStyle36">
    <w:name w:val="Font Style36"/>
    <w:rsid w:val="00F2046E"/>
    <w:rPr>
      <w:rFonts w:ascii="Times New Roman" w:hAnsi="Times New Roman" w:cs="Times New Roman"/>
      <w:sz w:val="20"/>
      <w:szCs w:val="20"/>
    </w:rPr>
  </w:style>
  <w:style w:type="paragraph" w:customStyle="1" w:styleId="Style1">
    <w:name w:val="Style1"/>
    <w:basedOn w:val="Normal"/>
    <w:rsid w:val="00F2046E"/>
    <w:pPr>
      <w:widowControl w:val="0"/>
      <w:autoSpaceDE w:val="0"/>
      <w:autoSpaceDN w:val="0"/>
      <w:adjustRightInd w:val="0"/>
      <w:spacing w:after="0" w:line="264" w:lineRule="exact"/>
      <w:ind w:firstLine="418"/>
    </w:pPr>
    <w:rPr>
      <w:rFonts w:ascii="Times New Roman" w:eastAsia="Times New Roman" w:hAnsi="Times New Roman" w:cs="Times New Roman"/>
      <w:sz w:val="24"/>
      <w:szCs w:val="24"/>
    </w:rPr>
  </w:style>
  <w:style w:type="character" w:customStyle="1" w:styleId="CharChar20">
    <w:name w:val="Char Char2"/>
    <w:rsid w:val="00F2046E"/>
    <w:rPr>
      <w:sz w:val="24"/>
      <w:szCs w:val="24"/>
      <w:lang w:val="en-GB" w:eastAsia="en-US" w:bidi="ar-SA"/>
    </w:rPr>
  </w:style>
  <w:style w:type="character" w:customStyle="1" w:styleId="FooterChar1">
    <w:name w:val="Footer Char1"/>
    <w:locked/>
    <w:rsid w:val="00F2046E"/>
    <w:rPr>
      <w:sz w:val="24"/>
      <w:szCs w:val="24"/>
      <w:lang w:val="en-GB" w:eastAsia="en-US" w:bidi="ar-SA"/>
    </w:rPr>
  </w:style>
  <w:style w:type="character" w:customStyle="1" w:styleId="hps">
    <w:name w:val="hps"/>
    <w:basedOn w:val="DefaultParagraphFont"/>
    <w:rsid w:val="00F2046E"/>
  </w:style>
  <w:style w:type="paragraph" w:customStyle="1" w:styleId="Pa5">
    <w:name w:val="Pa5"/>
    <w:basedOn w:val="Default"/>
    <w:next w:val="Default"/>
    <w:rsid w:val="00F2046E"/>
    <w:pPr>
      <w:spacing w:line="221" w:lineRule="atLeast"/>
    </w:pPr>
    <w:rPr>
      <w:rFonts w:ascii="Times New Roman" w:hAnsi="Times New Roman" w:cs="Times New Roman"/>
      <w:color w:val="auto"/>
    </w:rPr>
  </w:style>
  <w:style w:type="character" w:customStyle="1" w:styleId="A7">
    <w:name w:val="A7"/>
    <w:rsid w:val="00F2046E"/>
    <w:rPr>
      <w:color w:val="000000"/>
      <w:sz w:val="10"/>
      <w:szCs w:val="10"/>
    </w:rPr>
  </w:style>
  <w:style w:type="character" w:customStyle="1" w:styleId="A0">
    <w:name w:val="A0"/>
    <w:rsid w:val="00F2046E"/>
    <w:rPr>
      <w:color w:val="000000"/>
      <w:sz w:val="22"/>
      <w:szCs w:val="22"/>
    </w:rPr>
  </w:style>
  <w:style w:type="character" w:customStyle="1" w:styleId="a">
    <w:name w:val="a"/>
    <w:basedOn w:val="DefaultParagraphFont"/>
    <w:rsid w:val="00F2046E"/>
  </w:style>
  <w:style w:type="paragraph" w:customStyle="1" w:styleId="bodytext0">
    <w:name w:val="bodytext"/>
    <w:basedOn w:val="Normal"/>
    <w:rsid w:val="00F2046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CharCharCharCharCharCharChar0">
    <w:name w:val="Char Char Char Char Char Char Char Char Char"/>
    <w:basedOn w:val="Normal"/>
    <w:rsid w:val="00F2046E"/>
    <w:pPr>
      <w:spacing w:after="0" w:line="240" w:lineRule="auto"/>
    </w:pPr>
    <w:rPr>
      <w:rFonts w:ascii="Times New Roman" w:eastAsia="Times New Roman" w:hAnsi="Times New Roman" w:cs="Times New Roman"/>
      <w:sz w:val="24"/>
      <w:szCs w:val="24"/>
      <w:lang w:val="pl-PL" w:eastAsia="pl-PL"/>
    </w:rPr>
  </w:style>
  <w:style w:type="paragraph" w:styleId="FootnoteText">
    <w:name w:val="footnote text"/>
    <w:basedOn w:val="Normal"/>
    <w:link w:val="FootnoteTextChar"/>
    <w:uiPriority w:val="99"/>
    <w:rsid w:val="00F2046E"/>
    <w:pPr>
      <w:spacing w:after="0" w:line="240" w:lineRule="auto"/>
    </w:pPr>
    <w:rPr>
      <w:rFonts w:ascii="Times New Roman" w:eastAsia="Times New Roman" w:hAnsi="Times New Roman" w:cs="Times New Roman"/>
      <w:sz w:val="20"/>
      <w:szCs w:val="20"/>
      <w:lang w:val="ro-RO"/>
    </w:rPr>
  </w:style>
  <w:style w:type="character" w:customStyle="1" w:styleId="FootnoteTextChar">
    <w:name w:val="Footnote Text Char"/>
    <w:basedOn w:val="DefaultParagraphFont"/>
    <w:link w:val="FootnoteText"/>
    <w:uiPriority w:val="99"/>
    <w:rsid w:val="00F2046E"/>
    <w:rPr>
      <w:rFonts w:ascii="Times New Roman" w:eastAsia="Times New Roman" w:hAnsi="Times New Roman" w:cs="Times New Roman"/>
      <w:sz w:val="20"/>
      <w:szCs w:val="20"/>
      <w:lang w:val="ro-RO"/>
    </w:rPr>
  </w:style>
  <w:style w:type="character" w:styleId="FootnoteReference">
    <w:name w:val="footnote reference"/>
    <w:uiPriority w:val="99"/>
    <w:rsid w:val="00F2046E"/>
    <w:rPr>
      <w:vertAlign w:val="superscript"/>
    </w:rPr>
  </w:style>
  <w:style w:type="paragraph" w:customStyle="1" w:styleId="default0">
    <w:name w:val="default"/>
    <w:basedOn w:val="Normal"/>
    <w:rsid w:val="00F204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pa1">
    <w:name w:val="tpa1"/>
    <w:basedOn w:val="DefaultParagraphFont"/>
    <w:rsid w:val="00F2046E"/>
  </w:style>
  <w:style w:type="character" w:customStyle="1" w:styleId="FontStyle15">
    <w:name w:val="Font Style15"/>
    <w:rsid w:val="00F2046E"/>
    <w:rPr>
      <w:rFonts w:ascii="Arial" w:hAnsi="Arial" w:cs="Arial"/>
      <w:b/>
      <w:bCs/>
      <w:spacing w:val="-10"/>
      <w:sz w:val="24"/>
      <w:szCs w:val="24"/>
    </w:rPr>
  </w:style>
  <w:style w:type="character" w:customStyle="1" w:styleId="CharChar3">
    <w:name w:val="Char Char3"/>
    <w:rsid w:val="00F2046E"/>
    <w:rPr>
      <w:sz w:val="24"/>
      <w:szCs w:val="24"/>
      <w:lang w:val="ro-RO" w:eastAsia="ro-RO"/>
    </w:rPr>
  </w:style>
  <w:style w:type="character" w:customStyle="1" w:styleId="atn">
    <w:name w:val="atn"/>
    <w:basedOn w:val="DefaultParagraphFont"/>
    <w:rsid w:val="00F2046E"/>
  </w:style>
  <w:style w:type="paragraph" w:styleId="PlainText">
    <w:name w:val="Plain Text"/>
    <w:basedOn w:val="Normal"/>
    <w:link w:val="PlainTextChar"/>
    <w:rsid w:val="00F2046E"/>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F2046E"/>
    <w:rPr>
      <w:rFonts w:ascii="Courier New" w:eastAsia="Times New Roman" w:hAnsi="Courier New" w:cs="Times New Roman"/>
      <w:sz w:val="20"/>
      <w:szCs w:val="20"/>
    </w:rPr>
  </w:style>
  <w:style w:type="paragraph" w:customStyle="1" w:styleId="bul1">
    <w:name w:val="bul1"/>
    <w:basedOn w:val="Normal"/>
    <w:rsid w:val="00F2046E"/>
    <w:pPr>
      <w:tabs>
        <w:tab w:val="left" w:pos="567"/>
        <w:tab w:val="num" w:pos="680"/>
      </w:tabs>
      <w:spacing w:after="60" w:line="240" w:lineRule="auto"/>
      <w:ind w:left="680" w:hanging="396"/>
      <w:jc w:val="both"/>
    </w:pPr>
    <w:rPr>
      <w:rFonts w:ascii="Arial" w:eastAsia="Times New Roman" w:hAnsi="Arial" w:cs="Times New Roman"/>
      <w:noProof/>
      <w:sz w:val="19"/>
      <w:szCs w:val="24"/>
      <w:lang w:val="ro-RO"/>
    </w:rPr>
  </w:style>
  <w:style w:type="paragraph" w:customStyle="1" w:styleId="bul2">
    <w:name w:val="bul2"/>
    <w:basedOn w:val="Normal"/>
    <w:rsid w:val="00F2046E"/>
    <w:pPr>
      <w:tabs>
        <w:tab w:val="left" w:pos="851"/>
      </w:tabs>
      <w:spacing w:after="60" w:line="240" w:lineRule="auto"/>
      <w:ind w:left="851" w:hanging="284"/>
      <w:jc w:val="both"/>
    </w:pPr>
    <w:rPr>
      <w:rFonts w:ascii="Arial" w:eastAsia="Times New Roman" w:hAnsi="Arial" w:cs="Times New Roman"/>
      <w:noProof/>
      <w:sz w:val="19"/>
      <w:szCs w:val="24"/>
      <w:lang w:val="ro-RO"/>
    </w:rPr>
  </w:style>
  <w:style w:type="character" w:customStyle="1" w:styleId="hpsatn">
    <w:name w:val="hps atn"/>
    <w:basedOn w:val="DefaultParagraphFont"/>
    <w:rsid w:val="00F2046E"/>
  </w:style>
  <w:style w:type="paragraph" w:customStyle="1" w:styleId="Char10">
    <w:name w:val="Char1"/>
    <w:basedOn w:val="Normal"/>
    <w:rsid w:val="00F2046E"/>
    <w:pPr>
      <w:spacing w:after="0" w:line="240" w:lineRule="auto"/>
    </w:pPr>
    <w:rPr>
      <w:rFonts w:ascii="Times New Roman" w:eastAsia="Times New Roman" w:hAnsi="Times New Roman" w:cs="Times New Roman"/>
      <w:sz w:val="24"/>
      <w:szCs w:val="24"/>
      <w:lang w:val="pl-PL" w:eastAsia="pl-PL"/>
    </w:rPr>
  </w:style>
  <w:style w:type="paragraph" w:customStyle="1" w:styleId="CM1">
    <w:name w:val="CM1"/>
    <w:basedOn w:val="Default"/>
    <w:next w:val="Default"/>
    <w:uiPriority w:val="99"/>
    <w:rsid w:val="00F2046E"/>
    <w:rPr>
      <w:rFonts w:ascii="EUAlbertina" w:hAnsi="EUAlbertina" w:cs="Times New Roman"/>
      <w:color w:val="auto"/>
    </w:rPr>
  </w:style>
  <w:style w:type="paragraph" w:customStyle="1" w:styleId="CM3">
    <w:name w:val="CM3"/>
    <w:basedOn w:val="Default"/>
    <w:next w:val="Default"/>
    <w:uiPriority w:val="99"/>
    <w:rsid w:val="00F2046E"/>
    <w:rPr>
      <w:rFonts w:ascii="EUAlbertina" w:hAnsi="EUAlbertina" w:cs="Times New Roman"/>
      <w:color w:val="auto"/>
    </w:rPr>
  </w:style>
  <w:style w:type="paragraph" w:customStyle="1" w:styleId="CM4">
    <w:name w:val="CM4"/>
    <w:basedOn w:val="Default"/>
    <w:next w:val="Default"/>
    <w:uiPriority w:val="99"/>
    <w:rsid w:val="00F2046E"/>
    <w:rPr>
      <w:rFonts w:ascii="EUAlbertina" w:hAnsi="EUAlbertina" w:cs="Times New Roman"/>
      <w:color w:val="auto"/>
    </w:rPr>
  </w:style>
  <w:style w:type="character" w:customStyle="1" w:styleId="st1">
    <w:name w:val="st1"/>
    <w:basedOn w:val="DefaultParagraphFont"/>
    <w:rsid w:val="00F2046E"/>
  </w:style>
  <w:style w:type="character" w:styleId="HTMLCite">
    <w:name w:val="HTML Cite"/>
    <w:rsid w:val="00F2046E"/>
    <w:rPr>
      <w:i w:val="0"/>
      <w:iCs w:val="0"/>
      <w:color w:val="008000"/>
    </w:rPr>
  </w:style>
  <w:style w:type="numbering" w:customStyle="1" w:styleId="NoList2">
    <w:name w:val="No List2"/>
    <w:next w:val="NoList"/>
    <w:uiPriority w:val="99"/>
    <w:semiHidden/>
    <w:rsid w:val="00F2046E"/>
  </w:style>
  <w:style w:type="table" w:customStyle="1" w:styleId="TableGrid1">
    <w:name w:val="Table Grid1"/>
    <w:basedOn w:val="TableNormal"/>
    <w:next w:val="TableGrid"/>
    <w:uiPriority w:val="39"/>
    <w:rsid w:val="00F204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1">
    <w:name w:val="xl71"/>
    <w:basedOn w:val="Normal"/>
    <w:rsid w:val="00F2046E"/>
    <w:pPr>
      <w:spacing w:before="100" w:beforeAutospacing="1" w:after="100" w:afterAutospacing="1" w:line="240" w:lineRule="auto"/>
    </w:pPr>
    <w:rPr>
      <w:rFonts w:ascii="Arial Narrow" w:eastAsia="Times New Roman" w:hAnsi="Arial Narrow" w:cs="Times New Roman"/>
      <w:color w:val="000000"/>
      <w:sz w:val="24"/>
      <w:szCs w:val="24"/>
    </w:rPr>
  </w:style>
  <w:style w:type="paragraph" w:customStyle="1" w:styleId="xl72">
    <w:name w:val="xl72"/>
    <w:basedOn w:val="Normal"/>
    <w:rsid w:val="00F2046E"/>
    <w:pPr>
      <w:spacing w:before="100" w:beforeAutospacing="1" w:after="100" w:afterAutospacing="1" w:line="240" w:lineRule="auto"/>
      <w:jc w:val="center"/>
    </w:pPr>
    <w:rPr>
      <w:rFonts w:ascii="Arial Narrow" w:eastAsia="Times New Roman" w:hAnsi="Arial Narrow" w:cs="Times New Roman"/>
      <w:color w:val="000000"/>
      <w:sz w:val="24"/>
      <w:szCs w:val="24"/>
    </w:rPr>
  </w:style>
  <w:style w:type="paragraph" w:customStyle="1" w:styleId="xl73">
    <w:name w:val="xl73"/>
    <w:basedOn w:val="Normal"/>
    <w:rsid w:val="00F204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74">
    <w:name w:val="xl74"/>
    <w:basedOn w:val="Normal"/>
    <w:rsid w:val="00F2046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F2046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6">
    <w:name w:val="xl76"/>
    <w:basedOn w:val="Normal"/>
    <w:rsid w:val="00F204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77">
    <w:name w:val="xl77"/>
    <w:basedOn w:val="Normal"/>
    <w:rsid w:val="00F204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78">
    <w:name w:val="xl78"/>
    <w:basedOn w:val="Normal"/>
    <w:rsid w:val="00F2046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79">
    <w:name w:val="xl79"/>
    <w:basedOn w:val="Normal"/>
    <w:rsid w:val="00F2046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80">
    <w:name w:val="xl80"/>
    <w:basedOn w:val="Normal"/>
    <w:rsid w:val="00F2046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81">
    <w:name w:val="xl81"/>
    <w:basedOn w:val="Normal"/>
    <w:rsid w:val="00F2046E"/>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82">
    <w:name w:val="xl82"/>
    <w:basedOn w:val="Normal"/>
    <w:rsid w:val="00F2046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83">
    <w:name w:val="xl83"/>
    <w:basedOn w:val="Normal"/>
    <w:rsid w:val="00F2046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84">
    <w:name w:val="xl84"/>
    <w:basedOn w:val="Normal"/>
    <w:rsid w:val="00F2046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0"/>
      <w:szCs w:val="20"/>
    </w:rPr>
  </w:style>
  <w:style w:type="paragraph" w:customStyle="1" w:styleId="xl85">
    <w:name w:val="xl85"/>
    <w:basedOn w:val="Normal"/>
    <w:rsid w:val="00F2046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0"/>
      <w:szCs w:val="20"/>
    </w:rPr>
  </w:style>
  <w:style w:type="paragraph" w:customStyle="1" w:styleId="xl86">
    <w:name w:val="xl86"/>
    <w:basedOn w:val="Normal"/>
    <w:rsid w:val="00F2046E"/>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0"/>
      <w:szCs w:val="20"/>
    </w:rPr>
  </w:style>
  <w:style w:type="paragraph" w:customStyle="1" w:styleId="xl87">
    <w:name w:val="xl87"/>
    <w:basedOn w:val="Normal"/>
    <w:rsid w:val="00F204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0"/>
      <w:szCs w:val="20"/>
    </w:rPr>
  </w:style>
  <w:style w:type="paragraph" w:customStyle="1" w:styleId="xl88">
    <w:name w:val="xl88"/>
    <w:basedOn w:val="Normal"/>
    <w:rsid w:val="00F204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0"/>
      <w:szCs w:val="20"/>
    </w:rPr>
  </w:style>
  <w:style w:type="paragraph" w:customStyle="1" w:styleId="xl89">
    <w:name w:val="xl89"/>
    <w:basedOn w:val="Normal"/>
    <w:rsid w:val="00F2046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0"/>
      <w:szCs w:val="20"/>
    </w:rPr>
  </w:style>
  <w:style w:type="paragraph" w:customStyle="1" w:styleId="xl90">
    <w:name w:val="xl90"/>
    <w:basedOn w:val="Normal"/>
    <w:rsid w:val="00F204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0"/>
      <w:szCs w:val="20"/>
    </w:rPr>
  </w:style>
  <w:style w:type="paragraph" w:customStyle="1" w:styleId="xl91">
    <w:name w:val="xl91"/>
    <w:basedOn w:val="Normal"/>
    <w:rsid w:val="00F2046E"/>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F2046E"/>
    <w:pPr>
      <w:pBdr>
        <w:left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F2046E"/>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F2046E"/>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F2046E"/>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F2046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F2046E"/>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F2046E"/>
    <w:pPr>
      <w:pBdr>
        <w:top w:val="single" w:sz="8"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F2046E"/>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0">
    <w:name w:val="xl100"/>
    <w:basedOn w:val="Normal"/>
    <w:rsid w:val="00F2046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1">
    <w:name w:val="xl101"/>
    <w:basedOn w:val="Normal"/>
    <w:rsid w:val="00F2046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2">
    <w:name w:val="xl102"/>
    <w:basedOn w:val="Normal"/>
    <w:rsid w:val="00F2046E"/>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3">
    <w:name w:val="xl103"/>
    <w:basedOn w:val="Normal"/>
    <w:rsid w:val="00F2046E"/>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4">
    <w:name w:val="xl104"/>
    <w:basedOn w:val="Normal"/>
    <w:rsid w:val="00F2046E"/>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numbering" w:customStyle="1" w:styleId="NoList11">
    <w:name w:val="No List11"/>
    <w:next w:val="NoList"/>
    <w:uiPriority w:val="99"/>
    <w:semiHidden/>
    <w:unhideWhenUsed/>
    <w:rsid w:val="00F2046E"/>
  </w:style>
  <w:style w:type="paragraph" w:customStyle="1" w:styleId="BodyHeading">
    <w:name w:val="~BodyHeading"/>
    <w:basedOn w:val="Normal"/>
    <w:next w:val="Normal"/>
    <w:link w:val="BodyHeadingChar"/>
    <w:rsid w:val="00F2046E"/>
    <w:pPr>
      <w:keepNext/>
      <w:spacing w:before="260" w:after="0" w:line="260" w:lineRule="exact"/>
    </w:pPr>
    <w:rPr>
      <w:rFonts w:ascii="Arial" w:eastAsia="Times New Roman" w:hAnsi="Arial" w:cs="Times New Roman"/>
      <w:b/>
      <w:sz w:val="20"/>
      <w:szCs w:val="24"/>
      <w:lang w:val="en-GB" w:eastAsia="en-GB"/>
    </w:rPr>
  </w:style>
  <w:style w:type="character" w:customStyle="1" w:styleId="BodyHeadingChar">
    <w:name w:val="~BodyHeading Char"/>
    <w:link w:val="BodyHeading"/>
    <w:rsid w:val="00F2046E"/>
    <w:rPr>
      <w:rFonts w:ascii="Arial" w:eastAsia="Times New Roman" w:hAnsi="Arial" w:cs="Times New Roman"/>
      <w:b/>
      <w:sz w:val="20"/>
      <w:szCs w:val="24"/>
      <w:lang w:val="en-GB" w:eastAsia="en-GB"/>
    </w:rPr>
  </w:style>
  <w:style w:type="paragraph" w:customStyle="1" w:styleId="1titlu2">
    <w:name w:val="1titlu2"/>
    <w:basedOn w:val="Normal"/>
    <w:rsid w:val="00F2046E"/>
    <w:pPr>
      <w:spacing w:before="100" w:beforeAutospacing="1" w:after="100" w:afterAutospacing="1" w:line="240" w:lineRule="auto"/>
    </w:pPr>
    <w:rPr>
      <w:rFonts w:ascii="Times New Roman" w:eastAsia="Calibri" w:hAnsi="Times New Roman" w:cs="Times New Roman"/>
      <w:sz w:val="24"/>
      <w:szCs w:val="24"/>
      <w:lang w:val="ro-RO"/>
    </w:rPr>
  </w:style>
  <w:style w:type="paragraph" w:customStyle="1" w:styleId="ELISEBODYTEXT">
    <w:name w:val="ELISE BODY TEXT"/>
    <w:basedOn w:val="BodyText"/>
    <w:rsid w:val="00F2046E"/>
    <w:pPr>
      <w:spacing w:before="80" w:after="80"/>
    </w:pPr>
    <w:rPr>
      <w:rFonts w:ascii="Arial Narrow" w:hAnsi="Arial Narrow"/>
      <w:szCs w:val="20"/>
    </w:rPr>
  </w:style>
  <w:style w:type="paragraph" w:customStyle="1" w:styleId="ELISETABLE2">
    <w:name w:val="ELISE TABLE 2"/>
    <w:basedOn w:val="Normal"/>
    <w:rsid w:val="00F2046E"/>
    <w:pPr>
      <w:spacing w:before="120" w:after="120" w:line="240" w:lineRule="auto"/>
      <w:jc w:val="center"/>
    </w:pPr>
    <w:rPr>
      <w:rFonts w:ascii="Arial Narrow" w:eastAsia="Times New Roman" w:hAnsi="Arial Narrow" w:cs="Times New Roman"/>
      <w:b/>
      <w:caps/>
      <w:sz w:val="24"/>
      <w:szCs w:val="20"/>
      <w:lang w:val="ro-RO"/>
    </w:rPr>
  </w:style>
  <w:style w:type="paragraph" w:customStyle="1" w:styleId="RT3">
    <w:name w:val="RT3"/>
    <w:basedOn w:val="Normal"/>
    <w:rsid w:val="00F2046E"/>
    <w:pPr>
      <w:numPr>
        <w:numId w:val="11"/>
      </w:numPr>
      <w:tabs>
        <w:tab w:val="num" w:pos="1440"/>
      </w:tabs>
      <w:spacing w:before="120" w:after="120" w:line="240" w:lineRule="auto"/>
      <w:ind w:left="1440" w:hanging="360"/>
      <w:jc w:val="both"/>
    </w:pPr>
    <w:rPr>
      <w:rFonts w:ascii="Arial" w:eastAsia="Times New Roman" w:hAnsi="Arial" w:cs="Arial"/>
      <w:bCs/>
      <w:iCs/>
      <w:szCs w:val="24"/>
      <w:lang w:val="fr-FR"/>
    </w:rPr>
  </w:style>
  <w:style w:type="character" w:customStyle="1" w:styleId="boldsimplu">
    <w:name w:val="boldsimplu"/>
    <w:rsid w:val="00F2046E"/>
  </w:style>
  <w:style w:type="character" w:customStyle="1" w:styleId="text">
    <w:name w:val="text"/>
    <w:rsid w:val="00F2046E"/>
  </w:style>
  <w:style w:type="paragraph" w:customStyle="1" w:styleId="ELISEBODYTEXT1">
    <w:name w:val="ELISE BODY TEXT 1"/>
    <w:basedOn w:val="Normal"/>
    <w:rsid w:val="00F2046E"/>
    <w:pPr>
      <w:numPr>
        <w:numId w:val="12"/>
      </w:numPr>
      <w:spacing w:before="120" w:after="120" w:line="240" w:lineRule="auto"/>
      <w:jc w:val="both"/>
    </w:pPr>
    <w:rPr>
      <w:rFonts w:ascii="Arial Narrow" w:eastAsia="Times New Roman" w:hAnsi="Arial Narrow" w:cs="Times New Roman"/>
      <w:sz w:val="24"/>
      <w:szCs w:val="20"/>
      <w:lang w:val="ro-RO"/>
    </w:rPr>
  </w:style>
  <w:style w:type="paragraph" w:customStyle="1" w:styleId="RT1">
    <w:name w:val="RT1"/>
    <w:basedOn w:val="BodyText2"/>
    <w:rsid w:val="00F2046E"/>
    <w:pPr>
      <w:spacing w:before="120" w:line="240" w:lineRule="auto"/>
      <w:jc w:val="both"/>
    </w:pPr>
    <w:rPr>
      <w:rFonts w:ascii="Arial" w:hAnsi="Arial" w:cs="Arial"/>
      <w:sz w:val="22"/>
      <w:szCs w:val="22"/>
      <w:lang w:val="fr-FR"/>
    </w:rPr>
  </w:style>
  <w:style w:type="character" w:customStyle="1" w:styleId="FontStyle54">
    <w:name w:val="Font Style54"/>
    <w:rsid w:val="00F2046E"/>
    <w:rPr>
      <w:rFonts w:ascii="Century Schoolbook" w:hAnsi="Century Schoolbook" w:cs="Century Schoolbook" w:hint="default"/>
      <w:sz w:val="16"/>
      <w:szCs w:val="16"/>
    </w:rPr>
  </w:style>
  <w:style w:type="character" w:customStyle="1" w:styleId="FontStyle55">
    <w:name w:val="Font Style55"/>
    <w:rsid w:val="00F2046E"/>
    <w:rPr>
      <w:rFonts w:ascii="Century Schoolbook" w:hAnsi="Century Schoolbook" w:cs="Century Schoolbook" w:hint="default"/>
      <w:i/>
      <w:iCs/>
      <w:sz w:val="16"/>
      <w:szCs w:val="16"/>
    </w:rPr>
  </w:style>
  <w:style w:type="character" w:customStyle="1" w:styleId="FontStyle66">
    <w:name w:val="Font Style66"/>
    <w:rsid w:val="00F2046E"/>
    <w:rPr>
      <w:rFonts w:ascii="Century Schoolbook" w:hAnsi="Century Schoolbook" w:cs="Century Schoolbook" w:hint="default"/>
      <w:b/>
      <w:bCs/>
      <w:i/>
      <w:iCs/>
      <w:spacing w:val="-10"/>
      <w:sz w:val="16"/>
      <w:szCs w:val="16"/>
    </w:rPr>
  </w:style>
  <w:style w:type="paragraph" w:customStyle="1" w:styleId="xmsonormal">
    <w:name w:val="x_msonormal"/>
    <w:basedOn w:val="Normal"/>
    <w:rsid w:val="00F2046E"/>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1text">
    <w:name w:val="1 text"/>
    <w:basedOn w:val="BodyText2"/>
    <w:qFormat/>
    <w:rsid w:val="00F2046E"/>
    <w:pPr>
      <w:spacing w:before="120" w:line="240" w:lineRule="auto"/>
      <w:ind w:firstLine="720"/>
      <w:jc w:val="both"/>
    </w:pPr>
    <w:rPr>
      <w:rFonts w:ascii="Arial" w:hAnsi="Arial"/>
      <w:lang w:val="ro-RO"/>
    </w:rPr>
  </w:style>
  <w:style w:type="paragraph" w:customStyle="1" w:styleId="yiv27729466521text">
    <w:name w:val="yiv27729466521text"/>
    <w:basedOn w:val="Normal"/>
    <w:rsid w:val="00F2046E"/>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yiv27729466521bull1">
    <w:name w:val="yiv27729466521bull1"/>
    <w:basedOn w:val="Normal"/>
    <w:rsid w:val="00F2046E"/>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customStyle="1" w:styleId="yiv2772946652fontstyle14">
    <w:name w:val="yiv2772946652fontstyle14"/>
    <w:rsid w:val="00F2046E"/>
  </w:style>
  <w:style w:type="paragraph" w:customStyle="1" w:styleId="yiv27729466521bull2">
    <w:name w:val="yiv27729466521bull2"/>
    <w:basedOn w:val="Normal"/>
    <w:rsid w:val="00F2046E"/>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yiv27729466521tabtitlu">
    <w:name w:val="yiv27729466521tabtitlu"/>
    <w:basedOn w:val="Normal"/>
    <w:rsid w:val="00F2046E"/>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yiv27729466521tabelr1">
    <w:name w:val="yiv27729466521tabelr1"/>
    <w:basedOn w:val="Normal"/>
    <w:rsid w:val="00F2046E"/>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yiv27729466521tabelrest">
    <w:name w:val="yiv27729466521tabelrest"/>
    <w:basedOn w:val="Normal"/>
    <w:rsid w:val="00F2046E"/>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yiv2772946652msonormal">
    <w:name w:val="yiv2772946652msonormal"/>
    <w:basedOn w:val="Normal"/>
    <w:rsid w:val="00F2046E"/>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character" w:customStyle="1" w:styleId="sttpar">
    <w:name w:val="st_tpar"/>
    <w:rsid w:val="00F2046E"/>
  </w:style>
  <w:style w:type="character" w:customStyle="1" w:styleId="sttalineat">
    <w:name w:val="st_talineat"/>
    <w:rsid w:val="00F2046E"/>
  </w:style>
  <w:style w:type="paragraph" w:customStyle="1" w:styleId="cuprins">
    <w:name w:val="cuprins"/>
    <w:basedOn w:val="Normal"/>
    <w:link w:val="cuprinsChar"/>
    <w:qFormat/>
    <w:rsid w:val="00F2046E"/>
    <w:pPr>
      <w:spacing w:after="0"/>
      <w:ind w:firstLine="567"/>
      <w:outlineLvl w:val="0"/>
    </w:pPr>
    <w:rPr>
      <w:rFonts w:ascii="Arial" w:eastAsia="Calibri" w:hAnsi="Arial" w:cs="Times New Roman"/>
      <w:b/>
      <w:sz w:val="28"/>
      <w:szCs w:val="28"/>
      <w:lang w:val="x-none" w:eastAsia="x-none"/>
    </w:rPr>
  </w:style>
  <w:style w:type="character" w:customStyle="1" w:styleId="cuprinsChar">
    <w:name w:val="cuprins Char"/>
    <w:link w:val="cuprins"/>
    <w:rsid w:val="00F2046E"/>
    <w:rPr>
      <w:rFonts w:ascii="Arial" w:eastAsia="Calibri" w:hAnsi="Arial" w:cs="Times New Roman"/>
      <w:b/>
      <w:sz w:val="28"/>
      <w:szCs w:val="28"/>
      <w:lang w:val="x-none" w:eastAsia="x-none"/>
    </w:rPr>
  </w:style>
  <w:style w:type="paragraph" w:customStyle="1" w:styleId="PABHCapitol">
    <w:name w:val="PABH Capitol"/>
    <w:basedOn w:val="Normal"/>
    <w:rsid w:val="00F2046E"/>
    <w:pPr>
      <w:spacing w:before="240" w:after="240" w:line="240" w:lineRule="auto"/>
      <w:jc w:val="both"/>
    </w:pPr>
    <w:rPr>
      <w:rFonts w:ascii="Arial" w:eastAsia="Times New Roman" w:hAnsi="Arial" w:cs="Arial"/>
      <w:b/>
      <w:sz w:val="28"/>
      <w:szCs w:val="28"/>
      <w:lang w:val="it-IT" w:eastAsia="ro-RO"/>
    </w:rPr>
  </w:style>
  <w:style w:type="paragraph" w:styleId="DocumentMap">
    <w:name w:val="Document Map"/>
    <w:basedOn w:val="Normal"/>
    <w:link w:val="DocumentMapChar"/>
    <w:uiPriority w:val="99"/>
    <w:unhideWhenUsed/>
    <w:rsid w:val="00F2046E"/>
    <w:pPr>
      <w:spacing w:after="0" w:line="240" w:lineRule="auto"/>
    </w:pPr>
    <w:rPr>
      <w:rFonts w:ascii="Tahoma" w:eastAsia="Calibri" w:hAnsi="Tahoma" w:cs="Times New Roman"/>
      <w:sz w:val="16"/>
      <w:szCs w:val="16"/>
      <w:lang w:val="x-none" w:eastAsia="x-none"/>
    </w:rPr>
  </w:style>
  <w:style w:type="character" w:customStyle="1" w:styleId="DocumentMapChar">
    <w:name w:val="Document Map Char"/>
    <w:basedOn w:val="DefaultParagraphFont"/>
    <w:link w:val="DocumentMap"/>
    <w:uiPriority w:val="99"/>
    <w:rsid w:val="00F2046E"/>
    <w:rPr>
      <w:rFonts w:ascii="Tahoma" w:eastAsia="Calibri" w:hAnsi="Tahoma" w:cs="Times New Roman"/>
      <w:sz w:val="16"/>
      <w:szCs w:val="16"/>
      <w:lang w:val="x-none" w:eastAsia="x-none"/>
    </w:rPr>
  </w:style>
  <w:style w:type="paragraph" w:styleId="TOCHeading">
    <w:name w:val="TOC Heading"/>
    <w:basedOn w:val="Heading1"/>
    <w:next w:val="Normal"/>
    <w:uiPriority w:val="39"/>
    <w:unhideWhenUsed/>
    <w:qFormat/>
    <w:rsid w:val="00F2046E"/>
    <w:pPr>
      <w:keepLines/>
      <w:spacing w:before="480" w:after="0" w:line="276" w:lineRule="auto"/>
      <w:outlineLvl w:val="9"/>
    </w:pPr>
    <w:rPr>
      <w:rFonts w:ascii="Calibri Light" w:hAnsi="Calibri Light" w:cs="Times New Roman"/>
      <w:color w:val="2E74B5"/>
      <w:kern w:val="0"/>
      <w:sz w:val="28"/>
      <w:szCs w:val="28"/>
    </w:rPr>
  </w:style>
  <w:style w:type="paragraph" w:customStyle="1" w:styleId="defaulttext">
    <w:name w:val="defaulttext"/>
    <w:basedOn w:val="Normal"/>
    <w:rsid w:val="00F2046E"/>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table" w:customStyle="1" w:styleId="Umbriremedie1-Accentuare11">
    <w:name w:val="Umbrire medie 1 - Accentuare 11"/>
    <w:basedOn w:val="TableNormal"/>
    <w:uiPriority w:val="63"/>
    <w:rsid w:val="00F2046E"/>
    <w:pPr>
      <w:spacing w:after="0" w:line="240" w:lineRule="auto"/>
      <w:jc w:val="both"/>
    </w:pPr>
    <w:rPr>
      <w:rFonts w:ascii="Calibri" w:eastAsia="Times New Roman" w:hAnsi="Calibri" w:cs="Times New Roman"/>
      <w:sz w:val="20"/>
      <w:szCs w:val="20"/>
      <w:lang w:val="fr-F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styleId="CommentReference">
    <w:name w:val="annotation reference"/>
    <w:uiPriority w:val="99"/>
    <w:unhideWhenUsed/>
    <w:rsid w:val="00F2046E"/>
    <w:rPr>
      <w:sz w:val="16"/>
      <w:szCs w:val="16"/>
    </w:rPr>
  </w:style>
  <w:style w:type="paragraph" w:styleId="CommentText">
    <w:name w:val="annotation text"/>
    <w:basedOn w:val="Normal"/>
    <w:link w:val="CommentTextChar"/>
    <w:uiPriority w:val="99"/>
    <w:unhideWhenUsed/>
    <w:rsid w:val="00F2046E"/>
    <w:pPr>
      <w:spacing w:after="160" w:line="240" w:lineRule="auto"/>
    </w:pPr>
    <w:rPr>
      <w:rFonts w:ascii="Calibri" w:eastAsia="Calibri" w:hAnsi="Calibri" w:cs="Times New Roman"/>
      <w:color w:val="000000"/>
      <w:sz w:val="20"/>
      <w:szCs w:val="20"/>
      <w:lang w:val="x-none" w:eastAsia="ro-RO"/>
    </w:rPr>
  </w:style>
  <w:style w:type="character" w:customStyle="1" w:styleId="CommentTextChar">
    <w:name w:val="Comment Text Char"/>
    <w:basedOn w:val="DefaultParagraphFont"/>
    <w:link w:val="CommentText"/>
    <w:uiPriority w:val="99"/>
    <w:rsid w:val="00F2046E"/>
    <w:rPr>
      <w:rFonts w:ascii="Calibri" w:eastAsia="Calibri" w:hAnsi="Calibri" w:cs="Times New Roman"/>
      <w:color w:val="000000"/>
      <w:sz w:val="20"/>
      <w:szCs w:val="20"/>
      <w:lang w:val="x-none" w:eastAsia="ro-RO"/>
    </w:rPr>
  </w:style>
  <w:style w:type="paragraph" w:styleId="CommentSubject">
    <w:name w:val="annotation subject"/>
    <w:basedOn w:val="CommentText"/>
    <w:next w:val="CommentText"/>
    <w:link w:val="CommentSubjectChar"/>
    <w:uiPriority w:val="99"/>
    <w:unhideWhenUsed/>
    <w:rsid w:val="00F2046E"/>
    <w:rPr>
      <w:b/>
      <w:bCs/>
    </w:rPr>
  </w:style>
  <w:style w:type="character" w:customStyle="1" w:styleId="CommentSubjectChar">
    <w:name w:val="Comment Subject Char"/>
    <w:basedOn w:val="CommentTextChar"/>
    <w:link w:val="CommentSubject"/>
    <w:uiPriority w:val="99"/>
    <w:rsid w:val="00F2046E"/>
    <w:rPr>
      <w:rFonts w:ascii="Calibri" w:eastAsia="Calibri" w:hAnsi="Calibri" w:cs="Times New Roman"/>
      <w:b/>
      <w:bCs/>
      <w:color w:val="000000"/>
      <w:sz w:val="20"/>
      <w:szCs w:val="20"/>
      <w:lang w:val="x-none" w:eastAsia="ro-RO"/>
    </w:rPr>
  </w:style>
  <w:style w:type="paragraph" w:styleId="Revision">
    <w:name w:val="Revision"/>
    <w:hidden/>
    <w:uiPriority w:val="99"/>
    <w:semiHidden/>
    <w:rsid w:val="00F2046E"/>
    <w:pPr>
      <w:spacing w:after="0" w:line="240" w:lineRule="auto"/>
    </w:pPr>
    <w:rPr>
      <w:rFonts w:ascii="Calibri" w:eastAsia="Calibri" w:hAnsi="Calibri" w:cs="Calibri"/>
      <w:color w:val="000000"/>
      <w:lang w:val="ro-RO" w:eastAsia="ro-RO"/>
    </w:rPr>
  </w:style>
  <w:style w:type="paragraph" w:customStyle="1" w:styleId="CharChar5CharCharCharCharCharCharCharChar">
    <w:name w:val="Char Char5 Char Char Char Char Char Char Char Char"/>
    <w:basedOn w:val="Normal"/>
    <w:rsid w:val="00F2046E"/>
    <w:pPr>
      <w:spacing w:after="0" w:line="240" w:lineRule="auto"/>
    </w:pPr>
    <w:rPr>
      <w:rFonts w:ascii="Times New Roman" w:eastAsia="Times New Roman" w:hAnsi="Times New Roman" w:cs="Times New Roman"/>
      <w:sz w:val="24"/>
      <w:szCs w:val="24"/>
      <w:lang w:val="pl-PL" w:eastAsia="pl-PL"/>
    </w:rPr>
  </w:style>
  <w:style w:type="paragraph" w:customStyle="1" w:styleId="CharChar3CharCharCharChar">
    <w:name w:val="Char Char3 Char Char Char Char"/>
    <w:basedOn w:val="Normal"/>
    <w:rsid w:val="00F2046E"/>
    <w:pPr>
      <w:spacing w:after="0" w:line="240" w:lineRule="auto"/>
    </w:pPr>
    <w:rPr>
      <w:rFonts w:ascii="Times New Roman" w:eastAsia="Times New Roman" w:hAnsi="Times New Roman" w:cs="Times New Roman"/>
      <w:sz w:val="24"/>
      <w:szCs w:val="24"/>
      <w:lang w:val="pl-PL" w:eastAsia="pl-PL"/>
    </w:rPr>
  </w:style>
  <w:style w:type="paragraph" w:customStyle="1" w:styleId="1figura">
    <w:name w:val="1 figura"/>
    <w:basedOn w:val="Normal"/>
    <w:qFormat/>
    <w:rsid w:val="00F2046E"/>
    <w:pPr>
      <w:widowControl w:val="0"/>
      <w:autoSpaceDE w:val="0"/>
      <w:autoSpaceDN w:val="0"/>
      <w:adjustRightInd w:val="0"/>
      <w:spacing w:before="120" w:after="360" w:line="280" w:lineRule="exact"/>
      <w:jc w:val="center"/>
    </w:pPr>
    <w:rPr>
      <w:rFonts w:ascii="Arial" w:eastAsia="Times New Roman" w:hAnsi="Arial" w:cs="Arial"/>
      <w:i/>
      <w:szCs w:val="24"/>
      <w:lang w:val="ro-RO" w:eastAsia="ro-RO"/>
    </w:rPr>
  </w:style>
  <w:style w:type="paragraph" w:customStyle="1" w:styleId="1tabeltitlu">
    <w:name w:val="1 tabel titlu"/>
    <w:basedOn w:val="Normal"/>
    <w:qFormat/>
    <w:rsid w:val="00F2046E"/>
    <w:pPr>
      <w:spacing w:before="240" w:after="120" w:line="240" w:lineRule="auto"/>
      <w:jc w:val="center"/>
    </w:pPr>
    <w:rPr>
      <w:rFonts w:ascii="Arial" w:eastAsia="Times New Roman" w:hAnsi="Arial" w:cs="Arial"/>
      <w:b/>
      <w:szCs w:val="24"/>
      <w:lang w:val="ro-RO" w:eastAsia="ro-RO"/>
    </w:rPr>
  </w:style>
  <w:style w:type="paragraph" w:customStyle="1" w:styleId="1tabelrest">
    <w:name w:val="1 tabel rest"/>
    <w:basedOn w:val="Normal"/>
    <w:qFormat/>
    <w:rsid w:val="00F2046E"/>
    <w:pPr>
      <w:spacing w:after="0" w:line="240" w:lineRule="auto"/>
      <w:jc w:val="center"/>
    </w:pPr>
    <w:rPr>
      <w:rFonts w:ascii="Arial" w:eastAsia="Times New Roman" w:hAnsi="Arial" w:cs="Arial"/>
      <w:szCs w:val="24"/>
      <w:lang w:val="ro-RO" w:eastAsia="ro-RO"/>
    </w:rPr>
  </w:style>
  <w:style w:type="paragraph" w:customStyle="1" w:styleId="1text2">
    <w:name w:val="1 text 2"/>
    <w:basedOn w:val="Normal"/>
    <w:qFormat/>
    <w:rsid w:val="00F2046E"/>
    <w:pPr>
      <w:spacing w:before="240" w:after="0" w:line="240" w:lineRule="auto"/>
      <w:jc w:val="both"/>
    </w:pPr>
    <w:rPr>
      <w:rFonts w:ascii="Arial" w:eastAsia="Calibri" w:hAnsi="Arial" w:cs="Times New Roman"/>
      <w:iCs/>
      <w:sz w:val="24"/>
      <w:szCs w:val="24"/>
      <w:lang w:val="ro-RO"/>
    </w:rPr>
  </w:style>
  <w:style w:type="character" w:customStyle="1" w:styleId="fsl">
    <w:name w:val="fsl"/>
    <w:basedOn w:val="DefaultParagraphFont"/>
    <w:rsid w:val="00F2046E"/>
  </w:style>
  <w:style w:type="paragraph" w:customStyle="1" w:styleId="PABHtest1">
    <w:name w:val="PABH test 1"/>
    <w:basedOn w:val="Normal"/>
    <w:link w:val="PABHtest1Char"/>
    <w:rsid w:val="00F2046E"/>
    <w:pPr>
      <w:spacing w:before="240" w:after="120" w:line="240" w:lineRule="auto"/>
      <w:jc w:val="both"/>
    </w:pPr>
    <w:rPr>
      <w:rFonts w:ascii="Arial" w:eastAsia="Times New Roman" w:hAnsi="Arial" w:cs="Times New Roman"/>
      <w:sz w:val="24"/>
      <w:szCs w:val="24"/>
      <w:lang w:val="it-IT" w:eastAsia="x-none"/>
    </w:rPr>
  </w:style>
  <w:style w:type="character" w:customStyle="1" w:styleId="PABHtest1Char">
    <w:name w:val="PABH test 1 Char"/>
    <w:link w:val="PABHtest1"/>
    <w:rsid w:val="00F2046E"/>
    <w:rPr>
      <w:rFonts w:ascii="Arial" w:eastAsia="Times New Roman" w:hAnsi="Arial" w:cs="Times New Roman"/>
      <w:sz w:val="24"/>
      <w:szCs w:val="24"/>
      <w:lang w:val="it-IT" w:eastAsia="x-none"/>
    </w:rPr>
  </w:style>
  <w:style w:type="character" w:customStyle="1" w:styleId="Bodytext20">
    <w:name w:val="Body text (2)_"/>
    <w:link w:val="Bodytext21"/>
    <w:rsid w:val="00F2046E"/>
    <w:rPr>
      <w:rFonts w:ascii="Arial" w:eastAsia="Arial" w:hAnsi="Arial" w:cs="Arial"/>
      <w:shd w:val="clear" w:color="auto" w:fill="FFFFFF"/>
    </w:rPr>
  </w:style>
  <w:style w:type="paragraph" w:customStyle="1" w:styleId="Bodytext21">
    <w:name w:val="Body text (2)"/>
    <w:basedOn w:val="Normal"/>
    <w:link w:val="Bodytext20"/>
    <w:rsid w:val="00F2046E"/>
    <w:pPr>
      <w:widowControl w:val="0"/>
      <w:shd w:val="clear" w:color="auto" w:fill="FFFFFF"/>
      <w:spacing w:after="0" w:line="552" w:lineRule="exact"/>
      <w:ind w:hanging="460"/>
    </w:pPr>
    <w:rPr>
      <w:rFonts w:ascii="Arial" w:eastAsia="Arial" w:hAnsi="Arial" w:cs="Arial"/>
    </w:rPr>
  </w:style>
  <w:style w:type="table" w:customStyle="1" w:styleId="MediumShading1-Accent11">
    <w:name w:val="Medium Shading 1 - Accent 11"/>
    <w:basedOn w:val="TableNormal"/>
    <w:uiPriority w:val="63"/>
    <w:rsid w:val="00F2046E"/>
    <w:pPr>
      <w:spacing w:after="0" w:line="240" w:lineRule="auto"/>
      <w:jc w:val="both"/>
    </w:pPr>
    <w:rPr>
      <w:rFonts w:ascii="Calibri" w:eastAsia="Times New Roman" w:hAnsi="Calibri" w:cs="Times New Roman"/>
      <w:sz w:val="20"/>
      <w:szCs w:val="20"/>
      <w:lang w:val="fr-F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yiv6950314316msonormal">
    <w:name w:val="yiv6950314316msonormal"/>
    <w:basedOn w:val="Normal"/>
    <w:rsid w:val="00F2046E"/>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DefaultText0">
    <w:name w:val="Default Text"/>
    <w:rsid w:val="00F2046E"/>
    <w:pPr>
      <w:spacing w:before="60" w:after="60" w:line="260" w:lineRule="exact"/>
      <w:jc w:val="both"/>
    </w:pPr>
    <w:rPr>
      <w:rFonts w:ascii="Times New Roman" w:eastAsia="Times New Roman" w:hAnsi="Times New Roman" w:cs="Times New Roman"/>
      <w:b/>
      <w:color w:val="000000"/>
      <w:sz w:val="24"/>
      <w:szCs w:val="20"/>
    </w:rPr>
  </w:style>
  <w:style w:type="table" w:customStyle="1" w:styleId="GridTable1Light-Accent1">
    <w:name w:val="Grid Table 1 Light - Accent 1"/>
    <w:basedOn w:val="TableNormal"/>
    <w:uiPriority w:val="46"/>
    <w:rsid w:val="00F2046E"/>
    <w:pPr>
      <w:spacing w:after="0" w:line="240" w:lineRule="auto"/>
    </w:pPr>
    <w:rPr>
      <w:rFonts w:ascii="Calibri" w:eastAsia="Times New Roman" w:hAnsi="Calibri" w:cs="Times New Roman"/>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4-Accent1">
    <w:name w:val="Grid Table 4 - Accent 1"/>
    <w:basedOn w:val="TableNormal"/>
    <w:uiPriority w:val="49"/>
    <w:rsid w:val="00F2046E"/>
    <w:pPr>
      <w:spacing w:after="0" w:line="240" w:lineRule="auto"/>
    </w:pPr>
    <w:rPr>
      <w:rFonts w:ascii="Calibri" w:eastAsia="Times New Roman" w:hAnsi="Calibri"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1">
    <w:name w:val="List Table 4 - Accent 1"/>
    <w:basedOn w:val="TableNormal"/>
    <w:uiPriority w:val="49"/>
    <w:rsid w:val="00F2046E"/>
    <w:pPr>
      <w:spacing w:after="0" w:line="240" w:lineRule="auto"/>
    </w:pPr>
    <w:rPr>
      <w:rFonts w:ascii="Calibri" w:eastAsia="Times New Roman" w:hAnsi="Calibri" w:cs="Times New Roman"/>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1Tabelr2">
    <w:name w:val="1 Tabel r2"/>
    <w:basedOn w:val="Normal"/>
    <w:qFormat/>
    <w:rsid w:val="00F2046E"/>
    <w:pPr>
      <w:spacing w:after="0" w:line="240" w:lineRule="auto"/>
    </w:pPr>
    <w:rPr>
      <w:rFonts w:ascii="Calibri" w:eastAsia="Times New Roman" w:hAnsi="Calibri" w:cs="Arial"/>
      <w:bCs/>
      <w:szCs w:val="24"/>
      <w:lang w:val="ro-RO"/>
    </w:rPr>
  </w:style>
  <w:style w:type="paragraph" w:customStyle="1" w:styleId="Style5">
    <w:name w:val="Style5"/>
    <w:basedOn w:val="Normal"/>
    <w:uiPriority w:val="99"/>
    <w:rsid w:val="00F2046E"/>
    <w:pPr>
      <w:widowControl w:val="0"/>
      <w:autoSpaceDE w:val="0"/>
      <w:autoSpaceDN w:val="0"/>
      <w:adjustRightInd w:val="0"/>
      <w:spacing w:after="0" w:line="269" w:lineRule="exact"/>
      <w:jc w:val="both"/>
    </w:pPr>
    <w:rPr>
      <w:rFonts w:ascii="Calibri" w:eastAsia="Times New Roman" w:hAnsi="Calibri" w:cs="Times New Roman"/>
      <w:sz w:val="24"/>
      <w:szCs w:val="24"/>
    </w:rPr>
  </w:style>
  <w:style w:type="character" w:customStyle="1" w:styleId="FontStyle62">
    <w:name w:val="Font Style62"/>
    <w:uiPriority w:val="99"/>
    <w:rsid w:val="00F2046E"/>
    <w:rPr>
      <w:rFonts w:ascii="Calibri" w:hAnsi="Calibri" w:cs="Calibri"/>
      <w:color w:val="000000"/>
      <w:sz w:val="20"/>
      <w:szCs w:val="20"/>
    </w:rPr>
  </w:style>
  <w:style w:type="paragraph" w:customStyle="1" w:styleId="font5">
    <w:name w:val="font5"/>
    <w:basedOn w:val="Normal"/>
    <w:rsid w:val="00F2046E"/>
    <w:pPr>
      <w:spacing w:before="100" w:beforeAutospacing="1" w:after="100" w:afterAutospacing="1" w:line="240" w:lineRule="auto"/>
    </w:pPr>
    <w:rPr>
      <w:rFonts w:ascii="Arial" w:eastAsia="Times New Roman" w:hAnsi="Arial" w:cs="Arial"/>
      <w:b/>
      <w:bCs/>
      <w:color w:val="000000"/>
      <w:sz w:val="24"/>
      <w:szCs w:val="24"/>
    </w:rPr>
  </w:style>
  <w:style w:type="paragraph" w:customStyle="1" w:styleId="font6">
    <w:name w:val="font6"/>
    <w:basedOn w:val="Normal"/>
    <w:rsid w:val="00F2046E"/>
    <w:pPr>
      <w:spacing w:before="100" w:beforeAutospacing="1" w:after="100" w:afterAutospacing="1" w:line="240" w:lineRule="auto"/>
    </w:pPr>
    <w:rPr>
      <w:rFonts w:ascii="Arial" w:eastAsia="Times New Roman" w:hAnsi="Arial" w:cs="Arial"/>
      <w:b/>
      <w:bCs/>
      <w:color w:val="000000"/>
      <w:sz w:val="24"/>
      <w:szCs w:val="24"/>
    </w:rPr>
  </w:style>
  <w:style w:type="paragraph" w:customStyle="1" w:styleId="xl66">
    <w:name w:val="xl66"/>
    <w:basedOn w:val="Normal"/>
    <w:rsid w:val="00F2046E"/>
    <w:pPr>
      <w:spacing w:before="100" w:beforeAutospacing="1" w:after="100" w:afterAutospacing="1" w:line="240" w:lineRule="auto"/>
      <w:textAlignment w:val="top"/>
    </w:pPr>
    <w:rPr>
      <w:rFonts w:ascii="Arial" w:eastAsia="Times New Roman" w:hAnsi="Arial" w:cs="Arial"/>
      <w:sz w:val="24"/>
      <w:szCs w:val="24"/>
    </w:rPr>
  </w:style>
  <w:style w:type="paragraph" w:customStyle="1" w:styleId="xl67">
    <w:name w:val="xl67"/>
    <w:basedOn w:val="Normal"/>
    <w:rsid w:val="00F204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4"/>
      <w:szCs w:val="24"/>
    </w:rPr>
  </w:style>
  <w:style w:type="paragraph" w:customStyle="1" w:styleId="xl68">
    <w:name w:val="xl68"/>
    <w:basedOn w:val="Normal"/>
    <w:rsid w:val="00F204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69">
    <w:name w:val="xl69"/>
    <w:basedOn w:val="Normal"/>
    <w:rsid w:val="00F2046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70">
    <w:name w:val="xl70"/>
    <w:basedOn w:val="Normal"/>
    <w:rsid w:val="00F2046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numbering" w:customStyle="1" w:styleId="NoList3">
    <w:name w:val="No List3"/>
    <w:next w:val="NoList"/>
    <w:uiPriority w:val="99"/>
    <w:semiHidden/>
    <w:unhideWhenUsed/>
    <w:rsid w:val="00F2181A"/>
  </w:style>
  <w:style w:type="table" w:customStyle="1" w:styleId="TableGrid2">
    <w:name w:val="Table Grid2"/>
    <w:basedOn w:val="TableNormal"/>
    <w:next w:val="TableGrid"/>
    <w:uiPriority w:val="59"/>
    <w:rsid w:val="00F2181A"/>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10">
    <w:name w:val="Pa10"/>
    <w:basedOn w:val="Default"/>
    <w:next w:val="Default"/>
    <w:uiPriority w:val="99"/>
    <w:rsid w:val="00F2181A"/>
    <w:pPr>
      <w:spacing w:line="221" w:lineRule="atLeast"/>
    </w:pPr>
    <w:rPr>
      <w:rFonts w:ascii="Myriad Pro" w:eastAsiaTheme="minorHAnsi" w:hAnsi="Myriad Pro" w:cstheme="minorBidi"/>
      <w:color w:val="auto"/>
    </w:rPr>
  </w:style>
  <w:style w:type="table" w:customStyle="1" w:styleId="LightShading-Accent11">
    <w:name w:val="Light Shading - Accent 11"/>
    <w:basedOn w:val="TableNormal"/>
    <w:uiPriority w:val="60"/>
    <w:rsid w:val="00F2181A"/>
    <w:pPr>
      <w:spacing w:after="0" w:line="240" w:lineRule="auto"/>
      <w:jc w:val="both"/>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8.xml"/><Relationship Id="rId117" Type="http://schemas.openxmlformats.org/officeDocument/2006/relationships/chart" Target="charts/chart81.xml"/><Relationship Id="rId21" Type="http://schemas.openxmlformats.org/officeDocument/2006/relationships/chart" Target="charts/chart13.xml"/><Relationship Id="rId42" Type="http://schemas.openxmlformats.org/officeDocument/2006/relationships/chart" Target="charts/chart34.xml"/><Relationship Id="rId47" Type="http://schemas.openxmlformats.org/officeDocument/2006/relationships/chart" Target="charts/chart39.xml"/><Relationship Id="rId63" Type="http://schemas.openxmlformats.org/officeDocument/2006/relationships/chart" Target="charts/chart48.xml"/><Relationship Id="rId68" Type="http://schemas.openxmlformats.org/officeDocument/2006/relationships/footer" Target="footer5.xml"/><Relationship Id="rId84" Type="http://schemas.openxmlformats.org/officeDocument/2006/relationships/image" Target="media/image5.jpeg"/><Relationship Id="rId89" Type="http://schemas.openxmlformats.org/officeDocument/2006/relationships/hyperlink" Target="https://ro.wikipedia.org/wiki/Silvicultur%C4%83" TargetMode="External"/><Relationship Id="rId112" Type="http://schemas.openxmlformats.org/officeDocument/2006/relationships/chart" Target="charts/chart76.xml"/><Relationship Id="rId133" Type="http://schemas.openxmlformats.org/officeDocument/2006/relationships/chart" Target="charts/chart97.xml"/><Relationship Id="rId138" Type="http://schemas.openxmlformats.org/officeDocument/2006/relationships/chart" Target="charts/chart102.xml"/><Relationship Id="rId154" Type="http://schemas.openxmlformats.org/officeDocument/2006/relationships/chart" Target="charts/chart118.xml"/><Relationship Id="rId159" Type="http://schemas.openxmlformats.org/officeDocument/2006/relationships/chart" Target="charts/chart123.xml"/><Relationship Id="rId16" Type="http://schemas.openxmlformats.org/officeDocument/2006/relationships/chart" Target="charts/chart8.xml"/><Relationship Id="rId107" Type="http://schemas.openxmlformats.org/officeDocument/2006/relationships/chart" Target="charts/chart71.xml"/><Relationship Id="rId11" Type="http://schemas.openxmlformats.org/officeDocument/2006/relationships/chart" Target="charts/chart3.xml"/><Relationship Id="rId32" Type="http://schemas.openxmlformats.org/officeDocument/2006/relationships/chart" Target="charts/chart24.xml"/><Relationship Id="rId37" Type="http://schemas.openxmlformats.org/officeDocument/2006/relationships/chart" Target="charts/chart29.xml"/><Relationship Id="rId53" Type="http://schemas.openxmlformats.org/officeDocument/2006/relationships/chart" Target="charts/chart45.xml"/><Relationship Id="rId58" Type="http://schemas.openxmlformats.org/officeDocument/2006/relationships/footer" Target="footer3.xml"/><Relationship Id="rId74" Type="http://schemas.openxmlformats.org/officeDocument/2006/relationships/chart" Target="charts/chart55.xml"/><Relationship Id="rId79" Type="http://schemas.openxmlformats.org/officeDocument/2006/relationships/chart" Target="charts/chart60.xml"/><Relationship Id="rId102" Type="http://schemas.openxmlformats.org/officeDocument/2006/relationships/footer" Target="footer6.xml"/><Relationship Id="rId123" Type="http://schemas.openxmlformats.org/officeDocument/2006/relationships/chart" Target="charts/chart87.xml"/><Relationship Id="rId128" Type="http://schemas.openxmlformats.org/officeDocument/2006/relationships/chart" Target="charts/chart92.xml"/><Relationship Id="rId144" Type="http://schemas.openxmlformats.org/officeDocument/2006/relationships/chart" Target="charts/chart108.xml"/><Relationship Id="rId149" Type="http://schemas.openxmlformats.org/officeDocument/2006/relationships/chart" Target="charts/chart113.xml"/><Relationship Id="rId5" Type="http://schemas.openxmlformats.org/officeDocument/2006/relationships/settings" Target="settings.xml"/><Relationship Id="rId90" Type="http://schemas.openxmlformats.org/officeDocument/2006/relationships/hyperlink" Target="https://ro.wikipedia.org/wiki/Tehnic%C4%83" TargetMode="External"/><Relationship Id="rId95" Type="http://schemas.openxmlformats.org/officeDocument/2006/relationships/hyperlink" Target="https://ro.wikipedia.org/wiki/P%C4%83dure" TargetMode="External"/><Relationship Id="rId160" Type="http://schemas.openxmlformats.org/officeDocument/2006/relationships/chart" Target="charts/chart124.xml"/><Relationship Id="rId165" Type="http://schemas.openxmlformats.org/officeDocument/2006/relationships/fontTable" Target="fontTable.xml"/><Relationship Id="rId22" Type="http://schemas.openxmlformats.org/officeDocument/2006/relationships/chart" Target="charts/chart14.xml"/><Relationship Id="rId27" Type="http://schemas.openxmlformats.org/officeDocument/2006/relationships/chart" Target="charts/chart19.xml"/><Relationship Id="rId43" Type="http://schemas.openxmlformats.org/officeDocument/2006/relationships/chart" Target="charts/chart35.xml"/><Relationship Id="rId48" Type="http://schemas.openxmlformats.org/officeDocument/2006/relationships/chart" Target="charts/chart40.xml"/><Relationship Id="rId64" Type="http://schemas.openxmlformats.org/officeDocument/2006/relationships/chart" Target="charts/chart49.xml"/><Relationship Id="rId69" Type="http://schemas.openxmlformats.org/officeDocument/2006/relationships/image" Target="media/image3.emf"/><Relationship Id="rId113" Type="http://schemas.openxmlformats.org/officeDocument/2006/relationships/chart" Target="charts/chart77.xml"/><Relationship Id="rId118" Type="http://schemas.openxmlformats.org/officeDocument/2006/relationships/chart" Target="charts/chart82.xml"/><Relationship Id="rId134" Type="http://schemas.openxmlformats.org/officeDocument/2006/relationships/chart" Target="charts/chart98.xml"/><Relationship Id="rId139" Type="http://schemas.openxmlformats.org/officeDocument/2006/relationships/chart" Target="charts/chart103.xml"/><Relationship Id="rId80" Type="http://schemas.openxmlformats.org/officeDocument/2006/relationships/chart" Target="charts/chart61.xml"/><Relationship Id="rId85" Type="http://schemas.openxmlformats.org/officeDocument/2006/relationships/chart" Target="charts/chart63.xml"/><Relationship Id="rId150" Type="http://schemas.openxmlformats.org/officeDocument/2006/relationships/chart" Target="charts/chart114.xml"/><Relationship Id="rId155" Type="http://schemas.openxmlformats.org/officeDocument/2006/relationships/chart" Target="charts/chart119.xml"/><Relationship Id="rId12" Type="http://schemas.openxmlformats.org/officeDocument/2006/relationships/chart" Target="charts/chart4.xml"/><Relationship Id="rId17" Type="http://schemas.openxmlformats.org/officeDocument/2006/relationships/chart" Target="charts/chart9.xml"/><Relationship Id="rId33" Type="http://schemas.openxmlformats.org/officeDocument/2006/relationships/chart" Target="charts/chart25.xml"/><Relationship Id="rId38" Type="http://schemas.openxmlformats.org/officeDocument/2006/relationships/chart" Target="charts/chart30.xml"/><Relationship Id="rId59" Type="http://schemas.openxmlformats.org/officeDocument/2006/relationships/image" Target="media/image1.emf"/><Relationship Id="rId103" Type="http://schemas.openxmlformats.org/officeDocument/2006/relationships/header" Target="header4.xml"/><Relationship Id="rId108" Type="http://schemas.openxmlformats.org/officeDocument/2006/relationships/chart" Target="charts/chart72.xml"/><Relationship Id="rId124" Type="http://schemas.openxmlformats.org/officeDocument/2006/relationships/chart" Target="charts/chart88.xml"/><Relationship Id="rId129" Type="http://schemas.openxmlformats.org/officeDocument/2006/relationships/chart" Target="charts/chart93.xml"/><Relationship Id="rId54" Type="http://schemas.openxmlformats.org/officeDocument/2006/relationships/header" Target="header1.xml"/><Relationship Id="rId70" Type="http://schemas.openxmlformats.org/officeDocument/2006/relationships/image" Target="media/image4.emf"/><Relationship Id="rId75" Type="http://schemas.openxmlformats.org/officeDocument/2006/relationships/chart" Target="charts/chart56.xml"/><Relationship Id="rId91" Type="http://schemas.openxmlformats.org/officeDocument/2006/relationships/hyperlink" Target="https://ro.wikipedia.org/wiki/Economie" TargetMode="External"/><Relationship Id="rId96" Type="http://schemas.openxmlformats.org/officeDocument/2006/relationships/hyperlink" Target="https://ro.wikipedia.org/wiki/Lemn" TargetMode="External"/><Relationship Id="rId140" Type="http://schemas.openxmlformats.org/officeDocument/2006/relationships/chart" Target="charts/chart104.xml"/><Relationship Id="rId145" Type="http://schemas.openxmlformats.org/officeDocument/2006/relationships/chart" Target="charts/chart109.xml"/><Relationship Id="rId161" Type="http://schemas.openxmlformats.org/officeDocument/2006/relationships/chart" Target="charts/chart125.xm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 Id="rId57" Type="http://schemas.openxmlformats.org/officeDocument/2006/relationships/header" Target="header2.xml"/><Relationship Id="rId106" Type="http://schemas.openxmlformats.org/officeDocument/2006/relationships/chart" Target="charts/chart70.xml"/><Relationship Id="rId114" Type="http://schemas.openxmlformats.org/officeDocument/2006/relationships/chart" Target="charts/chart78.xml"/><Relationship Id="rId119" Type="http://schemas.openxmlformats.org/officeDocument/2006/relationships/chart" Target="charts/chart83.xml"/><Relationship Id="rId127" Type="http://schemas.openxmlformats.org/officeDocument/2006/relationships/chart" Target="charts/chart91.xml"/><Relationship Id="rId10" Type="http://schemas.openxmlformats.org/officeDocument/2006/relationships/chart" Target="charts/chart2.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chart" Target="charts/chart44.xml"/><Relationship Id="rId60" Type="http://schemas.openxmlformats.org/officeDocument/2006/relationships/image" Target="media/image2.emf"/><Relationship Id="rId65" Type="http://schemas.openxmlformats.org/officeDocument/2006/relationships/chart" Target="charts/chart50.xml"/><Relationship Id="rId73" Type="http://schemas.openxmlformats.org/officeDocument/2006/relationships/chart" Target="charts/chart54.xml"/><Relationship Id="rId78" Type="http://schemas.openxmlformats.org/officeDocument/2006/relationships/chart" Target="charts/chart59.xml"/><Relationship Id="rId81" Type="http://schemas.openxmlformats.org/officeDocument/2006/relationships/chart" Target="charts/chart62.xml"/><Relationship Id="rId86" Type="http://schemas.openxmlformats.org/officeDocument/2006/relationships/chart" Target="charts/chart64.xml"/><Relationship Id="rId94" Type="http://schemas.openxmlformats.org/officeDocument/2006/relationships/hyperlink" Target="https://ro.wikipedia.org/wiki/Biomas%C4%83_(ecologie)" TargetMode="External"/><Relationship Id="rId99" Type="http://schemas.openxmlformats.org/officeDocument/2006/relationships/chart" Target="charts/chart67.xml"/><Relationship Id="rId101" Type="http://schemas.openxmlformats.org/officeDocument/2006/relationships/header" Target="header3.xml"/><Relationship Id="rId122" Type="http://schemas.openxmlformats.org/officeDocument/2006/relationships/chart" Target="charts/chart86.xml"/><Relationship Id="rId130" Type="http://schemas.openxmlformats.org/officeDocument/2006/relationships/chart" Target="charts/chart94.xml"/><Relationship Id="rId135" Type="http://schemas.openxmlformats.org/officeDocument/2006/relationships/chart" Target="charts/chart99.xml"/><Relationship Id="rId143" Type="http://schemas.openxmlformats.org/officeDocument/2006/relationships/chart" Target="charts/chart107.xml"/><Relationship Id="rId148" Type="http://schemas.openxmlformats.org/officeDocument/2006/relationships/chart" Target="charts/chart112.xml"/><Relationship Id="rId151" Type="http://schemas.openxmlformats.org/officeDocument/2006/relationships/chart" Target="charts/chart115.xml"/><Relationship Id="rId156" Type="http://schemas.openxmlformats.org/officeDocument/2006/relationships/chart" Target="charts/chart120.xml"/><Relationship Id="rId164" Type="http://schemas.openxmlformats.org/officeDocument/2006/relationships/hyperlink" Target="http://www.eea.europa.eu/ro" TargetMode="External"/><Relationship Id="rId4" Type="http://schemas.microsoft.com/office/2007/relationships/stylesWithEffects" Target="stylesWithEffect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31.xml"/><Relationship Id="rId109" Type="http://schemas.openxmlformats.org/officeDocument/2006/relationships/chart" Target="charts/chart73.xml"/><Relationship Id="rId34" Type="http://schemas.openxmlformats.org/officeDocument/2006/relationships/chart" Target="charts/chart26.xml"/><Relationship Id="rId50" Type="http://schemas.openxmlformats.org/officeDocument/2006/relationships/chart" Target="charts/chart42.xml"/><Relationship Id="rId55" Type="http://schemas.openxmlformats.org/officeDocument/2006/relationships/footer" Target="footer1.xml"/><Relationship Id="rId76" Type="http://schemas.openxmlformats.org/officeDocument/2006/relationships/chart" Target="charts/chart57.xml"/><Relationship Id="rId97" Type="http://schemas.openxmlformats.org/officeDocument/2006/relationships/hyperlink" Target="https://ro.wikipedia.org/wiki/Industrie" TargetMode="External"/><Relationship Id="rId104" Type="http://schemas.openxmlformats.org/officeDocument/2006/relationships/footer" Target="footer7.xml"/><Relationship Id="rId120" Type="http://schemas.openxmlformats.org/officeDocument/2006/relationships/chart" Target="charts/chart84.xml"/><Relationship Id="rId125" Type="http://schemas.openxmlformats.org/officeDocument/2006/relationships/chart" Target="charts/chart89.xml"/><Relationship Id="rId141" Type="http://schemas.openxmlformats.org/officeDocument/2006/relationships/chart" Target="charts/chart105.xml"/><Relationship Id="rId146" Type="http://schemas.openxmlformats.org/officeDocument/2006/relationships/chart" Target="charts/chart110.xml"/><Relationship Id="rId7" Type="http://schemas.openxmlformats.org/officeDocument/2006/relationships/footnotes" Target="footnotes.xml"/><Relationship Id="rId71" Type="http://schemas.openxmlformats.org/officeDocument/2006/relationships/chart" Target="charts/chart52.xml"/><Relationship Id="rId92" Type="http://schemas.openxmlformats.org/officeDocument/2006/relationships/hyperlink" Target="https://ro.wikipedia.org/wiki/Circuit_economic" TargetMode="External"/><Relationship Id="rId162" Type="http://schemas.openxmlformats.org/officeDocument/2006/relationships/chart" Target="charts/chart126.xml"/><Relationship Id="rId2" Type="http://schemas.openxmlformats.org/officeDocument/2006/relationships/numbering" Target="numbering.xml"/><Relationship Id="rId29" Type="http://schemas.openxmlformats.org/officeDocument/2006/relationships/chart" Target="charts/chart21.xml"/><Relationship Id="rId24" Type="http://schemas.openxmlformats.org/officeDocument/2006/relationships/chart" Target="charts/chart16.xml"/><Relationship Id="rId40" Type="http://schemas.openxmlformats.org/officeDocument/2006/relationships/chart" Target="charts/chart32.xml"/><Relationship Id="rId45" Type="http://schemas.openxmlformats.org/officeDocument/2006/relationships/chart" Target="charts/chart37.xml"/><Relationship Id="rId66" Type="http://schemas.openxmlformats.org/officeDocument/2006/relationships/chart" Target="charts/chart51.xml"/><Relationship Id="rId87" Type="http://schemas.openxmlformats.org/officeDocument/2006/relationships/chart" Target="charts/chart65.xml"/><Relationship Id="rId110" Type="http://schemas.openxmlformats.org/officeDocument/2006/relationships/chart" Target="charts/chart74.xml"/><Relationship Id="rId115" Type="http://schemas.openxmlformats.org/officeDocument/2006/relationships/chart" Target="charts/chart79.xml"/><Relationship Id="rId131" Type="http://schemas.openxmlformats.org/officeDocument/2006/relationships/chart" Target="charts/chart95.xml"/><Relationship Id="rId136" Type="http://schemas.openxmlformats.org/officeDocument/2006/relationships/chart" Target="charts/chart100.xml"/><Relationship Id="rId157" Type="http://schemas.openxmlformats.org/officeDocument/2006/relationships/chart" Target="charts/chart121.xml"/><Relationship Id="rId61" Type="http://schemas.openxmlformats.org/officeDocument/2006/relationships/chart" Target="charts/chart46.xml"/><Relationship Id="rId82" Type="http://schemas.openxmlformats.org/officeDocument/2006/relationships/hyperlink" Target="http://ec.europa.eu/environment/policies_en.htm" TargetMode="External"/><Relationship Id="rId152" Type="http://schemas.openxmlformats.org/officeDocument/2006/relationships/chart" Target="charts/chart116.xml"/><Relationship Id="rId19" Type="http://schemas.openxmlformats.org/officeDocument/2006/relationships/chart" Target="charts/chart11.xml"/><Relationship Id="rId14" Type="http://schemas.openxmlformats.org/officeDocument/2006/relationships/chart" Target="charts/chart6.xml"/><Relationship Id="rId30" Type="http://schemas.openxmlformats.org/officeDocument/2006/relationships/chart" Target="charts/chart22.xml"/><Relationship Id="rId35" Type="http://schemas.openxmlformats.org/officeDocument/2006/relationships/chart" Target="charts/chart27.xml"/><Relationship Id="rId56" Type="http://schemas.openxmlformats.org/officeDocument/2006/relationships/footer" Target="footer2.xml"/><Relationship Id="rId77" Type="http://schemas.openxmlformats.org/officeDocument/2006/relationships/chart" Target="charts/chart58.xml"/><Relationship Id="rId100" Type="http://schemas.openxmlformats.org/officeDocument/2006/relationships/chart" Target="charts/chart68.xml"/><Relationship Id="rId105" Type="http://schemas.openxmlformats.org/officeDocument/2006/relationships/chart" Target="charts/chart69.xml"/><Relationship Id="rId126" Type="http://schemas.openxmlformats.org/officeDocument/2006/relationships/chart" Target="charts/chart90.xml"/><Relationship Id="rId147" Type="http://schemas.openxmlformats.org/officeDocument/2006/relationships/chart" Target="charts/chart111.xml"/><Relationship Id="rId8" Type="http://schemas.openxmlformats.org/officeDocument/2006/relationships/endnotes" Target="endnotes.xml"/><Relationship Id="rId51" Type="http://schemas.openxmlformats.org/officeDocument/2006/relationships/chart" Target="charts/chart43.xml"/><Relationship Id="rId72" Type="http://schemas.openxmlformats.org/officeDocument/2006/relationships/chart" Target="charts/chart53.xml"/><Relationship Id="rId93" Type="http://schemas.openxmlformats.org/officeDocument/2006/relationships/hyperlink" Target="https://ro.wikipedia.org/wiki/Produs" TargetMode="External"/><Relationship Id="rId98" Type="http://schemas.openxmlformats.org/officeDocument/2006/relationships/hyperlink" Target="https://ro.wikipedia.org/wiki/Transport" TargetMode="External"/><Relationship Id="rId121" Type="http://schemas.openxmlformats.org/officeDocument/2006/relationships/chart" Target="charts/chart85.xml"/><Relationship Id="rId142" Type="http://schemas.openxmlformats.org/officeDocument/2006/relationships/chart" Target="charts/chart106.xml"/><Relationship Id="rId163" Type="http://schemas.openxmlformats.org/officeDocument/2006/relationships/chart" Target="charts/chart127.xml"/><Relationship Id="rId3" Type="http://schemas.openxmlformats.org/officeDocument/2006/relationships/styles" Target="styles.xml"/><Relationship Id="rId25" Type="http://schemas.openxmlformats.org/officeDocument/2006/relationships/chart" Target="charts/chart17.xml"/><Relationship Id="rId46" Type="http://schemas.openxmlformats.org/officeDocument/2006/relationships/chart" Target="charts/chart38.xml"/><Relationship Id="rId67" Type="http://schemas.openxmlformats.org/officeDocument/2006/relationships/footer" Target="footer4.xml"/><Relationship Id="rId116" Type="http://schemas.openxmlformats.org/officeDocument/2006/relationships/chart" Target="charts/chart80.xml"/><Relationship Id="rId137" Type="http://schemas.openxmlformats.org/officeDocument/2006/relationships/chart" Target="charts/chart101.xml"/><Relationship Id="rId158" Type="http://schemas.openxmlformats.org/officeDocument/2006/relationships/chart" Target="charts/chart122.xml"/><Relationship Id="rId20" Type="http://schemas.openxmlformats.org/officeDocument/2006/relationships/chart" Target="charts/chart12.xml"/><Relationship Id="rId41" Type="http://schemas.openxmlformats.org/officeDocument/2006/relationships/chart" Target="charts/chart33.xml"/><Relationship Id="rId62" Type="http://schemas.openxmlformats.org/officeDocument/2006/relationships/chart" Target="charts/chart47.xml"/><Relationship Id="rId83" Type="http://schemas.openxmlformats.org/officeDocument/2006/relationships/hyperlink" Target="http://ec.europa.eu/environment/climat/adaptation/index_en.htm" TargetMode="External"/><Relationship Id="rId88" Type="http://schemas.openxmlformats.org/officeDocument/2006/relationships/chart" Target="charts/chart66.xml"/><Relationship Id="rId111" Type="http://schemas.openxmlformats.org/officeDocument/2006/relationships/chart" Target="charts/chart75.xml"/><Relationship Id="rId132" Type="http://schemas.openxmlformats.org/officeDocument/2006/relationships/chart" Target="charts/chart96.xml"/><Relationship Id="rId153" Type="http://schemas.openxmlformats.org/officeDocument/2006/relationships/chart" Target="charts/chart11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00.xml.rels><?xml version="1.0" encoding="UTF-8" standalone="yes"?>
<Relationships xmlns="http://schemas.openxmlformats.org/package/2006/relationships"><Relationship Id="rId2" Type="http://schemas.openxmlformats.org/officeDocument/2006/relationships/package" Target="../embeddings/Microsoft_Excel_Worksheet100.xlsx"/><Relationship Id="rId1" Type="http://schemas.openxmlformats.org/officeDocument/2006/relationships/themeOverride" Target="../theme/themeOverride50.xml"/></Relationships>
</file>

<file path=word/charts/_rels/chart101.xml.rels><?xml version="1.0" encoding="UTF-8" standalone="yes"?>
<Relationships xmlns="http://schemas.openxmlformats.org/package/2006/relationships"><Relationship Id="rId2" Type="http://schemas.openxmlformats.org/officeDocument/2006/relationships/package" Target="../embeddings/Microsoft_Excel_Worksheet101.xlsx"/><Relationship Id="rId1" Type="http://schemas.openxmlformats.org/officeDocument/2006/relationships/themeOverride" Target="../theme/themeOverride51.xml"/></Relationships>
</file>

<file path=word/charts/_rels/chart102.xml.rels><?xml version="1.0" encoding="UTF-8" standalone="yes"?>
<Relationships xmlns="http://schemas.openxmlformats.org/package/2006/relationships"><Relationship Id="rId2" Type="http://schemas.openxmlformats.org/officeDocument/2006/relationships/package" Target="../embeddings/Microsoft_Excel_Worksheet102.xlsx"/><Relationship Id="rId1" Type="http://schemas.openxmlformats.org/officeDocument/2006/relationships/themeOverride" Target="../theme/themeOverride52.xml"/></Relationships>
</file>

<file path=word/charts/_rels/chart103.xml.rels><?xml version="1.0" encoding="UTF-8" standalone="yes"?>
<Relationships xmlns="http://schemas.openxmlformats.org/package/2006/relationships"><Relationship Id="rId2" Type="http://schemas.openxmlformats.org/officeDocument/2006/relationships/package" Target="../embeddings/Microsoft_Excel_Worksheet103.xlsx"/><Relationship Id="rId1" Type="http://schemas.openxmlformats.org/officeDocument/2006/relationships/themeOverride" Target="../theme/themeOverride53.xml"/></Relationships>
</file>

<file path=word/charts/_rels/chart104.xml.rels><?xml version="1.0" encoding="UTF-8" standalone="yes"?>
<Relationships xmlns="http://schemas.openxmlformats.org/package/2006/relationships"><Relationship Id="rId2" Type="http://schemas.openxmlformats.org/officeDocument/2006/relationships/package" Target="../embeddings/Microsoft_Excel_Worksheet104.xlsx"/><Relationship Id="rId1" Type="http://schemas.openxmlformats.org/officeDocument/2006/relationships/themeOverride" Target="../theme/themeOverride54.xml"/></Relationships>
</file>

<file path=word/charts/_rels/chart105.xml.rels><?xml version="1.0" encoding="UTF-8" standalone="yes"?>
<Relationships xmlns="http://schemas.openxmlformats.org/package/2006/relationships"><Relationship Id="rId2" Type="http://schemas.openxmlformats.org/officeDocument/2006/relationships/package" Target="../embeddings/Microsoft_Excel_Worksheet105.xlsx"/><Relationship Id="rId1" Type="http://schemas.openxmlformats.org/officeDocument/2006/relationships/themeOverride" Target="../theme/themeOverride55.xml"/></Relationships>
</file>

<file path=word/charts/_rels/chart106.xml.rels><?xml version="1.0" encoding="UTF-8" standalone="yes"?>
<Relationships xmlns="http://schemas.openxmlformats.org/package/2006/relationships"><Relationship Id="rId1" Type="http://schemas.openxmlformats.org/officeDocument/2006/relationships/package" Target="../embeddings/Microsoft_Excel_Worksheet106.xlsx"/></Relationships>
</file>

<file path=word/charts/_rels/chart107.xml.rels><?xml version="1.0" encoding="UTF-8" standalone="yes"?>
<Relationships xmlns="http://schemas.openxmlformats.org/package/2006/relationships"><Relationship Id="rId1" Type="http://schemas.openxmlformats.org/officeDocument/2006/relationships/package" Target="../embeddings/Microsoft_Excel_Worksheet107.xlsx"/></Relationships>
</file>

<file path=word/charts/_rels/chart108.xml.rels><?xml version="1.0" encoding="UTF-8" standalone="yes"?>
<Relationships xmlns="http://schemas.openxmlformats.org/package/2006/relationships"><Relationship Id="rId1" Type="http://schemas.openxmlformats.org/officeDocument/2006/relationships/package" Target="../embeddings/Microsoft_Excel_Worksheet108.xlsx"/></Relationships>
</file>

<file path=word/charts/_rels/chart109.xml.rels><?xml version="1.0" encoding="UTF-8" standalone="yes"?>
<Relationships xmlns="http://schemas.openxmlformats.org/package/2006/relationships"><Relationship Id="rId1" Type="http://schemas.openxmlformats.org/officeDocument/2006/relationships/package" Target="../embeddings/Microsoft_Excel_Worksheet10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10.xml.rels><?xml version="1.0" encoding="UTF-8" standalone="yes"?>
<Relationships xmlns="http://schemas.openxmlformats.org/package/2006/relationships"><Relationship Id="rId1" Type="http://schemas.openxmlformats.org/officeDocument/2006/relationships/package" Target="../embeddings/Microsoft_Excel_Worksheet110.xlsx"/></Relationships>
</file>

<file path=word/charts/_rels/chart111.xml.rels><?xml version="1.0" encoding="UTF-8" standalone="yes"?>
<Relationships xmlns="http://schemas.openxmlformats.org/package/2006/relationships"><Relationship Id="rId1" Type="http://schemas.openxmlformats.org/officeDocument/2006/relationships/package" Target="../embeddings/Microsoft_Excel_Worksheet111.xlsx"/></Relationships>
</file>

<file path=word/charts/_rels/chart112.xml.rels><?xml version="1.0" encoding="UTF-8" standalone="yes"?>
<Relationships xmlns="http://schemas.openxmlformats.org/package/2006/relationships"><Relationship Id="rId1" Type="http://schemas.openxmlformats.org/officeDocument/2006/relationships/package" Target="../embeddings/Microsoft_Excel_Worksheet112.xlsx"/></Relationships>
</file>

<file path=word/charts/_rels/chart113.xml.rels><?xml version="1.0" encoding="UTF-8" standalone="yes"?>
<Relationships xmlns="http://schemas.openxmlformats.org/package/2006/relationships"><Relationship Id="rId1" Type="http://schemas.openxmlformats.org/officeDocument/2006/relationships/package" Target="../embeddings/Microsoft_Excel_Worksheet113.xlsx"/></Relationships>
</file>

<file path=word/charts/_rels/chart114.xml.rels><?xml version="1.0" encoding="UTF-8" standalone="yes"?>
<Relationships xmlns="http://schemas.openxmlformats.org/package/2006/relationships"><Relationship Id="rId1" Type="http://schemas.openxmlformats.org/officeDocument/2006/relationships/package" Target="../embeddings/Microsoft_Excel_Worksheet114.xlsx"/></Relationships>
</file>

<file path=word/charts/_rels/chart115.xml.rels><?xml version="1.0" encoding="UTF-8" standalone="yes"?>
<Relationships xmlns="http://schemas.openxmlformats.org/package/2006/relationships"><Relationship Id="rId1" Type="http://schemas.openxmlformats.org/officeDocument/2006/relationships/package" Target="../embeddings/Microsoft_Excel_Worksheet115.xlsx"/></Relationships>
</file>

<file path=word/charts/_rels/chart116.xml.rels><?xml version="1.0" encoding="UTF-8" standalone="yes"?>
<Relationships xmlns="http://schemas.openxmlformats.org/package/2006/relationships"><Relationship Id="rId1" Type="http://schemas.openxmlformats.org/officeDocument/2006/relationships/package" Target="../embeddings/Microsoft_Excel_Worksheet116.xlsx"/></Relationships>
</file>

<file path=word/charts/_rels/chart117.xml.rels><?xml version="1.0" encoding="UTF-8" standalone="yes"?>
<Relationships xmlns="http://schemas.openxmlformats.org/package/2006/relationships"><Relationship Id="rId1" Type="http://schemas.openxmlformats.org/officeDocument/2006/relationships/package" Target="../embeddings/Microsoft_Excel_Worksheet117.xlsx"/></Relationships>
</file>

<file path=word/charts/_rels/chart118.xml.rels><?xml version="1.0" encoding="UTF-8" standalone="yes"?>
<Relationships xmlns="http://schemas.openxmlformats.org/package/2006/relationships"><Relationship Id="rId2" Type="http://schemas.openxmlformats.org/officeDocument/2006/relationships/package" Target="../embeddings/Microsoft_Excel_Worksheet118.xlsx"/><Relationship Id="rId1" Type="http://schemas.openxmlformats.org/officeDocument/2006/relationships/themeOverride" Target="../theme/themeOverride56.xml"/></Relationships>
</file>

<file path=word/charts/_rels/chart119.xml.rels><?xml version="1.0" encoding="UTF-8" standalone="yes"?>
<Relationships xmlns="http://schemas.openxmlformats.org/package/2006/relationships"><Relationship Id="rId2" Type="http://schemas.openxmlformats.org/officeDocument/2006/relationships/package" Target="../embeddings/Microsoft_Excel_Worksheet119.xlsx"/><Relationship Id="rId1" Type="http://schemas.openxmlformats.org/officeDocument/2006/relationships/themeOverride" Target="../theme/themeOverride57.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20.xml.rels><?xml version="1.0" encoding="UTF-8" standalone="yes"?>
<Relationships xmlns="http://schemas.openxmlformats.org/package/2006/relationships"><Relationship Id="rId2" Type="http://schemas.openxmlformats.org/officeDocument/2006/relationships/package" Target="../embeddings/Microsoft_Excel_Worksheet120.xlsx"/><Relationship Id="rId1" Type="http://schemas.openxmlformats.org/officeDocument/2006/relationships/themeOverride" Target="../theme/themeOverride58.xml"/></Relationships>
</file>

<file path=word/charts/_rels/chart121.xml.rels><?xml version="1.0" encoding="UTF-8" standalone="yes"?>
<Relationships xmlns="http://schemas.openxmlformats.org/package/2006/relationships"><Relationship Id="rId2" Type="http://schemas.openxmlformats.org/officeDocument/2006/relationships/package" Target="../embeddings/Microsoft_Excel_Worksheet121.xlsx"/><Relationship Id="rId1" Type="http://schemas.openxmlformats.org/officeDocument/2006/relationships/themeOverride" Target="../theme/themeOverride59.xml"/></Relationships>
</file>

<file path=word/charts/_rels/chart122.xml.rels><?xml version="1.0" encoding="UTF-8" standalone="yes"?>
<Relationships xmlns="http://schemas.openxmlformats.org/package/2006/relationships"><Relationship Id="rId2" Type="http://schemas.openxmlformats.org/officeDocument/2006/relationships/package" Target="../embeddings/Microsoft_Excel_Worksheet122.xlsx"/><Relationship Id="rId1" Type="http://schemas.openxmlformats.org/officeDocument/2006/relationships/themeOverride" Target="../theme/themeOverride60.xml"/></Relationships>
</file>

<file path=word/charts/_rels/chart123.xml.rels><?xml version="1.0" encoding="UTF-8" standalone="yes"?>
<Relationships xmlns="http://schemas.openxmlformats.org/package/2006/relationships"><Relationship Id="rId2" Type="http://schemas.openxmlformats.org/officeDocument/2006/relationships/package" Target="../embeddings/Microsoft_Excel_Worksheet123.xlsx"/><Relationship Id="rId1" Type="http://schemas.openxmlformats.org/officeDocument/2006/relationships/themeOverride" Target="../theme/themeOverride61.xml"/></Relationships>
</file>

<file path=word/charts/_rels/chart124.xml.rels><?xml version="1.0" encoding="UTF-8" standalone="yes"?>
<Relationships xmlns="http://schemas.openxmlformats.org/package/2006/relationships"><Relationship Id="rId2" Type="http://schemas.openxmlformats.org/officeDocument/2006/relationships/package" Target="../embeddings/Microsoft_Excel_Worksheet124.xlsx"/><Relationship Id="rId1" Type="http://schemas.openxmlformats.org/officeDocument/2006/relationships/themeOverride" Target="../theme/themeOverride62.xml"/></Relationships>
</file>

<file path=word/charts/_rels/chart125.xml.rels><?xml version="1.0" encoding="UTF-8" standalone="yes"?>
<Relationships xmlns="http://schemas.openxmlformats.org/package/2006/relationships"><Relationship Id="rId2" Type="http://schemas.openxmlformats.org/officeDocument/2006/relationships/package" Target="../embeddings/Microsoft_Excel_Worksheet125.xlsx"/><Relationship Id="rId1" Type="http://schemas.openxmlformats.org/officeDocument/2006/relationships/themeOverride" Target="../theme/themeOverride63.xml"/></Relationships>
</file>

<file path=word/charts/_rels/chart126.xml.rels><?xml version="1.0" encoding="UTF-8" standalone="yes"?>
<Relationships xmlns="http://schemas.openxmlformats.org/package/2006/relationships"><Relationship Id="rId1" Type="http://schemas.openxmlformats.org/officeDocument/2006/relationships/package" Target="../embeddings/Microsoft_Excel_Worksheet126.xlsx"/></Relationships>
</file>

<file path=word/charts/_rels/chart127.xml.rels><?xml version="1.0" encoding="UTF-8" standalone="yes"?>
<Relationships xmlns="http://schemas.openxmlformats.org/package/2006/relationships"><Relationship Id="rId1" Type="http://schemas.openxmlformats.org/officeDocument/2006/relationships/package" Target="../embeddings/Microsoft_Excel_Worksheet127.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1.xml"/></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2.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3.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4.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5.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56.xlsx"/><Relationship Id="rId1" Type="http://schemas.openxmlformats.org/officeDocument/2006/relationships/themeOverride" Target="../theme/themeOverride6.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57.xlsx"/><Relationship Id="rId1" Type="http://schemas.openxmlformats.org/officeDocument/2006/relationships/themeOverride" Target="../theme/themeOverride7.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Worksheet58.xlsx"/><Relationship Id="rId1" Type="http://schemas.openxmlformats.org/officeDocument/2006/relationships/themeOverride" Target="../theme/themeOverride8.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59.xlsx"/><Relationship Id="rId1" Type="http://schemas.openxmlformats.org/officeDocument/2006/relationships/themeOverride" Target="../theme/themeOverride9.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Worksheet60.xlsx"/><Relationship Id="rId1" Type="http://schemas.openxmlformats.org/officeDocument/2006/relationships/themeOverride" Target="../theme/themeOverride10.xml"/></Relationships>
</file>

<file path=word/charts/_rels/chart61.xml.rels><?xml version="1.0" encoding="UTF-8" standalone="yes"?>
<Relationships xmlns="http://schemas.openxmlformats.org/package/2006/relationships"><Relationship Id="rId2" Type="http://schemas.openxmlformats.org/officeDocument/2006/relationships/package" Target="../embeddings/Microsoft_Excel_Worksheet61.xlsx"/><Relationship Id="rId1" Type="http://schemas.openxmlformats.org/officeDocument/2006/relationships/themeOverride" Target="../theme/themeOverride11.xml"/></Relationships>
</file>

<file path=word/charts/_rels/chart62.xml.rels><?xml version="1.0" encoding="UTF-8" standalone="yes"?>
<Relationships xmlns="http://schemas.openxmlformats.org/package/2006/relationships"><Relationship Id="rId2" Type="http://schemas.openxmlformats.org/officeDocument/2006/relationships/package" Target="../embeddings/Microsoft_Excel_Worksheet62.xlsx"/><Relationship Id="rId1" Type="http://schemas.openxmlformats.org/officeDocument/2006/relationships/themeOverride" Target="../theme/themeOverride12.xml"/></Relationships>
</file>

<file path=word/charts/_rels/chart63.xml.rels><?xml version="1.0" encoding="UTF-8" standalone="yes"?>
<Relationships xmlns="http://schemas.openxmlformats.org/package/2006/relationships"><Relationship Id="rId2" Type="http://schemas.openxmlformats.org/officeDocument/2006/relationships/package" Target="../embeddings/Microsoft_Excel_Worksheet63.xlsx"/><Relationship Id="rId1" Type="http://schemas.openxmlformats.org/officeDocument/2006/relationships/themeOverride" Target="../theme/themeOverride13.xml"/></Relationships>
</file>

<file path=word/charts/_rels/chart64.xml.rels><?xml version="1.0" encoding="UTF-8" standalone="yes"?>
<Relationships xmlns="http://schemas.openxmlformats.org/package/2006/relationships"><Relationship Id="rId2" Type="http://schemas.openxmlformats.org/officeDocument/2006/relationships/package" Target="../embeddings/Microsoft_Excel_Worksheet64.xlsx"/><Relationship Id="rId1" Type="http://schemas.openxmlformats.org/officeDocument/2006/relationships/themeOverride" Target="../theme/themeOverride14.xml"/></Relationships>
</file>

<file path=word/charts/_rels/chart65.xml.rels><?xml version="1.0" encoding="UTF-8" standalone="yes"?>
<Relationships xmlns="http://schemas.openxmlformats.org/package/2006/relationships"><Relationship Id="rId2" Type="http://schemas.openxmlformats.org/officeDocument/2006/relationships/package" Target="../embeddings/Microsoft_Excel_Worksheet65.xlsx"/><Relationship Id="rId1" Type="http://schemas.openxmlformats.org/officeDocument/2006/relationships/themeOverride" Target="../theme/themeOverride15.xml"/></Relationships>
</file>

<file path=word/charts/_rels/chart66.xml.rels><?xml version="1.0" encoding="UTF-8" standalone="yes"?>
<Relationships xmlns="http://schemas.openxmlformats.org/package/2006/relationships"><Relationship Id="rId2" Type="http://schemas.openxmlformats.org/officeDocument/2006/relationships/package" Target="../embeddings/Microsoft_Excel_Worksheet66.xlsx"/><Relationship Id="rId1" Type="http://schemas.openxmlformats.org/officeDocument/2006/relationships/themeOverride" Target="../theme/themeOverride16.xml"/></Relationships>
</file>

<file path=word/charts/_rels/chart67.xml.rels><?xml version="1.0" encoding="UTF-8" standalone="yes"?>
<Relationships xmlns="http://schemas.openxmlformats.org/package/2006/relationships"><Relationship Id="rId2" Type="http://schemas.openxmlformats.org/officeDocument/2006/relationships/package" Target="../embeddings/Microsoft_Excel_Worksheet67.xlsx"/><Relationship Id="rId1" Type="http://schemas.openxmlformats.org/officeDocument/2006/relationships/themeOverride" Target="../theme/themeOverride17.xml"/></Relationships>
</file>

<file path=word/charts/_rels/chart68.xml.rels><?xml version="1.0" encoding="UTF-8" standalone="yes"?>
<Relationships xmlns="http://schemas.openxmlformats.org/package/2006/relationships"><Relationship Id="rId2" Type="http://schemas.openxmlformats.org/officeDocument/2006/relationships/package" Target="../embeddings/Microsoft_Excel_Worksheet68.xlsx"/><Relationship Id="rId1" Type="http://schemas.openxmlformats.org/officeDocument/2006/relationships/themeOverride" Target="../theme/themeOverride18.xml"/></Relationships>
</file>

<file path=word/charts/_rels/chart69.xml.rels><?xml version="1.0" encoding="UTF-8" standalone="yes"?>
<Relationships xmlns="http://schemas.openxmlformats.org/package/2006/relationships"><Relationship Id="rId2" Type="http://schemas.openxmlformats.org/officeDocument/2006/relationships/package" Target="../embeddings/Microsoft_Excel_Worksheet69.xlsx"/><Relationship Id="rId1" Type="http://schemas.openxmlformats.org/officeDocument/2006/relationships/themeOverride" Target="../theme/themeOverride19.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70.xml.rels><?xml version="1.0" encoding="UTF-8" standalone="yes"?>
<Relationships xmlns="http://schemas.openxmlformats.org/package/2006/relationships"><Relationship Id="rId2" Type="http://schemas.openxmlformats.org/officeDocument/2006/relationships/package" Target="../embeddings/Microsoft_Excel_Worksheet70.xlsx"/><Relationship Id="rId1" Type="http://schemas.openxmlformats.org/officeDocument/2006/relationships/themeOverride" Target="../theme/themeOverride20.xml"/></Relationships>
</file>

<file path=word/charts/_rels/chart71.xml.rels><?xml version="1.0" encoding="UTF-8" standalone="yes"?>
<Relationships xmlns="http://schemas.openxmlformats.org/package/2006/relationships"><Relationship Id="rId2" Type="http://schemas.openxmlformats.org/officeDocument/2006/relationships/package" Target="../embeddings/Microsoft_Excel_Worksheet71.xlsx"/><Relationship Id="rId1" Type="http://schemas.openxmlformats.org/officeDocument/2006/relationships/themeOverride" Target="../theme/themeOverride21.xml"/></Relationships>
</file>

<file path=word/charts/_rels/chart72.xml.rels><?xml version="1.0" encoding="UTF-8" standalone="yes"?>
<Relationships xmlns="http://schemas.openxmlformats.org/package/2006/relationships"><Relationship Id="rId2" Type="http://schemas.openxmlformats.org/officeDocument/2006/relationships/package" Target="../embeddings/Microsoft_Excel_Worksheet72.xlsx"/><Relationship Id="rId1" Type="http://schemas.openxmlformats.org/officeDocument/2006/relationships/themeOverride" Target="../theme/themeOverride22.xml"/></Relationships>
</file>

<file path=word/charts/_rels/chart73.xml.rels><?xml version="1.0" encoding="UTF-8" standalone="yes"?>
<Relationships xmlns="http://schemas.openxmlformats.org/package/2006/relationships"><Relationship Id="rId2" Type="http://schemas.openxmlformats.org/officeDocument/2006/relationships/package" Target="../embeddings/Microsoft_Excel_Worksheet73.xlsx"/><Relationship Id="rId1" Type="http://schemas.openxmlformats.org/officeDocument/2006/relationships/themeOverride" Target="../theme/themeOverride23.xml"/></Relationships>
</file>

<file path=word/charts/_rels/chart74.xml.rels><?xml version="1.0" encoding="UTF-8" standalone="yes"?>
<Relationships xmlns="http://schemas.openxmlformats.org/package/2006/relationships"><Relationship Id="rId2" Type="http://schemas.openxmlformats.org/officeDocument/2006/relationships/package" Target="../embeddings/Microsoft_Excel_Worksheet74.xlsx"/><Relationship Id="rId1" Type="http://schemas.openxmlformats.org/officeDocument/2006/relationships/themeOverride" Target="../theme/themeOverride24.xml"/></Relationships>
</file>

<file path=word/charts/_rels/chart75.xml.rels><?xml version="1.0" encoding="UTF-8" standalone="yes"?>
<Relationships xmlns="http://schemas.openxmlformats.org/package/2006/relationships"><Relationship Id="rId2" Type="http://schemas.openxmlformats.org/officeDocument/2006/relationships/package" Target="../embeddings/Microsoft_Excel_Worksheet75.xlsx"/><Relationship Id="rId1" Type="http://schemas.openxmlformats.org/officeDocument/2006/relationships/themeOverride" Target="../theme/themeOverride25.xml"/></Relationships>
</file>

<file path=word/charts/_rels/chart76.xml.rels><?xml version="1.0" encoding="UTF-8" standalone="yes"?>
<Relationships xmlns="http://schemas.openxmlformats.org/package/2006/relationships"><Relationship Id="rId2" Type="http://schemas.openxmlformats.org/officeDocument/2006/relationships/package" Target="../embeddings/Microsoft_Excel_Worksheet76.xlsx"/><Relationship Id="rId1" Type="http://schemas.openxmlformats.org/officeDocument/2006/relationships/themeOverride" Target="../theme/themeOverride26.xml"/></Relationships>
</file>

<file path=word/charts/_rels/chart77.xml.rels><?xml version="1.0" encoding="UTF-8" standalone="yes"?>
<Relationships xmlns="http://schemas.openxmlformats.org/package/2006/relationships"><Relationship Id="rId2" Type="http://schemas.openxmlformats.org/officeDocument/2006/relationships/package" Target="../embeddings/Microsoft_Excel_Worksheet77.xlsx"/><Relationship Id="rId1" Type="http://schemas.openxmlformats.org/officeDocument/2006/relationships/themeOverride" Target="../theme/themeOverride27.xml"/></Relationships>
</file>

<file path=word/charts/_rels/chart78.xml.rels><?xml version="1.0" encoding="UTF-8" standalone="yes"?>
<Relationships xmlns="http://schemas.openxmlformats.org/package/2006/relationships"><Relationship Id="rId2" Type="http://schemas.openxmlformats.org/officeDocument/2006/relationships/package" Target="../embeddings/Microsoft_Excel_Worksheet78.xlsx"/><Relationship Id="rId1" Type="http://schemas.openxmlformats.org/officeDocument/2006/relationships/themeOverride" Target="../theme/themeOverride28.xml"/></Relationships>
</file>

<file path=word/charts/_rels/chart79.xml.rels><?xml version="1.0" encoding="UTF-8" standalone="yes"?>
<Relationships xmlns="http://schemas.openxmlformats.org/package/2006/relationships"><Relationship Id="rId2" Type="http://schemas.openxmlformats.org/officeDocument/2006/relationships/package" Target="../embeddings/Microsoft_Excel_Worksheet79.xlsx"/><Relationship Id="rId1" Type="http://schemas.openxmlformats.org/officeDocument/2006/relationships/themeOverride" Target="../theme/themeOverride29.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80.xml.rels><?xml version="1.0" encoding="UTF-8" standalone="yes"?>
<Relationships xmlns="http://schemas.openxmlformats.org/package/2006/relationships"><Relationship Id="rId2" Type="http://schemas.openxmlformats.org/officeDocument/2006/relationships/package" Target="../embeddings/Microsoft_Excel_Worksheet80.xlsx"/><Relationship Id="rId1" Type="http://schemas.openxmlformats.org/officeDocument/2006/relationships/themeOverride" Target="../theme/themeOverride30.xml"/></Relationships>
</file>

<file path=word/charts/_rels/chart81.xml.rels><?xml version="1.0" encoding="UTF-8" standalone="yes"?>
<Relationships xmlns="http://schemas.openxmlformats.org/package/2006/relationships"><Relationship Id="rId2" Type="http://schemas.openxmlformats.org/officeDocument/2006/relationships/package" Target="../embeddings/Microsoft_Excel_Worksheet81.xlsx"/><Relationship Id="rId1" Type="http://schemas.openxmlformats.org/officeDocument/2006/relationships/themeOverride" Target="../theme/themeOverride31.xml"/></Relationships>
</file>

<file path=word/charts/_rels/chart82.xml.rels><?xml version="1.0" encoding="UTF-8" standalone="yes"?>
<Relationships xmlns="http://schemas.openxmlformats.org/package/2006/relationships"><Relationship Id="rId2" Type="http://schemas.openxmlformats.org/officeDocument/2006/relationships/package" Target="../embeddings/Microsoft_Excel_Worksheet82.xlsx"/><Relationship Id="rId1" Type="http://schemas.openxmlformats.org/officeDocument/2006/relationships/themeOverride" Target="../theme/themeOverride32.xml"/></Relationships>
</file>

<file path=word/charts/_rels/chart83.xml.rels><?xml version="1.0" encoding="UTF-8" standalone="yes"?>
<Relationships xmlns="http://schemas.openxmlformats.org/package/2006/relationships"><Relationship Id="rId2" Type="http://schemas.openxmlformats.org/officeDocument/2006/relationships/package" Target="../embeddings/Microsoft_Excel_Worksheet83.xlsx"/><Relationship Id="rId1" Type="http://schemas.openxmlformats.org/officeDocument/2006/relationships/themeOverride" Target="../theme/themeOverride33.xml"/></Relationships>
</file>

<file path=word/charts/_rels/chart84.xml.rels><?xml version="1.0" encoding="UTF-8" standalone="yes"?>
<Relationships xmlns="http://schemas.openxmlformats.org/package/2006/relationships"><Relationship Id="rId2" Type="http://schemas.openxmlformats.org/officeDocument/2006/relationships/package" Target="../embeddings/Microsoft_Excel_Worksheet84.xlsx"/><Relationship Id="rId1" Type="http://schemas.openxmlformats.org/officeDocument/2006/relationships/themeOverride" Target="../theme/themeOverride34.xml"/></Relationships>
</file>

<file path=word/charts/_rels/chart85.xml.rels><?xml version="1.0" encoding="UTF-8" standalone="yes"?>
<Relationships xmlns="http://schemas.openxmlformats.org/package/2006/relationships"><Relationship Id="rId2" Type="http://schemas.openxmlformats.org/officeDocument/2006/relationships/package" Target="../embeddings/Microsoft_Excel_Worksheet85.xlsx"/><Relationship Id="rId1" Type="http://schemas.openxmlformats.org/officeDocument/2006/relationships/themeOverride" Target="../theme/themeOverride35.xml"/></Relationships>
</file>

<file path=word/charts/_rels/chart86.xml.rels><?xml version="1.0" encoding="UTF-8" standalone="yes"?>
<Relationships xmlns="http://schemas.openxmlformats.org/package/2006/relationships"><Relationship Id="rId2" Type="http://schemas.openxmlformats.org/officeDocument/2006/relationships/package" Target="../embeddings/Microsoft_Excel_Worksheet86.xlsx"/><Relationship Id="rId1" Type="http://schemas.openxmlformats.org/officeDocument/2006/relationships/themeOverride" Target="../theme/themeOverride36.xml"/></Relationships>
</file>

<file path=word/charts/_rels/chart87.xml.rels><?xml version="1.0" encoding="UTF-8" standalone="yes"?>
<Relationships xmlns="http://schemas.openxmlformats.org/package/2006/relationships"><Relationship Id="rId2" Type="http://schemas.openxmlformats.org/officeDocument/2006/relationships/package" Target="../embeddings/Microsoft_Excel_Worksheet87.xlsx"/><Relationship Id="rId1" Type="http://schemas.openxmlformats.org/officeDocument/2006/relationships/themeOverride" Target="../theme/themeOverride37.xml"/></Relationships>
</file>

<file path=word/charts/_rels/chart88.xml.rels><?xml version="1.0" encoding="UTF-8" standalone="yes"?>
<Relationships xmlns="http://schemas.openxmlformats.org/package/2006/relationships"><Relationship Id="rId2" Type="http://schemas.openxmlformats.org/officeDocument/2006/relationships/package" Target="../embeddings/Microsoft_Excel_Worksheet88.xlsx"/><Relationship Id="rId1" Type="http://schemas.openxmlformats.org/officeDocument/2006/relationships/themeOverride" Target="../theme/themeOverride38.xml"/></Relationships>
</file>

<file path=word/charts/_rels/chart89.xml.rels><?xml version="1.0" encoding="UTF-8" standalone="yes"?>
<Relationships xmlns="http://schemas.openxmlformats.org/package/2006/relationships"><Relationship Id="rId2" Type="http://schemas.openxmlformats.org/officeDocument/2006/relationships/package" Target="../embeddings/Microsoft_Excel_Worksheet89.xlsx"/><Relationship Id="rId1" Type="http://schemas.openxmlformats.org/officeDocument/2006/relationships/themeOverride" Target="../theme/themeOverride39.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90.xml.rels><?xml version="1.0" encoding="UTF-8" standalone="yes"?>
<Relationships xmlns="http://schemas.openxmlformats.org/package/2006/relationships"><Relationship Id="rId2" Type="http://schemas.openxmlformats.org/officeDocument/2006/relationships/package" Target="../embeddings/Microsoft_Excel_Worksheet90.xlsx"/><Relationship Id="rId1" Type="http://schemas.openxmlformats.org/officeDocument/2006/relationships/themeOverride" Target="../theme/themeOverride40.xml"/></Relationships>
</file>

<file path=word/charts/_rels/chart91.xml.rels><?xml version="1.0" encoding="UTF-8" standalone="yes"?>
<Relationships xmlns="http://schemas.openxmlformats.org/package/2006/relationships"><Relationship Id="rId2" Type="http://schemas.openxmlformats.org/officeDocument/2006/relationships/package" Target="../embeddings/Microsoft_Excel_Worksheet91.xlsx"/><Relationship Id="rId1" Type="http://schemas.openxmlformats.org/officeDocument/2006/relationships/themeOverride" Target="../theme/themeOverride41.xml"/></Relationships>
</file>

<file path=word/charts/_rels/chart92.xml.rels><?xml version="1.0" encoding="UTF-8" standalone="yes"?>
<Relationships xmlns="http://schemas.openxmlformats.org/package/2006/relationships"><Relationship Id="rId2" Type="http://schemas.openxmlformats.org/officeDocument/2006/relationships/package" Target="../embeddings/Microsoft_Excel_Worksheet92.xlsx"/><Relationship Id="rId1" Type="http://schemas.openxmlformats.org/officeDocument/2006/relationships/themeOverride" Target="../theme/themeOverride42.xml"/></Relationships>
</file>

<file path=word/charts/_rels/chart93.xml.rels><?xml version="1.0" encoding="UTF-8" standalone="yes"?>
<Relationships xmlns="http://schemas.openxmlformats.org/package/2006/relationships"><Relationship Id="rId2" Type="http://schemas.openxmlformats.org/officeDocument/2006/relationships/package" Target="../embeddings/Microsoft_Excel_Worksheet93.xlsx"/><Relationship Id="rId1" Type="http://schemas.openxmlformats.org/officeDocument/2006/relationships/themeOverride" Target="../theme/themeOverride43.xml"/></Relationships>
</file>

<file path=word/charts/_rels/chart94.xml.rels><?xml version="1.0" encoding="UTF-8" standalone="yes"?>
<Relationships xmlns="http://schemas.openxmlformats.org/package/2006/relationships"><Relationship Id="rId2" Type="http://schemas.openxmlformats.org/officeDocument/2006/relationships/package" Target="../embeddings/Microsoft_Excel_Worksheet94.xlsx"/><Relationship Id="rId1" Type="http://schemas.openxmlformats.org/officeDocument/2006/relationships/themeOverride" Target="../theme/themeOverride44.xml"/></Relationships>
</file>

<file path=word/charts/_rels/chart95.xml.rels><?xml version="1.0" encoding="UTF-8" standalone="yes"?>
<Relationships xmlns="http://schemas.openxmlformats.org/package/2006/relationships"><Relationship Id="rId2" Type="http://schemas.openxmlformats.org/officeDocument/2006/relationships/package" Target="../embeddings/Microsoft_Excel_Worksheet95.xlsx"/><Relationship Id="rId1" Type="http://schemas.openxmlformats.org/officeDocument/2006/relationships/themeOverride" Target="../theme/themeOverride45.xml"/></Relationships>
</file>

<file path=word/charts/_rels/chart96.xml.rels><?xml version="1.0" encoding="UTF-8" standalone="yes"?>
<Relationships xmlns="http://schemas.openxmlformats.org/package/2006/relationships"><Relationship Id="rId2" Type="http://schemas.openxmlformats.org/officeDocument/2006/relationships/package" Target="../embeddings/Microsoft_Excel_Worksheet96.xlsx"/><Relationship Id="rId1" Type="http://schemas.openxmlformats.org/officeDocument/2006/relationships/themeOverride" Target="../theme/themeOverride46.xml"/></Relationships>
</file>

<file path=word/charts/_rels/chart97.xml.rels><?xml version="1.0" encoding="UTF-8" standalone="yes"?>
<Relationships xmlns="http://schemas.openxmlformats.org/package/2006/relationships"><Relationship Id="rId2" Type="http://schemas.openxmlformats.org/officeDocument/2006/relationships/package" Target="../embeddings/Microsoft_Excel_Worksheet97.xlsx"/><Relationship Id="rId1" Type="http://schemas.openxmlformats.org/officeDocument/2006/relationships/themeOverride" Target="../theme/themeOverride47.xml"/></Relationships>
</file>

<file path=word/charts/_rels/chart98.xml.rels><?xml version="1.0" encoding="UTF-8" standalone="yes"?>
<Relationships xmlns="http://schemas.openxmlformats.org/package/2006/relationships"><Relationship Id="rId2" Type="http://schemas.openxmlformats.org/officeDocument/2006/relationships/package" Target="../embeddings/Microsoft_Excel_Worksheet98.xlsx"/><Relationship Id="rId1" Type="http://schemas.openxmlformats.org/officeDocument/2006/relationships/themeOverride" Target="../theme/themeOverride48.xml"/></Relationships>
</file>

<file path=word/charts/_rels/chart99.xml.rels><?xml version="1.0" encoding="UTF-8" standalone="yes"?>
<Relationships xmlns="http://schemas.openxmlformats.org/package/2006/relationships"><Relationship Id="rId2" Type="http://schemas.openxmlformats.org/officeDocument/2006/relationships/package" Target="../embeddings/Microsoft_Excel_Worksheet99.xlsx"/><Relationship Id="rId1" Type="http://schemas.openxmlformats.org/officeDocument/2006/relationships/themeOverride" Target="../theme/themeOverride4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49" b="1" i="0" u="none" strike="noStrike" baseline="0">
                <a:solidFill>
                  <a:srgbClr val="000000"/>
                </a:solidFill>
                <a:latin typeface="Arial"/>
                <a:ea typeface="Arial"/>
                <a:cs typeface="Arial"/>
              </a:defRPr>
            </a:pPr>
            <a:r>
              <a:rPr lang="en-US"/>
              <a:t>Evolu</a:t>
            </a:r>
            <a:r>
              <a:rPr lang="ro-RO"/>
              <a:t>ţ</a:t>
            </a:r>
            <a:r>
              <a:rPr lang="en-US"/>
              <a:t>ia lunar</a:t>
            </a:r>
            <a:r>
              <a:rPr lang="ro-RO"/>
              <a:t>ă</a:t>
            </a:r>
            <a:r>
              <a:rPr lang="en-US"/>
              <a:t> a concentra</a:t>
            </a:r>
            <a:r>
              <a:rPr lang="ro-RO"/>
              <a:t>ţ</a:t>
            </a:r>
            <a:r>
              <a:rPr lang="en-US"/>
              <a:t>iei de PM10 pentru anul 2015</a:t>
            </a:r>
          </a:p>
        </c:rich>
      </c:tx>
      <c:layout>
        <c:manualLayout>
          <c:xMode val="edge"/>
          <c:yMode val="edge"/>
          <c:x val="0.15932203389830507"/>
          <c:y val="1.9867549668874173E-2"/>
        </c:manualLayout>
      </c:layout>
      <c:overlay val="0"/>
      <c:spPr>
        <a:noFill/>
        <a:ln w="25378">
          <a:noFill/>
        </a:ln>
      </c:spPr>
    </c:title>
    <c:autoTitleDeleted val="0"/>
    <c:plotArea>
      <c:layout>
        <c:manualLayout>
          <c:layoutTarget val="inner"/>
          <c:xMode val="edge"/>
          <c:yMode val="edge"/>
          <c:x val="5.5932203389830508E-2"/>
          <c:y val="0.18874172185430463"/>
          <c:w val="0.6508474576271186"/>
          <c:h val="0.62251655629139069"/>
        </c:manualLayout>
      </c:layout>
      <c:lineChart>
        <c:grouping val="standard"/>
        <c:varyColors val="0"/>
        <c:ser>
          <c:idx val="0"/>
          <c:order val="0"/>
          <c:tx>
            <c:strRef>
              <c:f>Sheet1!$A$2</c:f>
              <c:strCache>
                <c:ptCount val="1"/>
                <c:pt idx="0">
                  <c:v>VS-1</c:v>
                </c:pt>
              </c:strCache>
            </c:strRef>
          </c:tx>
          <c:spPr>
            <a:ln w="12689">
              <a:solidFill>
                <a:srgbClr val="000080"/>
              </a:solidFill>
              <a:prstDash val="solid"/>
            </a:ln>
          </c:spPr>
          <c:marker>
            <c:symbol val="diamond"/>
            <c:size val="4"/>
            <c:spPr>
              <a:solidFill>
                <a:srgbClr val="000080"/>
              </a:solidFill>
              <a:ln>
                <a:solidFill>
                  <a:srgbClr val="000080"/>
                </a:solidFill>
                <a:prstDash val="solid"/>
              </a:ln>
            </c:spPr>
          </c:marker>
          <c:cat>
            <c:strRef>
              <c:f>Sheet1!$B$1:$M$1</c:f>
              <c:strCache>
                <c:ptCount val="12"/>
                <c:pt idx="0">
                  <c:v>ian</c:v>
                </c:pt>
                <c:pt idx="1">
                  <c:v>feb</c:v>
                </c:pt>
                <c:pt idx="2">
                  <c:v>martie</c:v>
                </c:pt>
                <c:pt idx="3">
                  <c:v>apr</c:v>
                </c:pt>
                <c:pt idx="4">
                  <c:v>mai</c:v>
                </c:pt>
                <c:pt idx="5">
                  <c:v>iunie</c:v>
                </c:pt>
                <c:pt idx="6">
                  <c:v>iulie</c:v>
                </c:pt>
                <c:pt idx="7">
                  <c:v>aug</c:v>
                </c:pt>
                <c:pt idx="8">
                  <c:v>sept</c:v>
                </c:pt>
                <c:pt idx="9">
                  <c:v>oct</c:v>
                </c:pt>
                <c:pt idx="10">
                  <c:v>nov</c:v>
                </c:pt>
                <c:pt idx="11">
                  <c:v>dec</c:v>
                </c:pt>
              </c:strCache>
            </c:strRef>
          </c:cat>
          <c:val>
            <c:numRef>
              <c:f>Sheet1!$B$2:$M$2</c:f>
              <c:numCache>
                <c:formatCode>General</c:formatCode>
                <c:ptCount val="12"/>
              </c:numCache>
            </c:numRef>
          </c:val>
          <c:smooth val="0"/>
        </c:ser>
        <c:ser>
          <c:idx val="1"/>
          <c:order val="1"/>
          <c:tx>
            <c:strRef>
              <c:f>Sheet1!$A$3</c:f>
              <c:strCache>
                <c:ptCount val="1"/>
                <c:pt idx="0">
                  <c:v>VS-2</c:v>
                </c:pt>
              </c:strCache>
            </c:strRef>
          </c:tx>
          <c:spPr>
            <a:ln w="12689">
              <a:solidFill>
                <a:srgbClr val="FF00FF"/>
              </a:solidFill>
              <a:prstDash val="solid"/>
            </a:ln>
          </c:spPr>
          <c:marker>
            <c:symbol val="square"/>
            <c:size val="4"/>
            <c:spPr>
              <a:solidFill>
                <a:srgbClr val="FF00FF"/>
              </a:solidFill>
              <a:ln>
                <a:solidFill>
                  <a:srgbClr val="FF00FF"/>
                </a:solidFill>
                <a:prstDash val="solid"/>
              </a:ln>
            </c:spPr>
          </c:marker>
          <c:cat>
            <c:strRef>
              <c:f>Sheet1!$B$1:$M$1</c:f>
              <c:strCache>
                <c:ptCount val="12"/>
                <c:pt idx="0">
                  <c:v>ian</c:v>
                </c:pt>
                <c:pt idx="1">
                  <c:v>feb</c:v>
                </c:pt>
                <c:pt idx="2">
                  <c:v>martie</c:v>
                </c:pt>
                <c:pt idx="3">
                  <c:v>apr</c:v>
                </c:pt>
                <c:pt idx="4">
                  <c:v>mai</c:v>
                </c:pt>
                <c:pt idx="5">
                  <c:v>iunie</c:v>
                </c:pt>
                <c:pt idx="6">
                  <c:v>iulie</c:v>
                </c:pt>
                <c:pt idx="7">
                  <c:v>aug</c:v>
                </c:pt>
                <c:pt idx="8">
                  <c:v>sept</c:v>
                </c:pt>
                <c:pt idx="9">
                  <c:v>oct</c:v>
                </c:pt>
                <c:pt idx="10">
                  <c:v>nov</c:v>
                </c:pt>
                <c:pt idx="11">
                  <c:v>dec</c:v>
                </c:pt>
              </c:strCache>
            </c:strRef>
          </c:cat>
          <c:val>
            <c:numRef>
              <c:f>Sheet1!$B$3:$M$3</c:f>
              <c:numCache>
                <c:formatCode>General</c:formatCode>
                <c:ptCount val="12"/>
                <c:pt idx="0">
                  <c:v>25.71</c:v>
                </c:pt>
                <c:pt idx="1">
                  <c:v>23.37</c:v>
                </c:pt>
                <c:pt idx="2">
                  <c:v>22.12</c:v>
                </c:pt>
                <c:pt idx="3">
                  <c:v>18.71</c:v>
                </c:pt>
                <c:pt idx="4">
                  <c:v>27.84</c:v>
                </c:pt>
                <c:pt idx="5">
                  <c:v>24.95</c:v>
                </c:pt>
                <c:pt idx="6">
                  <c:v>29.42</c:v>
                </c:pt>
                <c:pt idx="7">
                  <c:v>27.88</c:v>
                </c:pt>
                <c:pt idx="8">
                  <c:v>31.24</c:v>
                </c:pt>
                <c:pt idx="9">
                  <c:v>27.6</c:v>
                </c:pt>
                <c:pt idx="10">
                  <c:v>26.15</c:v>
                </c:pt>
                <c:pt idx="11">
                  <c:v>31.82</c:v>
                </c:pt>
              </c:numCache>
            </c:numRef>
          </c:val>
          <c:smooth val="0"/>
        </c:ser>
        <c:ser>
          <c:idx val="2"/>
          <c:order val="2"/>
          <c:tx>
            <c:strRef>
              <c:f>Sheet1!$A$4</c:f>
              <c:strCache>
                <c:ptCount val="1"/>
                <c:pt idx="0">
                  <c:v>Valoarea limita zilnica</c:v>
                </c:pt>
              </c:strCache>
            </c:strRef>
          </c:tx>
          <c:spPr>
            <a:ln w="12689">
              <a:solidFill>
                <a:srgbClr val="FFFF00"/>
              </a:solidFill>
              <a:prstDash val="solid"/>
            </a:ln>
          </c:spPr>
          <c:marker>
            <c:symbol val="triangle"/>
            <c:size val="4"/>
            <c:spPr>
              <a:solidFill>
                <a:srgbClr val="FFFF00"/>
              </a:solidFill>
              <a:ln>
                <a:solidFill>
                  <a:srgbClr val="FFFF00"/>
                </a:solidFill>
                <a:prstDash val="solid"/>
              </a:ln>
            </c:spPr>
          </c:marker>
          <c:cat>
            <c:strRef>
              <c:f>Sheet1!$B$1:$M$1</c:f>
              <c:strCache>
                <c:ptCount val="12"/>
                <c:pt idx="0">
                  <c:v>ian</c:v>
                </c:pt>
                <c:pt idx="1">
                  <c:v>feb</c:v>
                </c:pt>
                <c:pt idx="2">
                  <c:v>martie</c:v>
                </c:pt>
                <c:pt idx="3">
                  <c:v>apr</c:v>
                </c:pt>
                <c:pt idx="4">
                  <c:v>mai</c:v>
                </c:pt>
                <c:pt idx="5">
                  <c:v>iunie</c:v>
                </c:pt>
                <c:pt idx="6">
                  <c:v>iulie</c:v>
                </c:pt>
                <c:pt idx="7">
                  <c:v>aug</c:v>
                </c:pt>
                <c:pt idx="8">
                  <c:v>sept</c:v>
                </c:pt>
                <c:pt idx="9">
                  <c:v>oct</c:v>
                </c:pt>
                <c:pt idx="10">
                  <c:v>nov</c:v>
                </c:pt>
                <c:pt idx="11">
                  <c:v>dec</c:v>
                </c:pt>
              </c:strCache>
            </c:strRef>
          </c:cat>
          <c:val>
            <c:numRef>
              <c:f>Sheet1!$B$4:$M$4</c:f>
              <c:numCache>
                <c:formatCode>General</c:formatCode>
                <c:ptCount val="12"/>
                <c:pt idx="0">
                  <c:v>50</c:v>
                </c:pt>
                <c:pt idx="1">
                  <c:v>50</c:v>
                </c:pt>
                <c:pt idx="2">
                  <c:v>50</c:v>
                </c:pt>
                <c:pt idx="3">
                  <c:v>50</c:v>
                </c:pt>
                <c:pt idx="4">
                  <c:v>50</c:v>
                </c:pt>
                <c:pt idx="5">
                  <c:v>50</c:v>
                </c:pt>
                <c:pt idx="6">
                  <c:v>50</c:v>
                </c:pt>
                <c:pt idx="7">
                  <c:v>50</c:v>
                </c:pt>
                <c:pt idx="8">
                  <c:v>50</c:v>
                </c:pt>
                <c:pt idx="9">
                  <c:v>50</c:v>
                </c:pt>
                <c:pt idx="10">
                  <c:v>50</c:v>
                </c:pt>
                <c:pt idx="11">
                  <c:v>50</c:v>
                </c:pt>
              </c:numCache>
            </c:numRef>
          </c:val>
          <c:smooth val="0"/>
        </c:ser>
        <c:dLbls>
          <c:showLegendKey val="0"/>
          <c:showVal val="0"/>
          <c:showCatName val="0"/>
          <c:showSerName val="0"/>
          <c:showPercent val="0"/>
          <c:showBubbleSize val="0"/>
        </c:dLbls>
        <c:marker val="1"/>
        <c:smooth val="0"/>
        <c:axId val="291593216"/>
        <c:axId val="291599488"/>
      </c:lineChart>
      <c:catAx>
        <c:axId val="291593216"/>
        <c:scaling>
          <c:orientation val="minMax"/>
        </c:scaling>
        <c:delete val="0"/>
        <c:axPos val="b"/>
        <c:numFmt formatCode="General" sourceLinked="1"/>
        <c:majorTickMark val="out"/>
        <c:minorTickMark val="none"/>
        <c:tickLblPos val="nextTo"/>
        <c:spPr>
          <a:ln w="3172">
            <a:solidFill>
              <a:srgbClr val="000000"/>
            </a:solidFill>
            <a:prstDash val="solid"/>
          </a:ln>
        </c:spPr>
        <c:txPr>
          <a:bodyPr rot="-2700000" vert="horz"/>
          <a:lstStyle/>
          <a:p>
            <a:pPr>
              <a:defRPr sz="849" b="1" i="0" u="none" strike="noStrike" baseline="0">
                <a:solidFill>
                  <a:srgbClr val="000000"/>
                </a:solidFill>
                <a:latin typeface="Arial"/>
                <a:ea typeface="Arial"/>
                <a:cs typeface="Arial"/>
              </a:defRPr>
            </a:pPr>
            <a:endParaRPr lang="en-US"/>
          </a:p>
        </c:txPr>
        <c:crossAx val="291599488"/>
        <c:crosses val="autoZero"/>
        <c:auto val="1"/>
        <c:lblAlgn val="ctr"/>
        <c:lblOffset val="100"/>
        <c:tickLblSkip val="1"/>
        <c:tickMarkSkip val="1"/>
        <c:noMultiLvlLbl val="0"/>
      </c:catAx>
      <c:valAx>
        <c:axId val="291599488"/>
        <c:scaling>
          <c:orientation val="minMax"/>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849" b="1" i="0" u="none" strike="noStrike" baseline="0">
                <a:solidFill>
                  <a:srgbClr val="000000"/>
                </a:solidFill>
                <a:latin typeface="Arial"/>
                <a:ea typeface="Arial"/>
                <a:cs typeface="Arial"/>
              </a:defRPr>
            </a:pPr>
            <a:endParaRPr lang="en-US"/>
          </a:p>
        </c:txPr>
        <c:crossAx val="291593216"/>
        <c:crosses val="autoZero"/>
        <c:crossBetween val="between"/>
      </c:valAx>
      <c:spPr>
        <a:solidFill>
          <a:srgbClr val="CCFFFF"/>
        </a:solidFill>
        <a:ln w="12689">
          <a:solidFill>
            <a:srgbClr val="808080"/>
          </a:solidFill>
          <a:prstDash val="solid"/>
        </a:ln>
      </c:spPr>
    </c:plotArea>
    <c:legend>
      <c:legendPos val="r"/>
      <c:layout>
        <c:manualLayout>
          <c:xMode val="edge"/>
          <c:yMode val="edge"/>
          <c:x val="0.78983050847457625"/>
          <c:y val="0.39403973509933776"/>
          <c:w val="0.14745762711864407"/>
          <c:h val="0.39735099337748342"/>
        </c:manualLayout>
      </c:layout>
      <c:overlay val="0"/>
      <c:spPr>
        <a:noFill/>
        <a:ln w="3172">
          <a:solidFill>
            <a:srgbClr val="000000"/>
          </a:solidFill>
          <a:prstDash val="solid"/>
        </a:ln>
      </c:spPr>
      <c:txPr>
        <a:bodyPr/>
        <a:lstStyle/>
        <a:p>
          <a:pPr>
            <a:defRPr sz="734"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199" b="1" i="0" u="none" strike="noStrike" baseline="0">
          <a:solidFill>
            <a:srgbClr val="000000"/>
          </a:solidFill>
          <a:latin typeface="Arial"/>
          <a:ea typeface="Arial"/>
          <a:cs typeface="Aria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Arial"/>
                <a:ea typeface="Arial"/>
                <a:cs typeface="Arial"/>
              </a:defRPr>
            </a:pPr>
            <a:r>
              <a:rPr lang="en-US"/>
              <a:t>Evolutia anuala a concentratiei de amoniac</a:t>
            </a:r>
          </a:p>
        </c:rich>
      </c:tx>
      <c:layout>
        <c:manualLayout>
          <c:xMode val="edge"/>
          <c:yMode val="edge"/>
          <c:x val="0.30476190476190479"/>
          <c:y val="1.8518518518518517E-2"/>
        </c:manualLayout>
      </c:layout>
      <c:overlay val="0"/>
      <c:spPr>
        <a:noFill/>
        <a:ln w="25399">
          <a:noFill/>
        </a:ln>
      </c:spPr>
    </c:title>
    <c:autoTitleDeleted val="0"/>
    <c:plotArea>
      <c:layout>
        <c:manualLayout>
          <c:layoutTarget val="inner"/>
          <c:xMode val="edge"/>
          <c:yMode val="edge"/>
          <c:x val="6.1904761904761907E-2"/>
          <c:y val="0.24074074074074073"/>
          <c:w val="0.57936507936507942"/>
          <c:h val="0.59259259259259256"/>
        </c:manualLayout>
      </c:layout>
      <c:lineChart>
        <c:grouping val="standard"/>
        <c:varyColors val="0"/>
        <c:ser>
          <c:idx val="0"/>
          <c:order val="0"/>
          <c:tx>
            <c:strRef>
              <c:f>Sheet1!$A$2</c:f>
              <c:strCache>
                <c:ptCount val="1"/>
                <c:pt idx="0">
                  <c:v>Vaslui</c:v>
                </c:pt>
              </c:strCache>
            </c:strRef>
          </c:tx>
          <c:spPr>
            <a:ln w="12700">
              <a:solidFill>
                <a:srgbClr val="000080"/>
              </a:solidFill>
              <a:prstDash val="solid"/>
            </a:ln>
          </c:spPr>
          <c:marker>
            <c:symbol val="diamond"/>
            <c:size val="4"/>
            <c:spPr>
              <a:solidFill>
                <a:srgbClr val="000080"/>
              </a:solidFill>
              <a:ln>
                <a:solidFill>
                  <a:srgbClr val="000080"/>
                </a:solidFill>
                <a:prstDash val="solid"/>
              </a:ln>
            </c:spPr>
          </c:marker>
          <c:cat>
            <c:numRef>
              <c:f>Sheet1!$B$1:$I$1</c:f>
              <c:numCache>
                <c:formatCode>General</c:formatCode>
                <c:ptCount val="8"/>
                <c:pt idx="0">
                  <c:v>2008</c:v>
                </c:pt>
                <c:pt idx="1">
                  <c:v>2009</c:v>
                </c:pt>
                <c:pt idx="2">
                  <c:v>2010</c:v>
                </c:pt>
                <c:pt idx="3">
                  <c:v>2011</c:v>
                </c:pt>
                <c:pt idx="4">
                  <c:v>2012</c:v>
                </c:pt>
                <c:pt idx="5">
                  <c:v>2013</c:v>
                </c:pt>
                <c:pt idx="6">
                  <c:v>2014</c:v>
                </c:pt>
                <c:pt idx="7">
                  <c:v>2015</c:v>
                </c:pt>
              </c:numCache>
            </c:numRef>
          </c:cat>
          <c:val>
            <c:numRef>
              <c:f>Sheet1!$B$2:$I$2</c:f>
              <c:numCache>
                <c:formatCode>General</c:formatCode>
                <c:ptCount val="8"/>
                <c:pt idx="0">
                  <c:v>6.07</c:v>
                </c:pt>
                <c:pt idx="1">
                  <c:v>25.6</c:v>
                </c:pt>
                <c:pt idx="2">
                  <c:v>28.12</c:v>
                </c:pt>
                <c:pt idx="3">
                  <c:v>22.07</c:v>
                </c:pt>
                <c:pt idx="4">
                  <c:v>14.36</c:v>
                </c:pt>
                <c:pt idx="5">
                  <c:v>17.04</c:v>
                </c:pt>
                <c:pt idx="6">
                  <c:v>12.43</c:v>
                </c:pt>
                <c:pt idx="7">
                  <c:v>11.94</c:v>
                </c:pt>
              </c:numCache>
            </c:numRef>
          </c:val>
          <c:smooth val="0"/>
        </c:ser>
        <c:ser>
          <c:idx val="1"/>
          <c:order val="1"/>
          <c:tx>
            <c:strRef>
              <c:f>Sheet1!$A$3</c:f>
              <c:strCache>
                <c:ptCount val="1"/>
                <c:pt idx="0">
                  <c:v>Valoarea zilnica maxima admisa</c:v>
                </c:pt>
              </c:strCache>
            </c:strRef>
          </c:tx>
          <c:spPr>
            <a:ln w="12700">
              <a:solidFill>
                <a:srgbClr val="FF00FF"/>
              </a:solidFill>
              <a:prstDash val="solid"/>
            </a:ln>
          </c:spPr>
          <c:marker>
            <c:symbol val="square"/>
            <c:size val="4"/>
            <c:spPr>
              <a:solidFill>
                <a:srgbClr val="FF00FF"/>
              </a:solidFill>
              <a:ln>
                <a:solidFill>
                  <a:srgbClr val="FF00FF"/>
                </a:solidFill>
                <a:prstDash val="solid"/>
              </a:ln>
            </c:spPr>
          </c:marker>
          <c:cat>
            <c:numRef>
              <c:f>Sheet1!$B$1:$I$1</c:f>
              <c:numCache>
                <c:formatCode>General</c:formatCode>
                <c:ptCount val="8"/>
                <c:pt idx="0">
                  <c:v>2008</c:v>
                </c:pt>
                <c:pt idx="1">
                  <c:v>2009</c:v>
                </c:pt>
                <c:pt idx="2">
                  <c:v>2010</c:v>
                </c:pt>
                <c:pt idx="3">
                  <c:v>2011</c:v>
                </c:pt>
                <c:pt idx="4">
                  <c:v>2012</c:v>
                </c:pt>
                <c:pt idx="5">
                  <c:v>2013</c:v>
                </c:pt>
                <c:pt idx="6">
                  <c:v>2014</c:v>
                </c:pt>
                <c:pt idx="7">
                  <c:v>2015</c:v>
                </c:pt>
              </c:numCache>
            </c:numRef>
          </c:cat>
          <c:val>
            <c:numRef>
              <c:f>Sheet1!$B$3:$I$3</c:f>
              <c:numCache>
                <c:formatCode>General</c:formatCode>
                <c:ptCount val="8"/>
                <c:pt idx="0">
                  <c:v>100</c:v>
                </c:pt>
                <c:pt idx="1">
                  <c:v>100</c:v>
                </c:pt>
                <c:pt idx="2">
                  <c:v>100</c:v>
                </c:pt>
                <c:pt idx="3">
                  <c:v>100</c:v>
                </c:pt>
                <c:pt idx="4">
                  <c:v>100</c:v>
                </c:pt>
                <c:pt idx="5">
                  <c:v>100</c:v>
                </c:pt>
                <c:pt idx="6">
                  <c:v>100</c:v>
                </c:pt>
                <c:pt idx="7">
                  <c:v>100</c:v>
                </c:pt>
              </c:numCache>
            </c:numRef>
          </c:val>
          <c:smooth val="0"/>
        </c:ser>
        <c:dLbls>
          <c:showLegendKey val="0"/>
          <c:showVal val="0"/>
          <c:showCatName val="0"/>
          <c:showSerName val="0"/>
          <c:showPercent val="0"/>
          <c:showBubbleSize val="0"/>
        </c:dLbls>
        <c:marker val="1"/>
        <c:smooth val="0"/>
        <c:axId val="294770560"/>
        <c:axId val="294780928"/>
      </c:lineChart>
      <c:catAx>
        <c:axId val="29477056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294780928"/>
        <c:crosses val="autoZero"/>
        <c:auto val="1"/>
        <c:lblAlgn val="ctr"/>
        <c:lblOffset val="100"/>
        <c:tickLblSkip val="1"/>
        <c:tickMarkSkip val="1"/>
        <c:noMultiLvlLbl val="0"/>
      </c:catAx>
      <c:valAx>
        <c:axId val="29478092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294770560"/>
        <c:crosses val="autoZero"/>
        <c:crossBetween val="between"/>
      </c:valAx>
      <c:spPr>
        <a:solidFill>
          <a:srgbClr val="FFFF99"/>
        </a:solidFill>
        <a:ln w="12700">
          <a:solidFill>
            <a:srgbClr val="FFFF99"/>
          </a:solidFill>
          <a:prstDash val="solid"/>
        </a:ln>
      </c:spPr>
    </c:plotArea>
    <c:legend>
      <c:legendPos val="r"/>
      <c:layout>
        <c:manualLayout>
          <c:xMode val="edge"/>
          <c:yMode val="edge"/>
          <c:x val="0.76349206349206344"/>
          <c:y val="0.40277777777777779"/>
          <c:w val="0.23015873015873015"/>
          <c:h val="0.35185185185185186"/>
        </c:manualLayout>
      </c:layout>
      <c:overlay val="0"/>
      <c:spPr>
        <a:noFill/>
        <a:ln w="3175">
          <a:solidFill>
            <a:srgbClr val="000000"/>
          </a:solidFill>
          <a:prstDash val="solid"/>
        </a:ln>
      </c:spPr>
      <c:txPr>
        <a:bodyPr/>
        <a:lstStyle/>
        <a:p>
          <a:pPr>
            <a:defRPr sz="780"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950" b="1" i="0" u="none" strike="noStrike" baseline="0">
          <a:solidFill>
            <a:srgbClr val="000000"/>
          </a:solidFill>
          <a:latin typeface="Arial"/>
          <a:ea typeface="Arial"/>
          <a:cs typeface="Arial"/>
        </a:defRPr>
      </a:pPr>
      <a:endParaRPr lang="en-US"/>
    </a:p>
  </c:tx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Foaie1!$B$1</c:f>
              <c:strCache>
                <c:ptCount val="1"/>
                <c:pt idx="0">
                  <c:v>Cantitatile de deseuri biodegradabile municipale generate (to)</c:v>
                </c:pt>
              </c:strCache>
            </c:strRef>
          </c:tx>
          <c:invertIfNegative val="0"/>
          <c:cat>
            <c:numRef>
              <c:f>Foaie1!$A$2:$A$7</c:f>
              <c:numCache>
                <c:formatCode>General</c:formatCode>
                <c:ptCount val="6"/>
                <c:pt idx="0">
                  <c:v>1995</c:v>
                </c:pt>
                <c:pt idx="1">
                  <c:v>2010</c:v>
                </c:pt>
                <c:pt idx="2">
                  <c:v>2013</c:v>
                </c:pt>
              </c:numCache>
            </c:numRef>
          </c:cat>
          <c:val>
            <c:numRef>
              <c:f>Foaie1!$B$2:$B$7</c:f>
              <c:numCache>
                <c:formatCode>General</c:formatCode>
                <c:ptCount val="6"/>
                <c:pt idx="0">
                  <c:v>98134</c:v>
                </c:pt>
                <c:pt idx="1">
                  <c:v>88554</c:v>
                </c:pt>
                <c:pt idx="2">
                  <c:v>49067</c:v>
                </c:pt>
              </c:numCache>
            </c:numRef>
          </c:val>
        </c:ser>
        <c:ser>
          <c:idx val="1"/>
          <c:order val="1"/>
          <c:tx>
            <c:strRef>
              <c:f>Foaie1!$C$1</c:f>
              <c:strCache>
                <c:ptCount val="1"/>
                <c:pt idx="0">
                  <c:v>Tinte de reducere  pt. cantităţile de deşeuri biodegradabile</c:v>
                </c:pt>
              </c:strCache>
            </c:strRef>
          </c:tx>
          <c:invertIfNegative val="0"/>
          <c:cat>
            <c:numRef>
              <c:f>Foaie1!$A$2:$A$7</c:f>
              <c:numCache>
                <c:formatCode>General</c:formatCode>
                <c:ptCount val="6"/>
                <c:pt idx="0">
                  <c:v>1995</c:v>
                </c:pt>
                <c:pt idx="1">
                  <c:v>2010</c:v>
                </c:pt>
                <c:pt idx="2">
                  <c:v>2013</c:v>
                </c:pt>
              </c:numCache>
            </c:numRef>
          </c:cat>
          <c:val>
            <c:numRef>
              <c:f>Foaie1!$C$2:$C$7</c:f>
              <c:numCache>
                <c:formatCode>General</c:formatCode>
                <c:ptCount val="6"/>
                <c:pt idx="1">
                  <c:v>0</c:v>
                </c:pt>
                <c:pt idx="2">
                  <c:v>0</c:v>
                </c:pt>
              </c:numCache>
            </c:numRef>
          </c:val>
        </c:ser>
        <c:ser>
          <c:idx val="2"/>
          <c:order val="2"/>
          <c:tx>
            <c:strRef>
              <c:f>Foaie1!$D$1</c:f>
              <c:strCache>
                <c:ptCount val="1"/>
                <c:pt idx="0">
                  <c:v>Cantitatea maximă de deşeuri biodegradabile care poate fi depozitată (to)</c:v>
                </c:pt>
              </c:strCache>
            </c:strRef>
          </c:tx>
          <c:invertIfNegative val="0"/>
          <c:cat>
            <c:numRef>
              <c:f>Foaie1!$A$2:$A$7</c:f>
              <c:numCache>
                <c:formatCode>General</c:formatCode>
                <c:ptCount val="6"/>
                <c:pt idx="0">
                  <c:v>1995</c:v>
                </c:pt>
                <c:pt idx="1">
                  <c:v>2010</c:v>
                </c:pt>
                <c:pt idx="2">
                  <c:v>2013</c:v>
                </c:pt>
              </c:numCache>
            </c:numRef>
          </c:cat>
          <c:val>
            <c:numRef>
              <c:f>Foaie1!$D$2:$D$7</c:f>
              <c:numCache>
                <c:formatCode>General</c:formatCode>
                <c:ptCount val="6"/>
                <c:pt idx="1">
                  <c:v>10862</c:v>
                </c:pt>
                <c:pt idx="2">
                  <c:v>14.954000000000001</c:v>
                </c:pt>
              </c:numCache>
            </c:numRef>
          </c:val>
        </c:ser>
        <c:ser>
          <c:idx val="3"/>
          <c:order val="3"/>
          <c:tx>
            <c:strRef>
              <c:f>Foaie1!$E$1</c:f>
              <c:strCache>
                <c:ptCount val="1"/>
                <c:pt idx="0">
                  <c:v>Cantitatea de deşeuri biodegradabile ce  trebuie redusă de la depozitare (to)</c:v>
                </c:pt>
              </c:strCache>
            </c:strRef>
          </c:tx>
          <c:invertIfNegative val="0"/>
          <c:cat>
            <c:numRef>
              <c:f>Foaie1!$A$2:$A$7</c:f>
              <c:numCache>
                <c:formatCode>General</c:formatCode>
                <c:ptCount val="6"/>
                <c:pt idx="0">
                  <c:v>1995</c:v>
                </c:pt>
                <c:pt idx="1">
                  <c:v>2010</c:v>
                </c:pt>
                <c:pt idx="2">
                  <c:v>2013</c:v>
                </c:pt>
              </c:numCache>
            </c:numRef>
          </c:cat>
          <c:val>
            <c:numRef>
              <c:f>Foaie1!$E$2:$E$7</c:f>
              <c:numCache>
                <c:formatCode>General</c:formatCode>
                <c:ptCount val="6"/>
                <c:pt idx="1">
                  <c:v>0</c:v>
                </c:pt>
                <c:pt idx="2" formatCode="#,##0">
                  <c:v>48681</c:v>
                </c:pt>
              </c:numCache>
            </c:numRef>
          </c:val>
        </c:ser>
        <c:dLbls>
          <c:showLegendKey val="0"/>
          <c:showVal val="0"/>
          <c:showCatName val="0"/>
          <c:showSerName val="0"/>
          <c:showPercent val="0"/>
          <c:showBubbleSize val="0"/>
        </c:dLbls>
        <c:gapWidth val="150"/>
        <c:axId val="299526400"/>
        <c:axId val="299544576"/>
      </c:barChart>
      <c:catAx>
        <c:axId val="299526400"/>
        <c:scaling>
          <c:orientation val="minMax"/>
        </c:scaling>
        <c:delete val="0"/>
        <c:axPos val="b"/>
        <c:numFmt formatCode="General" sourceLinked="1"/>
        <c:majorTickMark val="out"/>
        <c:minorTickMark val="none"/>
        <c:tickLblPos val="nextTo"/>
        <c:crossAx val="299544576"/>
        <c:crosses val="autoZero"/>
        <c:auto val="1"/>
        <c:lblAlgn val="ctr"/>
        <c:lblOffset val="100"/>
        <c:noMultiLvlLbl val="0"/>
      </c:catAx>
      <c:valAx>
        <c:axId val="299544576"/>
        <c:scaling>
          <c:orientation val="minMax"/>
        </c:scaling>
        <c:delete val="0"/>
        <c:axPos val="l"/>
        <c:majorGridlines/>
        <c:numFmt formatCode="General" sourceLinked="1"/>
        <c:majorTickMark val="out"/>
        <c:minorTickMark val="none"/>
        <c:tickLblPos val="nextTo"/>
        <c:crossAx val="299526400"/>
        <c:crosses val="autoZero"/>
        <c:crossBetween val="between"/>
      </c:valAx>
    </c:plotArea>
    <c:legend>
      <c:legendPos val="r"/>
      <c:overlay val="0"/>
    </c:legend>
    <c:plotVisOnly val="1"/>
    <c:dispBlanksAs val="zero"/>
    <c:showDLblsOverMax val="0"/>
  </c:chart>
  <c:externalData r:id="rId2">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783505154639206E-2"/>
          <c:y val="9.5000000000000043E-2"/>
          <c:w val="0.70618556701030932"/>
          <c:h val="0.70500000000000063"/>
        </c:manualLayout>
      </c:layout>
      <c:lineChart>
        <c:grouping val="standard"/>
        <c:varyColors val="0"/>
        <c:ser>
          <c:idx val="0"/>
          <c:order val="0"/>
          <c:tx>
            <c:strRef>
              <c:f>Sheet1!$A$2</c:f>
              <c:strCache>
                <c:ptCount val="1"/>
                <c:pt idx="0">
                  <c:v>cantităţi de deseuri de ambalaje</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Sheet1!$B$1:$F$1</c:f>
              <c:numCache>
                <c:formatCode>General</c:formatCode>
                <c:ptCount val="5"/>
                <c:pt idx="0">
                  <c:v>2010</c:v>
                </c:pt>
                <c:pt idx="1">
                  <c:v>2011</c:v>
                </c:pt>
                <c:pt idx="2">
                  <c:v>2012</c:v>
                </c:pt>
                <c:pt idx="3">
                  <c:v>2013</c:v>
                </c:pt>
                <c:pt idx="4">
                  <c:v>2014</c:v>
                </c:pt>
              </c:numCache>
            </c:numRef>
          </c:cat>
          <c:val>
            <c:numRef>
              <c:f>Sheet1!$B$2:$F$2</c:f>
              <c:numCache>
                <c:formatCode>General</c:formatCode>
                <c:ptCount val="5"/>
                <c:pt idx="0">
                  <c:v>309.34699999999998</c:v>
                </c:pt>
                <c:pt idx="1">
                  <c:v>412.25</c:v>
                </c:pt>
                <c:pt idx="2">
                  <c:v>495.608</c:v>
                </c:pt>
                <c:pt idx="3">
                  <c:v>483.14499999999998</c:v>
                </c:pt>
                <c:pt idx="4">
                  <c:v>603.61900000000003</c:v>
                </c:pt>
              </c:numCache>
            </c:numRef>
          </c:val>
          <c:smooth val="0"/>
        </c:ser>
        <c:dLbls>
          <c:showLegendKey val="0"/>
          <c:showVal val="0"/>
          <c:showCatName val="0"/>
          <c:showSerName val="0"/>
          <c:showPercent val="0"/>
          <c:showBubbleSize val="0"/>
        </c:dLbls>
        <c:marker val="1"/>
        <c:smooth val="0"/>
        <c:axId val="301169664"/>
        <c:axId val="301188608"/>
      </c:lineChart>
      <c:catAx>
        <c:axId val="301169664"/>
        <c:scaling>
          <c:orientation val="minMax"/>
        </c:scaling>
        <c:delete val="0"/>
        <c:axPos val="b"/>
        <c:title>
          <c:tx>
            <c:rich>
              <a:bodyPr/>
              <a:lstStyle/>
              <a:p>
                <a:pPr>
                  <a:defRPr sz="975" b="1" i="0" u="none" strike="noStrike" baseline="0">
                    <a:solidFill>
                      <a:srgbClr val="000000"/>
                    </a:solidFill>
                    <a:latin typeface="Arial"/>
                    <a:ea typeface="Arial"/>
                    <a:cs typeface="Arial"/>
                  </a:defRPr>
                </a:pPr>
                <a:r>
                  <a:rPr lang="en-US"/>
                  <a:t>anul</a:t>
                </a:r>
              </a:p>
            </c:rich>
          </c:tx>
          <c:layout>
            <c:manualLayout>
              <c:xMode val="edge"/>
              <c:yMode val="edge"/>
              <c:x val="9.6219931271477654E-2"/>
              <c:y val="0"/>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1" u="none" strike="noStrike" baseline="0">
                <a:solidFill>
                  <a:srgbClr val="000000"/>
                </a:solidFill>
                <a:latin typeface="Arial"/>
                <a:ea typeface="Arial"/>
                <a:cs typeface="Arial"/>
              </a:defRPr>
            </a:pPr>
            <a:endParaRPr lang="en-US"/>
          </a:p>
        </c:txPr>
        <c:crossAx val="301188608"/>
        <c:crosses val="autoZero"/>
        <c:auto val="1"/>
        <c:lblAlgn val="ctr"/>
        <c:lblOffset val="100"/>
        <c:tickLblSkip val="1"/>
        <c:tickMarkSkip val="1"/>
        <c:noMultiLvlLbl val="0"/>
      </c:catAx>
      <c:valAx>
        <c:axId val="301188608"/>
        <c:scaling>
          <c:orientation val="minMax"/>
          <c:max val="650"/>
        </c:scaling>
        <c:delete val="0"/>
        <c:axPos val="l"/>
        <c:majorGridlines>
          <c:spPr>
            <a:ln w="3175">
              <a:solidFill>
                <a:srgbClr val="000000"/>
              </a:solidFill>
              <a:prstDash val="solid"/>
            </a:ln>
          </c:spPr>
        </c:majorGridlines>
        <c:title>
          <c:tx>
            <c:rich>
              <a:bodyPr rot="0" vert="horz"/>
              <a:lstStyle/>
              <a:p>
                <a:pPr algn="ctr">
                  <a:defRPr sz="975" b="1" i="0" u="none" strike="noStrike" baseline="0">
                    <a:solidFill>
                      <a:srgbClr val="000000"/>
                    </a:solidFill>
                    <a:latin typeface="Arial"/>
                    <a:ea typeface="Arial"/>
                    <a:cs typeface="Arial"/>
                  </a:defRPr>
                </a:pPr>
                <a:r>
                  <a:rPr lang="en-US"/>
                  <a:t>tone</a:t>
                </a:r>
              </a:p>
            </c:rich>
          </c:tx>
          <c:layout>
            <c:manualLayout>
              <c:xMode val="edge"/>
              <c:yMode val="edge"/>
              <c:x val="0"/>
              <c:y val="0.8850000000000000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1" u="none" strike="noStrike" baseline="0">
                <a:solidFill>
                  <a:srgbClr val="000000"/>
                </a:solidFill>
                <a:latin typeface="Arial"/>
                <a:ea typeface="Arial"/>
                <a:cs typeface="Arial"/>
              </a:defRPr>
            </a:pPr>
            <a:endParaRPr lang="en-US"/>
          </a:p>
        </c:txPr>
        <c:crossAx val="301169664"/>
        <c:crosses val="autoZero"/>
        <c:crossBetween val="between"/>
      </c:valAx>
      <c:spPr>
        <a:noFill/>
        <a:ln w="12700">
          <a:solidFill>
            <a:srgbClr val="808080"/>
          </a:solidFill>
          <a:prstDash val="solid"/>
        </a:ln>
      </c:spPr>
    </c:plotArea>
    <c:legend>
      <c:legendPos val="r"/>
      <c:layout>
        <c:manualLayout>
          <c:xMode val="edge"/>
          <c:yMode val="edge"/>
          <c:x val="0.82130584192439871"/>
          <c:y val="0.15500000000000044"/>
          <c:w val="0.17182130584192742"/>
          <c:h val="0.58000000000000007"/>
        </c:manualLayout>
      </c:layout>
      <c:overlay val="0"/>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en-US"/>
        </a:p>
      </c:txPr>
    </c:legend>
    <c:plotVisOnly val="1"/>
    <c:dispBlanksAs val="gap"/>
    <c:showDLblsOverMax val="0"/>
  </c:chart>
  <c:spPr>
    <a:noFill/>
    <a:ln w="6350" cap="flat" cmpd="sng" algn="ctr">
      <a:solidFill>
        <a:srgbClr val="000000"/>
      </a:solidFill>
      <a:prstDash val="solid"/>
      <a:miter lim="800000"/>
      <a:headEnd type="none" w="med" len="med"/>
      <a:tailEnd type="none" w="med" len="med"/>
    </a:ln>
  </c:spPr>
  <c:txPr>
    <a:bodyPr/>
    <a:lstStyle/>
    <a:p>
      <a:pPr>
        <a:defRPr sz="875" b="1" i="0" u="none" strike="noStrike" baseline="0">
          <a:solidFill>
            <a:srgbClr val="000000"/>
          </a:solidFill>
          <a:latin typeface="Arial"/>
          <a:ea typeface="Arial"/>
          <a:cs typeface="Arial"/>
        </a:defRPr>
      </a:pPr>
      <a:endParaRPr lang="en-US"/>
    </a:p>
  </c:txPr>
  <c:externalData r:id="rId2">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Foaie1!$B$1</c:f>
              <c:strCache>
                <c:ptCount val="1"/>
                <c:pt idx="0">
                  <c:v>Serie 1</c:v>
                </c:pt>
              </c:strCache>
            </c:strRef>
          </c:tx>
          <c:invertIfNegative val="0"/>
          <c:cat>
            <c:strRef>
              <c:f>Foaie1!$A$2:$A$5</c:f>
              <c:strCache>
                <c:ptCount val="4"/>
                <c:pt idx="0">
                  <c:v>Categoria 1</c:v>
                </c:pt>
                <c:pt idx="1">
                  <c:v>Categoria 2</c:v>
                </c:pt>
                <c:pt idx="2">
                  <c:v>Categoria 3</c:v>
                </c:pt>
                <c:pt idx="3">
                  <c:v>Categoria 4</c:v>
                </c:pt>
              </c:strCache>
            </c:strRef>
          </c:cat>
          <c:val>
            <c:numRef>
              <c:f>Foaie1!$B$2:$B$5</c:f>
              <c:numCache>
                <c:formatCode>General</c:formatCode>
                <c:ptCount val="4"/>
                <c:pt idx="0">
                  <c:v>4.3</c:v>
                </c:pt>
                <c:pt idx="1">
                  <c:v>2.5</c:v>
                </c:pt>
                <c:pt idx="2">
                  <c:v>3.5</c:v>
                </c:pt>
                <c:pt idx="3">
                  <c:v>4.5</c:v>
                </c:pt>
              </c:numCache>
            </c:numRef>
          </c:val>
        </c:ser>
        <c:ser>
          <c:idx val="1"/>
          <c:order val="1"/>
          <c:tx>
            <c:strRef>
              <c:f>Foaie1!$C$1</c:f>
              <c:strCache>
                <c:ptCount val="1"/>
                <c:pt idx="0">
                  <c:v>Serie 2</c:v>
                </c:pt>
              </c:strCache>
            </c:strRef>
          </c:tx>
          <c:invertIfNegative val="0"/>
          <c:cat>
            <c:strRef>
              <c:f>Foaie1!$A$2:$A$5</c:f>
              <c:strCache>
                <c:ptCount val="4"/>
                <c:pt idx="0">
                  <c:v>Categoria 1</c:v>
                </c:pt>
                <c:pt idx="1">
                  <c:v>Categoria 2</c:v>
                </c:pt>
                <c:pt idx="2">
                  <c:v>Categoria 3</c:v>
                </c:pt>
                <c:pt idx="3">
                  <c:v>Categoria 4</c:v>
                </c:pt>
              </c:strCache>
            </c:strRef>
          </c:cat>
          <c:val>
            <c:numRef>
              <c:f>Foaie1!$C$2:$C$5</c:f>
              <c:numCache>
                <c:formatCode>General</c:formatCode>
                <c:ptCount val="4"/>
                <c:pt idx="0">
                  <c:v>2.4</c:v>
                </c:pt>
                <c:pt idx="1">
                  <c:v>4.4000000000000004</c:v>
                </c:pt>
                <c:pt idx="2">
                  <c:v>1.8</c:v>
                </c:pt>
                <c:pt idx="3">
                  <c:v>2.8</c:v>
                </c:pt>
              </c:numCache>
            </c:numRef>
          </c:val>
        </c:ser>
        <c:ser>
          <c:idx val="2"/>
          <c:order val="2"/>
          <c:tx>
            <c:strRef>
              <c:f>Foaie1!$D$1</c:f>
              <c:strCache>
                <c:ptCount val="1"/>
                <c:pt idx="0">
                  <c:v>Serie 3</c:v>
                </c:pt>
              </c:strCache>
            </c:strRef>
          </c:tx>
          <c:invertIfNegative val="0"/>
          <c:cat>
            <c:strRef>
              <c:f>Foaie1!$A$2:$A$5</c:f>
              <c:strCache>
                <c:ptCount val="4"/>
                <c:pt idx="0">
                  <c:v>Categoria 1</c:v>
                </c:pt>
                <c:pt idx="1">
                  <c:v>Categoria 2</c:v>
                </c:pt>
                <c:pt idx="2">
                  <c:v>Categoria 3</c:v>
                </c:pt>
                <c:pt idx="3">
                  <c:v>Categoria 4</c:v>
                </c:pt>
              </c:strCache>
            </c:strRef>
          </c:cat>
          <c:val>
            <c:numRef>
              <c:f>Foaie1!$D$2:$D$5</c:f>
              <c:numCache>
                <c:formatCode>General</c:formatCode>
                <c:ptCount val="4"/>
                <c:pt idx="0">
                  <c:v>2</c:v>
                </c:pt>
                <c:pt idx="1">
                  <c:v>2</c:v>
                </c:pt>
                <c:pt idx="2">
                  <c:v>3</c:v>
                </c:pt>
                <c:pt idx="3">
                  <c:v>5</c:v>
                </c:pt>
              </c:numCache>
            </c:numRef>
          </c:val>
        </c:ser>
        <c:dLbls>
          <c:showLegendKey val="0"/>
          <c:showVal val="0"/>
          <c:showCatName val="0"/>
          <c:showSerName val="0"/>
          <c:showPercent val="0"/>
          <c:showBubbleSize val="0"/>
        </c:dLbls>
        <c:gapWidth val="150"/>
        <c:axId val="300686336"/>
        <c:axId val="300700416"/>
      </c:barChart>
      <c:catAx>
        <c:axId val="300686336"/>
        <c:scaling>
          <c:orientation val="minMax"/>
        </c:scaling>
        <c:delete val="0"/>
        <c:axPos val="b"/>
        <c:numFmt formatCode="General" sourceLinked="1"/>
        <c:majorTickMark val="out"/>
        <c:minorTickMark val="none"/>
        <c:tickLblPos val="nextTo"/>
        <c:crossAx val="300700416"/>
        <c:crosses val="autoZero"/>
        <c:auto val="1"/>
        <c:lblAlgn val="ctr"/>
        <c:lblOffset val="100"/>
        <c:noMultiLvlLbl val="0"/>
      </c:catAx>
      <c:valAx>
        <c:axId val="300700416"/>
        <c:scaling>
          <c:orientation val="minMax"/>
        </c:scaling>
        <c:delete val="0"/>
        <c:axPos val="l"/>
        <c:majorGridlines/>
        <c:numFmt formatCode="General" sourceLinked="1"/>
        <c:majorTickMark val="out"/>
        <c:minorTickMark val="none"/>
        <c:tickLblPos val="nextTo"/>
        <c:crossAx val="300686336"/>
        <c:crosses val="autoZero"/>
        <c:crossBetween val="between"/>
      </c:valAx>
    </c:plotArea>
    <c:legend>
      <c:legendPos val="r"/>
      <c:layout>
        <c:manualLayout>
          <c:xMode val="edge"/>
          <c:yMode val="edge"/>
          <c:x val="0.88101983002832862"/>
          <c:y val="0.38423645320197047"/>
          <c:w val="0.10339943342776201"/>
          <c:h val="0.21921182266009975"/>
        </c:manualLayout>
      </c:layout>
      <c:overlay val="0"/>
    </c:legend>
    <c:plotVisOnly val="1"/>
    <c:dispBlanksAs val="gap"/>
    <c:showDLblsOverMax val="0"/>
  </c:chart>
  <c:externalData r:id="rId2">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Foaie1!$B$1</c:f>
              <c:strCache>
                <c:ptCount val="1"/>
                <c:pt idx="0">
                  <c:v>Serie 1</c:v>
                </c:pt>
              </c:strCache>
            </c:strRef>
          </c:tx>
          <c:invertIfNegative val="0"/>
          <c:cat>
            <c:strRef>
              <c:f>Foaie1!$A$2:$A$5</c:f>
              <c:strCache>
                <c:ptCount val="4"/>
                <c:pt idx="0">
                  <c:v>Categoria 1</c:v>
                </c:pt>
                <c:pt idx="1">
                  <c:v>Categoria 2</c:v>
                </c:pt>
                <c:pt idx="2">
                  <c:v>Categoria 3</c:v>
                </c:pt>
                <c:pt idx="3">
                  <c:v>Categoria 4</c:v>
                </c:pt>
              </c:strCache>
            </c:strRef>
          </c:cat>
          <c:val>
            <c:numRef>
              <c:f>Foaie1!$B$2:$B$5</c:f>
              <c:numCache>
                <c:formatCode>General</c:formatCode>
                <c:ptCount val="4"/>
                <c:pt idx="0">
                  <c:v>4.3</c:v>
                </c:pt>
                <c:pt idx="1">
                  <c:v>2.5</c:v>
                </c:pt>
                <c:pt idx="2">
                  <c:v>3.5</c:v>
                </c:pt>
                <c:pt idx="3">
                  <c:v>4.5</c:v>
                </c:pt>
              </c:numCache>
            </c:numRef>
          </c:val>
        </c:ser>
        <c:ser>
          <c:idx val="1"/>
          <c:order val="1"/>
          <c:tx>
            <c:strRef>
              <c:f>Foaie1!$C$1</c:f>
              <c:strCache>
                <c:ptCount val="1"/>
                <c:pt idx="0">
                  <c:v>Serie 2</c:v>
                </c:pt>
              </c:strCache>
            </c:strRef>
          </c:tx>
          <c:invertIfNegative val="0"/>
          <c:cat>
            <c:strRef>
              <c:f>Foaie1!$A$2:$A$5</c:f>
              <c:strCache>
                <c:ptCount val="4"/>
                <c:pt idx="0">
                  <c:v>Categoria 1</c:v>
                </c:pt>
                <c:pt idx="1">
                  <c:v>Categoria 2</c:v>
                </c:pt>
                <c:pt idx="2">
                  <c:v>Categoria 3</c:v>
                </c:pt>
                <c:pt idx="3">
                  <c:v>Categoria 4</c:v>
                </c:pt>
              </c:strCache>
            </c:strRef>
          </c:cat>
          <c:val>
            <c:numRef>
              <c:f>Foaie1!$C$2:$C$5</c:f>
              <c:numCache>
                <c:formatCode>General</c:formatCode>
                <c:ptCount val="4"/>
                <c:pt idx="0">
                  <c:v>2.4</c:v>
                </c:pt>
                <c:pt idx="1">
                  <c:v>4.4000000000000004</c:v>
                </c:pt>
                <c:pt idx="2">
                  <c:v>1.8</c:v>
                </c:pt>
                <c:pt idx="3">
                  <c:v>2.8</c:v>
                </c:pt>
              </c:numCache>
            </c:numRef>
          </c:val>
        </c:ser>
        <c:ser>
          <c:idx val="2"/>
          <c:order val="2"/>
          <c:tx>
            <c:strRef>
              <c:f>Foaie1!$D$1</c:f>
              <c:strCache>
                <c:ptCount val="1"/>
                <c:pt idx="0">
                  <c:v>Serie 3</c:v>
                </c:pt>
              </c:strCache>
            </c:strRef>
          </c:tx>
          <c:invertIfNegative val="0"/>
          <c:cat>
            <c:strRef>
              <c:f>Foaie1!$A$2:$A$5</c:f>
              <c:strCache>
                <c:ptCount val="4"/>
                <c:pt idx="0">
                  <c:v>Categoria 1</c:v>
                </c:pt>
                <c:pt idx="1">
                  <c:v>Categoria 2</c:v>
                </c:pt>
                <c:pt idx="2">
                  <c:v>Categoria 3</c:v>
                </c:pt>
                <c:pt idx="3">
                  <c:v>Categoria 4</c:v>
                </c:pt>
              </c:strCache>
            </c:strRef>
          </c:cat>
          <c:val>
            <c:numRef>
              <c:f>Foaie1!$D$2:$D$5</c:f>
              <c:numCache>
                <c:formatCode>General</c:formatCode>
                <c:ptCount val="4"/>
                <c:pt idx="0">
                  <c:v>2</c:v>
                </c:pt>
                <c:pt idx="1">
                  <c:v>2</c:v>
                </c:pt>
                <c:pt idx="2">
                  <c:v>3</c:v>
                </c:pt>
                <c:pt idx="3">
                  <c:v>5</c:v>
                </c:pt>
              </c:numCache>
            </c:numRef>
          </c:val>
        </c:ser>
        <c:dLbls>
          <c:showLegendKey val="0"/>
          <c:showVal val="0"/>
          <c:showCatName val="0"/>
          <c:showSerName val="0"/>
          <c:showPercent val="0"/>
          <c:showBubbleSize val="0"/>
        </c:dLbls>
        <c:gapWidth val="150"/>
        <c:axId val="299341696"/>
        <c:axId val="299343232"/>
      </c:barChart>
      <c:catAx>
        <c:axId val="299341696"/>
        <c:scaling>
          <c:orientation val="minMax"/>
        </c:scaling>
        <c:delete val="0"/>
        <c:axPos val="b"/>
        <c:numFmt formatCode="General" sourceLinked="1"/>
        <c:majorTickMark val="out"/>
        <c:minorTickMark val="none"/>
        <c:tickLblPos val="nextTo"/>
        <c:crossAx val="299343232"/>
        <c:crosses val="autoZero"/>
        <c:auto val="1"/>
        <c:lblAlgn val="ctr"/>
        <c:lblOffset val="100"/>
        <c:noMultiLvlLbl val="0"/>
      </c:catAx>
      <c:valAx>
        <c:axId val="299343232"/>
        <c:scaling>
          <c:orientation val="minMax"/>
        </c:scaling>
        <c:delete val="0"/>
        <c:axPos val="l"/>
        <c:majorGridlines/>
        <c:numFmt formatCode="General" sourceLinked="1"/>
        <c:majorTickMark val="out"/>
        <c:minorTickMark val="none"/>
        <c:tickLblPos val="nextTo"/>
        <c:crossAx val="299341696"/>
        <c:crosses val="autoZero"/>
        <c:crossBetween val="between"/>
      </c:valAx>
    </c:plotArea>
    <c:legend>
      <c:legendPos val="r"/>
      <c:layout>
        <c:manualLayout>
          <c:xMode val="edge"/>
          <c:yMode val="edge"/>
          <c:x val="0.88101983002832862"/>
          <c:y val="0.38423645320197047"/>
          <c:w val="0.10339943342776201"/>
          <c:h val="0.21921182266009975"/>
        </c:manualLayout>
      </c:layout>
      <c:overlay val="0"/>
    </c:legend>
    <c:plotVisOnly val="1"/>
    <c:dispBlanksAs val="gap"/>
    <c:showDLblsOverMax val="0"/>
  </c:chart>
  <c:externalData r:id="rId2">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Foaie1!$B$1</c:f>
              <c:strCache>
                <c:ptCount val="1"/>
                <c:pt idx="0">
                  <c:v>Serie 1</c:v>
                </c:pt>
              </c:strCache>
            </c:strRef>
          </c:tx>
          <c:invertIfNegative val="0"/>
          <c:cat>
            <c:strRef>
              <c:f>Foaie1!$A$2:$A$5</c:f>
              <c:strCache>
                <c:ptCount val="4"/>
                <c:pt idx="0">
                  <c:v>Categoria 1</c:v>
                </c:pt>
                <c:pt idx="1">
                  <c:v>Categoria 2</c:v>
                </c:pt>
                <c:pt idx="2">
                  <c:v>Categoria 3</c:v>
                </c:pt>
                <c:pt idx="3">
                  <c:v>Categoria 4</c:v>
                </c:pt>
              </c:strCache>
            </c:strRef>
          </c:cat>
          <c:val>
            <c:numRef>
              <c:f>Foaie1!$B$2:$B$5</c:f>
              <c:numCache>
                <c:formatCode>General</c:formatCode>
                <c:ptCount val="4"/>
                <c:pt idx="0">
                  <c:v>4.3</c:v>
                </c:pt>
                <c:pt idx="1">
                  <c:v>2.5</c:v>
                </c:pt>
                <c:pt idx="2">
                  <c:v>3.5</c:v>
                </c:pt>
                <c:pt idx="3">
                  <c:v>4.5</c:v>
                </c:pt>
              </c:numCache>
            </c:numRef>
          </c:val>
        </c:ser>
        <c:ser>
          <c:idx val="1"/>
          <c:order val="1"/>
          <c:tx>
            <c:strRef>
              <c:f>Foaie1!$C$1</c:f>
              <c:strCache>
                <c:ptCount val="1"/>
                <c:pt idx="0">
                  <c:v>Serie 2</c:v>
                </c:pt>
              </c:strCache>
            </c:strRef>
          </c:tx>
          <c:invertIfNegative val="0"/>
          <c:cat>
            <c:strRef>
              <c:f>Foaie1!$A$2:$A$5</c:f>
              <c:strCache>
                <c:ptCount val="4"/>
                <c:pt idx="0">
                  <c:v>Categoria 1</c:v>
                </c:pt>
                <c:pt idx="1">
                  <c:v>Categoria 2</c:v>
                </c:pt>
                <c:pt idx="2">
                  <c:v>Categoria 3</c:v>
                </c:pt>
                <c:pt idx="3">
                  <c:v>Categoria 4</c:v>
                </c:pt>
              </c:strCache>
            </c:strRef>
          </c:cat>
          <c:val>
            <c:numRef>
              <c:f>Foaie1!$C$2:$C$5</c:f>
              <c:numCache>
                <c:formatCode>General</c:formatCode>
                <c:ptCount val="4"/>
                <c:pt idx="0">
                  <c:v>2.4</c:v>
                </c:pt>
                <c:pt idx="1">
                  <c:v>4.4000000000000004</c:v>
                </c:pt>
                <c:pt idx="2">
                  <c:v>1.8</c:v>
                </c:pt>
                <c:pt idx="3">
                  <c:v>2.8</c:v>
                </c:pt>
              </c:numCache>
            </c:numRef>
          </c:val>
        </c:ser>
        <c:ser>
          <c:idx val="2"/>
          <c:order val="2"/>
          <c:tx>
            <c:strRef>
              <c:f>Foaie1!$D$1</c:f>
              <c:strCache>
                <c:ptCount val="1"/>
                <c:pt idx="0">
                  <c:v>Serie 3</c:v>
                </c:pt>
              </c:strCache>
            </c:strRef>
          </c:tx>
          <c:invertIfNegative val="0"/>
          <c:cat>
            <c:strRef>
              <c:f>Foaie1!$A$2:$A$5</c:f>
              <c:strCache>
                <c:ptCount val="4"/>
                <c:pt idx="0">
                  <c:v>Categoria 1</c:v>
                </c:pt>
                <c:pt idx="1">
                  <c:v>Categoria 2</c:v>
                </c:pt>
                <c:pt idx="2">
                  <c:v>Categoria 3</c:v>
                </c:pt>
                <c:pt idx="3">
                  <c:v>Categoria 4</c:v>
                </c:pt>
              </c:strCache>
            </c:strRef>
          </c:cat>
          <c:val>
            <c:numRef>
              <c:f>Foaie1!$D$2:$D$5</c:f>
              <c:numCache>
                <c:formatCode>General</c:formatCode>
                <c:ptCount val="4"/>
                <c:pt idx="0">
                  <c:v>2</c:v>
                </c:pt>
                <c:pt idx="1">
                  <c:v>2</c:v>
                </c:pt>
                <c:pt idx="2">
                  <c:v>3</c:v>
                </c:pt>
                <c:pt idx="3">
                  <c:v>5</c:v>
                </c:pt>
              </c:numCache>
            </c:numRef>
          </c:val>
        </c:ser>
        <c:dLbls>
          <c:showLegendKey val="0"/>
          <c:showVal val="0"/>
          <c:showCatName val="0"/>
          <c:showSerName val="0"/>
          <c:showPercent val="0"/>
          <c:showBubbleSize val="0"/>
        </c:dLbls>
        <c:gapWidth val="150"/>
        <c:axId val="301331200"/>
        <c:axId val="301332736"/>
      </c:barChart>
      <c:catAx>
        <c:axId val="301331200"/>
        <c:scaling>
          <c:orientation val="minMax"/>
        </c:scaling>
        <c:delete val="0"/>
        <c:axPos val="b"/>
        <c:numFmt formatCode="General" sourceLinked="1"/>
        <c:majorTickMark val="out"/>
        <c:minorTickMark val="none"/>
        <c:tickLblPos val="nextTo"/>
        <c:crossAx val="301332736"/>
        <c:crosses val="autoZero"/>
        <c:auto val="1"/>
        <c:lblAlgn val="ctr"/>
        <c:lblOffset val="100"/>
        <c:noMultiLvlLbl val="0"/>
      </c:catAx>
      <c:valAx>
        <c:axId val="301332736"/>
        <c:scaling>
          <c:orientation val="minMax"/>
        </c:scaling>
        <c:delete val="0"/>
        <c:axPos val="l"/>
        <c:majorGridlines/>
        <c:numFmt formatCode="General" sourceLinked="1"/>
        <c:majorTickMark val="out"/>
        <c:minorTickMark val="none"/>
        <c:tickLblPos val="nextTo"/>
        <c:crossAx val="301331200"/>
        <c:crosses val="autoZero"/>
        <c:crossBetween val="between"/>
      </c:valAx>
    </c:plotArea>
    <c:legend>
      <c:legendPos val="r"/>
      <c:layout>
        <c:manualLayout>
          <c:xMode val="edge"/>
          <c:yMode val="edge"/>
          <c:x val="0.88101983002832862"/>
          <c:y val="0.38423645320197047"/>
          <c:w val="0.10339943342776201"/>
          <c:h val="0.21921182266009975"/>
        </c:manualLayout>
      </c:layout>
      <c:overlay val="0"/>
    </c:legend>
    <c:plotVisOnly val="1"/>
    <c:dispBlanksAs val="gap"/>
    <c:showDLblsOverMax val="0"/>
  </c:chart>
  <c:externalData r:id="rId2">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colectat</c:v>
                </c:pt>
              </c:strCache>
            </c:strRef>
          </c:tx>
          <c:invertIfNegative val="0"/>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2310</c:v>
                </c:pt>
                <c:pt idx="1">
                  <c:v>898</c:v>
                </c:pt>
                <c:pt idx="2">
                  <c:v>643</c:v>
                </c:pt>
                <c:pt idx="3">
                  <c:v>141</c:v>
                </c:pt>
                <c:pt idx="4">
                  <c:v>231</c:v>
                </c:pt>
              </c:numCache>
            </c:numRef>
          </c:val>
        </c:ser>
        <c:ser>
          <c:idx val="1"/>
          <c:order val="1"/>
          <c:tx>
            <c:strRef>
              <c:f>Sheet1!$C$1</c:f>
              <c:strCache>
                <c:ptCount val="1"/>
                <c:pt idx="0">
                  <c:v>tratate</c:v>
                </c:pt>
              </c:strCache>
            </c:strRef>
          </c:tx>
          <c:invertIfNegative val="0"/>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2482</c:v>
                </c:pt>
                <c:pt idx="1">
                  <c:v>1021</c:v>
                </c:pt>
                <c:pt idx="2">
                  <c:v>624</c:v>
                </c:pt>
                <c:pt idx="3">
                  <c:v>160</c:v>
                </c:pt>
                <c:pt idx="4">
                  <c:v>208</c:v>
                </c:pt>
              </c:numCache>
            </c:numRef>
          </c:val>
        </c:ser>
        <c:ser>
          <c:idx val="2"/>
          <c:order val="2"/>
          <c:tx>
            <c:strRef>
              <c:f>Sheet1!$D$1</c:f>
              <c:strCache>
                <c:ptCount val="1"/>
                <c:pt idx="0">
                  <c:v>Column1</c:v>
                </c:pt>
              </c:strCache>
            </c:strRef>
          </c:tx>
          <c:invertIfNegative val="0"/>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numCache>
            </c:numRef>
          </c:val>
        </c:ser>
        <c:dLbls>
          <c:showLegendKey val="0"/>
          <c:showVal val="0"/>
          <c:showCatName val="0"/>
          <c:showSerName val="0"/>
          <c:showPercent val="0"/>
          <c:showBubbleSize val="0"/>
        </c:dLbls>
        <c:gapWidth val="150"/>
        <c:axId val="300912000"/>
        <c:axId val="300913792"/>
      </c:barChart>
      <c:catAx>
        <c:axId val="300912000"/>
        <c:scaling>
          <c:orientation val="minMax"/>
        </c:scaling>
        <c:delete val="0"/>
        <c:axPos val="b"/>
        <c:numFmt formatCode="General" sourceLinked="1"/>
        <c:majorTickMark val="out"/>
        <c:minorTickMark val="none"/>
        <c:tickLblPos val="nextTo"/>
        <c:crossAx val="300913792"/>
        <c:crosses val="autoZero"/>
        <c:auto val="1"/>
        <c:lblAlgn val="ctr"/>
        <c:lblOffset val="100"/>
        <c:noMultiLvlLbl val="0"/>
      </c:catAx>
      <c:valAx>
        <c:axId val="300913792"/>
        <c:scaling>
          <c:orientation val="minMax"/>
        </c:scaling>
        <c:delete val="0"/>
        <c:axPos val="l"/>
        <c:majorGridlines/>
        <c:numFmt formatCode="General" sourceLinked="1"/>
        <c:majorTickMark val="out"/>
        <c:minorTickMark val="none"/>
        <c:tickLblPos val="nextTo"/>
        <c:crossAx val="300912000"/>
        <c:crosses val="autoZero"/>
        <c:crossBetween val="between"/>
      </c:valAx>
    </c:plotArea>
    <c:legend>
      <c:legendPos val="r"/>
      <c:legendEntry>
        <c:idx val="2"/>
        <c:delete val="1"/>
      </c:legendEntry>
      <c:overlay val="0"/>
    </c:legend>
    <c:plotVisOnly val="1"/>
    <c:dispBlanksAs val="gap"/>
    <c:showDLblsOverMax val="0"/>
  </c:chart>
  <c:externalData r:id="rId2">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Arial"/>
                <a:ea typeface="Arial"/>
                <a:cs typeface="Arial"/>
              </a:defRPr>
            </a:pPr>
            <a:r>
              <a:rPr lang="en-US"/>
              <a:t>Variatia nivelului de zgomot pentru Piete, spatii comerciale, restaurante in aer liber, Leq</a:t>
            </a:r>
          </a:p>
        </c:rich>
      </c:tx>
      <c:layout>
        <c:manualLayout>
          <c:xMode val="edge"/>
          <c:yMode val="edge"/>
          <c:x val="0.11400651465798045"/>
          <c:y val="2.1148036253776436E-2"/>
        </c:manualLayout>
      </c:layout>
      <c:overlay val="0"/>
      <c:spPr>
        <a:noFill/>
        <a:ln w="25399">
          <a:noFill/>
        </a:ln>
      </c:spPr>
    </c:title>
    <c:autoTitleDeleted val="0"/>
    <c:plotArea>
      <c:layout>
        <c:manualLayout>
          <c:layoutTarget val="inner"/>
          <c:xMode val="edge"/>
          <c:yMode val="edge"/>
          <c:x val="5.3745928338762218E-2"/>
          <c:y val="0.2175226586102719"/>
          <c:w val="0.69706840390879476"/>
          <c:h val="0.6737160120845922"/>
        </c:manualLayout>
      </c:layout>
      <c:lineChart>
        <c:grouping val="standard"/>
        <c:varyColors val="0"/>
        <c:ser>
          <c:idx val="0"/>
          <c:order val="0"/>
          <c:tx>
            <c:strRef>
              <c:f>Sheet1!$A$2</c:f>
              <c:strCache>
                <c:ptCount val="1"/>
                <c:pt idx="0">
                  <c:v>Barlad</c:v>
                </c:pt>
              </c:strCache>
            </c:strRef>
          </c:tx>
          <c:spPr>
            <a:ln w="12700">
              <a:solidFill>
                <a:srgbClr val="000080"/>
              </a:solidFill>
              <a:prstDash val="solid"/>
            </a:ln>
          </c:spPr>
          <c:marker>
            <c:symbol val="diamond"/>
            <c:size val="4"/>
            <c:spPr>
              <a:solidFill>
                <a:srgbClr val="000080"/>
              </a:solidFill>
              <a:ln>
                <a:solidFill>
                  <a:srgbClr val="000080"/>
                </a:solidFill>
                <a:prstDash val="solid"/>
              </a:ln>
            </c:spPr>
          </c:marker>
          <c:cat>
            <c:strRef>
              <c:f>Sheet1!$B$1:$E$1</c:f>
              <c:strCache>
                <c:ptCount val="4"/>
                <c:pt idx="0">
                  <c:v>Trim. I</c:v>
                </c:pt>
                <c:pt idx="1">
                  <c:v>Trim. II</c:v>
                </c:pt>
                <c:pt idx="2">
                  <c:v>Trim. III</c:v>
                </c:pt>
                <c:pt idx="3">
                  <c:v>Trim. IV</c:v>
                </c:pt>
              </c:strCache>
            </c:strRef>
          </c:cat>
          <c:val>
            <c:numRef>
              <c:f>Sheet1!$B$2:$E$2</c:f>
              <c:numCache>
                <c:formatCode>General</c:formatCode>
                <c:ptCount val="4"/>
                <c:pt idx="0">
                  <c:v>61.6</c:v>
                </c:pt>
                <c:pt idx="1">
                  <c:v>67.099999999999994</c:v>
                </c:pt>
                <c:pt idx="2">
                  <c:v>66.2</c:v>
                </c:pt>
                <c:pt idx="3">
                  <c:v>66.900000000000006</c:v>
                </c:pt>
              </c:numCache>
            </c:numRef>
          </c:val>
          <c:smooth val="0"/>
        </c:ser>
        <c:ser>
          <c:idx val="1"/>
          <c:order val="1"/>
          <c:tx>
            <c:strRef>
              <c:f>Sheet1!$A$3</c:f>
              <c:strCache>
                <c:ptCount val="1"/>
                <c:pt idx="0">
                  <c:v>Husi</c:v>
                </c:pt>
              </c:strCache>
            </c:strRef>
          </c:tx>
          <c:spPr>
            <a:ln w="12700">
              <a:solidFill>
                <a:srgbClr val="FF00FF"/>
              </a:solidFill>
              <a:prstDash val="solid"/>
            </a:ln>
          </c:spPr>
          <c:marker>
            <c:symbol val="square"/>
            <c:size val="4"/>
            <c:spPr>
              <a:solidFill>
                <a:srgbClr val="FF00FF"/>
              </a:solidFill>
              <a:ln>
                <a:solidFill>
                  <a:srgbClr val="FF00FF"/>
                </a:solidFill>
                <a:prstDash val="solid"/>
              </a:ln>
            </c:spPr>
          </c:marker>
          <c:cat>
            <c:strRef>
              <c:f>Sheet1!$B$1:$E$1</c:f>
              <c:strCache>
                <c:ptCount val="4"/>
                <c:pt idx="0">
                  <c:v>Trim. I</c:v>
                </c:pt>
                <c:pt idx="1">
                  <c:v>Trim. II</c:v>
                </c:pt>
                <c:pt idx="2">
                  <c:v>Trim. III</c:v>
                </c:pt>
                <c:pt idx="3">
                  <c:v>Trim. IV</c:v>
                </c:pt>
              </c:strCache>
            </c:strRef>
          </c:cat>
          <c:val>
            <c:numRef>
              <c:f>Sheet1!$B$3:$E$3</c:f>
              <c:numCache>
                <c:formatCode>General</c:formatCode>
                <c:ptCount val="4"/>
                <c:pt idx="0">
                  <c:v>64.2</c:v>
                </c:pt>
                <c:pt idx="1">
                  <c:v>63.7</c:v>
                </c:pt>
                <c:pt idx="2">
                  <c:v>63.8</c:v>
                </c:pt>
                <c:pt idx="3">
                  <c:v>63.5</c:v>
                </c:pt>
              </c:numCache>
            </c:numRef>
          </c:val>
          <c:smooth val="0"/>
        </c:ser>
        <c:ser>
          <c:idx val="2"/>
          <c:order val="2"/>
          <c:tx>
            <c:strRef>
              <c:f>Sheet1!$A$4</c:f>
              <c:strCache>
                <c:ptCount val="1"/>
                <c:pt idx="0">
                  <c:v>Negresti</c:v>
                </c:pt>
              </c:strCache>
            </c:strRef>
          </c:tx>
          <c:spPr>
            <a:ln w="12700">
              <a:solidFill>
                <a:srgbClr val="FFFF00"/>
              </a:solidFill>
              <a:prstDash val="solid"/>
            </a:ln>
          </c:spPr>
          <c:marker>
            <c:symbol val="triangle"/>
            <c:size val="4"/>
            <c:spPr>
              <a:solidFill>
                <a:srgbClr val="FFFF00"/>
              </a:solidFill>
              <a:ln>
                <a:solidFill>
                  <a:srgbClr val="FFFF00"/>
                </a:solidFill>
                <a:prstDash val="solid"/>
              </a:ln>
            </c:spPr>
          </c:marker>
          <c:cat>
            <c:strRef>
              <c:f>Sheet1!$B$1:$E$1</c:f>
              <c:strCache>
                <c:ptCount val="4"/>
                <c:pt idx="0">
                  <c:v>Trim. I</c:v>
                </c:pt>
                <c:pt idx="1">
                  <c:v>Trim. II</c:v>
                </c:pt>
                <c:pt idx="2">
                  <c:v>Trim. III</c:v>
                </c:pt>
                <c:pt idx="3">
                  <c:v>Trim. IV</c:v>
                </c:pt>
              </c:strCache>
            </c:strRef>
          </c:cat>
          <c:val>
            <c:numRef>
              <c:f>Sheet1!$B$4:$E$4</c:f>
              <c:numCache>
                <c:formatCode>General</c:formatCode>
                <c:ptCount val="4"/>
                <c:pt idx="0">
                  <c:v>62.8</c:v>
                </c:pt>
                <c:pt idx="1">
                  <c:v>63.3</c:v>
                </c:pt>
                <c:pt idx="2">
                  <c:v>61.7</c:v>
                </c:pt>
                <c:pt idx="3">
                  <c:v>61.7</c:v>
                </c:pt>
              </c:numCache>
            </c:numRef>
          </c:val>
          <c:smooth val="0"/>
        </c:ser>
        <c:ser>
          <c:idx val="3"/>
          <c:order val="3"/>
          <c:tx>
            <c:strRef>
              <c:f>Sheet1!$A$5</c:f>
              <c:strCache>
                <c:ptCount val="1"/>
                <c:pt idx="0">
                  <c:v>Maxima admisibila</c:v>
                </c:pt>
              </c:strCache>
            </c:strRef>
          </c:tx>
          <c:spPr>
            <a:ln w="12700">
              <a:solidFill>
                <a:srgbClr val="00FFFF"/>
              </a:solidFill>
              <a:prstDash val="solid"/>
            </a:ln>
          </c:spPr>
          <c:marker>
            <c:symbol val="x"/>
            <c:size val="4"/>
            <c:spPr>
              <a:noFill/>
              <a:ln>
                <a:solidFill>
                  <a:srgbClr val="00FFFF"/>
                </a:solidFill>
                <a:prstDash val="solid"/>
              </a:ln>
            </c:spPr>
          </c:marker>
          <c:cat>
            <c:strRef>
              <c:f>Sheet1!$B$1:$E$1</c:f>
              <c:strCache>
                <c:ptCount val="4"/>
                <c:pt idx="0">
                  <c:v>Trim. I</c:v>
                </c:pt>
                <c:pt idx="1">
                  <c:v>Trim. II</c:v>
                </c:pt>
                <c:pt idx="2">
                  <c:v>Trim. III</c:v>
                </c:pt>
                <c:pt idx="3">
                  <c:v>Trim. IV</c:v>
                </c:pt>
              </c:strCache>
            </c:strRef>
          </c:cat>
          <c:val>
            <c:numRef>
              <c:f>Sheet1!$B$5:$E$5</c:f>
              <c:numCache>
                <c:formatCode>General</c:formatCode>
                <c:ptCount val="4"/>
                <c:pt idx="0">
                  <c:v>65</c:v>
                </c:pt>
                <c:pt idx="1">
                  <c:v>65</c:v>
                </c:pt>
                <c:pt idx="2">
                  <c:v>65</c:v>
                </c:pt>
                <c:pt idx="3">
                  <c:v>65</c:v>
                </c:pt>
              </c:numCache>
            </c:numRef>
          </c:val>
          <c:smooth val="0"/>
        </c:ser>
        <c:dLbls>
          <c:showLegendKey val="0"/>
          <c:showVal val="0"/>
          <c:showCatName val="0"/>
          <c:showSerName val="0"/>
          <c:showPercent val="0"/>
          <c:showBubbleSize val="0"/>
        </c:dLbls>
        <c:marker val="1"/>
        <c:smooth val="0"/>
        <c:axId val="301009920"/>
        <c:axId val="301012096"/>
      </c:lineChart>
      <c:catAx>
        <c:axId val="30100992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301012096"/>
        <c:crosses val="autoZero"/>
        <c:auto val="1"/>
        <c:lblAlgn val="ctr"/>
        <c:lblOffset val="100"/>
        <c:tickLblSkip val="1"/>
        <c:tickMarkSkip val="1"/>
        <c:noMultiLvlLbl val="0"/>
      </c:catAx>
      <c:valAx>
        <c:axId val="301012096"/>
        <c:scaling>
          <c:orientation val="minMax"/>
        </c:scaling>
        <c:delete val="0"/>
        <c:axPos val="l"/>
        <c:majorGridlines>
          <c:spPr>
            <a:ln w="12700">
              <a:solidFill>
                <a:srgbClr val="FFFFFF"/>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301009920"/>
        <c:crosses val="autoZero"/>
        <c:crossBetween val="between"/>
      </c:valAx>
      <c:spPr>
        <a:solidFill>
          <a:srgbClr val="CCCCFF"/>
        </a:solidFill>
        <a:ln w="12700">
          <a:solidFill>
            <a:srgbClr val="808080"/>
          </a:solidFill>
          <a:prstDash val="solid"/>
        </a:ln>
      </c:spPr>
    </c:plotArea>
    <c:legend>
      <c:legendPos val="r"/>
      <c:layout>
        <c:manualLayout>
          <c:xMode val="edge"/>
          <c:yMode val="edge"/>
          <c:x val="0.76710097719869708"/>
          <c:y val="0.43504531722054379"/>
          <c:w val="0.2263843648208469"/>
          <c:h val="0.23262839879154079"/>
        </c:manualLayout>
      </c:layout>
      <c:overlay val="0"/>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450" b="1" i="0" u="none" strike="noStrike" baseline="0">
          <a:solidFill>
            <a:srgbClr val="000000"/>
          </a:solidFill>
          <a:latin typeface="Arial"/>
          <a:ea typeface="Arial"/>
          <a:cs typeface="Arial"/>
        </a:defRPr>
      </a:pPr>
      <a:endParaRPr lang="en-US"/>
    </a:p>
  </c:txPr>
  <c:externalData r:id="rId1">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99" b="1" i="0" u="none" strike="noStrike" baseline="0">
                <a:solidFill>
                  <a:srgbClr val="000000"/>
                </a:solidFill>
                <a:latin typeface="Arial"/>
                <a:ea typeface="Arial"/>
                <a:cs typeface="Arial"/>
              </a:defRPr>
            </a:pPr>
            <a:r>
              <a:rPr lang="en-US"/>
              <a:t>Variatia nivelului de zgomot pentru Parcuri, zone de recreere si odihna</a:t>
            </a:r>
          </a:p>
        </c:rich>
      </c:tx>
      <c:layout>
        <c:manualLayout>
          <c:xMode val="edge"/>
          <c:yMode val="edge"/>
          <c:x val="0.18720748829953199"/>
          <c:y val="1.9867549668874173E-2"/>
        </c:manualLayout>
      </c:layout>
      <c:overlay val="0"/>
      <c:spPr>
        <a:noFill/>
        <a:ln w="25361">
          <a:noFill/>
        </a:ln>
      </c:spPr>
    </c:title>
    <c:autoTitleDeleted val="0"/>
    <c:plotArea>
      <c:layout>
        <c:manualLayout>
          <c:layoutTarget val="inner"/>
          <c:xMode val="edge"/>
          <c:yMode val="edge"/>
          <c:x val="5.7722308892355696E-2"/>
          <c:y val="0.18543046357615894"/>
          <c:w val="0.72854914196567866"/>
          <c:h val="0.68543046357615889"/>
        </c:manualLayout>
      </c:layout>
      <c:lineChart>
        <c:grouping val="standard"/>
        <c:varyColors val="0"/>
        <c:ser>
          <c:idx val="0"/>
          <c:order val="0"/>
          <c:tx>
            <c:strRef>
              <c:f>Sheet1!$A$2</c:f>
              <c:strCache>
                <c:ptCount val="1"/>
                <c:pt idx="0">
                  <c:v>P1</c:v>
                </c:pt>
              </c:strCache>
            </c:strRef>
          </c:tx>
          <c:spPr>
            <a:ln w="12681">
              <a:solidFill>
                <a:srgbClr val="000080"/>
              </a:solidFill>
              <a:prstDash val="solid"/>
            </a:ln>
          </c:spPr>
          <c:marker>
            <c:symbol val="diamond"/>
            <c:size val="4"/>
            <c:spPr>
              <a:solidFill>
                <a:srgbClr val="000080"/>
              </a:solidFill>
              <a:ln>
                <a:solidFill>
                  <a:srgbClr val="000080"/>
                </a:solidFill>
                <a:prstDash val="solid"/>
              </a:ln>
            </c:spPr>
          </c:marker>
          <c:cat>
            <c:strRef>
              <c:f>Sheet1!$B$1:$E$1</c:f>
              <c:strCache>
                <c:ptCount val="4"/>
                <c:pt idx="0">
                  <c:v>Trim. I</c:v>
                </c:pt>
                <c:pt idx="1">
                  <c:v>Trim. II</c:v>
                </c:pt>
                <c:pt idx="2">
                  <c:v>Trim. III</c:v>
                </c:pt>
                <c:pt idx="3">
                  <c:v>Trim. IV</c:v>
                </c:pt>
              </c:strCache>
            </c:strRef>
          </c:cat>
          <c:val>
            <c:numRef>
              <c:f>Sheet1!$B$2:$E$2</c:f>
              <c:numCache>
                <c:formatCode>General</c:formatCode>
                <c:ptCount val="4"/>
                <c:pt idx="0">
                  <c:v>59.2</c:v>
                </c:pt>
                <c:pt idx="1">
                  <c:v>58</c:v>
                </c:pt>
                <c:pt idx="2">
                  <c:v>54.2</c:v>
                </c:pt>
                <c:pt idx="3">
                  <c:v>54.1</c:v>
                </c:pt>
              </c:numCache>
            </c:numRef>
          </c:val>
          <c:smooth val="0"/>
        </c:ser>
        <c:ser>
          <c:idx val="1"/>
          <c:order val="1"/>
          <c:tx>
            <c:strRef>
              <c:f>Sheet1!$A$3</c:f>
              <c:strCache>
                <c:ptCount val="1"/>
                <c:pt idx="0">
                  <c:v>P2</c:v>
                </c:pt>
              </c:strCache>
            </c:strRef>
          </c:tx>
          <c:spPr>
            <a:ln w="12681">
              <a:solidFill>
                <a:srgbClr val="FF00FF"/>
              </a:solidFill>
              <a:prstDash val="solid"/>
            </a:ln>
          </c:spPr>
          <c:marker>
            <c:symbol val="square"/>
            <c:size val="4"/>
            <c:spPr>
              <a:solidFill>
                <a:srgbClr val="FF00FF"/>
              </a:solidFill>
              <a:ln>
                <a:solidFill>
                  <a:srgbClr val="FF00FF"/>
                </a:solidFill>
                <a:prstDash val="solid"/>
              </a:ln>
            </c:spPr>
          </c:marker>
          <c:cat>
            <c:strRef>
              <c:f>Sheet1!$B$1:$E$1</c:f>
              <c:strCache>
                <c:ptCount val="4"/>
                <c:pt idx="0">
                  <c:v>Trim. I</c:v>
                </c:pt>
                <c:pt idx="1">
                  <c:v>Trim. II</c:v>
                </c:pt>
                <c:pt idx="2">
                  <c:v>Trim. III</c:v>
                </c:pt>
                <c:pt idx="3">
                  <c:v>Trim. IV</c:v>
                </c:pt>
              </c:strCache>
            </c:strRef>
          </c:cat>
          <c:val>
            <c:numRef>
              <c:f>Sheet1!$B$3:$E$3</c:f>
              <c:numCache>
                <c:formatCode>General</c:formatCode>
                <c:ptCount val="4"/>
                <c:pt idx="0">
                  <c:v>63.6</c:v>
                </c:pt>
                <c:pt idx="1">
                  <c:v>64.400000000000006</c:v>
                </c:pt>
                <c:pt idx="2">
                  <c:v>64</c:v>
                </c:pt>
                <c:pt idx="3">
                  <c:v>66.099999999999994</c:v>
                </c:pt>
              </c:numCache>
            </c:numRef>
          </c:val>
          <c:smooth val="0"/>
        </c:ser>
        <c:ser>
          <c:idx val="2"/>
          <c:order val="2"/>
          <c:tx>
            <c:strRef>
              <c:f>Sheet1!$A$4</c:f>
              <c:strCache>
                <c:ptCount val="1"/>
                <c:pt idx="0">
                  <c:v>P3</c:v>
                </c:pt>
              </c:strCache>
            </c:strRef>
          </c:tx>
          <c:spPr>
            <a:ln w="12681">
              <a:solidFill>
                <a:srgbClr val="FFFF00"/>
              </a:solidFill>
              <a:prstDash val="solid"/>
            </a:ln>
          </c:spPr>
          <c:marker>
            <c:symbol val="triangle"/>
            <c:size val="4"/>
            <c:spPr>
              <a:solidFill>
                <a:srgbClr val="FFFF00"/>
              </a:solidFill>
              <a:ln>
                <a:solidFill>
                  <a:srgbClr val="FFFF00"/>
                </a:solidFill>
                <a:prstDash val="solid"/>
              </a:ln>
            </c:spPr>
          </c:marker>
          <c:cat>
            <c:strRef>
              <c:f>Sheet1!$B$1:$E$1</c:f>
              <c:strCache>
                <c:ptCount val="4"/>
                <c:pt idx="0">
                  <c:v>Trim. I</c:v>
                </c:pt>
                <c:pt idx="1">
                  <c:v>Trim. II</c:v>
                </c:pt>
                <c:pt idx="2">
                  <c:v>Trim. III</c:v>
                </c:pt>
                <c:pt idx="3">
                  <c:v>Trim. IV</c:v>
                </c:pt>
              </c:strCache>
            </c:strRef>
          </c:cat>
          <c:val>
            <c:numRef>
              <c:f>Sheet1!$B$4:$E$4</c:f>
              <c:numCache>
                <c:formatCode>General</c:formatCode>
                <c:ptCount val="4"/>
                <c:pt idx="0">
                  <c:v>57.5</c:v>
                </c:pt>
                <c:pt idx="1">
                  <c:v>60.2</c:v>
                </c:pt>
                <c:pt idx="2">
                  <c:v>56.8</c:v>
                </c:pt>
                <c:pt idx="3">
                  <c:v>53</c:v>
                </c:pt>
              </c:numCache>
            </c:numRef>
          </c:val>
          <c:smooth val="0"/>
        </c:ser>
        <c:ser>
          <c:idx val="3"/>
          <c:order val="3"/>
          <c:tx>
            <c:strRef>
              <c:f>Sheet1!$A$5</c:f>
              <c:strCache>
                <c:ptCount val="1"/>
                <c:pt idx="0">
                  <c:v>P4</c:v>
                </c:pt>
              </c:strCache>
            </c:strRef>
          </c:tx>
          <c:spPr>
            <a:ln w="12681">
              <a:solidFill>
                <a:srgbClr val="00FFFF"/>
              </a:solidFill>
              <a:prstDash val="solid"/>
            </a:ln>
          </c:spPr>
          <c:marker>
            <c:symbol val="x"/>
            <c:size val="4"/>
            <c:spPr>
              <a:noFill/>
              <a:ln>
                <a:solidFill>
                  <a:srgbClr val="00FFFF"/>
                </a:solidFill>
                <a:prstDash val="solid"/>
              </a:ln>
            </c:spPr>
          </c:marker>
          <c:cat>
            <c:strRef>
              <c:f>Sheet1!$B$1:$E$1</c:f>
              <c:strCache>
                <c:ptCount val="4"/>
                <c:pt idx="0">
                  <c:v>Trim. I</c:v>
                </c:pt>
                <c:pt idx="1">
                  <c:v>Trim. II</c:v>
                </c:pt>
                <c:pt idx="2">
                  <c:v>Trim. III</c:v>
                </c:pt>
                <c:pt idx="3">
                  <c:v>Trim. IV</c:v>
                </c:pt>
              </c:strCache>
            </c:strRef>
          </c:cat>
          <c:val>
            <c:numRef>
              <c:f>Sheet1!$B$5:$E$5</c:f>
              <c:numCache>
                <c:formatCode>General</c:formatCode>
                <c:ptCount val="4"/>
                <c:pt idx="0">
                  <c:v>48.9</c:v>
                </c:pt>
                <c:pt idx="1">
                  <c:v>53.3</c:v>
                </c:pt>
                <c:pt idx="2">
                  <c:v>48.5</c:v>
                </c:pt>
                <c:pt idx="3">
                  <c:v>46.5</c:v>
                </c:pt>
              </c:numCache>
            </c:numRef>
          </c:val>
          <c:smooth val="0"/>
        </c:ser>
        <c:ser>
          <c:idx val="4"/>
          <c:order val="4"/>
          <c:tx>
            <c:strRef>
              <c:f>Sheet1!$A$6</c:f>
              <c:strCache>
                <c:ptCount val="1"/>
                <c:pt idx="0">
                  <c:v>P5</c:v>
                </c:pt>
              </c:strCache>
            </c:strRef>
          </c:tx>
          <c:spPr>
            <a:ln w="12681">
              <a:solidFill>
                <a:srgbClr val="800080"/>
              </a:solidFill>
              <a:prstDash val="solid"/>
            </a:ln>
          </c:spPr>
          <c:marker>
            <c:symbol val="star"/>
            <c:size val="4"/>
            <c:spPr>
              <a:noFill/>
              <a:ln>
                <a:solidFill>
                  <a:srgbClr val="800080"/>
                </a:solidFill>
                <a:prstDash val="solid"/>
              </a:ln>
            </c:spPr>
          </c:marker>
          <c:cat>
            <c:strRef>
              <c:f>Sheet1!$B$1:$E$1</c:f>
              <c:strCache>
                <c:ptCount val="4"/>
                <c:pt idx="0">
                  <c:v>Trim. I</c:v>
                </c:pt>
                <c:pt idx="1">
                  <c:v>Trim. II</c:v>
                </c:pt>
                <c:pt idx="2">
                  <c:v>Trim. III</c:v>
                </c:pt>
                <c:pt idx="3">
                  <c:v>Trim. IV</c:v>
                </c:pt>
              </c:strCache>
            </c:strRef>
          </c:cat>
          <c:val>
            <c:numRef>
              <c:f>Sheet1!$B$6:$E$6</c:f>
              <c:numCache>
                <c:formatCode>General</c:formatCode>
                <c:ptCount val="4"/>
                <c:pt idx="0">
                  <c:v>62.9</c:v>
                </c:pt>
                <c:pt idx="1">
                  <c:v>64.2</c:v>
                </c:pt>
                <c:pt idx="2">
                  <c:v>62.8</c:v>
                </c:pt>
                <c:pt idx="3">
                  <c:v>60.4</c:v>
                </c:pt>
              </c:numCache>
            </c:numRef>
          </c:val>
          <c:smooth val="0"/>
        </c:ser>
        <c:ser>
          <c:idx val="5"/>
          <c:order val="5"/>
          <c:tx>
            <c:strRef>
              <c:f>Sheet1!$A$7</c:f>
              <c:strCache>
                <c:ptCount val="1"/>
                <c:pt idx="0">
                  <c:v>P6</c:v>
                </c:pt>
              </c:strCache>
            </c:strRef>
          </c:tx>
          <c:spPr>
            <a:ln w="12681">
              <a:solidFill>
                <a:srgbClr val="800000"/>
              </a:solidFill>
              <a:prstDash val="solid"/>
            </a:ln>
          </c:spPr>
          <c:marker>
            <c:symbol val="circle"/>
            <c:size val="4"/>
            <c:spPr>
              <a:solidFill>
                <a:srgbClr val="800000"/>
              </a:solidFill>
              <a:ln>
                <a:solidFill>
                  <a:srgbClr val="800000"/>
                </a:solidFill>
                <a:prstDash val="solid"/>
              </a:ln>
            </c:spPr>
          </c:marker>
          <c:cat>
            <c:strRef>
              <c:f>Sheet1!$B$1:$E$1</c:f>
              <c:strCache>
                <c:ptCount val="4"/>
                <c:pt idx="0">
                  <c:v>Trim. I</c:v>
                </c:pt>
                <c:pt idx="1">
                  <c:v>Trim. II</c:v>
                </c:pt>
                <c:pt idx="2">
                  <c:v>Trim. III</c:v>
                </c:pt>
                <c:pt idx="3">
                  <c:v>Trim. IV</c:v>
                </c:pt>
              </c:strCache>
            </c:strRef>
          </c:cat>
          <c:val>
            <c:numRef>
              <c:f>Sheet1!$B$7:$E$7</c:f>
              <c:numCache>
                <c:formatCode>General</c:formatCode>
                <c:ptCount val="4"/>
                <c:pt idx="0">
                  <c:v>49.5</c:v>
                </c:pt>
                <c:pt idx="1">
                  <c:v>45.9</c:v>
                </c:pt>
                <c:pt idx="2">
                  <c:v>52.2</c:v>
                </c:pt>
                <c:pt idx="3">
                  <c:v>47.5</c:v>
                </c:pt>
              </c:numCache>
            </c:numRef>
          </c:val>
          <c:smooth val="0"/>
        </c:ser>
        <c:ser>
          <c:idx val="6"/>
          <c:order val="6"/>
          <c:tx>
            <c:strRef>
              <c:f>Sheet1!$A$8</c:f>
              <c:strCache>
                <c:ptCount val="1"/>
                <c:pt idx="0">
                  <c:v>P7</c:v>
                </c:pt>
              </c:strCache>
            </c:strRef>
          </c:tx>
          <c:spPr>
            <a:ln w="12681">
              <a:solidFill>
                <a:srgbClr val="008080"/>
              </a:solidFill>
              <a:prstDash val="solid"/>
            </a:ln>
          </c:spPr>
          <c:marker>
            <c:symbol val="plus"/>
            <c:size val="4"/>
            <c:spPr>
              <a:noFill/>
              <a:ln>
                <a:solidFill>
                  <a:srgbClr val="008080"/>
                </a:solidFill>
                <a:prstDash val="solid"/>
              </a:ln>
            </c:spPr>
          </c:marker>
          <c:cat>
            <c:strRef>
              <c:f>Sheet1!$B$1:$E$1</c:f>
              <c:strCache>
                <c:ptCount val="4"/>
                <c:pt idx="0">
                  <c:v>Trim. I</c:v>
                </c:pt>
                <c:pt idx="1">
                  <c:v>Trim. II</c:v>
                </c:pt>
                <c:pt idx="2">
                  <c:v>Trim. III</c:v>
                </c:pt>
                <c:pt idx="3">
                  <c:v>Trim. IV</c:v>
                </c:pt>
              </c:strCache>
            </c:strRef>
          </c:cat>
          <c:val>
            <c:numRef>
              <c:f>Sheet1!$B$8:$E$8</c:f>
              <c:numCache>
                <c:formatCode>General</c:formatCode>
                <c:ptCount val="4"/>
                <c:pt idx="0">
                  <c:v>59.6</c:v>
                </c:pt>
                <c:pt idx="1">
                  <c:v>59</c:v>
                </c:pt>
                <c:pt idx="2">
                  <c:v>58</c:v>
                </c:pt>
                <c:pt idx="3">
                  <c:v>56.2</c:v>
                </c:pt>
              </c:numCache>
            </c:numRef>
          </c:val>
          <c:smooth val="0"/>
        </c:ser>
        <c:ser>
          <c:idx val="7"/>
          <c:order val="7"/>
          <c:tx>
            <c:strRef>
              <c:f>Sheet1!$A$9</c:f>
              <c:strCache>
                <c:ptCount val="1"/>
                <c:pt idx="0">
                  <c:v>P8</c:v>
                </c:pt>
              </c:strCache>
            </c:strRef>
          </c:tx>
          <c:spPr>
            <a:ln w="12681">
              <a:solidFill>
                <a:srgbClr val="0000FF"/>
              </a:solidFill>
              <a:prstDash val="solid"/>
            </a:ln>
          </c:spPr>
          <c:marker>
            <c:symbol val="dot"/>
            <c:size val="4"/>
            <c:spPr>
              <a:noFill/>
              <a:ln>
                <a:solidFill>
                  <a:srgbClr val="0000FF"/>
                </a:solidFill>
                <a:prstDash val="solid"/>
              </a:ln>
            </c:spPr>
          </c:marker>
          <c:cat>
            <c:strRef>
              <c:f>Sheet1!$B$1:$E$1</c:f>
              <c:strCache>
                <c:ptCount val="4"/>
                <c:pt idx="0">
                  <c:v>Trim. I</c:v>
                </c:pt>
                <c:pt idx="1">
                  <c:v>Trim. II</c:v>
                </c:pt>
                <c:pt idx="2">
                  <c:v>Trim. III</c:v>
                </c:pt>
                <c:pt idx="3">
                  <c:v>Trim. IV</c:v>
                </c:pt>
              </c:strCache>
            </c:strRef>
          </c:cat>
          <c:val>
            <c:numRef>
              <c:f>Sheet1!$B$9:$E$9</c:f>
              <c:numCache>
                <c:formatCode>General</c:formatCode>
                <c:ptCount val="4"/>
                <c:pt idx="0">
                  <c:v>51.1</c:v>
                </c:pt>
                <c:pt idx="1">
                  <c:v>53.3</c:v>
                </c:pt>
                <c:pt idx="2">
                  <c:v>49.5</c:v>
                </c:pt>
                <c:pt idx="3">
                  <c:v>50.7</c:v>
                </c:pt>
              </c:numCache>
            </c:numRef>
          </c:val>
          <c:smooth val="0"/>
        </c:ser>
        <c:ser>
          <c:idx val="8"/>
          <c:order val="8"/>
          <c:tx>
            <c:strRef>
              <c:f>Sheet1!$A$10</c:f>
              <c:strCache>
                <c:ptCount val="1"/>
                <c:pt idx="0">
                  <c:v>P9</c:v>
                </c:pt>
              </c:strCache>
            </c:strRef>
          </c:tx>
          <c:spPr>
            <a:ln w="12681">
              <a:solidFill>
                <a:srgbClr val="00CCFF"/>
              </a:solidFill>
              <a:prstDash val="solid"/>
            </a:ln>
          </c:spPr>
          <c:marker>
            <c:symbol val="dash"/>
            <c:size val="4"/>
            <c:spPr>
              <a:noFill/>
              <a:ln>
                <a:solidFill>
                  <a:srgbClr val="00CCFF"/>
                </a:solidFill>
                <a:prstDash val="solid"/>
              </a:ln>
            </c:spPr>
          </c:marker>
          <c:cat>
            <c:strRef>
              <c:f>Sheet1!$B$1:$E$1</c:f>
              <c:strCache>
                <c:ptCount val="4"/>
                <c:pt idx="0">
                  <c:v>Trim. I</c:v>
                </c:pt>
                <c:pt idx="1">
                  <c:v>Trim. II</c:v>
                </c:pt>
                <c:pt idx="2">
                  <c:v>Trim. III</c:v>
                </c:pt>
                <c:pt idx="3">
                  <c:v>Trim. IV</c:v>
                </c:pt>
              </c:strCache>
            </c:strRef>
          </c:cat>
          <c:val>
            <c:numRef>
              <c:f>Sheet1!$B$10:$E$10</c:f>
              <c:numCache>
                <c:formatCode>General</c:formatCode>
                <c:ptCount val="4"/>
                <c:pt idx="0">
                  <c:v>54</c:v>
                </c:pt>
                <c:pt idx="1">
                  <c:v>55.1</c:v>
                </c:pt>
                <c:pt idx="2">
                  <c:v>54</c:v>
                </c:pt>
                <c:pt idx="3">
                  <c:v>50.1</c:v>
                </c:pt>
              </c:numCache>
            </c:numRef>
          </c:val>
          <c:smooth val="0"/>
        </c:ser>
        <c:ser>
          <c:idx val="9"/>
          <c:order val="9"/>
          <c:tx>
            <c:strRef>
              <c:f>Sheet1!$A$11</c:f>
              <c:strCache>
                <c:ptCount val="1"/>
                <c:pt idx="0">
                  <c:v>Maxima admisa</c:v>
                </c:pt>
              </c:strCache>
            </c:strRef>
          </c:tx>
          <c:spPr>
            <a:ln w="12681">
              <a:solidFill>
                <a:srgbClr val="CCFFFF"/>
              </a:solidFill>
              <a:prstDash val="solid"/>
            </a:ln>
          </c:spPr>
          <c:marker>
            <c:symbol val="diamond"/>
            <c:size val="4"/>
            <c:spPr>
              <a:solidFill>
                <a:srgbClr val="CCFFFF"/>
              </a:solidFill>
              <a:ln>
                <a:solidFill>
                  <a:srgbClr val="CCFFFF"/>
                </a:solidFill>
                <a:prstDash val="solid"/>
              </a:ln>
            </c:spPr>
          </c:marker>
          <c:cat>
            <c:strRef>
              <c:f>Sheet1!$B$1:$E$1</c:f>
              <c:strCache>
                <c:ptCount val="4"/>
                <c:pt idx="0">
                  <c:v>Trim. I</c:v>
                </c:pt>
                <c:pt idx="1">
                  <c:v>Trim. II</c:v>
                </c:pt>
                <c:pt idx="2">
                  <c:v>Trim. III</c:v>
                </c:pt>
                <c:pt idx="3">
                  <c:v>Trim. IV</c:v>
                </c:pt>
              </c:strCache>
            </c:strRef>
          </c:cat>
          <c:val>
            <c:numRef>
              <c:f>Sheet1!$B$11:$E$11</c:f>
              <c:numCache>
                <c:formatCode>General</c:formatCode>
                <c:ptCount val="4"/>
                <c:pt idx="0">
                  <c:v>45</c:v>
                </c:pt>
                <c:pt idx="1">
                  <c:v>45</c:v>
                </c:pt>
                <c:pt idx="2">
                  <c:v>45</c:v>
                </c:pt>
                <c:pt idx="3">
                  <c:v>45</c:v>
                </c:pt>
              </c:numCache>
            </c:numRef>
          </c:val>
          <c:smooth val="0"/>
        </c:ser>
        <c:dLbls>
          <c:showLegendKey val="0"/>
          <c:showVal val="0"/>
          <c:showCatName val="0"/>
          <c:showSerName val="0"/>
          <c:showPercent val="0"/>
          <c:showBubbleSize val="0"/>
        </c:dLbls>
        <c:marker val="1"/>
        <c:smooth val="0"/>
        <c:axId val="300691456"/>
        <c:axId val="300693376"/>
      </c:lineChart>
      <c:catAx>
        <c:axId val="300691456"/>
        <c:scaling>
          <c:orientation val="minMax"/>
        </c:scaling>
        <c:delete val="0"/>
        <c:axPos val="b"/>
        <c:numFmt formatCode="General" sourceLinked="1"/>
        <c:majorTickMark val="out"/>
        <c:minorTickMark val="none"/>
        <c:tickLblPos val="nextTo"/>
        <c:spPr>
          <a:ln w="3170">
            <a:solidFill>
              <a:srgbClr val="000000"/>
            </a:solidFill>
            <a:prstDash val="solid"/>
          </a:ln>
        </c:spPr>
        <c:txPr>
          <a:bodyPr rot="0" vert="horz"/>
          <a:lstStyle/>
          <a:p>
            <a:pPr>
              <a:defRPr sz="874" b="1" i="0" u="none" strike="noStrike" baseline="0">
                <a:solidFill>
                  <a:srgbClr val="000000"/>
                </a:solidFill>
                <a:latin typeface="Arial"/>
                <a:ea typeface="Arial"/>
                <a:cs typeface="Arial"/>
              </a:defRPr>
            </a:pPr>
            <a:endParaRPr lang="en-US"/>
          </a:p>
        </c:txPr>
        <c:crossAx val="300693376"/>
        <c:crosses val="autoZero"/>
        <c:auto val="1"/>
        <c:lblAlgn val="ctr"/>
        <c:lblOffset val="100"/>
        <c:tickLblSkip val="1"/>
        <c:tickMarkSkip val="1"/>
        <c:noMultiLvlLbl val="0"/>
      </c:catAx>
      <c:valAx>
        <c:axId val="300693376"/>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874" b="1" i="0" u="none" strike="noStrike" baseline="0">
                <a:solidFill>
                  <a:srgbClr val="000000"/>
                </a:solidFill>
                <a:latin typeface="Arial"/>
                <a:ea typeface="Arial"/>
                <a:cs typeface="Arial"/>
              </a:defRPr>
            </a:pPr>
            <a:endParaRPr lang="en-US"/>
          </a:p>
        </c:txPr>
        <c:crossAx val="300691456"/>
        <c:crosses val="autoZero"/>
        <c:crossBetween val="between"/>
      </c:valAx>
      <c:spPr>
        <a:solidFill>
          <a:srgbClr val="CCFFFF"/>
        </a:solidFill>
        <a:ln w="12681">
          <a:solidFill>
            <a:srgbClr val="CCFFFF"/>
          </a:solidFill>
          <a:prstDash val="solid"/>
        </a:ln>
      </c:spPr>
    </c:plotArea>
    <c:legend>
      <c:legendPos val="r"/>
      <c:layout>
        <c:manualLayout>
          <c:xMode val="edge"/>
          <c:yMode val="edge"/>
          <c:x val="0.82839313572542905"/>
          <c:y val="0.15894039735099338"/>
          <c:w val="0.1669266770670827"/>
          <c:h val="0.8112582781456954"/>
        </c:manualLayout>
      </c:layout>
      <c:overlay val="0"/>
      <c:spPr>
        <a:noFill/>
        <a:ln w="3170">
          <a:solidFill>
            <a:srgbClr val="000000"/>
          </a:solidFill>
          <a:prstDash val="solid"/>
        </a:ln>
      </c:spPr>
      <c:txPr>
        <a:bodyPr/>
        <a:lstStyle/>
        <a:p>
          <a:pPr>
            <a:defRPr sz="734"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198" b="1" i="0" u="none" strike="noStrike" baseline="0">
          <a:solidFill>
            <a:srgbClr val="000000"/>
          </a:solidFill>
          <a:latin typeface="Arial"/>
          <a:ea typeface="Arial"/>
          <a:cs typeface="Arial"/>
        </a:defRPr>
      </a:pPr>
      <a:endParaRPr lang="en-US"/>
    </a:p>
  </c:txPr>
  <c:externalData r:id="rId1">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Arial"/>
                <a:ea typeface="Arial"/>
                <a:cs typeface="Arial"/>
              </a:defRPr>
            </a:pPr>
            <a:r>
              <a:rPr lang="en-US"/>
              <a:t>Variatia nivelului de zgomot pentru Trafic - strazi de categoria a II-a, Leq</a:t>
            </a:r>
          </a:p>
        </c:rich>
      </c:tx>
      <c:layout>
        <c:manualLayout>
          <c:xMode val="edge"/>
          <c:yMode val="edge"/>
          <c:x val="0.10444874274661509"/>
          <c:y val="2.1052631578947368E-2"/>
        </c:manualLayout>
      </c:layout>
      <c:overlay val="0"/>
      <c:spPr>
        <a:noFill/>
        <a:ln w="25400">
          <a:noFill/>
        </a:ln>
      </c:spPr>
    </c:title>
    <c:autoTitleDeleted val="0"/>
    <c:plotArea>
      <c:layout>
        <c:manualLayout>
          <c:layoutTarget val="inner"/>
          <c:xMode val="edge"/>
          <c:yMode val="edge"/>
          <c:x val="8.7040618955512572E-2"/>
          <c:y val="0.20350877192982456"/>
          <c:w val="0.57640232108317213"/>
          <c:h val="0.62807017543859645"/>
        </c:manualLayout>
      </c:layout>
      <c:lineChart>
        <c:grouping val="standard"/>
        <c:varyColors val="0"/>
        <c:ser>
          <c:idx val="0"/>
          <c:order val="0"/>
          <c:tx>
            <c:strRef>
              <c:f>Sheet1!$A$2</c:f>
              <c:strCache>
                <c:ptCount val="1"/>
                <c:pt idx="0">
                  <c:v>Vaslui</c:v>
                </c:pt>
              </c:strCache>
            </c:strRef>
          </c:tx>
          <c:spPr>
            <a:ln w="12700">
              <a:solidFill>
                <a:srgbClr val="000080"/>
              </a:solidFill>
              <a:prstDash val="solid"/>
            </a:ln>
          </c:spPr>
          <c:marker>
            <c:symbol val="diamond"/>
            <c:size val="4"/>
            <c:spPr>
              <a:solidFill>
                <a:srgbClr val="000080"/>
              </a:solidFill>
              <a:ln>
                <a:solidFill>
                  <a:srgbClr val="000080"/>
                </a:solidFill>
                <a:prstDash val="solid"/>
              </a:ln>
            </c:spPr>
          </c:marker>
          <c:cat>
            <c:strRef>
              <c:f>Sheet1!$B$1:$E$1</c:f>
              <c:strCache>
                <c:ptCount val="4"/>
                <c:pt idx="0">
                  <c:v>Trim. I</c:v>
                </c:pt>
                <c:pt idx="1">
                  <c:v>Trim. II</c:v>
                </c:pt>
                <c:pt idx="2">
                  <c:v>Trim. III</c:v>
                </c:pt>
                <c:pt idx="3">
                  <c:v>Trim. IV</c:v>
                </c:pt>
              </c:strCache>
            </c:strRef>
          </c:cat>
          <c:val>
            <c:numRef>
              <c:f>Sheet1!$B$2:$E$2</c:f>
              <c:numCache>
                <c:formatCode>General</c:formatCode>
                <c:ptCount val="4"/>
                <c:pt idx="0">
                  <c:v>66.8</c:v>
                </c:pt>
                <c:pt idx="1">
                  <c:v>67.3</c:v>
                </c:pt>
                <c:pt idx="2">
                  <c:v>66</c:v>
                </c:pt>
                <c:pt idx="3">
                  <c:v>64.2</c:v>
                </c:pt>
              </c:numCache>
            </c:numRef>
          </c:val>
          <c:smooth val="0"/>
        </c:ser>
        <c:ser>
          <c:idx val="1"/>
          <c:order val="1"/>
          <c:tx>
            <c:strRef>
              <c:f>Sheet1!$A$3</c:f>
              <c:strCache>
                <c:ptCount val="1"/>
                <c:pt idx="0">
                  <c:v>Barlad 1</c:v>
                </c:pt>
              </c:strCache>
            </c:strRef>
          </c:tx>
          <c:spPr>
            <a:ln w="12700">
              <a:solidFill>
                <a:srgbClr val="FF00FF"/>
              </a:solidFill>
              <a:prstDash val="solid"/>
            </a:ln>
          </c:spPr>
          <c:marker>
            <c:symbol val="square"/>
            <c:size val="4"/>
            <c:spPr>
              <a:solidFill>
                <a:srgbClr val="FF00FF"/>
              </a:solidFill>
              <a:ln>
                <a:solidFill>
                  <a:srgbClr val="FF00FF"/>
                </a:solidFill>
                <a:prstDash val="solid"/>
              </a:ln>
            </c:spPr>
          </c:marker>
          <c:cat>
            <c:strRef>
              <c:f>Sheet1!$B$1:$E$1</c:f>
              <c:strCache>
                <c:ptCount val="4"/>
                <c:pt idx="0">
                  <c:v>Trim. I</c:v>
                </c:pt>
                <c:pt idx="1">
                  <c:v>Trim. II</c:v>
                </c:pt>
                <c:pt idx="2">
                  <c:v>Trim. III</c:v>
                </c:pt>
                <c:pt idx="3">
                  <c:v>Trim. IV</c:v>
                </c:pt>
              </c:strCache>
            </c:strRef>
          </c:cat>
          <c:val>
            <c:numRef>
              <c:f>Sheet1!$B$3:$E$3</c:f>
              <c:numCache>
                <c:formatCode>General</c:formatCode>
                <c:ptCount val="4"/>
                <c:pt idx="0">
                  <c:v>66.7</c:v>
                </c:pt>
                <c:pt idx="1">
                  <c:v>67</c:v>
                </c:pt>
                <c:pt idx="2">
                  <c:v>66.8</c:v>
                </c:pt>
                <c:pt idx="3">
                  <c:v>66</c:v>
                </c:pt>
              </c:numCache>
            </c:numRef>
          </c:val>
          <c:smooth val="0"/>
        </c:ser>
        <c:ser>
          <c:idx val="2"/>
          <c:order val="2"/>
          <c:tx>
            <c:strRef>
              <c:f>Sheet1!$A$4</c:f>
              <c:strCache>
                <c:ptCount val="1"/>
                <c:pt idx="0">
                  <c:v>Barlad 2</c:v>
                </c:pt>
              </c:strCache>
            </c:strRef>
          </c:tx>
          <c:spPr>
            <a:ln w="12700">
              <a:solidFill>
                <a:srgbClr val="FFFF00"/>
              </a:solidFill>
              <a:prstDash val="solid"/>
            </a:ln>
          </c:spPr>
          <c:marker>
            <c:symbol val="triangle"/>
            <c:size val="4"/>
            <c:spPr>
              <a:solidFill>
                <a:srgbClr val="FFFF00"/>
              </a:solidFill>
              <a:ln>
                <a:solidFill>
                  <a:srgbClr val="FFFF00"/>
                </a:solidFill>
                <a:prstDash val="solid"/>
              </a:ln>
            </c:spPr>
          </c:marker>
          <c:cat>
            <c:strRef>
              <c:f>Sheet1!$B$1:$E$1</c:f>
              <c:strCache>
                <c:ptCount val="4"/>
                <c:pt idx="0">
                  <c:v>Trim. I</c:v>
                </c:pt>
                <c:pt idx="1">
                  <c:v>Trim. II</c:v>
                </c:pt>
                <c:pt idx="2">
                  <c:v>Trim. III</c:v>
                </c:pt>
                <c:pt idx="3">
                  <c:v>Trim. IV</c:v>
                </c:pt>
              </c:strCache>
            </c:strRef>
          </c:cat>
          <c:val>
            <c:numRef>
              <c:f>Sheet1!$B$4:$E$4</c:f>
              <c:numCache>
                <c:formatCode>General</c:formatCode>
                <c:ptCount val="4"/>
                <c:pt idx="0">
                  <c:v>66.900000000000006</c:v>
                </c:pt>
                <c:pt idx="1">
                  <c:v>67</c:v>
                </c:pt>
                <c:pt idx="2">
                  <c:v>67.3</c:v>
                </c:pt>
                <c:pt idx="3">
                  <c:v>66.099999999999994</c:v>
                </c:pt>
              </c:numCache>
            </c:numRef>
          </c:val>
          <c:smooth val="0"/>
        </c:ser>
        <c:ser>
          <c:idx val="3"/>
          <c:order val="3"/>
          <c:tx>
            <c:strRef>
              <c:f>Sheet1!$A$5</c:f>
              <c:strCache>
                <c:ptCount val="1"/>
                <c:pt idx="0">
                  <c:v>Husi</c:v>
                </c:pt>
              </c:strCache>
            </c:strRef>
          </c:tx>
          <c:spPr>
            <a:ln w="12700">
              <a:solidFill>
                <a:srgbClr val="00FFFF"/>
              </a:solidFill>
              <a:prstDash val="solid"/>
            </a:ln>
          </c:spPr>
          <c:marker>
            <c:symbol val="x"/>
            <c:size val="4"/>
            <c:spPr>
              <a:noFill/>
              <a:ln>
                <a:solidFill>
                  <a:srgbClr val="00FFFF"/>
                </a:solidFill>
                <a:prstDash val="solid"/>
              </a:ln>
            </c:spPr>
          </c:marker>
          <c:cat>
            <c:strRef>
              <c:f>Sheet1!$B$1:$E$1</c:f>
              <c:strCache>
                <c:ptCount val="4"/>
                <c:pt idx="0">
                  <c:v>Trim. I</c:v>
                </c:pt>
                <c:pt idx="1">
                  <c:v>Trim. II</c:v>
                </c:pt>
                <c:pt idx="2">
                  <c:v>Trim. III</c:v>
                </c:pt>
                <c:pt idx="3">
                  <c:v>Trim. IV</c:v>
                </c:pt>
              </c:strCache>
            </c:strRef>
          </c:cat>
          <c:val>
            <c:numRef>
              <c:f>Sheet1!$B$5:$E$5</c:f>
              <c:numCache>
                <c:formatCode>General</c:formatCode>
                <c:ptCount val="4"/>
                <c:pt idx="0">
                  <c:v>65.8</c:v>
                </c:pt>
                <c:pt idx="1">
                  <c:v>65.099999999999994</c:v>
                </c:pt>
                <c:pt idx="2">
                  <c:v>62.5</c:v>
                </c:pt>
                <c:pt idx="3">
                  <c:v>64.8</c:v>
                </c:pt>
              </c:numCache>
            </c:numRef>
          </c:val>
          <c:smooth val="0"/>
        </c:ser>
        <c:ser>
          <c:idx val="4"/>
          <c:order val="4"/>
          <c:tx>
            <c:strRef>
              <c:f>Sheet1!$A$6</c:f>
              <c:strCache>
                <c:ptCount val="1"/>
                <c:pt idx="0">
                  <c:v>Maxima admisa</c:v>
                </c:pt>
              </c:strCache>
            </c:strRef>
          </c:tx>
          <c:spPr>
            <a:ln w="12700">
              <a:solidFill>
                <a:srgbClr val="800080"/>
              </a:solidFill>
              <a:prstDash val="solid"/>
            </a:ln>
          </c:spPr>
          <c:marker>
            <c:symbol val="star"/>
            <c:size val="4"/>
            <c:spPr>
              <a:noFill/>
              <a:ln>
                <a:solidFill>
                  <a:srgbClr val="800080"/>
                </a:solidFill>
                <a:prstDash val="solid"/>
              </a:ln>
            </c:spPr>
          </c:marker>
          <c:cat>
            <c:strRef>
              <c:f>Sheet1!$B$1:$E$1</c:f>
              <c:strCache>
                <c:ptCount val="4"/>
                <c:pt idx="0">
                  <c:v>Trim. I</c:v>
                </c:pt>
                <c:pt idx="1">
                  <c:v>Trim. II</c:v>
                </c:pt>
                <c:pt idx="2">
                  <c:v>Trim. III</c:v>
                </c:pt>
                <c:pt idx="3">
                  <c:v>Trim. IV</c:v>
                </c:pt>
              </c:strCache>
            </c:strRef>
          </c:cat>
          <c:val>
            <c:numRef>
              <c:f>Sheet1!$B$6:$E$6</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301101824"/>
        <c:axId val="301103744"/>
      </c:lineChart>
      <c:catAx>
        <c:axId val="30110182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301103744"/>
        <c:crosses val="autoZero"/>
        <c:auto val="1"/>
        <c:lblAlgn val="ctr"/>
        <c:lblOffset val="100"/>
        <c:tickLblSkip val="1"/>
        <c:tickMarkSkip val="1"/>
        <c:noMultiLvlLbl val="0"/>
      </c:catAx>
      <c:valAx>
        <c:axId val="30110374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301101824"/>
        <c:crosses val="autoZero"/>
        <c:crossBetween val="between"/>
      </c:valAx>
      <c:spPr>
        <a:solidFill>
          <a:srgbClr val="CCFFFF"/>
        </a:solidFill>
        <a:ln w="12700">
          <a:solidFill>
            <a:srgbClr val="808080"/>
          </a:solidFill>
          <a:prstDash val="solid"/>
        </a:ln>
      </c:spPr>
    </c:plotArea>
    <c:legend>
      <c:legendPos val="r"/>
      <c:layout>
        <c:manualLayout>
          <c:xMode val="edge"/>
          <c:yMode val="edge"/>
          <c:x val="0.68278529980657643"/>
          <c:y val="0.30175438596491228"/>
          <c:w val="0.30947775628626695"/>
          <c:h val="0.42456140350877192"/>
        </c:manualLayout>
      </c:layout>
      <c:overlay val="0"/>
      <c:spPr>
        <a:noFill/>
        <a:ln w="3175">
          <a:solidFill>
            <a:srgbClr val="000000"/>
          </a:solidFill>
          <a:prstDash val="solid"/>
        </a:ln>
      </c:spPr>
      <c:txPr>
        <a:bodyPr/>
        <a:lstStyle/>
        <a:p>
          <a:pPr>
            <a:defRPr sz="1100"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1">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99" b="1" i="0" u="none" strike="noStrike" baseline="0">
                <a:solidFill>
                  <a:srgbClr val="000000"/>
                </a:solidFill>
                <a:latin typeface="Arial"/>
                <a:ea typeface="Arial"/>
                <a:cs typeface="Arial"/>
              </a:defRPr>
            </a:pPr>
            <a:r>
              <a:rPr lang="en-US"/>
              <a:t>Variatia nivelului de zgomot pentru Piete, spatii comerciale, restaurante in aer liber, Leq</a:t>
            </a:r>
          </a:p>
        </c:rich>
      </c:tx>
      <c:layout>
        <c:manualLayout>
          <c:xMode val="edge"/>
          <c:yMode val="edge"/>
          <c:x val="0.11400651465798045"/>
          <c:y val="1.9607843137254902E-2"/>
        </c:manualLayout>
      </c:layout>
      <c:overlay val="0"/>
      <c:spPr>
        <a:noFill/>
        <a:ln w="25359">
          <a:noFill/>
        </a:ln>
      </c:spPr>
    </c:title>
    <c:autoTitleDeleted val="0"/>
    <c:plotArea>
      <c:layout>
        <c:manualLayout>
          <c:layoutTarget val="inner"/>
          <c:xMode val="edge"/>
          <c:yMode val="edge"/>
          <c:x val="5.3745928338762218E-2"/>
          <c:y val="0.23202614379084968"/>
          <c:w val="0.69706840390879476"/>
          <c:h val="0.65032679738562094"/>
        </c:manualLayout>
      </c:layout>
      <c:lineChart>
        <c:grouping val="standard"/>
        <c:varyColors val="0"/>
        <c:ser>
          <c:idx val="0"/>
          <c:order val="0"/>
          <c:tx>
            <c:strRef>
              <c:f>Sheet1!$A$2</c:f>
              <c:strCache>
                <c:ptCount val="1"/>
                <c:pt idx="0">
                  <c:v>Barlad</c:v>
                </c:pt>
              </c:strCache>
            </c:strRef>
          </c:tx>
          <c:spPr>
            <a:ln w="12680">
              <a:solidFill>
                <a:srgbClr val="000080"/>
              </a:solidFill>
              <a:prstDash val="solid"/>
            </a:ln>
          </c:spPr>
          <c:marker>
            <c:symbol val="diamond"/>
            <c:size val="4"/>
            <c:spPr>
              <a:solidFill>
                <a:srgbClr val="000080"/>
              </a:solidFill>
              <a:ln>
                <a:solidFill>
                  <a:srgbClr val="000080"/>
                </a:solidFill>
                <a:prstDash val="solid"/>
              </a:ln>
            </c:spPr>
          </c:marker>
          <c:cat>
            <c:strRef>
              <c:f>Sheet1!$B$1:$E$1</c:f>
              <c:strCache>
                <c:ptCount val="4"/>
                <c:pt idx="0">
                  <c:v>Trim. I</c:v>
                </c:pt>
                <c:pt idx="1">
                  <c:v>Trim. II</c:v>
                </c:pt>
                <c:pt idx="2">
                  <c:v>Trim. III</c:v>
                </c:pt>
                <c:pt idx="3">
                  <c:v>Trim. IV</c:v>
                </c:pt>
              </c:strCache>
            </c:strRef>
          </c:cat>
          <c:val>
            <c:numRef>
              <c:f>Sheet1!$B$2:$E$2</c:f>
              <c:numCache>
                <c:formatCode>General</c:formatCode>
                <c:ptCount val="4"/>
                <c:pt idx="0">
                  <c:v>61.6</c:v>
                </c:pt>
                <c:pt idx="1">
                  <c:v>67.099999999999994</c:v>
                </c:pt>
                <c:pt idx="2">
                  <c:v>66.2</c:v>
                </c:pt>
                <c:pt idx="3">
                  <c:v>66.900000000000006</c:v>
                </c:pt>
              </c:numCache>
            </c:numRef>
          </c:val>
          <c:smooth val="0"/>
        </c:ser>
        <c:ser>
          <c:idx val="1"/>
          <c:order val="1"/>
          <c:tx>
            <c:strRef>
              <c:f>Sheet1!$A$3</c:f>
              <c:strCache>
                <c:ptCount val="1"/>
                <c:pt idx="0">
                  <c:v>Husi</c:v>
                </c:pt>
              </c:strCache>
            </c:strRef>
          </c:tx>
          <c:spPr>
            <a:ln w="12680">
              <a:solidFill>
                <a:srgbClr val="FF00FF"/>
              </a:solidFill>
              <a:prstDash val="solid"/>
            </a:ln>
          </c:spPr>
          <c:marker>
            <c:symbol val="square"/>
            <c:size val="4"/>
            <c:spPr>
              <a:solidFill>
                <a:srgbClr val="FF00FF"/>
              </a:solidFill>
              <a:ln>
                <a:solidFill>
                  <a:srgbClr val="FF00FF"/>
                </a:solidFill>
                <a:prstDash val="solid"/>
              </a:ln>
            </c:spPr>
          </c:marker>
          <c:cat>
            <c:strRef>
              <c:f>Sheet1!$B$1:$E$1</c:f>
              <c:strCache>
                <c:ptCount val="4"/>
                <c:pt idx="0">
                  <c:v>Trim. I</c:v>
                </c:pt>
                <c:pt idx="1">
                  <c:v>Trim. II</c:v>
                </c:pt>
                <c:pt idx="2">
                  <c:v>Trim. III</c:v>
                </c:pt>
                <c:pt idx="3">
                  <c:v>Trim. IV</c:v>
                </c:pt>
              </c:strCache>
            </c:strRef>
          </c:cat>
          <c:val>
            <c:numRef>
              <c:f>Sheet1!$B$3:$E$3</c:f>
              <c:numCache>
                <c:formatCode>General</c:formatCode>
                <c:ptCount val="4"/>
                <c:pt idx="0">
                  <c:v>64.2</c:v>
                </c:pt>
                <c:pt idx="1">
                  <c:v>63.7</c:v>
                </c:pt>
                <c:pt idx="2">
                  <c:v>63.8</c:v>
                </c:pt>
                <c:pt idx="3">
                  <c:v>63.5</c:v>
                </c:pt>
              </c:numCache>
            </c:numRef>
          </c:val>
          <c:smooth val="0"/>
        </c:ser>
        <c:ser>
          <c:idx val="2"/>
          <c:order val="2"/>
          <c:tx>
            <c:strRef>
              <c:f>Sheet1!$A$4</c:f>
              <c:strCache>
                <c:ptCount val="1"/>
                <c:pt idx="0">
                  <c:v>Negresti</c:v>
                </c:pt>
              </c:strCache>
            </c:strRef>
          </c:tx>
          <c:spPr>
            <a:ln w="12680">
              <a:solidFill>
                <a:srgbClr val="FFFF00"/>
              </a:solidFill>
              <a:prstDash val="solid"/>
            </a:ln>
          </c:spPr>
          <c:marker>
            <c:symbol val="triangle"/>
            <c:size val="4"/>
            <c:spPr>
              <a:solidFill>
                <a:srgbClr val="FFFF00"/>
              </a:solidFill>
              <a:ln>
                <a:solidFill>
                  <a:srgbClr val="FFFF00"/>
                </a:solidFill>
                <a:prstDash val="solid"/>
              </a:ln>
            </c:spPr>
          </c:marker>
          <c:cat>
            <c:strRef>
              <c:f>Sheet1!$B$1:$E$1</c:f>
              <c:strCache>
                <c:ptCount val="4"/>
                <c:pt idx="0">
                  <c:v>Trim. I</c:v>
                </c:pt>
                <c:pt idx="1">
                  <c:v>Trim. II</c:v>
                </c:pt>
                <c:pt idx="2">
                  <c:v>Trim. III</c:v>
                </c:pt>
                <c:pt idx="3">
                  <c:v>Trim. IV</c:v>
                </c:pt>
              </c:strCache>
            </c:strRef>
          </c:cat>
          <c:val>
            <c:numRef>
              <c:f>Sheet1!$B$4:$E$4</c:f>
              <c:numCache>
                <c:formatCode>General</c:formatCode>
                <c:ptCount val="4"/>
                <c:pt idx="0">
                  <c:v>62.8</c:v>
                </c:pt>
                <c:pt idx="1">
                  <c:v>63.3</c:v>
                </c:pt>
                <c:pt idx="2">
                  <c:v>61.7</c:v>
                </c:pt>
                <c:pt idx="3">
                  <c:v>61.8</c:v>
                </c:pt>
              </c:numCache>
            </c:numRef>
          </c:val>
          <c:smooth val="0"/>
        </c:ser>
        <c:ser>
          <c:idx val="3"/>
          <c:order val="3"/>
          <c:tx>
            <c:strRef>
              <c:f>Sheet1!$A$5</c:f>
              <c:strCache>
                <c:ptCount val="1"/>
                <c:pt idx="0">
                  <c:v>Maxima admisibila</c:v>
                </c:pt>
              </c:strCache>
            </c:strRef>
          </c:tx>
          <c:spPr>
            <a:ln w="12680">
              <a:solidFill>
                <a:srgbClr val="00FFFF"/>
              </a:solidFill>
              <a:prstDash val="solid"/>
            </a:ln>
          </c:spPr>
          <c:marker>
            <c:symbol val="x"/>
            <c:size val="4"/>
            <c:spPr>
              <a:noFill/>
              <a:ln>
                <a:solidFill>
                  <a:srgbClr val="00FFFF"/>
                </a:solidFill>
                <a:prstDash val="solid"/>
              </a:ln>
            </c:spPr>
          </c:marker>
          <c:cat>
            <c:strRef>
              <c:f>Sheet1!$B$1:$E$1</c:f>
              <c:strCache>
                <c:ptCount val="4"/>
                <c:pt idx="0">
                  <c:v>Trim. I</c:v>
                </c:pt>
                <c:pt idx="1">
                  <c:v>Trim. II</c:v>
                </c:pt>
                <c:pt idx="2">
                  <c:v>Trim. III</c:v>
                </c:pt>
                <c:pt idx="3">
                  <c:v>Trim. IV</c:v>
                </c:pt>
              </c:strCache>
            </c:strRef>
          </c:cat>
          <c:val>
            <c:numRef>
              <c:f>Sheet1!$B$5:$E$5</c:f>
              <c:numCache>
                <c:formatCode>General</c:formatCode>
                <c:ptCount val="4"/>
                <c:pt idx="0">
                  <c:v>65</c:v>
                </c:pt>
                <c:pt idx="1">
                  <c:v>65</c:v>
                </c:pt>
                <c:pt idx="2">
                  <c:v>65</c:v>
                </c:pt>
                <c:pt idx="3">
                  <c:v>65</c:v>
                </c:pt>
              </c:numCache>
            </c:numRef>
          </c:val>
          <c:smooth val="0"/>
        </c:ser>
        <c:dLbls>
          <c:showLegendKey val="0"/>
          <c:showVal val="0"/>
          <c:showCatName val="0"/>
          <c:showSerName val="0"/>
          <c:showPercent val="0"/>
          <c:showBubbleSize val="0"/>
        </c:dLbls>
        <c:marker val="1"/>
        <c:smooth val="0"/>
        <c:axId val="301638400"/>
        <c:axId val="301640320"/>
      </c:lineChart>
      <c:catAx>
        <c:axId val="301638400"/>
        <c:scaling>
          <c:orientation val="minMax"/>
        </c:scaling>
        <c:delete val="0"/>
        <c:axPos val="b"/>
        <c:numFmt formatCode="General" sourceLinked="1"/>
        <c:majorTickMark val="out"/>
        <c:minorTickMark val="none"/>
        <c:tickLblPos val="nextTo"/>
        <c:spPr>
          <a:ln w="3170">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en-US"/>
          </a:p>
        </c:txPr>
        <c:crossAx val="301640320"/>
        <c:crosses val="autoZero"/>
        <c:auto val="1"/>
        <c:lblAlgn val="ctr"/>
        <c:lblOffset val="100"/>
        <c:tickLblSkip val="1"/>
        <c:tickMarkSkip val="1"/>
        <c:noMultiLvlLbl val="0"/>
      </c:catAx>
      <c:valAx>
        <c:axId val="301640320"/>
        <c:scaling>
          <c:orientation val="minMax"/>
        </c:scaling>
        <c:delete val="0"/>
        <c:axPos val="l"/>
        <c:majorGridlines>
          <c:spPr>
            <a:ln w="12680">
              <a:solidFill>
                <a:srgbClr val="FFFFFF"/>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en-US"/>
          </a:p>
        </c:txPr>
        <c:crossAx val="301638400"/>
        <c:crosses val="autoZero"/>
        <c:crossBetween val="between"/>
      </c:valAx>
      <c:spPr>
        <a:solidFill>
          <a:srgbClr val="CCCCFF"/>
        </a:solidFill>
        <a:ln w="12680">
          <a:solidFill>
            <a:srgbClr val="808080"/>
          </a:solidFill>
          <a:prstDash val="solid"/>
        </a:ln>
      </c:spPr>
    </c:plotArea>
    <c:legend>
      <c:legendPos val="r"/>
      <c:layout>
        <c:manualLayout>
          <c:xMode val="edge"/>
          <c:yMode val="edge"/>
          <c:x val="0.76710097719869708"/>
          <c:y val="0.42810457516339867"/>
          <c:w val="0.2263843648208469"/>
          <c:h val="0.25163398692810457"/>
        </c:manualLayout>
      </c:layout>
      <c:overlay val="0"/>
      <c:spPr>
        <a:noFill/>
        <a:ln w="3170">
          <a:solidFill>
            <a:srgbClr val="000000"/>
          </a:solidFill>
          <a:prstDash val="solid"/>
        </a:ln>
      </c:spPr>
      <c:txPr>
        <a:bodyPr/>
        <a:lstStyle/>
        <a:p>
          <a:pPr>
            <a:defRPr sz="734"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198" b="1" i="0" u="none" strike="noStrike" baseline="0">
          <a:solidFill>
            <a:srgbClr val="000000"/>
          </a:solidFill>
          <a:latin typeface="Arial"/>
          <a:ea typeface="Arial"/>
          <a:cs typeface="Aria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PM10 - Num</a:t>
            </a:r>
            <a:r>
              <a:rPr lang="ro-RO"/>
              <a:t>ă</a:t>
            </a:r>
            <a:r>
              <a:rPr lang="en-US"/>
              <a:t>r de dep</a:t>
            </a:r>
            <a:r>
              <a:rPr lang="ro-RO"/>
              <a:t>ăş</a:t>
            </a:r>
            <a:r>
              <a:rPr lang="en-US"/>
              <a:t>iri ale valorii limit</a:t>
            </a:r>
            <a:r>
              <a:rPr lang="ro-RO"/>
              <a:t>ă</a:t>
            </a:r>
            <a:r>
              <a:rPr lang="en-US"/>
              <a:t> zilnice</a:t>
            </a:r>
          </a:p>
        </c:rich>
      </c:tx>
      <c:layout>
        <c:manualLayout>
          <c:xMode val="edge"/>
          <c:yMode val="edge"/>
          <c:x val="0.24564183835182252"/>
          <c:y val="1.968503937007874E-2"/>
        </c:manualLayout>
      </c:layout>
      <c:overlay val="0"/>
      <c:spPr>
        <a:noFill/>
        <a:ln w="25399">
          <a:noFill/>
        </a:ln>
      </c:spPr>
    </c:title>
    <c:autoTitleDeleted val="0"/>
    <c:view3D>
      <c:rotX val="15"/>
      <c:hPercent val="37"/>
      <c:rotY val="20"/>
      <c:depthPercent val="100"/>
      <c:rAngAx val="1"/>
    </c:view3D>
    <c:floor>
      <c:thickness val="0"/>
      <c:spPr>
        <a:solidFill>
          <a:srgbClr val="C0C0C0"/>
        </a:solidFill>
        <a:ln w="3175">
          <a:solidFill>
            <a:srgbClr val="000000"/>
          </a:solidFill>
          <a:prstDash val="solid"/>
        </a:ln>
      </c:spPr>
    </c:floor>
    <c:sideWall>
      <c:thickness val="0"/>
      <c:spPr>
        <a:gradFill rotWithShape="0">
          <a:gsLst>
            <a:gs pos="0">
              <a:srgbClr xmlns:mc="http://schemas.openxmlformats.org/markup-compatibility/2006" xmlns:a14="http://schemas.microsoft.com/office/drawing/2010/main" val="FFFF99" mc:Ignorable="a14" a14:legacySpreadsheetColorIndex="43"/>
            </a:gs>
            <a:gs pos="100000">
              <a:srgbClr xmlns:mc="http://schemas.openxmlformats.org/markup-compatibility/2006" xmlns:a14="http://schemas.microsoft.com/office/drawing/2010/main" val="00FFFF" mc:Ignorable="a14" a14:legacySpreadsheetColorIndex="15"/>
            </a:gs>
          </a:gsLst>
          <a:lin ang="5400000" scaled="1"/>
        </a:gradFill>
        <a:ln w="12700">
          <a:solidFill>
            <a:srgbClr val="9999FF"/>
          </a:solidFill>
          <a:prstDash val="solid"/>
        </a:ln>
      </c:spPr>
    </c:sideWall>
    <c:backWall>
      <c:thickness val="0"/>
      <c:spPr>
        <a:gradFill rotWithShape="0">
          <a:gsLst>
            <a:gs pos="0">
              <a:srgbClr xmlns:mc="http://schemas.openxmlformats.org/markup-compatibility/2006" xmlns:a14="http://schemas.microsoft.com/office/drawing/2010/main" val="FFFF99" mc:Ignorable="a14" a14:legacySpreadsheetColorIndex="43"/>
            </a:gs>
            <a:gs pos="100000">
              <a:srgbClr xmlns:mc="http://schemas.openxmlformats.org/markup-compatibility/2006" xmlns:a14="http://schemas.microsoft.com/office/drawing/2010/main" val="00FFFF" mc:Ignorable="a14" a14:legacySpreadsheetColorIndex="15"/>
            </a:gs>
          </a:gsLst>
          <a:lin ang="5400000" scaled="1"/>
        </a:gradFill>
        <a:ln w="12700">
          <a:solidFill>
            <a:srgbClr val="9999FF"/>
          </a:solidFill>
          <a:prstDash val="solid"/>
        </a:ln>
      </c:spPr>
    </c:backWall>
    <c:plotArea>
      <c:layout>
        <c:manualLayout>
          <c:layoutTarget val="inner"/>
          <c:xMode val="edge"/>
          <c:yMode val="edge"/>
          <c:x val="4.4374009508716325E-2"/>
          <c:y val="0.1889763779527559"/>
          <c:w val="0.84310618066561016"/>
          <c:h val="0.67716535433070868"/>
        </c:manualLayout>
      </c:layout>
      <c:bar3DChart>
        <c:barDir val="col"/>
        <c:grouping val="clustered"/>
        <c:varyColors val="0"/>
        <c:ser>
          <c:idx val="0"/>
          <c:order val="0"/>
          <c:tx>
            <c:strRef>
              <c:f>Sheet1!$A$2</c:f>
              <c:strCache>
                <c:ptCount val="1"/>
                <c:pt idx="0">
                  <c:v>VS-1</c:v>
                </c:pt>
              </c:strCache>
            </c:strRef>
          </c:tx>
          <c:spPr>
            <a:solidFill>
              <a:srgbClr val="9999FF"/>
            </a:solidFill>
            <a:ln w="12699">
              <a:solidFill>
                <a:srgbClr val="000000"/>
              </a:solidFill>
              <a:prstDash val="solid"/>
            </a:ln>
          </c:spPr>
          <c:invertIfNegative val="0"/>
          <c:cat>
            <c:numRef>
              <c:f>Sheet1!$B$1:$I$1</c:f>
              <c:numCache>
                <c:formatCode>General</c:formatCode>
                <c:ptCount val="8"/>
                <c:pt idx="0">
                  <c:v>2008</c:v>
                </c:pt>
                <c:pt idx="1">
                  <c:v>2009</c:v>
                </c:pt>
                <c:pt idx="2">
                  <c:v>2010</c:v>
                </c:pt>
                <c:pt idx="3">
                  <c:v>2011</c:v>
                </c:pt>
                <c:pt idx="4">
                  <c:v>2012</c:v>
                </c:pt>
                <c:pt idx="5">
                  <c:v>2013</c:v>
                </c:pt>
                <c:pt idx="6">
                  <c:v>2014</c:v>
                </c:pt>
                <c:pt idx="7">
                  <c:v>2015</c:v>
                </c:pt>
              </c:numCache>
            </c:numRef>
          </c:cat>
          <c:val>
            <c:numRef>
              <c:f>Sheet1!$B$2:$I$2</c:f>
              <c:numCache>
                <c:formatCode>General</c:formatCode>
                <c:ptCount val="8"/>
                <c:pt idx="0">
                  <c:v>0</c:v>
                </c:pt>
                <c:pt idx="1">
                  <c:v>19</c:v>
                </c:pt>
                <c:pt idx="2">
                  <c:v>5</c:v>
                </c:pt>
                <c:pt idx="3">
                  <c:v>0</c:v>
                </c:pt>
              </c:numCache>
            </c:numRef>
          </c:val>
        </c:ser>
        <c:ser>
          <c:idx val="1"/>
          <c:order val="1"/>
          <c:tx>
            <c:strRef>
              <c:f>Sheet1!$A$3</c:f>
              <c:strCache>
                <c:ptCount val="1"/>
                <c:pt idx="0">
                  <c:v>VS-2</c:v>
                </c:pt>
              </c:strCache>
            </c:strRef>
          </c:tx>
          <c:spPr>
            <a:solidFill>
              <a:srgbClr val="993366"/>
            </a:solidFill>
            <a:ln w="12699">
              <a:solidFill>
                <a:srgbClr val="000000"/>
              </a:solidFill>
              <a:prstDash val="solid"/>
            </a:ln>
          </c:spPr>
          <c:invertIfNegative val="0"/>
          <c:cat>
            <c:numRef>
              <c:f>Sheet1!$B$1:$I$1</c:f>
              <c:numCache>
                <c:formatCode>General</c:formatCode>
                <c:ptCount val="8"/>
                <c:pt idx="0">
                  <c:v>2008</c:v>
                </c:pt>
                <c:pt idx="1">
                  <c:v>2009</c:v>
                </c:pt>
                <c:pt idx="2">
                  <c:v>2010</c:v>
                </c:pt>
                <c:pt idx="3">
                  <c:v>2011</c:v>
                </c:pt>
                <c:pt idx="4">
                  <c:v>2012</c:v>
                </c:pt>
                <c:pt idx="5">
                  <c:v>2013</c:v>
                </c:pt>
                <c:pt idx="6">
                  <c:v>2014</c:v>
                </c:pt>
                <c:pt idx="7">
                  <c:v>2015</c:v>
                </c:pt>
              </c:numCache>
            </c:numRef>
          </c:cat>
          <c:val>
            <c:numRef>
              <c:f>Sheet1!$B$3:$I$3</c:f>
              <c:numCache>
                <c:formatCode>General</c:formatCode>
                <c:ptCount val="8"/>
                <c:pt idx="4">
                  <c:v>0</c:v>
                </c:pt>
                <c:pt idx="5">
                  <c:v>0</c:v>
                </c:pt>
                <c:pt idx="6">
                  <c:v>0</c:v>
                </c:pt>
                <c:pt idx="7">
                  <c:v>0</c:v>
                </c:pt>
              </c:numCache>
            </c:numRef>
          </c:val>
        </c:ser>
        <c:dLbls>
          <c:showLegendKey val="0"/>
          <c:showVal val="0"/>
          <c:showCatName val="0"/>
          <c:showSerName val="0"/>
          <c:showPercent val="0"/>
          <c:showBubbleSize val="0"/>
        </c:dLbls>
        <c:gapWidth val="150"/>
        <c:gapDepth val="0"/>
        <c:shape val="box"/>
        <c:axId val="294855808"/>
        <c:axId val="294857344"/>
        <c:axId val="0"/>
      </c:bar3DChart>
      <c:catAx>
        <c:axId val="29485580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294857344"/>
        <c:crosses val="autoZero"/>
        <c:auto val="1"/>
        <c:lblAlgn val="ctr"/>
        <c:lblOffset val="100"/>
        <c:tickLblSkip val="1"/>
        <c:tickMarkSkip val="1"/>
        <c:noMultiLvlLbl val="0"/>
      </c:catAx>
      <c:valAx>
        <c:axId val="29485734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294855808"/>
        <c:crosses val="autoZero"/>
        <c:crossBetween val="between"/>
      </c:valAx>
      <c:spPr>
        <a:noFill/>
        <a:ln w="25399">
          <a:noFill/>
        </a:ln>
      </c:spPr>
    </c:plotArea>
    <c:legend>
      <c:legendPos val="r"/>
      <c:layout>
        <c:manualLayout>
          <c:xMode val="edge"/>
          <c:yMode val="edge"/>
          <c:x val="0.91283676703645011"/>
          <c:y val="0.4763779527559055"/>
          <c:w val="8.0824088748019024E-2"/>
          <c:h val="0.1889763779527559"/>
        </c:manualLayout>
      </c:layout>
      <c:overlay val="0"/>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125" b="1" i="0" u="none" strike="noStrike" baseline="0">
          <a:solidFill>
            <a:srgbClr val="000000"/>
          </a:solidFill>
          <a:latin typeface="Arial"/>
          <a:ea typeface="Arial"/>
          <a:cs typeface="Arial"/>
        </a:defRPr>
      </a:pPr>
      <a:endParaRPr lang="en-US"/>
    </a:p>
  </c:txPr>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50" b="1" i="0" u="none" strike="noStrike" baseline="0">
                <a:solidFill>
                  <a:srgbClr val="000000"/>
                </a:solidFill>
                <a:latin typeface="Arial"/>
                <a:ea typeface="Arial"/>
                <a:cs typeface="Arial"/>
              </a:defRPr>
            </a:pPr>
            <a:r>
              <a:rPr lang="en-US"/>
              <a:t>Variatia nivelului de zgomot pentru Piete, spatii comerciale, restaurante in aer liber, Leq</a:t>
            </a:r>
          </a:p>
        </c:rich>
      </c:tx>
      <c:layout>
        <c:manualLayout>
          <c:xMode val="edge"/>
          <c:yMode val="edge"/>
          <c:x val="0.10625"/>
          <c:y val="2.0588235294117647E-2"/>
        </c:manualLayout>
      </c:layout>
      <c:overlay val="0"/>
      <c:spPr>
        <a:noFill/>
        <a:ln w="25400">
          <a:noFill/>
        </a:ln>
      </c:spPr>
    </c:title>
    <c:autoTitleDeleted val="0"/>
    <c:plotArea>
      <c:layout>
        <c:manualLayout>
          <c:layoutTarget val="inner"/>
          <c:xMode val="edge"/>
          <c:yMode val="edge"/>
          <c:x val="5.1562499999999997E-2"/>
          <c:y val="0.22058823529411764"/>
          <c:w val="0.62656250000000002"/>
          <c:h val="0.67352941176470593"/>
        </c:manualLayout>
      </c:layout>
      <c:lineChart>
        <c:grouping val="standard"/>
        <c:varyColors val="0"/>
        <c:ser>
          <c:idx val="0"/>
          <c:order val="0"/>
          <c:tx>
            <c:strRef>
              <c:f>Sheet1!$A$2</c:f>
              <c:strCache>
                <c:ptCount val="1"/>
                <c:pt idx="0">
                  <c:v>Parcuri, zone de recreere si adihna</c:v>
                </c:pt>
              </c:strCache>
            </c:strRef>
          </c:tx>
          <c:spPr>
            <a:ln w="12700">
              <a:solidFill>
                <a:srgbClr val="000080"/>
              </a:solidFill>
              <a:prstDash val="solid"/>
            </a:ln>
          </c:spPr>
          <c:marker>
            <c:symbol val="diamond"/>
            <c:size val="4"/>
            <c:spPr>
              <a:solidFill>
                <a:srgbClr val="000080"/>
              </a:solidFill>
              <a:ln>
                <a:solidFill>
                  <a:srgbClr val="000080"/>
                </a:solidFill>
                <a:prstDash val="solid"/>
              </a:ln>
            </c:spPr>
          </c:marker>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68.900000000000006</c:v>
                </c:pt>
                <c:pt idx="1">
                  <c:v>64.5</c:v>
                </c:pt>
                <c:pt idx="2">
                  <c:v>64</c:v>
                </c:pt>
                <c:pt idx="3">
                  <c:v>69</c:v>
                </c:pt>
                <c:pt idx="4">
                  <c:v>71.3</c:v>
                </c:pt>
              </c:numCache>
            </c:numRef>
          </c:val>
          <c:smooth val="0"/>
        </c:ser>
        <c:ser>
          <c:idx val="1"/>
          <c:order val="1"/>
          <c:tx>
            <c:strRef>
              <c:f>Sheet1!$A$3</c:f>
              <c:strCache>
                <c:ptCount val="1"/>
                <c:pt idx="0">
                  <c:v>Maxima admisa</c:v>
                </c:pt>
              </c:strCache>
            </c:strRef>
          </c:tx>
          <c:spPr>
            <a:ln w="12700">
              <a:solidFill>
                <a:srgbClr val="FF00FF"/>
              </a:solidFill>
              <a:prstDash val="solid"/>
            </a:ln>
          </c:spPr>
          <c:marker>
            <c:symbol val="square"/>
            <c:size val="4"/>
            <c:spPr>
              <a:solidFill>
                <a:srgbClr val="FF00FF"/>
              </a:solidFill>
              <a:ln>
                <a:solidFill>
                  <a:srgbClr val="FF00FF"/>
                </a:solidFill>
                <a:prstDash val="solid"/>
              </a:ln>
            </c:spPr>
          </c:marker>
          <c:cat>
            <c:numRef>
              <c:f>Sheet1!$B$1:$F$1</c:f>
              <c:numCache>
                <c:formatCode>General</c:formatCode>
                <c:ptCount val="5"/>
                <c:pt idx="0">
                  <c:v>2011</c:v>
                </c:pt>
                <c:pt idx="1">
                  <c:v>2012</c:v>
                </c:pt>
                <c:pt idx="2">
                  <c:v>2013</c:v>
                </c:pt>
                <c:pt idx="3">
                  <c:v>2014</c:v>
                </c:pt>
                <c:pt idx="4">
                  <c:v>2015</c:v>
                </c:pt>
              </c:numCache>
            </c:numRef>
          </c:cat>
          <c:val>
            <c:numRef>
              <c:f>Sheet1!$B$3:$F$3</c:f>
              <c:numCache>
                <c:formatCode>General</c:formatCode>
                <c:ptCount val="5"/>
                <c:pt idx="0">
                  <c:v>45</c:v>
                </c:pt>
                <c:pt idx="1">
                  <c:v>45</c:v>
                </c:pt>
                <c:pt idx="2">
                  <c:v>45</c:v>
                </c:pt>
                <c:pt idx="3">
                  <c:v>45</c:v>
                </c:pt>
                <c:pt idx="4">
                  <c:v>45</c:v>
                </c:pt>
              </c:numCache>
            </c:numRef>
          </c:val>
          <c:smooth val="0"/>
        </c:ser>
        <c:dLbls>
          <c:showLegendKey val="0"/>
          <c:showVal val="0"/>
          <c:showCatName val="0"/>
          <c:showSerName val="0"/>
          <c:showPercent val="0"/>
          <c:showBubbleSize val="0"/>
        </c:dLbls>
        <c:marker val="1"/>
        <c:smooth val="0"/>
        <c:axId val="301231104"/>
        <c:axId val="301233280"/>
      </c:lineChart>
      <c:catAx>
        <c:axId val="30123110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25" b="1" i="0" u="none" strike="noStrike" baseline="0">
                <a:solidFill>
                  <a:srgbClr val="000000"/>
                </a:solidFill>
                <a:latin typeface="Arial"/>
                <a:ea typeface="Arial"/>
                <a:cs typeface="Arial"/>
              </a:defRPr>
            </a:pPr>
            <a:endParaRPr lang="en-US"/>
          </a:p>
        </c:txPr>
        <c:crossAx val="301233280"/>
        <c:crosses val="autoZero"/>
        <c:auto val="1"/>
        <c:lblAlgn val="ctr"/>
        <c:lblOffset val="100"/>
        <c:tickLblSkip val="1"/>
        <c:tickMarkSkip val="1"/>
        <c:noMultiLvlLbl val="0"/>
      </c:catAx>
      <c:valAx>
        <c:axId val="301233280"/>
        <c:scaling>
          <c:orientation val="minMax"/>
        </c:scaling>
        <c:delete val="0"/>
        <c:axPos val="l"/>
        <c:majorGridlines>
          <c:spPr>
            <a:ln w="12700">
              <a:solidFill>
                <a:srgbClr val="FFFFFF"/>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25" b="1" i="0" u="none" strike="noStrike" baseline="0">
                <a:solidFill>
                  <a:srgbClr val="000000"/>
                </a:solidFill>
                <a:latin typeface="Arial"/>
                <a:ea typeface="Arial"/>
                <a:cs typeface="Arial"/>
              </a:defRPr>
            </a:pPr>
            <a:endParaRPr lang="en-US"/>
          </a:p>
        </c:txPr>
        <c:crossAx val="301231104"/>
        <c:crosses val="autoZero"/>
        <c:crossBetween val="between"/>
      </c:valAx>
      <c:spPr>
        <a:solidFill>
          <a:srgbClr val="CCCCFF"/>
        </a:solidFill>
        <a:ln w="12700">
          <a:solidFill>
            <a:srgbClr val="808080"/>
          </a:solidFill>
          <a:prstDash val="solid"/>
        </a:ln>
      </c:spPr>
    </c:plotArea>
    <c:legend>
      <c:legendPos val="r"/>
      <c:layout>
        <c:manualLayout>
          <c:xMode val="edge"/>
          <c:yMode val="edge"/>
          <c:x val="0.69374999999999998"/>
          <c:y val="0.45588235294117646"/>
          <c:w val="0.3"/>
          <c:h val="0.19705882352941176"/>
        </c:manualLayout>
      </c:layout>
      <c:overlay val="0"/>
      <c:spPr>
        <a:noFill/>
        <a:ln w="3175">
          <a:solidFill>
            <a:srgbClr val="000000"/>
          </a:solidFill>
          <a:prstDash val="solid"/>
        </a:ln>
      </c:spPr>
      <c:txPr>
        <a:bodyPr/>
        <a:lstStyle/>
        <a:p>
          <a:pPr>
            <a:defRPr sz="755"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500" b="1" i="0" u="none" strike="noStrike" baseline="0">
          <a:solidFill>
            <a:srgbClr val="000000"/>
          </a:solidFill>
          <a:latin typeface="Arial"/>
          <a:ea typeface="Arial"/>
          <a:cs typeface="Arial"/>
        </a:defRPr>
      </a:pPr>
      <a:endParaRPr lang="en-US"/>
    </a:p>
  </c:txPr>
  <c:externalData r:id="rId1">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47" b="1" i="0" u="none" strike="noStrike" baseline="0">
                <a:solidFill>
                  <a:srgbClr val="000000"/>
                </a:solidFill>
                <a:latin typeface="Arial"/>
                <a:ea typeface="Arial"/>
                <a:cs typeface="Arial"/>
              </a:defRPr>
            </a:pPr>
            <a:r>
              <a:rPr lang="en-US"/>
              <a:t>Variatia nivelului de zgomot pentru Trafic - strazi de categoria a II-a</a:t>
            </a:r>
          </a:p>
        </c:rich>
      </c:tx>
      <c:layout>
        <c:manualLayout>
          <c:xMode val="edge"/>
          <c:yMode val="edge"/>
          <c:x val="0.17993079584775087"/>
          <c:y val="2.1352313167259787E-2"/>
        </c:manualLayout>
      </c:layout>
      <c:overlay val="0"/>
      <c:spPr>
        <a:noFill/>
        <a:ln w="25312">
          <a:noFill/>
        </a:ln>
      </c:spPr>
    </c:title>
    <c:autoTitleDeleted val="0"/>
    <c:plotArea>
      <c:layout>
        <c:manualLayout>
          <c:layoutTarget val="inner"/>
          <c:xMode val="edge"/>
          <c:yMode val="edge"/>
          <c:x val="5.7093425605536333E-2"/>
          <c:y val="0.18861209964412812"/>
          <c:w val="0.70588235294117652"/>
          <c:h val="0.68327402135231319"/>
        </c:manualLayout>
      </c:layout>
      <c:lineChart>
        <c:grouping val="standard"/>
        <c:varyColors val="0"/>
        <c:ser>
          <c:idx val="0"/>
          <c:order val="0"/>
          <c:tx>
            <c:strRef>
              <c:f>Sheet1!$A$2</c:f>
              <c:strCache>
                <c:ptCount val="1"/>
                <c:pt idx="0">
                  <c:v>Trafic</c:v>
                </c:pt>
              </c:strCache>
            </c:strRef>
          </c:tx>
          <c:spPr>
            <a:ln w="12656">
              <a:solidFill>
                <a:srgbClr val="000080"/>
              </a:solidFill>
              <a:prstDash val="solid"/>
            </a:ln>
          </c:spPr>
          <c:marker>
            <c:symbol val="diamond"/>
            <c:size val="4"/>
            <c:spPr>
              <a:solidFill>
                <a:srgbClr val="000080"/>
              </a:solidFill>
              <a:ln>
                <a:solidFill>
                  <a:srgbClr val="000080"/>
                </a:solidFill>
                <a:prstDash val="solid"/>
              </a:ln>
            </c:spPr>
          </c:marker>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75</c:v>
                </c:pt>
                <c:pt idx="1">
                  <c:v>75.5</c:v>
                </c:pt>
                <c:pt idx="2">
                  <c:v>73.5</c:v>
                </c:pt>
                <c:pt idx="3">
                  <c:v>74.2</c:v>
                </c:pt>
                <c:pt idx="4">
                  <c:v>72.2</c:v>
                </c:pt>
              </c:numCache>
            </c:numRef>
          </c:val>
          <c:smooth val="0"/>
        </c:ser>
        <c:ser>
          <c:idx val="1"/>
          <c:order val="1"/>
          <c:tx>
            <c:strRef>
              <c:f>Sheet1!$A$3</c:f>
              <c:strCache>
                <c:ptCount val="1"/>
                <c:pt idx="0">
                  <c:v>Maxima admisa</c:v>
                </c:pt>
              </c:strCache>
            </c:strRef>
          </c:tx>
          <c:spPr>
            <a:ln w="12656">
              <a:solidFill>
                <a:srgbClr val="FF00FF"/>
              </a:solidFill>
              <a:prstDash val="solid"/>
            </a:ln>
          </c:spPr>
          <c:marker>
            <c:symbol val="square"/>
            <c:size val="4"/>
            <c:spPr>
              <a:solidFill>
                <a:srgbClr val="FF00FF"/>
              </a:solidFill>
              <a:ln>
                <a:solidFill>
                  <a:srgbClr val="FF00FF"/>
                </a:solidFill>
                <a:prstDash val="solid"/>
              </a:ln>
            </c:spPr>
          </c:marker>
          <c:cat>
            <c:numRef>
              <c:f>Sheet1!$B$1:$F$1</c:f>
              <c:numCache>
                <c:formatCode>General</c:formatCode>
                <c:ptCount val="5"/>
                <c:pt idx="0">
                  <c:v>2011</c:v>
                </c:pt>
                <c:pt idx="1">
                  <c:v>2012</c:v>
                </c:pt>
                <c:pt idx="2">
                  <c:v>2013</c:v>
                </c:pt>
                <c:pt idx="3">
                  <c:v>2014</c:v>
                </c:pt>
                <c:pt idx="4">
                  <c:v>2015</c:v>
                </c:pt>
              </c:numCache>
            </c:numRef>
          </c:cat>
          <c:val>
            <c:numRef>
              <c:f>Sheet1!$B$3:$F$3</c:f>
              <c:numCache>
                <c:formatCode>General</c:formatCode>
                <c:ptCount val="5"/>
                <c:pt idx="0">
                  <c:v>70</c:v>
                </c:pt>
                <c:pt idx="1">
                  <c:v>70</c:v>
                </c:pt>
                <c:pt idx="2">
                  <c:v>70</c:v>
                </c:pt>
                <c:pt idx="3">
                  <c:v>70</c:v>
                </c:pt>
                <c:pt idx="4">
                  <c:v>70</c:v>
                </c:pt>
              </c:numCache>
            </c:numRef>
          </c:val>
          <c:smooth val="0"/>
        </c:ser>
        <c:dLbls>
          <c:showLegendKey val="0"/>
          <c:showVal val="0"/>
          <c:showCatName val="0"/>
          <c:showSerName val="0"/>
          <c:showPercent val="0"/>
          <c:showBubbleSize val="0"/>
        </c:dLbls>
        <c:marker val="1"/>
        <c:smooth val="0"/>
        <c:axId val="301254144"/>
        <c:axId val="301256064"/>
      </c:lineChart>
      <c:catAx>
        <c:axId val="301254144"/>
        <c:scaling>
          <c:orientation val="minMax"/>
        </c:scaling>
        <c:delete val="0"/>
        <c:axPos val="b"/>
        <c:numFmt formatCode="General" sourceLinked="1"/>
        <c:majorTickMark val="out"/>
        <c:minorTickMark val="none"/>
        <c:tickLblPos val="nextTo"/>
        <c:spPr>
          <a:ln w="3164">
            <a:solidFill>
              <a:srgbClr val="000000"/>
            </a:solidFill>
            <a:prstDash val="solid"/>
          </a:ln>
        </c:spPr>
        <c:txPr>
          <a:bodyPr rot="0" vert="horz"/>
          <a:lstStyle/>
          <a:p>
            <a:pPr>
              <a:defRPr sz="797" b="1" i="0" u="none" strike="noStrike" baseline="0">
                <a:solidFill>
                  <a:srgbClr val="000000"/>
                </a:solidFill>
                <a:latin typeface="Arial"/>
                <a:ea typeface="Arial"/>
                <a:cs typeface="Arial"/>
              </a:defRPr>
            </a:pPr>
            <a:endParaRPr lang="en-US"/>
          </a:p>
        </c:txPr>
        <c:crossAx val="301256064"/>
        <c:crosses val="autoZero"/>
        <c:auto val="1"/>
        <c:lblAlgn val="ctr"/>
        <c:lblOffset val="100"/>
        <c:tickLblSkip val="1"/>
        <c:tickMarkSkip val="1"/>
        <c:noMultiLvlLbl val="0"/>
      </c:catAx>
      <c:valAx>
        <c:axId val="301256064"/>
        <c:scaling>
          <c:orientation val="minMax"/>
        </c:scaling>
        <c:delete val="0"/>
        <c:axPos val="l"/>
        <c:majorGridlines>
          <c:spPr>
            <a:ln w="12656">
              <a:solidFill>
                <a:srgbClr val="FFFFFF"/>
              </a:solidFill>
              <a:prstDash val="solid"/>
            </a:ln>
          </c:spPr>
        </c:majorGridlines>
        <c:numFmt formatCode="General" sourceLinked="1"/>
        <c:majorTickMark val="out"/>
        <c:minorTickMark val="none"/>
        <c:tickLblPos val="nextTo"/>
        <c:spPr>
          <a:ln w="3164">
            <a:solidFill>
              <a:srgbClr val="000000"/>
            </a:solidFill>
            <a:prstDash val="solid"/>
          </a:ln>
        </c:spPr>
        <c:txPr>
          <a:bodyPr rot="0" vert="horz"/>
          <a:lstStyle/>
          <a:p>
            <a:pPr>
              <a:defRPr sz="797" b="1" i="0" u="none" strike="noStrike" baseline="0">
                <a:solidFill>
                  <a:srgbClr val="000000"/>
                </a:solidFill>
                <a:latin typeface="Arial"/>
                <a:ea typeface="Arial"/>
                <a:cs typeface="Arial"/>
              </a:defRPr>
            </a:pPr>
            <a:endParaRPr lang="en-US"/>
          </a:p>
        </c:txPr>
        <c:crossAx val="301254144"/>
        <c:crosses val="autoZero"/>
        <c:crossBetween val="between"/>
      </c:valAx>
      <c:spPr>
        <a:solidFill>
          <a:srgbClr val="CCCCFF"/>
        </a:solidFill>
        <a:ln w="12656">
          <a:solidFill>
            <a:srgbClr val="808080"/>
          </a:solidFill>
          <a:prstDash val="solid"/>
        </a:ln>
      </c:spPr>
    </c:plotArea>
    <c:legend>
      <c:legendPos val="r"/>
      <c:layout>
        <c:manualLayout>
          <c:xMode val="edge"/>
          <c:yMode val="edge"/>
          <c:x val="0.7802768166089965"/>
          <c:y val="0.45907473309608543"/>
          <c:w val="0.21280276816608998"/>
          <c:h val="0.13879003558718861"/>
        </c:manualLayout>
      </c:layout>
      <c:overlay val="0"/>
      <c:spPr>
        <a:noFill/>
        <a:ln w="3164">
          <a:solidFill>
            <a:srgbClr val="000000"/>
          </a:solidFill>
          <a:prstDash val="solid"/>
        </a:ln>
      </c:spPr>
      <c:txPr>
        <a:bodyPr/>
        <a:lstStyle/>
        <a:p>
          <a:pPr>
            <a:defRPr sz="732"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196" b="1" i="0" u="none" strike="noStrike" baseline="0">
          <a:solidFill>
            <a:srgbClr val="000000"/>
          </a:solidFill>
          <a:latin typeface="Arial"/>
          <a:ea typeface="Arial"/>
          <a:cs typeface="Arial"/>
        </a:defRPr>
      </a:pPr>
      <a:endParaRPr lang="en-US"/>
    </a:p>
  </c:txPr>
  <c:externalData r:id="rId1">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925278219395867E-2"/>
          <c:y val="5.9139784946236562E-2"/>
          <c:w val="0.90620031796502387"/>
          <c:h val="0.67741935483870963"/>
        </c:manualLayout>
      </c:layout>
      <c:lineChart>
        <c:grouping val="standard"/>
        <c:varyColors val="0"/>
        <c:ser>
          <c:idx val="0"/>
          <c:order val="0"/>
          <c:tx>
            <c:strRef>
              <c:f>Sheet1!$A$2</c:f>
              <c:strCache>
                <c:ptCount val="1"/>
                <c:pt idx="0">
                  <c:v>Nr. cazuri de methemoglobinemie</c:v>
                </c:pt>
              </c:strCache>
            </c:strRef>
          </c:tx>
          <c:spPr>
            <a:ln w="12700">
              <a:solidFill>
                <a:srgbClr val="000080"/>
              </a:solidFill>
              <a:prstDash val="solid"/>
            </a:ln>
          </c:spPr>
          <c:marker>
            <c:symbol val="diamond"/>
            <c:size val="4"/>
            <c:spPr>
              <a:solidFill>
                <a:srgbClr val="000080"/>
              </a:solidFill>
              <a:ln>
                <a:solidFill>
                  <a:srgbClr val="000080"/>
                </a:solidFill>
                <a:prstDash val="solid"/>
              </a:ln>
            </c:spPr>
          </c:marker>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6</c:v>
                </c:pt>
                <c:pt idx="1">
                  <c:v>7</c:v>
                </c:pt>
                <c:pt idx="2">
                  <c:v>5</c:v>
                </c:pt>
                <c:pt idx="3">
                  <c:v>2</c:v>
                </c:pt>
                <c:pt idx="4">
                  <c:v>2</c:v>
                </c:pt>
              </c:numCache>
            </c:numRef>
          </c:val>
          <c:smooth val="0"/>
        </c:ser>
        <c:dLbls>
          <c:showLegendKey val="0"/>
          <c:showVal val="0"/>
          <c:showCatName val="0"/>
          <c:showSerName val="0"/>
          <c:showPercent val="0"/>
          <c:showBubbleSize val="0"/>
        </c:dLbls>
        <c:marker val="1"/>
        <c:smooth val="0"/>
        <c:axId val="301468672"/>
        <c:axId val="301524096"/>
      </c:lineChart>
      <c:catAx>
        <c:axId val="30146867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301524096"/>
        <c:crosses val="autoZero"/>
        <c:auto val="1"/>
        <c:lblAlgn val="ctr"/>
        <c:lblOffset val="100"/>
        <c:tickLblSkip val="1"/>
        <c:tickMarkSkip val="1"/>
        <c:noMultiLvlLbl val="0"/>
      </c:catAx>
      <c:valAx>
        <c:axId val="30152409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301468672"/>
        <c:crosses val="autoZero"/>
        <c:crossBetween val="between"/>
      </c:valAx>
      <c:spPr>
        <a:solidFill>
          <a:srgbClr val="FFFFCC"/>
        </a:solidFill>
        <a:ln w="12700">
          <a:solidFill>
            <a:srgbClr val="808080"/>
          </a:solidFill>
          <a:prstDash val="solid"/>
        </a:ln>
      </c:spPr>
    </c:plotArea>
    <c:legend>
      <c:legendPos val="b"/>
      <c:layout>
        <c:manualLayout>
          <c:xMode val="edge"/>
          <c:yMode val="edge"/>
          <c:x val="0.30683624801271858"/>
          <c:y val="0.88709677419354838"/>
          <c:w val="0.35612082670906198"/>
          <c:h val="0.10752688172043011"/>
        </c:manualLayout>
      </c:layout>
      <c:overlay val="0"/>
      <c:spPr>
        <a:noFill/>
        <a:ln w="3175">
          <a:solidFill>
            <a:srgbClr val="000000"/>
          </a:solidFill>
          <a:prstDash val="solid"/>
        </a:ln>
      </c:spPr>
      <c:txPr>
        <a:bodyPr/>
        <a:lstStyle/>
        <a:p>
          <a:pPr>
            <a:defRPr sz="755"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825" b="1" i="0" u="none" strike="noStrike" baseline="0">
          <a:solidFill>
            <a:srgbClr val="000000"/>
          </a:solidFill>
          <a:latin typeface="Calibri"/>
          <a:ea typeface="Calibri"/>
          <a:cs typeface="Calibri"/>
        </a:defRPr>
      </a:pPr>
      <a:endParaRPr lang="en-US"/>
    </a:p>
  </c:txPr>
  <c:externalData r:id="rId1">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solidFill>
          <a:srgbClr val="CC99FF"/>
        </a:solidFill>
        <a:ln w="12700">
          <a:solidFill>
            <a:srgbClr val="808080"/>
          </a:solidFill>
          <a:prstDash val="solid"/>
        </a:ln>
      </c:spPr>
    </c:sideWall>
    <c:backWall>
      <c:thickness val="0"/>
      <c:spPr>
        <a:solidFill>
          <a:srgbClr val="CC99FF"/>
        </a:solidFill>
        <a:ln w="12700">
          <a:solidFill>
            <a:srgbClr val="808080"/>
          </a:solidFill>
          <a:prstDash val="solid"/>
        </a:ln>
      </c:spPr>
    </c:backWall>
    <c:plotArea>
      <c:layout>
        <c:manualLayout>
          <c:layoutTarget val="inner"/>
          <c:xMode val="edge"/>
          <c:yMode val="edge"/>
          <c:x val="9.3699515347334408E-2"/>
          <c:y val="0"/>
          <c:w val="0.87237479806138929"/>
          <c:h val="0.8"/>
        </c:manualLayout>
      </c:layout>
      <c:bar3DChart>
        <c:barDir val="col"/>
        <c:grouping val="stacked"/>
        <c:varyColors val="0"/>
        <c:ser>
          <c:idx val="0"/>
          <c:order val="0"/>
          <c:tx>
            <c:strRef>
              <c:f>Sheet1!$A$2</c:f>
              <c:strCache>
                <c:ptCount val="1"/>
                <c:pt idx="0">
                  <c:v>Suprafaţa spaţii verzi</c:v>
                </c:pt>
              </c:strCache>
            </c:strRef>
          </c:tx>
          <c:spPr>
            <a:solidFill>
              <a:srgbClr val="9999FF"/>
            </a:solidFill>
            <a:ln w="12680">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312.73</c:v>
                </c:pt>
                <c:pt idx="1">
                  <c:v>313.68</c:v>
                </c:pt>
                <c:pt idx="2">
                  <c:v>345.39</c:v>
                </c:pt>
                <c:pt idx="3">
                  <c:v>344.97</c:v>
                </c:pt>
                <c:pt idx="4">
                  <c:v>344</c:v>
                </c:pt>
              </c:numCache>
            </c:numRef>
          </c:val>
        </c:ser>
        <c:ser>
          <c:idx val="1"/>
          <c:order val="1"/>
          <c:tx>
            <c:strRef>
              <c:f>Sheet1!$A$3</c:f>
              <c:strCache>
                <c:ptCount val="1"/>
                <c:pt idx="0">
                  <c:v>Suprafaţa intravilan</c:v>
                </c:pt>
              </c:strCache>
            </c:strRef>
          </c:tx>
          <c:spPr>
            <a:solidFill>
              <a:srgbClr val="00FF00"/>
            </a:solidFill>
            <a:ln w="12680">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Sheet1!$B$3:$F$3</c:f>
              <c:numCache>
                <c:formatCode>General</c:formatCode>
                <c:ptCount val="5"/>
                <c:pt idx="0">
                  <c:v>5930</c:v>
                </c:pt>
                <c:pt idx="1">
                  <c:v>5930</c:v>
                </c:pt>
                <c:pt idx="2">
                  <c:v>5930</c:v>
                </c:pt>
                <c:pt idx="3">
                  <c:v>5930</c:v>
                </c:pt>
                <c:pt idx="4">
                  <c:v>5930</c:v>
                </c:pt>
              </c:numCache>
            </c:numRef>
          </c:val>
        </c:ser>
        <c:dLbls>
          <c:showLegendKey val="0"/>
          <c:showVal val="0"/>
          <c:showCatName val="0"/>
          <c:showSerName val="0"/>
          <c:showPercent val="0"/>
          <c:showBubbleSize val="0"/>
        </c:dLbls>
        <c:gapWidth val="150"/>
        <c:gapDepth val="0"/>
        <c:shape val="box"/>
        <c:axId val="299300736"/>
        <c:axId val="299302272"/>
        <c:axId val="0"/>
      </c:bar3DChart>
      <c:catAx>
        <c:axId val="299300736"/>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en-US"/>
          </a:p>
        </c:txPr>
        <c:crossAx val="299302272"/>
        <c:crosses val="autoZero"/>
        <c:auto val="1"/>
        <c:lblAlgn val="ctr"/>
        <c:lblOffset val="100"/>
        <c:tickLblSkip val="1"/>
        <c:tickMarkSkip val="1"/>
        <c:noMultiLvlLbl val="0"/>
      </c:catAx>
      <c:valAx>
        <c:axId val="299302272"/>
        <c:scaling>
          <c:orientation val="minMax"/>
        </c:scaling>
        <c:delete val="0"/>
        <c:axPos val="l"/>
        <c:majorGridlines>
          <c:spPr>
            <a:ln w="3170">
              <a:solidFill>
                <a:srgbClr val="000000"/>
              </a:solidFill>
              <a:prstDash val="solid"/>
            </a:ln>
          </c:spPr>
        </c:majorGridlines>
        <c:title>
          <c:tx>
            <c:rich>
              <a:bodyPr rot="0" vert="horz"/>
              <a:lstStyle/>
              <a:p>
                <a:pPr algn="ctr">
                  <a:defRPr sz="799" b="1" i="0" u="none" strike="noStrike" baseline="0">
                    <a:solidFill>
                      <a:srgbClr val="000000"/>
                    </a:solidFill>
                    <a:latin typeface="Calibri"/>
                    <a:ea typeface="Calibri"/>
                    <a:cs typeface="Calibri"/>
                  </a:defRPr>
                </a:pPr>
                <a:r>
                  <a:rPr lang="en-US"/>
                  <a:t>ha</a:t>
                </a:r>
              </a:p>
            </c:rich>
          </c:tx>
          <c:layout>
            <c:manualLayout>
              <c:xMode val="edge"/>
              <c:yMode val="edge"/>
              <c:x val="0.16316639741518579"/>
              <c:y val="0"/>
            </c:manualLayout>
          </c:layout>
          <c:overlay val="0"/>
          <c:spPr>
            <a:noFill/>
            <a:ln w="25359">
              <a:noFill/>
            </a:ln>
          </c:spPr>
        </c:title>
        <c:numFmt formatCode="General" sourceLinked="1"/>
        <c:majorTickMark val="out"/>
        <c:minorTickMark val="none"/>
        <c:tickLblPos val="nextTo"/>
        <c:spPr>
          <a:ln w="3170">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en-US"/>
          </a:p>
        </c:txPr>
        <c:crossAx val="299300736"/>
        <c:crosses val="autoZero"/>
        <c:crossBetween val="between"/>
      </c:valAx>
      <c:spPr>
        <a:noFill/>
        <a:ln w="25359">
          <a:noFill/>
        </a:ln>
      </c:spPr>
    </c:plotArea>
    <c:legend>
      <c:legendPos val="b"/>
      <c:layout>
        <c:manualLayout>
          <c:xMode val="edge"/>
          <c:yMode val="edge"/>
          <c:x val="0.17447495961227788"/>
          <c:y val="0.90588235294117647"/>
          <c:w val="0.63812600969305333"/>
          <c:h val="0.1"/>
        </c:manualLayout>
      </c:layout>
      <c:overlay val="0"/>
      <c:spPr>
        <a:noFill/>
        <a:ln w="3170">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en-US"/>
    </a:p>
  </c:txPr>
  <c:externalData r:id="rId1">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5"/>
      <c:rotY val="20"/>
      <c:depthPercent val="100"/>
      <c:rAngAx val="1"/>
    </c:view3D>
    <c:floor>
      <c:thickness val="0"/>
      <c:spPr>
        <a:solidFill>
          <a:srgbClr val="C0C0C0"/>
        </a:solidFill>
        <a:ln w="3175">
          <a:solidFill>
            <a:srgbClr val="000000"/>
          </a:solidFill>
          <a:prstDash val="solid"/>
        </a:ln>
      </c:spPr>
    </c:floor>
    <c:sideWall>
      <c:thickness val="0"/>
      <c:spPr>
        <a:solidFill>
          <a:srgbClr val="CC99FF"/>
        </a:solidFill>
        <a:ln w="12700">
          <a:solidFill>
            <a:srgbClr val="808080"/>
          </a:solidFill>
          <a:prstDash val="solid"/>
        </a:ln>
      </c:spPr>
    </c:sideWall>
    <c:backWall>
      <c:thickness val="0"/>
      <c:spPr>
        <a:solidFill>
          <a:srgbClr val="CC99FF"/>
        </a:solidFill>
        <a:ln w="12700">
          <a:solidFill>
            <a:srgbClr val="808080"/>
          </a:solidFill>
          <a:prstDash val="solid"/>
        </a:ln>
      </c:spPr>
    </c:backWall>
    <c:plotArea>
      <c:layout>
        <c:manualLayout>
          <c:layoutTarget val="inner"/>
          <c:xMode val="edge"/>
          <c:yMode val="edge"/>
          <c:x val="8.0824088748019024E-2"/>
          <c:y val="8.2926829268292687E-2"/>
          <c:w val="0.77020602218700474"/>
          <c:h val="0.6"/>
        </c:manualLayout>
      </c:layout>
      <c:bar3DChart>
        <c:barDir val="col"/>
        <c:grouping val="clustered"/>
        <c:varyColors val="0"/>
        <c:ser>
          <c:idx val="0"/>
          <c:order val="0"/>
          <c:tx>
            <c:strRef>
              <c:f>Sheet1!$A$2</c:f>
              <c:strCache>
                <c:ptCount val="1"/>
                <c:pt idx="0">
                  <c:v>Vaslui</c:v>
                </c:pt>
              </c:strCache>
            </c:strRef>
          </c:tx>
          <c:spPr>
            <a:solidFill>
              <a:srgbClr val="99CC00"/>
            </a:solidFill>
            <a:ln w="12687">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13.06</c:v>
                </c:pt>
                <c:pt idx="1">
                  <c:v>12.75</c:v>
                </c:pt>
                <c:pt idx="2">
                  <c:v>16.05</c:v>
                </c:pt>
                <c:pt idx="3">
                  <c:v>14.31</c:v>
                </c:pt>
                <c:pt idx="4">
                  <c:v>13.53</c:v>
                </c:pt>
              </c:numCache>
            </c:numRef>
          </c:val>
        </c:ser>
        <c:ser>
          <c:idx val="1"/>
          <c:order val="1"/>
          <c:tx>
            <c:strRef>
              <c:f>Sheet1!$A$3</c:f>
              <c:strCache>
                <c:ptCount val="1"/>
                <c:pt idx="0">
                  <c:v>Bârlad</c:v>
                </c:pt>
              </c:strCache>
            </c:strRef>
          </c:tx>
          <c:spPr>
            <a:solidFill>
              <a:srgbClr val="993366"/>
            </a:solidFill>
            <a:ln w="12687">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Sheet1!$B$3:$F$3</c:f>
              <c:numCache>
                <c:formatCode>General</c:formatCode>
                <c:ptCount val="5"/>
                <c:pt idx="0">
                  <c:v>23.12</c:v>
                </c:pt>
                <c:pt idx="1">
                  <c:v>23.25</c:v>
                </c:pt>
                <c:pt idx="2">
                  <c:v>23.41</c:v>
                </c:pt>
                <c:pt idx="3">
                  <c:v>23.55</c:v>
                </c:pt>
                <c:pt idx="4">
                  <c:v>23.7</c:v>
                </c:pt>
              </c:numCache>
            </c:numRef>
          </c:val>
        </c:ser>
        <c:ser>
          <c:idx val="2"/>
          <c:order val="2"/>
          <c:tx>
            <c:strRef>
              <c:f>Sheet1!$A$4</c:f>
              <c:strCache>
                <c:ptCount val="1"/>
                <c:pt idx="0">
                  <c:v>Huşi</c:v>
                </c:pt>
              </c:strCache>
            </c:strRef>
          </c:tx>
          <c:spPr>
            <a:solidFill>
              <a:srgbClr val="FFFFCC"/>
            </a:solidFill>
            <a:ln w="12687">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Sheet1!$B$4:$F$4</c:f>
              <c:numCache>
                <c:formatCode>General</c:formatCode>
                <c:ptCount val="5"/>
                <c:pt idx="0">
                  <c:v>9.3699999999999992</c:v>
                </c:pt>
                <c:pt idx="1">
                  <c:v>9.41</c:v>
                </c:pt>
                <c:pt idx="2">
                  <c:v>9.76</c:v>
                </c:pt>
                <c:pt idx="3">
                  <c:v>9.8000000000000007</c:v>
                </c:pt>
                <c:pt idx="4">
                  <c:v>9.86</c:v>
                </c:pt>
              </c:numCache>
            </c:numRef>
          </c:val>
        </c:ser>
        <c:ser>
          <c:idx val="3"/>
          <c:order val="3"/>
          <c:tx>
            <c:strRef>
              <c:f>Sheet1!$A$5</c:f>
              <c:strCache>
                <c:ptCount val="1"/>
                <c:pt idx="0">
                  <c:v>Negreşti</c:v>
                </c:pt>
              </c:strCache>
            </c:strRef>
          </c:tx>
          <c:spPr>
            <a:solidFill>
              <a:srgbClr val="CCFFFF"/>
            </a:solidFill>
            <a:ln w="12687">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Sheet1!$B$5:$F$5</c:f>
              <c:numCache>
                <c:formatCode>General</c:formatCode>
                <c:ptCount val="5"/>
                <c:pt idx="0">
                  <c:v>11.35</c:v>
                </c:pt>
                <c:pt idx="1">
                  <c:v>11.37</c:v>
                </c:pt>
                <c:pt idx="2">
                  <c:v>11.36</c:v>
                </c:pt>
                <c:pt idx="3">
                  <c:v>11.42</c:v>
                </c:pt>
                <c:pt idx="4">
                  <c:v>11.5</c:v>
                </c:pt>
              </c:numCache>
            </c:numRef>
          </c:val>
        </c:ser>
        <c:ser>
          <c:idx val="4"/>
          <c:order val="4"/>
          <c:tx>
            <c:strRef>
              <c:f>Sheet1!$A$6</c:f>
              <c:strCache>
                <c:ptCount val="1"/>
                <c:pt idx="0">
                  <c:v>Murgeni</c:v>
                </c:pt>
              </c:strCache>
            </c:strRef>
          </c:tx>
          <c:spPr>
            <a:solidFill>
              <a:srgbClr val="660066"/>
            </a:solidFill>
            <a:ln w="12687">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Sheet1!$B$6:$F$6</c:f>
              <c:numCache>
                <c:formatCode>General</c:formatCode>
                <c:ptCount val="5"/>
                <c:pt idx="0">
                  <c:v>1.21</c:v>
                </c:pt>
                <c:pt idx="1">
                  <c:v>1.2</c:v>
                </c:pt>
                <c:pt idx="2">
                  <c:v>1.2</c:v>
                </c:pt>
                <c:pt idx="3">
                  <c:v>1.2</c:v>
                </c:pt>
                <c:pt idx="4">
                  <c:v>1.21</c:v>
                </c:pt>
              </c:numCache>
            </c:numRef>
          </c:val>
        </c:ser>
        <c:dLbls>
          <c:showLegendKey val="0"/>
          <c:showVal val="0"/>
          <c:showCatName val="0"/>
          <c:showSerName val="0"/>
          <c:showPercent val="0"/>
          <c:showBubbleSize val="0"/>
        </c:dLbls>
        <c:gapWidth val="150"/>
        <c:gapDepth val="0"/>
        <c:shape val="box"/>
        <c:axId val="301616128"/>
        <c:axId val="301540480"/>
        <c:axId val="0"/>
      </c:bar3DChart>
      <c:catAx>
        <c:axId val="301616128"/>
        <c:scaling>
          <c:orientation val="minMax"/>
        </c:scaling>
        <c:delete val="0"/>
        <c:axPos val="b"/>
        <c:title>
          <c:tx>
            <c:rich>
              <a:bodyPr/>
              <a:lstStyle/>
              <a:p>
                <a:pPr>
                  <a:defRPr sz="1124" b="1" i="0" u="none" strike="noStrike" baseline="0">
                    <a:solidFill>
                      <a:srgbClr val="000000"/>
                    </a:solidFill>
                    <a:latin typeface="Calibri"/>
                    <a:ea typeface="Calibri"/>
                    <a:cs typeface="Calibri"/>
                  </a:defRPr>
                </a:pPr>
                <a:r>
                  <a:rPr lang="en-US"/>
                  <a:t>Ani</a:t>
                </a:r>
              </a:p>
            </c:rich>
          </c:tx>
          <c:layout>
            <c:manualLayout>
              <c:xMode val="edge"/>
              <c:yMode val="edge"/>
              <c:x val="0.44532488114104596"/>
              <c:y val="0.8"/>
            </c:manualLayout>
          </c:layout>
          <c:overlay val="0"/>
          <c:spPr>
            <a:noFill/>
            <a:ln w="25375">
              <a:noFill/>
            </a:ln>
          </c:spPr>
        </c:title>
        <c:numFmt formatCode="General" sourceLinked="1"/>
        <c:majorTickMark val="out"/>
        <c:minorTickMark val="none"/>
        <c:tickLblPos val="low"/>
        <c:spPr>
          <a:ln w="3172">
            <a:solidFill>
              <a:srgbClr val="000000"/>
            </a:solidFill>
            <a:prstDash val="solid"/>
          </a:ln>
        </c:spPr>
        <c:txPr>
          <a:bodyPr rot="0" vert="horz"/>
          <a:lstStyle/>
          <a:p>
            <a:pPr>
              <a:defRPr sz="899" b="1" i="0" u="none" strike="noStrike" baseline="0">
                <a:solidFill>
                  <a:srgbClr val="000000"/>
                </a:solidFill>
                <a:latin typeface="Calibri"/>
                <a:ea typeface="Calibri"/>
                <a:cs typeface="Calibri"/>
              </a:defRPr>
            </a:pPr>
            <a:endParaRPr lang="en-US"/>
          </a:p>
        </c:txPr>
        <c:crossAx val="301540480"/>
        <c:crosses val="autoZero"/>
        <c:auto val="1"/>
        <c:lblAlgn val="ctr"/>
        <c:lblOffset val="100"/>
        <c:tickLblSkip val="1"/>
        <c:tickMarkSkip val="1"/>
        <c:noMultiLvlLbl val="0"/>
      </c:catAx>
      <c:valAx>
        <c:axId val="301540480"/>
        <c:scaling>
          <c:orientation val="minMax"/>
          <c:max val="35"/>
        </c:scaling>
        <c:delete val="0"/>
        <c:axPos val="l"/>
        <c:majorGridlines>
          <c:spPr>
            <a:ln w="3172">
              <a:solidFill>
                <a:srgbClr val="000000"/>
              </a:solidFill>
              <a:prstDash val="solid"/>
            </a:ln>
          </c:spPr>
        </c:majorGridlines>
        <c:title>
          <c:tx>
            <c:rich>
              <a:bodyPr/>
              <a:lstStyle/>
              <a:p>
                <a:pPr>
                  <a:defRPr sz="849" b="1" i="0" u="none" strike="noStrike" baseline="0">
                    <a:solidFill>
                      <a:srgbClr val="000000"/>
                    </a:solidFill>
                    <a:latin typeface="Arial"/>
                    <a:ea typeface="Arial"/>
                    <a:cs typeface="Arial"/>
                  </a:defRPr>
                </a:pPr>
                <a:r>
                  <a:rPr lang="en-US"/>
                  <a:t>mp/loc</a:t>
                </a:r>
              </a:p>
            </c:rich>
          </c:tx>
          <c:layout>
            <c:manualLayout>
              <c:xMode val="edge"/>
              <c:yMode val="edge"/>
              <c:x val="0.13312202852614896"/>
              <c:y val="0.29268292682926828"/>
            </c:manualLayout>
          </c:layout>
          <c:overlay val="0"/>
          <c:spPr>
            <a:noFill/>
            <a:ln w="25375">
              <a:noFill/>
            </a:ln>
          </c:spPr>
        </c:title>
        <c:numFmt formatCode="General" sourceLinked="1"/>
        <c:majorTickMark val="out"/>
        <c:minorTickMark val="none"/>
        <c:tickLblPos val="nextTo"/>
        <c:spPr>
          <a:ln w="3172">
            <a:solidFill>
              <a:srgbClr val="000000"/>
            </a:solidFill>
            <a:prstDash val="solid"/>
          </a:ln>
        </c:spPr>
        <c:txPr>
          <a:bodyPr rot="0" vert="horz"/>
          <a:lstStyle/>
          <a:p>
            <a:pPr>
              <a:defRPr sz="899" b="1" i="0" u="none" strike="noStrike" baseline="0">
                <a:solidFill>
                  <a:srgbClr val="000000"/>
                </a:solidFill>
                <a:latin typeface="Calibri"/>
                <a:ea typeface="Calibri"/>
                <a:cs typeface="Calibri"/>
              </a:defRPr>
            </a:pPr>
            <a:endParaRPr lang="en-US"/>
          </a:p>
        </c:txPr>
        <c:crossAx val="301616128"/>
        <c:crosses val="autoZero"/>
        <c:crossBetween val="between"/>
      </c:valAx>
      <c:spPr>
        <a:noFill/>
        <a:ln w="25375">
          <a:noFill/>
        </a:ln>
      </c:spPr>
    </c:plotArea>
    <c:legend>
      <c:legendPos val="r"/>
      <c:layout>
        <c:manualLayout>
          <c:xMode val="edge"/>
          <c:yMode val="edge"/>
          <c:x val="0.83676703645007922"/>
          <c:y val="0.21951219512195122"/>
          <c:w val="0.15689381933438987"/>
          <c:h val="0.56585365853658531"/>
        </c:manualLayout>
      </c:layout>
      <c:overlay val="0"/>
      <c:spPr>
        <a:solidFill>
          <a:srgbClr val="FFFFFF"/>
        </a:solidFill>
        <a:ln w="3172">
          <a:solidFill>
            <a:srgbClr val="000000"/>
          </a:solidFill>
          <a:prstDash val="solid"/>
        </a:ln>
      </c:spPr>
      <c:txPr>
        <a:bodyPr/>
        <a:lstStyle/>
        <a:p>
          <a:pPr>
            <a:defRPr sz="1054" b="1"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noFill/>
    <a:ln>
      <a:noFill/>
    </a:ln>
  </c:spPr>
  <c:txPr>
    <a:bodyPr/>
    <a:lstStyle/>
    <a:p>
      <a:pPr>
        <a:defRPr sz="899" b="1" i="0" u="none" strike="noStrike" baseline="0">
          <a:solidFill>
            <a:srgbClr val="000000"/>
          </a:solidFill>
          <a:latin typeface="Calibri"/>
          <a:ea typeface="Calibri"/>
          <a:cs typeface="Calibri"/>
        </a:defRPr>
      </a:pPr>
      <a:endParaRPr lang="en-US"/>
    </a:p>
  </c:txPr>
  <c:externalData r:id="rId1">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37438423645321"/>
          <c:y val="0.26428571428571429"/>
          <c:w val="0.58620689655172409"/>
          <c:h val="0.56785714285714284"/>
        </c:manualLayout>
      </c:layout>
      <c:barChart>
        <c:barDir val="col"/>
        <c:grouping val="clustered"/>
        <c:varyColors val="0"/>
        <c:ser>
          <c:idx val="0"/>
          <c:order val="0"/>
          <c:tx>
            <c:strRef>
              <c:f>Sheet1!$A$2</c:f>
              <c:strCache>
                <c:ptCount val="1"/>
                <c:pt idx="0">
                  <c:v>Staţia meteo Negreşti</c:v>
                </c:pt>
              </c:strCache>
            </c:strRef>
          </c:tx>
          <c:spPr>
            <a:solidFill>
              <a:srgbClr val="9999FF"/>
            </a:solidFill>
            <a:ln w="12708">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34.700000000000003</c:v>
                </c:pt>
                <c:pt idx="1">
                  <c:v>40.5</c:v>
                </c:pt>
                <c:pt idx="2">
                  <c:v>34.5</c:v>
                </c:pt>
                <c:pt idx="3">
                  <c:v>35.200000000000003</c:v>
                </c:pt>
                <c:pt idx="4">
                  <c:v>37.4</c:v>
                </c:pt>
              </c:numCache>
            </c:numRef>
          </c:val>
        </c:ser>
        <c:ser>
          <c:idx val="1"/>
          <c:order val="1"/>
          <c:tx>
            <c:strRef>
              <c:f>Sheet1!$A$3</c:f>
              <c:strCache>
                <c:ptCount val="1"/>
                <c:pt idx="0">
                  <c:v>Staţia meteo Vaslui</c:v>
                </c:pt>
              </c:strCache>
            </c:strRef>
          </c:tx>
          <c:spPr>
            <a:solidFill>
              <a:srgbClr val="993366"/>
            </a:solidFill>
            <a:ln w="12708">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Sheet1!$B$3:$F$3</c:f>
              <c:numCache>
                <c:formatCode>General</c:formatCode>
                <c:ptCount val="5"/>
                <c:pt idx="0">
                  <c:v>34.5</c:v>
                </c:pt>
                <c:pt idx="1">
                  <c:v>41.2</c:v>
                </c:pt>
                <c:pt idx="2">
                  <c:v>34.200000000000003</c:v>
                </c:pt>
                <c:pt idx="3">
                  <c:v>35.4</c:v>
                </c:pt>
                <c:pt idx="4">
                  <c:v>36.799999999999997</c:v>
                </c:pt>
              </c:numCache>
            </c:numRef>
          </c:val>
        </c:ser>
        <c:ser>
          <c:idx val="2"/>
          <c:order val="2"/>
          <c:tx>
            <c:strRef>
              <c:f>Sheet1!$A$4</c:f>
              <c:strCache>
                <c:ptCount val="1"/>
                <c:pt idx="0">
                  <c:v>Staţia meteo Bârlad</c:v>
                </c:pt>
              </c:strCache>
            </c:strRef>
          </c:tx>
          <c:spPr>
            <a:solidFill>
              <a:srgbClr val="FFFFCC"/>
            </a:solidFill>
            <a:ln w="12708">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Sheet1!$B$4:$F$4</c:f>
              <c:numCache>
                <c:formatCode>General</c:formatCode>
                <c:ptCount val="5"/>
                <c:pt idx="0">
                  <c:v>34.299999999999997</c:v>
                </c:pt>
                <c:pt idx="1">
                  <c:v>39.799999999999997</c:v>
                </c:pt>
                <c:pt idx="2">
                  <c:v>33.6</c:v>
                </c:pt>
                <c:pt idx="3">
                  <c:v>34.200000000000003</c:v>
                </c:pt>
                <c:pt idx="4">
                  <c:v>36.200000000000003</c:v>
                </c:pt>
              </c:numCache>
            </c:numRef>
          </c:val>
        </c:ser>
        <c:dLbls>
          <c:showLegendKey val="0"/>
          <c:showVal val="0"/>
          <c:showCatName val="0"/>
          <c:showSerName val="0"/>
          <c:showPercent val="0"/>
          <c:showBubbleSize val="0"/>
        </c:dLbls>
        <c:gapWidth val="150"/>
        <c:axId val="301410944"/>
        <c:axId val="301420928"/>
      </c:barChart>
      <c:catAx>
        <c:axId val="301410944"/>
        <c:scaling>
          <c:orientation val="minMax"/>
        </c:scaling>
        <c:delete val="0"/>
        <c:axPos val="b"/>
        <c:numFmt formatCode="General" sourceLinked="1"/>
        <c:majorTickMark val="out"/>
        <c:minorTickMark val="none"/>
        <c:tickLblPos val="nextTo"/>
        <c:spPr>
          <a:ln w="3177">
            <a:solidFill>
              <a:srgbClr val="000000"/>
            </a:solidFill>
            <a:prstDash val="solid"/>
          </a:ln>
        </c:spPr>
        <c:txPr>
          <a:bodyPr rot="0" vert="horz"/>
          <a:lstStyle/>
          <a:p>
            <a:pPr>
              <a:defRPr sz="1201" b="1" i="0" u="none" strike="noStrike" baseline="0">
                <a:solidFill>
                  <a:srgbClr val="000000"/>
                </a:solidFill>
                <a:latin typeface="Calibri"/>
                <a:ea typeface="Calibri"/>
                <a:cs typeface="Calibri"/>
              </a:defRPr>
            </a:pPr>
            <a:endParaRPr lang="en-US"/>
          </a:p>
        </c:txPr>
        <c:crossAx val="301420928"/>
        <c:crosses val="autoZero"/>
        <c:auto val="1"/>
        <c:lblAlgn val="ctr"/>
        <c:lblOffset val="100"/>
        <c:tickLblSkip val="1"/>
        <c:tickMarkSkip val="1"/>
        <c:noMultiLvlLbl val="0"/>
      </c:catAx>
      <c:valAx>
        <c:axId val="301420928"/>
        <c:scaling>
          <c:orientation val="minMax"/>
        </c:scaling>
        <c:delete val="0"/>
        <c:axPos val="l"/>
        <c:majorGridlines>
          <c:spPr>
            <a:ln w="3177">
              <a:solidFill>
                <a:srgbClr val="000000"/>
              </a:solidFill>
              <a:prstDash val="solid"/>
            </a:ln>
          </c:spPr>
        </c:majorGridlines>
        <c:title>
          <c:tx>
            <c:rich>
              <a:bodyPr/>
              <a:lstStyle/>
              <a:p>
                <a:pPr>
                  <a:defRPr sz="1051" b="1" i="0" u="none" strike="noStrike" baseline="0">
                    <a:solidFill>
                      <a:srgbClr val="000000"/>
                    </a:solidFill>
                    <a:latin typeface="Calibri"/>
                    <a:ea typeface="Calibri"/>
                    <a:cs typeface="Calibri"/>
                  </a:defRPr>
                </a:pPr>
                <a:r>
                  <a:rPr lang="en-US" sz="801" b="1" i="0" u="none" strike="noStrike" baseline="0">
                    <a:solidFill>
                      <a:srgbClr val="000000"/>
                    </a:solidFill>
                    <a:latin typeface="Calibri"/>
                  </a:rPr>
                  <a:t>Temperatura (</a:t>
                </a:r>
                <a:r>
                  <a:rPr lang="en-US" sz="976" b="1" i="0" u="none" strike="noStrike" baseline="0">
                    <a:solidFill>
                      <a:srgbClr val="000000"/>
                    </a:solidFill>
                    <a:latin typeface="Calibri"/>
                  </a:rPr>
                  <a:t>0</a:t>
                </a:r>
                <a:r>
                  <a:rPr lang="en-US" sz="801" b="1" i="0" u="none" strike="noStrike" baseline="0">
                    <a:solidFill>
                      <a:srgbClr val="000000"/>
                    </a:solidFill>
                    <a:latin typeface="Calibri"/>
                  </a:rPr>
                  <a:t>C)</a:t>
                </a:r>
              </a:p>
            </c:rich>
          </c:tx>
          <c:layout>
            <c:manualLayout>
              <c:xMode val="edge"/>
              <c:yMode val="edge"/>
              <c:x val="9.852216748768473E-3"/>
              <c:y val="0.32142857142857145"/>
            </c:manualLayout>
          </c:layout>
          <c:overlay val="0"/>
          <c:spPr>
            <a:noFill/>
            <a:ln w="25417">
              <a:noFill/>
            </a:ln>
          </c:spPr>
        </c:title>
        <c:numFmt formatCode="General" sourceLinked="1"/>
        <c:majorTickMark val="out"/>
        <c:minorTickMark val="none"/>
        <c:tickLblPos val="nextTo"/>
        <c:spPr>
          <a:ln w="3177">
            <a:solidFill>
              <a:srgbClr val="000000"/>
            </a:solidFill>
            <a:prstDash val="solid"/>
          </a:ln>
        </c:spPr>
        <c:txPr>
          <a:bodyPr rot="0" vert="horz"/>
          <a:lstStyle/>
          <a:p>
            <a:pPr>
              <a:defRPr sz="1201" b="1" i="0" u="none" strike="noStrike" baseline="0">
                <a:solidFill>
                  <a:srgbClr val="000000"/>
                </a:solidFill>
                <a:latin typeface="Calibri"/>
                <a:ea typeface="Calibri"/>
                <a:cs typeface="Calibri"/>
              </a:defRPr>
            </a:pPr>
            <a:endParaRPr lang="en-US"/>
          </a:p>
        </c:txPr>
        <c:crossAx val="301410944"/>
        <c:crosses val="autoZero"/>
        <c:crossBetween val="between"/>
      </c:valAx>
      <c:spPr>
        <a:solidFill>
          <a:srgbClr val="FF8080"/>
        </a:solidFill>
        <a:ln w="12708">
          <a:solidFill>
            <a:srgbClr val="808080"/>
          </a:solidFill>
          <a:prstDash val="solid"/>
        </a:ln>
      </c:spPr>
    </c:plotArea>
    <c:legend>
      <c:legendPos val="r"/>
      <c:layout>
        <c:manualLayout>
          <c:xMode val="edge"/>
          <c:yMode val="edge"/>
          <c:x val="0.70935960591133007"/>
          <c:y val="0.41785714285714287"/>
          <c:w val="0.28407224958949095"/>
          <c:h val="0.26071428571428573"/>
        </c:manualLayout>
      </c:layout>
      <c:overlay val="0"/>
      <c:spPr>
        <a:noFill/>
        <a:ln w="3177">
          <a:solidFill>
            <a:srgbClr val="000000"/>
          </a:solidFill>
          <a:prstDash val="solid"/>
        </a:ln>
      </c:spPr>
      <c:txPr>
        <a:bodyPr/>
        <a:lstStyle/>
        <a:p>
          <a:pPr>
            <a:defRPr sz="1101"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201" b="1" i="0" u="none" strike="noStrike" baseline="0">
          <a:solidFill>
            <a:srgbClr val="000000"/>
          </a:solidFill>
          <a:latin typeface="Calibri"/>
          <a:ea typeface="Calibri"/>
          <a:cs typeface="Calibri"/>
        </a:defRPr>
      </a:pPr>
      <a:endParaRPr lang="en-US"/>
    </a:p>
  </c:txPr>
  <c:externalData r:id="rId1">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7"/>
      <c:rotY val="20"/>
      <c:depthPercent val="100"/>
      <c:rAngAx val="1"/>
    </c:view3D>
    <c:floor>
      <c:thickness val="0"/>
      <c:spPr>
        <a:solidFill>
          <a:srgbClr val="C0C0C0"/>
        </a:solidFill>
        <a:ln w="3175">
          <a:solidFill>
            <a:srgbClr val="000000"/>
          </a:solidFill>
          <a:prstDash val="solid"/>
        </a:ln>
      </c:spPr>
    </c:floor>
    <c:sideWall>
      <c:thickness val="0"/>
      <c:spPr>
        <a:solidFill>
          <a:srgbClr val="FF8080"/>
        </a:solidFill>
        <a:ln w="12700">
          <a:solidFill>
            <a:srgbClr val="808080"/>
          </a:solidFill>
          <a:prstDash val="solid"/>
        </a:ln>
      </c:spPr>
    </c:sideWall>
    <c:backWall>
      <c:thickness val="0"/>
      <c:spPr>
        <a:solidFill>
          <a:srgbClr val="FF8080"/>
        </a:solidFill>
        <a:ln w="12700">
          <a:solidFill>
            <a:srgbClr val="808080"/>
          </a:solidFill>
          <a:prstDash val="solid"/>
        </a:ln>
      </c:spPr>
    </c:backWall>
    <c:plotArea>
      <c:layout>
        <c:manualLayout>
          <c:layoutTarget val="inner"/>
          <c:xMode val="edge"/>
          <c:yMode val="edge"/>
          <c:x val="9.1205211726384364E-2"/>
          <c:y val="7.1969696969696975E-2"/>
          <c:w val="0.62703583061889245"/>
          <c:h val="0.77272727272727271"/>
        </c:manualLayout>
      </c:layout>
      <c:bar3DChart>
        <c:barDir val="col"/>
        <c:grouping val="clustered"/>
        <c:varyColors val="0"/>
        <c:ser>
          <c:idx val="0"/>
          <c:order val="0"/>
          <c:tx>
            <c:strRef>
              <c:f>Sheet1!$A$2</c:f>
              <c:strCache>
                <c:ptCount val="1"/>
                <c:pt idx="0">
                  <c:v>Staţia meteo Vaslui</c:v>
                </c:pt>
              </c:strCache>
            </c:strRef>
          </c:tx>
          <c:spPr>
            <a:solidFill>
              <a:srgbClr val="9999FF"/>
            </a:solidFill>
            <a:ln w="12699">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9.6999999999999993</c:v>
                </c:pt>
                <c:pt idx="1">
                  <c:v>10.3</c:v>
                </c:pt>
                <c:pt idx="2">
                  <c:v>10.5</c:v>
                </c:pt>
                <c:pt idx="3">
                  <c:v>10.199999999999999</c:v>
                </c:pt>
                <c:pt idx="4">
                  <c:v>11.1</c:v>
                </c:pt>
              </c:numCache>
            </c:numRef>
          </c:val>
        </c:ser>
        <c:ser>
          <c:idx val="1"/>
          <c:order val="1"/>
          <c:tx>
            <c:strRef>
              <c:f>Sheet1!$A$3</c:f>
              <c:strCache>
                <c:ptCount val="1"/>
                <c:pt idx="0">
                  <c:v>Staţia meteo Bârlad</c:v>
                </c:pt>
              </c:strCache>
            </c:strRef>
          </c:tx>
          <c:spPr>
            <a:solidFill>
              <a:srgbClr val="993366"/>
            </a:solidFill>
            <a:ln w="12699">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Sheet1!$B$3:$F$3</c:f>
              <c:numCache>
                <c:formatCode>General</c:formatCode>
                <c:ptCount val="5"/>
                <c:pt idx="0">
                  <c:v>10.1</c:v>
                </c:pt>
                <c:pt idx="1">
                  <c:v>10.9</c:v>
                </c:pt>
                <c:pt idx="2">
                  <c:v>10.8</c:v>
                </c:pt>
                <c:pt idx="3">
                  <c:v>10.5</c:v>
                </c:pt>
                <c:pt idx="4">
                  <c:v>11.6</c:v>
                </c:pt>
              </c:numCache>
            </c:numRef>
          </c:val>
        </c:ser>
        <c:ser>
          <c:idx val="2"/>
          <c:order val="2"/>
          <c:tx>
            <c:strRef>
              <c:f>Sheet1!$A$4</c:f>
              <c:strCache>
                <c:ptCount val="1"/>
                <c:pt idx="0">
                  <c:v>Staţia meteo Negreşti</c:v>
                </c:pt>
              </c:strCache>
            </c:strRef>
          </c:tx>
          <c:spPr>
            <a:solidFill>
              <a:srgbClr val="FFFFCC"/>
            </a:solidFill>
            <a:ln w="12699">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Sheet1!$B$4:$F$4</c:f>
              <c:numCache>
                <c:formatCode>General</c:formatCode>
                <c:ptCount val="5"/>
                <c:pt idx="0">
                  <c:v>9.5</c:v>
                </c:pt>
                <c:pt idx="1">
                  <c:v>10</c:v>
                </c:pt>
                <c:pt idx="2">
                  <c:v>10.5</c:v>
                </c:pt>
                <c:pt idx="3">
                  <c:v>10.3</c:v>
                </c:pt>
                <c:pt idx="4">
                  <c:v>11.2</c:v>
                </c:pt>
              </c:numCache>
            </c:numRef>
          </c:val>
        </c:ser>
        <c:dLbls>
          <c:showLegendKey val="0"/>
          <c:showVal val="0"/>
          <c:showCatName val="0"/>
          <c:showSerName val="0"/>
          <c:showPercent val="0"/>
          <c:showBubbleSize val="0"/>
        </c:dLbls>
        <c:gapWidth val="150"/>
        <c:gapDepth val="0"/>
        <c:shape val="box"/>
        <c:axId val="301463808"/>
        <c:axId val="301662208"/>
        <c:axId val="0"/>
      </c:bar3DChart>
      <c:catAx>
        <c:axId val="30146380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150" b="1" i="0" u="none" strike="noStrike" baseline="0">
                <a:solidFill>
                  <a:srgbClr val="000000"/>
                </a:solidFill>
                <a:latin typeface="Calibri"/>
                <a:ea typeface="Calibri"/>
                <a:cs typeface="Calibri"/>
              </a:defRPr>
            </a:pPr>
            <a:endParaRPr lang="en-US"/>
          </a:p>
        </c:txPr>
        <c:crossAx val="301662208"/>
        <c:crosses val="autoZero"/>
        <c:auto val="1"/>
        <c:lblAlgn val="ctr"/>
        <c:lblOffset val="100"/>
        <c:tickLblSkip val="1"/>
        <c:tickMarkSkip val="1"/>
        <c:noMultiLvlLbl val="0"/>
      </c:catAx>
      <c:valAx>
        <c:axId val="301662208"/>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Calibri"/>
                    <a:ea typeface="Calibri"/>
                    <a:cs typeface="Calibri"/>
                  </a:defRPr>
                </a:pPr>
                <a:r>
                  <a:rPr lang="en-US" sz="800" b="1" i="0" u="none" strike="noStrike" baseline="0">
                    <a:solidFill>
                      <a:srgbClr val="000000"/>
                    </a:solidFill>
                    <a:latin typeface="Calibri"/>
                  </a:rPr>
                  <a:t>Temperatura (</a:t>
                </a:r>
                <a:r>
                  <a:rPr lang="en-US" sz="975" b="1" i="0" u="none" strike="noStrike" baseline="0">
                    <a:solidFill>
                      <a:srgbClr val="000000"/>
                    </a:solidFill>
                    <a:latin typeface="Calibri"/>
                  </a:rPr>
                  <a:t>0</a:t>
                </a:r>
                <a:r>
                  <a:rPr lang="en-US" sz="800" b="1" i="0" u="none" strike="noStrike" baseline="0">
                    <a:solidFill>
                      <a:srgbClr val="000000"/>
                    </a:solidFill>
                    <a:latin typeface="Calibri"/>
                  </a:rPr>
                  <a:t>C)</a:t>
                </a:r>
              </a:p>
            </c:rich>
          </c:tx>
          <c:layout>
            <c:manualLayout>
              <c:xMode val="edge"/>
              <c:yMode val="edge"/>
              <c:x val="4.5602605863192182E-2"/>
              <c:y val="0.30681818181818182"/>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1150" b="1" i="0" u="none" strike="noStrike" baseline="0">
                <a:solidFill>
                  <a:srgbClr val="000000"/>
                </a:solidFill>
                <a:latin typeface="Calibri"/>
                <a:ea typeface="Calibri"/>
                <a:cs typeface="Calibri"/>
              </a:defRPr>
            </a:pPr>
            <a:endParaRPr lang="en-US"/>
          </a:p>
        </c:txPr>
        <c:crossAx val="301463808"/>
        <c:crosses val="autoZero"/>
        <c:crossBetween val="between"/>
      </c:valAx>
      <c:spPr>
        <a:noFill/>
        <a:ln w="25399">
          <a:noFill/>
        </a:ln>
      </c:spPr>
    </c:plotArea>
    <c:legend>
      <c:legendPos val="r"/>
      <c:layout>
        <c:manualLayout>
          <c:xMode val="edge"/>
          <c:yMode val="edge"/>
          <c:x val="0.73615635179153094"/>
          <c:y val="0.36742424242424243"/>
          <c:w val="0.25732899022801303"/>
          <c:h val="0.26515151515151514"/>
        </c:manualLayout>
      </c:layout>
      <c:overlay val="0"/>
      <c:spPr>
        <a:noFill/>
        <a:ln w="3175">
          <a:solidFill>
            <a:srgbClr val="000000"/>
          </a:solidFill>
          <a:prstDash val="solid"/>
        </a:ln>
      </c:spPr>
      <c:txPr>
        <a:bodyPr/>
        <a:lstStyle/>
        <a:p>
          <a:pPr>
            <a:defRPr sz="1055"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150" b="1" i="0" u="none" strike="noStrike" baseline="0">
          <a:solidFill>
            <a:srgbClr val="000000"/>
          </a:solidFill>
          <a:latin typeface="Calibri"/>
          <a:ea typeface="Calibri"/>
          <a:cs typeface="Calibri"/>
        </a:defRPr>
      </a:pPr>
      <a:endParaRPr lang="en-US"/>
    </a:p>
  </c:txPr>
  <c:externalData r:id="rId1">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36"/>
      <c:rotY val="20"/>
      <c:depthPercent val="100"/>
      <c:rAngAx val="1"/>
    </c:view3D>
    <c:floor>
      <c:thickness val="0"/>
      <c:spPr>
        <a:solidFill>
          <a:srgbClr val="C0C0C0"/>
        </a:solidFill>
        <a:ln w="3175">
          <a:solidFill>
            <a:srgbClr val="000000"/>
          </a:solidFill>
          <a:prstDash val="solid"/>
        </a:ln>
      </c:spPr>
    </c:floor>
    <c:sideWall>
      <c:thickness val="0"/>
      <c:spPr>
        <a:solidFill>
          <a:srgbClr val="FF8080"/>
        </a:solidFill>
        <a:ln w="12700">
          <a:solidFill>
            <a:srgbClr val="808080"/>
          </a:solidFill>
          <a:prstDash val="solid"/>
        </a:ln>
      </c:spPr>
    </c:sideWall>
    <c:backWall>
      <c:thickness val="0"/>
      <c:spPr>
        <a:solidFill>
          <a:srgbClr val="FF8080"/>
        </a:solidFill>
        <a:ln w="12700">
          <a:solidFill>
            <a:srgbClr val="808080"/>
          </a:solidFill>
          <a:prstDash val="solid"/>
        </a:ln>
      </c:spPr>
    </c:backWall>
    <c:plotArea>
      <c:layout>
        <c:manualLayout>
          <c:layoutTarget val="inner"/>
          <c:xMode val="edge"/>
          <c:yMode val="edge"/>
          <c:x val="6.1633281972265024E-2"/>
          <c:y val="4.2253521126760563E-2"/>
          <c:w val="0.63790446841294302"/>
          <c:h val="0.68544600938967137"/>
        </c:manualLayout>
      </c:layout>
      <c:bar3DChart>
        <c:barDir val="bar"/>
        <c:grouping val="clustered"/>
        <c:varyColors val="0"/>
        <c:ser>
          <c:idx val="0"/>
          <c:order val="0"/>
          <c:tx>
            <c:strRef>
              <c:f>Sheet1!$A$2</c:f>
              <c:strCache>
                <c:ptCount val="1"/>
                <c:pt idx="0">
                  <c:v>Staţia meteorologică Vaslui</c:v>
                </c:pt>
              </c:strCache>
            </c:strRef>
          </c:tx>
          <c:spPr>
            <a:solidFill>
              <a:srgbClr val="9999FF"/>
            </a:solidFill>
            <a:ln w="12681">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418.8</c:v>
                </c:pt>
                <c:pt idx="1">
                  <c:v>652.9</c:v>
                </c:pt>
                <c:pt idx="2">
                  <c:v>652.70000000000005</c:v>
                </c:pt>
                <c:pt idx="3">
                  <c:v>721.4</c:v>
                </c:pt>
                <c:pt idx="4">
                  <c:v>456.9</c:v>
                </c:pt>
              </c:numCache>
            </c:numRef>
          </c:val>
        </c:ser>
        <c:ser>
          <c:idx val="1"/>
          <c:order val="1"/>
          <c:tx>
            <c:strRef>
              <c:f>Sheet1!$A$3</c:f>
              <c:strCache>
                <c:ptCount val="1"/>
                <c:pt idx="0">
                  <c:v>Staţia meteorologică Bârlad</c:v>
                </c:pt>
              </c:strCache>
            </c:strRef>
          </c:tx>
          <c:spPr>
            <a:solidFill>
              <a:srgbClr val="993366"/>
            </a:solidFill>
            <a:ln w="12681">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Sheet1!$B$3:$F$3</c:f>
              <c:numCache>
                <c:formatCode>General</c:formatCode>
                <c:ptCount val="5"/>
                <c:pt idx="0">
                  <c:v>360.1</c:v>
                </c:pt>
                <c:pt idx="1">
                  <c:v>491</c:v>
                </c:pt>
                <c:pt idx="2">
                  <c:v>635.4</c:v>
                </c:pt>
                <c:pt idx="3">
                  <c:v>595.79999999999995</c:v>
                </c:pt>
                <c:pt idx="4">
                  <c:v>498.7</c:v>
                </c:pt>
              </c:numCache>
            </c:numRef>
          </c:val>
        </c:ser>
        <c:ser>
          <c:idx val="2"/>
          <c:order val="2"/>
          <c:tx>
            <c:strRef>
              <c:f>Sheet1!$A$4</c:f>
              <c:strCache>
                <c:ptCount val="1"/>
                <c:pt idx="0">
                  <c:v>Staţia meteorologică Negreşti</c:v>
                </c:pt>
              </c:strCache>
            </c:strRef>
          </c:tx>
          <c:spPr>
            <a:solidFill>
              <a:srgbClr val="FFFFCC"/>
            </a:solidFill>
            <a:ln w="12681">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Sheet1!$B$4:$F$4</c:f>
              <c:numCache>
                <c:formatCode>General</c:formatCode>
                <c:ptCount val="5"/>
                <c:pt idx="0">
                  <c:v>330</c:v>
                </c:pt>
                <c:pt idx="1">
                  <c:v>481.1</c:v>
                </c:pt>
                <c:pt idx="2">
                  <c:v>520.20000000000005</c:v>
                </c:pt>
                <c:pt idx="3">
                  <c:v>560.1</c:v>
                </c:pt>
                <c:pt idx="4">
                  <c:v>435.3</c:v>
                </c:pt>
              </c:numCache>
            </c:numRef>
          </c:val>
        </c:ser>
        <c:dLbls>
          <c:showLegendKey val="0"/>
          <c:showVal val="0"/>
          <c:showCatName val="0"/>
          <c:showSerName val="0"/>
          <c:showPercent val="0"/>
          <c:showBubbleSize val="0"/>
        </c:dLbls>
        <c:gapWidth val="150"/>
        <c:gapDepth val="0"/>
        <c:shape val="box"/>
        <c:axId val="301864832"/>
        <c:axId val="301866368"/>
        <c:axId val="0"/>
      </c:bar3DChart>
      <c:catAx>
        <c:axId val="301864832"/>
        <c:scaling>
          <c:orientation val="minMax"/>
        </c:scaling>
        <c:delete val="0"/>
        <c:axPos val="l"/>
        <c:numFmt formatCode="General" sourceLinked="1"/>
        <c:majorTickMark val="out"/>
        <c:minorTickMark val="none"/>
        <c:tickLblPos val="low"/>
        <c:spPr>
          <a:ln w="3170">
            <a:solidFill>
              <a:srgbClr val="000000"/>
            </a:solidFill>
            <a:prstDash val="solid"/>
          </a:ln>
        </c:spPr>
        <c:txPr>
          <a:bodyPr rot="0" vert="horz"/>
          <a:lstStyle/>
          <a:p>
            <a:pPr>
              <a:defRPr sz="924" b="1" i="0" u="none" strike="noStrike" baseline="0">
                <a:solidFill>
                  <a:srgbClr val="000000"/>
                </a:solidFill>
                <a:latin typeface="Calibri"/>
                <a:ea typeface="Calibri"/>
                <a:cs typeface="Calibri"/>
              </a:defRPr>
            </a:pPr>
            <a:endParaRPr lang="en-US"/>
          </a:p>
        </c:txPr>
        <c:crossAx val="301866368"/>
        <c:crosses val="autoZero"/>
        <c:auto val="1"/>
        <c:lblAlgn val="ctr"/>
        <c:lblOffset val="100"/>
        <c:tickLblSkip val="1"/>
        <c:tickMarkSkip val="1"/>
        <c:noMultiLvlLbl val="0"/>
      </c:catAx>
      <c:valAx>
        <c:axId val="301866368"/>
        <c:scaling>
          <c:orientation val="minMax"/>
        </c:scaling>
        <c:delete val="0"/>
        <c:axPos val="b"/>
        <c:majorGridlines>
          <c:spPr>
            <a:ln w="3170">
              <a:solidFill>
                <a:srgbClr val="000000"/>
              </a:solidFill>
              <a:prstDash val="solid"/>
            </a:ln>
          </c:spPr>
        </c:majorGridlines>
        <c:title>
          <c:tx>
            <c:rich>
              <a:bodyPr/>
              <a:lstStyle/>
              <a:p>
                <a:pPr>
                  <a:defRPr sz="974" b="1" i="0" u="none" strike="noStrike" baseline="0">
                    <a:solidFill>
                      <a:srgbClr val="000000"/>
                    </a:solidFill>
                    <a:latin typeface="Arial"/>
                    <a:ea typeface="Arial"/>
                    <a:cs typeface="Arial"/>
                  </a:defRPr>
                </a:pPr>
                <a:r>
                  <a:rPr lang="en-US"/>
                  <a:t>l/mp</a:t>
                </a:r>
              </a:p>
            </c:rich>
          </c:tx>
          <c:layout>
            <c:manualLayout>
              <c:xMode val="edge"/>
              <c:yMode val="edge"/>
              <c:x val="0.3559322033898305"/>
              <c:y val="0.85446009389671362"/>
            </c:manualLayout>
          </c:layout>
          <c:overlay val="0"/>
          <c:spPr>
            <a:noFill/>
            <a:ln w="25361">
              <a:noFill/>
            </a:ln>
          </c:spPr>
        </c:title>
        <c:numFmt formatCode="General" sourceLinked="1"/>
        <c:majorTickMark val="out"/>
        <c:minorTickMark val="none"/>
        <c:tickLblPos val="nextTo"/>
        <c:spPr>
          <a:ln w="3170">
            <a:solidFill>
              <a:srgbClr val="000000"/>
            </a:solidFill>
            <a:prstDash val="solid"/>
          </a:ln>
        </c:spPr>
        <c:txPr>
          <a:bodyPr rot="0" vert="horz"/>
          <a:lstStyle/>
          <a:p>
            <a:pPr>
              <a:defRPr sz="924" b="1" i="0" u="none" strike="noStrike" baseline="0">
                <a:solidFill>
                  <a:srgbClr val="000000"/>
                </a:solidFill>
                <a:latin typeface="Calibri"/>
                <a:ea typeface="Calibri"/>
                <a:cs typeface="Calibri"/>
              </a:defRPr>
            </a:pPr>
            <a:endParaRPr lang="en-US"/>
          </a:p>
        </c:txPr>
        <c:crossAx val="301864832"/>
        <c:crosses val="autoZero"/>
        <c:crossBetween val="between"/>
      </c:valAx>
      <c:spPr>
        <a:noFill/>
        <a:ln w="25361">
          <a:noFill/>
        </a:ln>
      </c:spPr>
    </c:plotArea>
    <c:legend>
      <c:legendPos val="r"/>
      <c:layout>
        <c:manualLayout>
          <c:xMode val="edge"/>
          <c:yMode val="edge"/>
          <c:x val="0.73497688751926038"/>
          <c:y val="0.35680751173708919"/>
          <c:w val="0.25885978428351308"/>
          <c:h val="0.28638497652582162"/>
        </c:manualLayout>
      </c:layout>
      <c:overlay val="0"/>
      <c:spPr>
        <a:noFill/>
        <a:ln w="3170">
          <a:solidFill>
            <a:srgbClr val="000000"/>
          </a:solidFill>
          <a:prstDash val="solid"/>
        </a:ln>
      </c:spPr>
      <c:txPr>
        <a:bodyPr/>
        <a:lstStyle/>
        <a:p>
          <a:pPr>
            <a:defRPr sz="849"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924" b="1" i="0" u="none" strike="noStrike" baseline="0">
          <a:solidFill>
            <a:srgbClr val="000000"/>
          </a:solidFill>
          <a:latin typeface="Calibri"/>
          <a:ea typeface="Calibri"/>
          <a:cs typeface="Calibri"/>
        </a:defRPr>
      </a:pPr>
      <a:endParaRPr lang="en-US"/>
    </a:p>
  </c:txPr>
  <c:externalData r:id="rId1">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74407582938412"/>
          <c:y val="9.4594594594595321E-2"/>
          <c:w val="0.8420221169036336"/>
          <c:h val="0.72972972972972971"/>
        </c:manualLayout>
      </c:layout>
      <c:lineChart>
        <c:grouping val="standard"/>
        <c:varyColors val="0"/>
        <c:ser>
          <c:idx val="0"/>
          <c:order val="0"/>
          <c:tx>
            <c:strRef>
              <c:f>Sheet1!$A$2</c:f>
              <c:strCache>
                <c:ptCount val="1"/>
                <c:pt idx="0">
                  <c:v>maxima anuală</c:v>
                </c:pt>
              </c:strCache>
            </c:strRef>
          </c:tx>
          <c:spPr>
            <a:ln w="12680">
              <a:solidFill>
                <a:srgbClr val="000080"/>
              </a:solidFill>
              <a:prstDash val="solid"/>
            </a:ln>
          </c:spPr>
          <c:marker>
            <c:symbol val="diamond"/>
            <c:size val="4"/>
            <c:spPr>
              <a:solidFill>
                <a:srgbClr val="000080"/>
              </a:solidFill>
              <a:ln>
                <a:solidFill>
                  <a:srgbClr val="000080"/>
                </a:solidFill>
                <a:prstDash val="solid"/>
              </a:ln>
            </c:spPr>
          </c:marker>
          <c:dLbls>
            <c:spPr>
              <a:noFill/>
              <a:ln w="25360">
                <a:noFill/>
              </a:ln>
            </c:spPr>
            <c:txPr>
              <a:bodyPr/>
              <a:lstStyle/>
              <a:p>
                <a:pPr>
                  <a:defRPr sz="973"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dLbls>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0.13500000000000001</c:v>
                </c:pt>
                <c:pt idx="1">
                  <c:v>0.13600000000000001</c:v>
                </c:pt>
                <c:pt idx="2">
                  <c:v>0.13200000000000001</c:v>
                </c:pt>
                <c:pt idx="3">
                  <c:v>0.1520000000000003</c:v>
                </c:pt>
                <c:pt idx="4">
                  <c:v>0.14900000000000024</c:v>
                </c:pt>
              </c:numCache>
            </c:numRef>
          </c:val>
          <c:smooth val="0"/>
        </c:ser>
        <c:ser>
          <c:idx val="1"/>
          <c:order val="1"/>
          <c:tx>
            <c:strRef>
              <c:f>Sheet1!$A$3</c:f>
              <c:strCache>
                <c:ptCount val="1"/>
                <c:pt idx="0">
                  <c:v>media anuală</c:v>
                </c:pt>
              </c:strCache>
            </c:strRef>
          </c:tx>
          <c:spPr>
            <a:ln w="12680">
              <a:solidFill>
                <a:srgbClr val="FF00FF"/>
              </a:solidFill>
              <a:prstDash val="solid"/>
            </a:ln>
          </c:spPr>
          <c:marker>
            <c:symbol val="square"/>
            <c:size val="4"/>
            <c:spPr>
              <a:solidFill>
                <a:srgbClr val="FF00FF"/>
              </a:solidFill>
              <a:ln>
                <a:solidFill>
                  <a:srgbClr val="FF00FF"/>
                </a:solidFill>
                <a:prstDash val="solid"/>
              </a:ln>
            </c:spPr>
          </c:marker>
          <c:dLbls>
            <c:spPr>
              <a:noFill/>
              <a:ln w="25360">
                <a:noFill/>
              </a:ln>
            </c:spPr>
            <c:txPr>
              <a:bodyPr/>
              <a:lstStyle/>
              <a:p>
                <a:pPr>
                  <a:defRPr sz="973"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dLbls>
          <c:cat>
            <c:numRef>
              <c:f>Sheet1!$B$1:$F$1</c:f>
              <c:numCache>
                <c:formatCode>General</c:formatCode>
                <c:ptCount val="5"/>
                <c:pt idx="0">
                  <c:v>2011</c:v>
                </c:pt>
                <c:pt idx="1">
                  <c:v>2012</c:v>
                </c:pt>
                <c:pt idx="2">
                  <c:v>2013</c:v>
                </c:pt>
                <c:pt idx="3">
                  <c:v>2014</c:v>
                </c:pt>
                <c:pt idx="4">
                  <c:v>2015</c:v>
                </c:pt>
              </c:numCache>
            </c:numRef>
          </c:cat>
          <c:val>
            <c:numRef>
              <c:f>Sheet1!$B$3:$F$3</c:f>
              <c:numCache>
                <c:formatCode>General</c:formatCode>
                <c:ptCount val="5"/>
                <c:pt idx="0">
                  <c:v>8.9000000000000204E-2</c:v>
                </c:pt>
                <c:pt idx="1">
                  <c:v>9.4000000000000222E-2</c:v>
                </c:pt>
                <c:pt idx="2">
                  <c:v>9.5000000000000168E-2</c:v>
                </c:pt>
                <c:pt idx="3">
                  <c:v>9.7000000000000045E-2</c:v>
                </c:pt>
                <c:pt idx="4">
                  <c:v>0.10400000000000002</c:v>
                </c:pt>
              </c:numCache>
            </c:numRef>
          </c:val>
          <c:smooth val="0"/>
        </c:ser>
        <c:dLbls>
          <c:showLegendKey val="0"/>
          <c:showVal val="1"/>
          <c:showCatName val="0"/>
          <c:showSerName val="0"/>
          <c:showPercent val="0"/>
          <c:showBubbleSize val="0"/>
        </c:dLbls>
        <c:marker val="1"/>
        <c:smooth val="0"/>
        <c:axId val="301913216"/>
        <c:axId val="301914752"/>
      </c:lineChart>
      <c:catAx>
        <c:axId val="301913216"/>
        <c:scaling>
          <c:orientation val="minMax"/>
        </c:scaling>
        <c:delete val="0"/>
        <c:axPos val="b"/>
        <c:numFmt formatCode="General" sourceLinked="1"/>
        <c:majorTickMark val="out"/>
        <c:minorTickMark val="none"/>
        <c:tickLblPos val="nextTo"/>
        <c:spPr>
          <a:ln w="3170">
            <a:solidFill>
              <a:srgbClr val="000000"/>
            </a:solidFill>
            <a:prstDash val="solid"/>
          </a:ln>
        </c:spPr>
        <c:txPr>
          <a:bodyPr rot="0" vert="horz"/>
          <a:lstStyle/>
          <a:p>
            <a:pPr>
              <a:defRPr sz="973" b="1" i="0" u="none" strike="noStrike" baseline="0">
                <a:solidFill>
                  <a:srgbClr val="000000"/>
                </a:solidFill>
                <a:latin typeface="Calibri"/>
                <a:ea typeface="Calibri"/>
                <a:cs typeface="Calibri"/>
              </a:defRPr>
            </a:pPr>
            <a:endParaRPr lang="en-US"/>
          </a:p>
        </c:txPr>
        <c:crossAx val="301914752"/>
        <c:crosses val="autoZero"/>
        <c:auto val="1"/>
        <c:lblAlgn val="ctr"/>
        <c:lblOffset val="100"/>
        <c:tickLblSkip val="1"/>
        <c:tickMarkSkip val="1"/>
        <c:noMultiLvlLbl val="0"/>
      </c:catAx>
      <c:valAx>
        <c:axId val="301914752"/>
        <c:scaling>
          <c:orientation val="minMax"/>
          <c:max val="0.30000000000000032"/>
        </c:scaling>
        <c:delete val="0"/>
        <c:axPos val="l"/>
        <c:majorGridlines>
          <c:spPr>
            <a:ln w="3170">
              <a:solidFill>
                <a:srgbClr val="000000"/>
              </a:solidFill>
              <a:prstDash val="solid"/>
            </a:ln>
          </c:spPr>
        </c:majorGridlines>
        <c:title>
          <c:tx>
            <c:rich>
              <a:bodyPr/>
              <a:lstStyle/>
              <a:p>
                <a:pPr>
                  <a:defRPr sz="899" b="1" i="0" u="none" strike="noStrike" baseline="0">
                    <a:solidFill>
                      <a:srgbClr val="000000"/>
                    </a:solidFill>
                    <a:latin typeface="Arial"/>
                    <a:ea typeface="Arial"/>
                    <a:cs typeface="Arial"/>
                  </a:defRPr>
                </a:pPr>
                <a:r>
                  <a:rPr lang="en-US"/>
                  <a:t>microSv/h</a:t>
                </a:r>
              </a:p>
            </c:rich>
          </c:tx>
          <c:layout>
            <c:manualLayout>
              <c:xMode val="edge"/>
              <c:yMode val="edge"/>
              <c:x val="2.0537124802527645E-2"/>
              <c:y val="0.31981981981982283"/>
            </c:manualLayout>
          </c:layout>
          <c:overlay val="0"/>
          <c:spPr>
            <a:noFill/>
            <a:ln w="25360">
              <a:noFill/>
            </a:ln>
          </c:spPr>
        </c:title>
        <c:numFmt formatCode="General" sourceLinked="1"/>
        <c:majorTickMark val="out"/>
        <c:minorTickMark val="none"/>
        <c:tickLblPos val="nextTo"/>
        <c:spPr>
          <a:ln w="3170">
            <a:solidFill>
              <a:srgbClr val="000000"/>
            </a:solidFill>
            <a:prstDash val="solid"/>
          </a:ln>
        </c:spPr>
        <c:txPr>
          <a:bodyPr rot="0" vert="horz"/>
          <a:lstStyle/>
          <a:p>
            <a:pPr>
              <a:defRPr sz="973" b="1" i="0" u="none" strike="noStrike" baseline="0">
                <a:solidFill>
                  <a:srgbClr val="000000"/>
                </a:solidFill>
                <a:latin typeface="Calibri"/>
                <a:ea typeface="Calibri"/>
                <a:cs typeface="Calibri"/>
              </a:defRPr>
            </a:pPr>
            <a:endParaRPr lang="en-US"/>
          </a:p>
        </c:txPr>
        <c:crossAx val="301913216"/>
        <c:crosses val="autoZero"/>
        <c:crossBetween val="between"/>
      </c:valAx>
      <c:spPr>
        <a:solidFill>
          <a:srgbClr val="FFFFFF"/>
        </a:solidFill>
        <a:ln w="12680">
          <a:solidFill>
            <a:srgbClr val="808080"/>
          </a:solidFill>
          <a:prstDash val="solid"/>
        </a:ln>
      </c:spPr>
    </c:plotArea>
    <c:legend>
      <c:legendPos val="r"/>
      <c:layout>
        <c:manualLayout>
          <c:xMode val="edge"/>
          <c:yMode val="edge"/>
          <c:x val="0.16903633491311248"/>
          <c:y val="0"/>
          <c:w val="0.58925750394944598"/>
          <c:h val="9.9099099099099891E-2"/>
        </c:manualLayout>
      </c:layout>
      <c:overlay val="0"/>
      <c:spPr>
        <a:noFill/>
        <a:ln w="3170">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973" b="1" i="0" u="none" strike="noStrike" baseline="0">
          <a:solidFill>
            <a:srgbClr val="000000"/>
          </a:solidFill>
          <a:latin typeface="Calibri"/>
          <a:ea typeface="Calibri"/>
          <a:cs typeface="Calibri"/>
        </a:defRPr>
      </a:pPr>
      <a:endParaRPr lang="en-US"/>
    </a:p>
  </c:txPr>
  <c:externalData r:id="rId2">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6906854130057"/>
          <c:y val="9.4488188976377951E-2"/>
          <c:w val="0.83655536028119504"/>
          <c:h val="0.73622047244094713"/>
        </c:manualLayout>
      </c:layout>
      <c:lineChart>
        <c:grouping val="standard"/>
        <c:varyColors val="0"/>
        <c:ser>
          <c:idx val="0"/>
          <c:order val="0"/>
          <c:tx>
            <c:strRef>
              <c:f>Sheet1!$A$2</c:f>
              <c:strCache>
                <c:ptCount val="1"/>
                <c:pt idx="0">
                  <c:v>media anuală</c:v>
                </c:pt>
              </c:strCache>
            </c:strRef>
          </c:tx>
          <c:spPr>
            <a:ln w="12678">
              <a:solidFill>
                <a:srgbClr val="000080"/>
              </a:solidFill>
              <a:prstDash val="solid"/>
            </a:ln>
          </c:spPr>
          <c:marker>
            <c:symbol val="diamond"/>
            <c:size val="4"/>
            <c:spPr>
              <a:solidFill>
                <a:srgbClr val="000080"/>
              </a:solidFill>
              <a:ln>
                <a:solidFill>
                  <a:srgbClr val="000080"/>
                </a:solidFill>
                <a:prstDash val="solid"/>
              </a:ln>
            </c:spPr>
          </c:marker>
          <c:dLbls>
            <c:spPr>
              <a:noFill/>
              <a:ln w="25356">
                <a:noFill/>
              </a:ln>
            </c:spPr>
            <c:txPr>
              <a:bodyPr/>
              <a:lstStyle/>
              <a:p>
                <a:pPr>
                  <a:defRPr sz="1123"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4.4300000000000024</c:v>
                </c:pt>
                <c:pt idx="1">
                  <c:v>4.8</c:v>
                </c:pt>
                <c:pt idx="2">
                  <c:v>2.98</c:v>
                </c:pt>
                <c:pt idx="3">
                  <c:v>5.68</c:v>
                </c:pt>
                <c:pt idx="4">
                  <c:v>4.96</c:v>
                </c:pt>
              </c:numCache>
            </c:numRef>
          </c:val>
          <c:smooth val="0"/>
        </c:ser>
        <c:ser>
          <c:idx val="1"/>
          <c:order val="1"/>
          <c:tx>
            <c:strRef>
              <c:f>Sheet1!$A$3</c:f>
              <c:strCache>
                <c:ptCount val="1"/>
                <c:pt idx="0">
                  <c:v>maxima anuală</c:v>
                </c:pt>
              </c:strCache>
            </c:strRef>
          </c:tx>
          <c:spPr>
            <a:ln w="12678">
              <a:solidFill>
                <a:srgbClr val="FF00FF"/>
              </a:solidFill>
              <a:prstDash val="solid"/>
            </a:ln>
          </c:spPr>
          <c:marker>
            <c:symbol val="square"/>
            <c:size val="4"/>
            <c:spPr>
              <a:solidFill>
                <a:srgbClr val="FF00FF"/>
              </a:solidFill>
              <a:ln>
                <a:solidFill>
                  <a:srgbClr val="FF00FF"/>
                </a:solidFill>
                <a:prstDash val="solid"/>
              </a:ln>
            </c:spPr>
          </c:marker>
          <c:dLbls>
            <c:spPr>
              <a:noFill/>
              <a:ln w="25356">
                <a:noFill/>
              </a:ln>
            </c:spPr>
            <c:txPr>
              <a:bodyPr/>
              <a:lstStyle/>
              <a:p>
                <a:pPr>
                  <a:defRPr sz="1123"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numRef>
              <c:f>Sheet1!$B$1:$F$1</c:f>
              <c:numCache>
                <c:formatCode>General</c:formatCode>
                <c:ptCount val="5"/>
                <c:pt idx="0">
                  <c:v>2011</c:v>
                </c:pt>
                <c:pt idx="1">
                  <c:v>2012</c:v>
                </c:pt>
                <c:pt idx="2">
                  <c:v>2013</c:v>
                </c:pt>
                <c:pt idx="3">
                  <c:v>2014</c:v>
                </c:pt>
                <c:pt idx="4">
                  <c:v>2015</c:v>
                </c:pt>
              </c:numCache>
            </c:numRef>
          </c:cat>
          <c:val>
            <c:numRef>
              <c:f>Sheet1!$B$3:$F$3</c:f>
              <c:numCache>
                <c:formatCode>General</c:formatCode>
                <c:ptCount val="5"/>
                <c:pt idx="0">
                  <c:v>9.5400000000000009</c:v>
                </c:pt>
                <c:pt idx="1">
                  <c:v>9.81</c:v>
                </c:pt>
                <c:pt idx="2">
                  <c:v>9.93</c:v>
                </c:pt>
                <c:pt idx="3">
                  <c:v>9.9700000000000006</c:v>
                </c:pt>
                <c:pt idx="4">
                  <c:v>9.9</c:v>
                </c:pt>
              </c:numCache>
            </c:numRef>
          </c:val>
          <c:smooth val="0"/>
        </c:ser>
        <c:dLbls>
          <c:showLegendKey val="0"/>
          <c:showVal val="0"/>
          <c:showCatName val="0"/>
          <c:showSerName val="0"/>
          <c:showPercent val="0"/>
          <c:showBubbleSize val="0"/>
        </c:dLbls>
        <c:marker val="1"/>
        <c:smooth val="0"/>
        <c:axId val="303276416"/>
        <c:axId val="303277952"/>
      </c:lineChart>
      <c:catAx>
        <c:axId val="303276416"/>
        <c:scaling>
          <c:orientation val="minMax"/>
        </c:scaling>
        <c:delete val="0"/>
        <c:axPos val="b"/>
        <c:numFmt formatCode="General" sourceLinked="1"/>
        <c:majorTickMark val="out"/>
        <c:minorTickMark val="none"/>
        <c:tickLblPos val="nextTo"/>
        <c:spPr>
          <a:ln w="3170">
            <a:solidFill>
              <a:srgbClr val="000000"/>
            </a:solidFill>
            <a:prstDash val="solid"/>
          </a:ln>
        </c:spPr>
        <c:txPr>
          <a:bodyPr rot="0" vert="horz"/>
          <a:lstStyle/>
          <a:p>
            <a:pPr>
              <a:defRPr sz="1123" b="1" i="0" u="none" strike="noStrike" baseline="0">
                <a:solidFill>
                  <a:srgbClr val="000000"/>
                </a:solidFill>
                <a:latin typeface="Arial"/>
                <a:ea typeface="Arial"/>
                <a:cs typeface="Arial"/>
              </a:defRPr>
            </a:pPr>
            <a:endParaRPr lang="en-US"/>
          </a:p>
        </c:txPr>
        <c:crossAx val="303277952"/>
        <c:crosses val="autoZero"/>
        <c:auto val="1"/>
        <c:lblAlgn val="ctr"/>
        <c:lblOffset val="100"/>
        <c:tickLblSkip val="1"/>
        <c:tickMarkSkip val="1"/>
        <c:noMultiLvlLbl val="0"/>
      </c:catAx>
      <c:valAx>
        <c:axId val="303277952"/>
        <c:scaling>
          <c:orientation val="minMax"/>
          <c:max val="20"/>
        </c:scaling>
        <c:delete val="0"/>
        <c:axPos val="l"/>
        <c:majorGridlines>
          <c:spPr>
            <a:ln w="3170">
              <a:solidFill>
                <a:srgbClr val="000000"/>
              </a:solidFill>
              <a:prstDash val="solid"/>
            </a:ln>
          </c:spPr>
        </c:majorGridlines>
        <c:title>
          <c:tx>
            <c:rich>
              <a:bodyPr/>
              <a:lstStyle/>
              <a:p>
                <a:pPr>
                  <a:defRPr sz="923" b="1" i="0" u="none" strike="noStrike" baseline="0">
                    <a:solidFill>
                      <a:srgbClr val="000000"/>
                    </a:solidFill>
                    <a:latin typeface="Arial"/>
                    <a:ea typeface="Arial"/>
                    <a:cs typeface="Arial"/>
                  </a:defRPr>
                </a:pPr>
                <a:r>
                  <a:rPr lang="en-US"/>
                  <a:t>[Bq/mc]</a:t>
                </a:r>
              </a:p>
            </c:rich>
          </c:tx>
          <c:layout>
            <c:manualLayout>
              <c:xMode val="edge"/>
              <c:yMode val="edge"/>
              <c:x val="1.4059753954305794E-2"/>
              <c:y val="0.31102362204724587"/>
            </c:manualLayout>
          </c:layout>
          <c:overlay val="0"/>
          <c:spPr>
            <a:noFill/>
            <a:ln w="25356">
              <a:noFill/>
            </a:ln>
          </c:spPr>
        </c:title>
        <c:numFmt formatCode="General" sourceLinked="1"/>
        <c:majorTickMark val="out"/>
        <c:minorTickMark val="none"/>
        <c:tickLblPos val="nextTo"/>
        <c:spPr>
          <a:ln w="3170">
            <a:solidFill>
              <a:srgbClr val="000000"/>
            </a:solidFill>
            <a:prstDash val="solid"/>
          </a:ln>
        </c:spPr>
        <c:txPr>
          <a:bodyPr rot="0" vert="horz"/>
          <a:lstStyle/>
          <a:p>
            <a:pPr>
              <a:defRPr sz="1123" b="1" i="0" u="none" strike="noStrike" baseline="0">
                <a:solidFill>
                  <a:srgbClr val="000000"/>
                </a:solidFill>
                <a:latin typeface="Calibri"/>
                <a:ea typeface="Calibri"/>
                <a:cs typeface="Calibri"/>
              </a:defRPr>
            </a:pPr>
            <a:endParaRPr lang="en-US"/>
          </a:p>
        </c:txPr>
        <c:crossAx val="303276416"/>
        <c:crosses val="autoZero"/>
        <c:crossBetween val="between"/>
      </c:valAx>
      <c:spPr>
        <a:solidFill>
          <a:srgbClr val="FFFFFF"/>
        </a:solidFill>
        <a:ln w="12678">
          <a:solidFill>
            <a:srgbClr val="808080"/>
          </a:solidFill>
          <a:prstDash val="solid"/>
        </a:ln>
      </c:spPr>
    </c:plotArea>
    <c:legend>
      <c:legendPos val="r"/>
      <c:layout>
        <c:manualLayout>
          <c:xMode val="edge"/>
          <c:yMode val="edge"/>
          <c:x val="0.16871704745167043"/>
          <c:y val="7.874015748031496E-3"/>
          <c:w val="0.74340949033392134"/>
          <c:h val="8.2677165354330728E-2"/>
        </c:manualLayout>
      </c:layout>
      <c:overlay val="0"/>
      <c:spPr>
        <a:noFill/>
        <a:ln w="3170">
          <a:solidFill>
            <a:srgbClr val="000000"/>
          </a:solidFill>
          <a:prstDash val="solid"/>
        </a:ln>
      </c:spPr>
      <c:txPr>
        <a:bodyPr/>
        <a:lstStyle/>
        <a:p>
          <a:pPr>
            <a:defRPr sz="918"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123" b="1" i="0" u="none" strike="noStrike" baseline="0">
          <a:solidFill>
            <a:srgbClr val="000000"/>
          </a:solidFill>
          <a:latin typeface="Calibri"/>
          <a:ea typeface="Calibri"/>
          <a:cs typeface="Calibri"/>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O3 Num</a:t>
            </a:r>
            <a:r>
              <a:rPr lang="ro-RO"/>
              <a:t>ă</a:t>
            </a:r>
            <a:r>
              <a:rPr lang="en-US"/>
              <a:t>r de dep</a:t>
            </a:r>
            <a:r>
              <a:rPr lang="ro-RO"/>
              <a:t>ăş</a:t>
            </a:r>
            <a:r>
              <a:rPr lang="en-US"/>
              <a:t>iri ale valorii </a:t>
            </a:r>
            <a:r>
              <a:rPr lang="ro-RO"/>
              <a:t>ţ</a:t>
            </a:r>
            <a:r>
              <a:rPr lang="en-US"/>
              <a:t>int</a:t>
            </a:r>
            <a:r>
              <a:rPr lang="ro-RO"/>
              <a:t>ă</a:t>
            </a:r>
            <a:endParaRPr lang="en-US"/>
          </a:p>
        </c:rich>
      </c:tx>
      <c:layout>
        <c:manualLayout>
          <c:xMode val="edge"/>
          <c:yMode val="edge"/>
          <c:x val="0.29648241206030151"/>
          <c:y val="2.1834061135371178E-2"/>
        </c:manualLayout>
      </c:layout>
      <c:overlay val="0"/>
      <c:spPr>
        <a:noFill/>
        <a:ln w="25400">
          <a:noFill/>
        </a:ln>
      </c:sp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gradFill rotWithShape="0">
          <a:gsLst>
            <a:gs pos="0">
              <a:srgbClr xmlns:mc="http://schemas.openxmlformats.org/markup-compatibility/2006" xmlns:a14="http://schemas.microsoft.com/office/drawing/2010/main" val="CCFFFF" mc:Ignorable="a14" a14:legacySpreadsheetColorIndex="41"/>
            </a:gs>
            <a:gs pos="100000">
              <a:srgbClr xmlns:mc="http://schemas.openxmlformats.org/markup-compatibility/2006" xmlns:a14="http://schemas.microsoft.com/office/drawing/2010/main" val="0000FF" mc:Ignorable="a14" a14:legacySpreadsheetColorIndex="12"/>
            </a:gs>
          </a:gsLst>
          <a:lin ang="5400000" scaled="1"/>
        </a:gradFill>
        <a:ln w="12700">
          <a:solidFill>
            <a:srgbClr val="808080"/>
          </a:solidFill>
          <a:prstDash val="solid"/>
        </a:ln>
      </c:spPr>
    </c:sideWall>
    <c:backWall>
      <c:thickness val="0"/>
      <c:spPr>
        <a:gradFill rotWithShape="0">
          <a:gsLst>
            <a:gs pos="0">
              <a:srgbClr xmlns:mc="http://schemas.openxmlformats.org/markup-compatibility/2006" xmlns:a14="http://schemas.microsoft.com/office/drawing/2010/main" val="CCFFFF" mc:Ignorable="a14" a14:legacySpreadsheetColorIndex="41"/>
            </a:gs>
            <a:gs pos="100000">
              <a:srgbClr xmlns:mc="http://schemas.openxmlformats.org/markup-compatibility/2006" xmlns:a14="http://schemas.microsoft.com/office/drawing/2010/main" val="0000FF" mc:Ignorable="a14" a14:legacySpreadsheetColorIndex="12"/>
            </a:gs>
          </a:gsLst>
          <a:lin ang="5400000" scaled="1"/>
        </a:gradFill>
        <a:ln w="12700">
          <a:solidFill>
            <a:srgbClr val="808080"/>
          </a:solidFill>
          <a:prstDash val="solid"/>
        </a:ln>
      </c:spPr>
    </c:backWall>
    <c:plotArea>
      <c:layout>
        <c:manualLayout>
          <c:layoutTarget val="inner"/>
          <c:xMode val="edge"/>
          <c:yMode val="edge"/>
          <c:x val="4.690117252931323E-2"/>
          <c:y val="0.20960698689956331"/>
          <c:w val="0.85594639865996647"/>
          <c:h val="0.64192139737991272"/>
        </c:manualLayout>
      </c:layout>
      <c:bar3DChart>
        <c:barDir val="col"/>
        <c:grouping val="clustered"/>
        <c:varyColors val="0"/>
        <c:ser>
          <c:idx val="0"/>
          <c:order val="0"/>
          <c:tx>
            <c:strRef>
              <c:f>Sheet1!$A$2</c:f>
              <c:strCache>
                <c:ptCount val="1"/>
                <c:pt idx="0">
                  <c:v>VS-1</c:v>
                </c:pt>
              </c:strCache>
            </c:strRef>
          </c:tx>
          <c:spPr>
            <a:solidFill>
              <a:srgbClr val="FFFF00"/>
            </a:solidFill>
            <a:ln w="12700">
              <a:solidFill>
                <a:srgbClr val="000000"/>
              </a:solidFill>
              <a:prstDash val="solid"/>
            </a:ln>
          </c:spPr>
          <c:invertIfNegative val="0"/>
          <c:cat>
            <c:numRef>
              <c:f>Sheet1!$B$1:$I$1</c:f>
              <c:numCache>
                <c:formatCode>General</c:formatCode>
                <c:ptCount val="8"/>
                <c:pt idx="0">
                  <c:v>2008</c:v>
                </c:pt>
                <c:pt idx="1">
                  <c:v>2009</c:v>
                </c:pt>
                <c:pt idx="2">
                  <c:v>2010</c:v>
                </c:pt>
                <c:pt idx="3">
                  <c:v>2011</c:v>
                </c:pt>
                <c:pt idx="4">
                  <c:v>2012</c:v>
                </c:pt>
                <c:pt idx="5">
                  <c:v>2013</c:v>
                </c:pt>
                <c:pt idx="6">
                  <c:v>2014</c:v>
                </c:pt>
                <c:pt idx="7">
                  <c:v>2015</c:v>
                </c:pt>
              </c:numCache>
            </c:numRef>
          </c:cat>
          <c:val>
            <c:numRef>
              <c:f>Sheet1!$B$2:$I$2</c:f>
              <c:numCache>
                <c:formatCode>General</c:formatCode>
                <c:ptCount val="8"/>
                <c:pt idx="0">
                  <c:v>0</c:v>
                </c:pt>
                <c:pt idx="1">
                  <c:v>0</c:v>
                </c:pt>
                <c:pt idx="2">
                  <c:v>0</c:v>
                </c:pt>
                <c:pt idx="3">
                  <c:v>0</c:v>
                </c:pt>
              </c:numCache>
            </c:numRef>
          </c:val>
        </c:ser>
        <c:ser>
          <c:idx val="1"/>
          <c:order val="1"/>
          <c:tx>
            <c:strRef>
              <c:f>Sheet1!$A$3</c:f>
              <c:strCache>
                <c:ptCount val="1"/>
                <c:pt idx="0">
                  <c:v>VS-2</c:v>
                </c:pt>
              </c:strCache>
            </c:strRef>
          </c:tx>
          <c:spPr>
            <a:solidFill>
              <a:srgbClr val="FF0000"/>
            </a:solidFill>
            <a:ln w="12700">
              <a:solidFill>
                <a:srgbClr val="000000"/>
              </a:solidFill>
              <a:prstDash val="solid"/>
            </a:ln>
          </c:spPr>
          <c:invertIfNegative val="0"/>
          <c:cat>
            <c:numRef>
              <c:f>Sheet1!$B$1:$I$1</c:f>
              <c:numCache>
                <c:formatCode>General</c:formatCode>
                <c:ptCount val="8"/>
                <c:pt idx="0">
                  <c:v>2008</c:v>
                </c:pt>
                <c:pt idx="1">
                  <c:v>2009</c:v>
                </c:pt>
                <c:pt idx="2">
                  <c:v>2010</c:v>
                </c:pt>
                <c:pt idx="3">
                  <c:v>2011</c:v>
                </c:pt>
                <c:pt idx="4">
                  <c:v>2012</c:v>
                </c:pt>
                <c:pt idx="5">
                  <c:v>2013</c:v>
                </c:pt>
                <c:pt idx="6">
                  <c:v>2014</c:v>
                </c:pt>
                <c:pt idx="7">
                  <c:v>2015</c:v>
                </c:pt>
              </c:numCache>
            </c:numRef>
          </c:cat>
          <c:val>
            <c:numRef>
              <c:f>Sheet1!$B$3:$I$3</c:f>
              <c:numCache>
                <c:formatCode>General</c:formatCode>
                <c:ptCount val="8"/>
                <c:pt idx="4">
                  <c:v>16</c:v>
                </c:pt>
              </c:numCache>
            </c:numRef>
          </c:val>
        </c:ser>
        <c:dLbls>
          <c:showLegendKey val="0"/>
          <c:showVal val="0"/>
          <c:showCatName val="0"/>
          <c:showSerName val="0"/>
          <c:showPercent val="0"/>
          <c:showBubbleSize val="0"/>
        </c:dLbls>
        <c:gapWidth val="150"/>
        <c:gapDepth val="0"/>
        <c:shape val="box"/>
        <c:axId val="294883328"/>
        <c:axId val="294884864"/>
        <c:axId val="0"/>
      </c:bar3DChart>
      <c:catAx>
        <c:axId val="29488332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294884864"/>
        <c:crosses val="autoZero"/>
        <c:auto val="1"/>
        <c:lblAlgn val="ctr"/>
        <c:lblOffset val="100"/>
        <c:tickLblSkip val="1"/>
        <c:tickMarkSkip val="1"/>
        <c:noMultiLvlLbl val="0"/>
      </c:catAx>
      <c:valAx>
        <c:axId val="29488486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294883328"/>
        <c:crosses val="autoZero"/>
        <c:crossBetween val="between"/>
      </c:valAx>
      <c:spPr>
        <a:noFill/>
        <a:ln w="25400">
          <a:noFill/>
        </a:ln>
      </c:spPr>
    </c:plotArea>
    <c:legend>
      <c:legendPos val="r"/>
      <c:layout>
        <c:manualLayout>
          <c:xMode val="edge"/>
          <c:yMode val="edge"/>
          <c:x val="0.92127303182579567"/>
          <c:y val="0.48471615720524019"/>
          <c:w val="7.2026800670016752E-2"/>
          <c:h val="0.1703056768558952"/>
        </c:manualLayout>
      </c:layout>
      <c:overlay val="0"/>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000" b="1" i="0" u="none" strike="noStrike" baseline="0">
          <a:solidFill>
            <a:srgbClr val="000000"/>
          </a:solidFill>
          <a:latin typeface="Arial"/>
          <a:ea typeface="Arial"/>
          <a:cs typeface="Arial"/>
        </a:defRPr>
      </a:pPr>
      <a:endParaRPr lang="en-US"/>
    </a:p>
  </c:txPr>
  <c:externalData r:id="rId1">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387096774193564E-2"/>
          <c:y val="9.1703056768558958E-2"/>
          <c:w val="0.8"/>
          <c:h val="0.73799126637555035"/>
        </c:manualLayout>
      </c:layout>
      <c:lineChart>
        <c:grouping val="standard"/>
        <c:varyColors val="0"/>
        <c:ser>
          <c:idx val="0"/>
          <c:order val="0"/>
          <c:tx>
            <c:strRef>
              <c:f>Sheet1!$A$2</c:f>
              <c:strCache>
                <c:ptCount val="1"/>
                <c:pt idx="0">
                  <c:v>media anuală</c:v>
                </c:pt>
              </c:strCache>
            </c:strRef>
          </c:tx>
          <c:spPr>
            <a:ln w="12680">
              <a:solidFill>
                <a:srgbClr val="000080"/>
              </a:solidFill>
              <a:prstDash val="solid"/>
            </a:ln>
          </c:spPr>
          <c:marker>
            <c:symbol val="diamond"/>
            <c:size val="4"/>
            <c:spPr>
              <a:solidFill>
                <a:srgbClr val="000080"/>
              </a:solidFill>
              <a:ln>
                <a:solidFill>
                  <a:srgbClr val="000080"/>
                </a:solidFill>
                <a:prstDash val="solid"/>
              </a:ln>
            </c:spPr>
          </c:marker>
          <c:dLbls>
            <c:spPr>
              <a:noFill/>
              <a:ln w="25360">
                <a:noFill/>
              </a:ln>
            </c:spPr>
            <c:txPr>
              <a:bodyPr/>
              <a:lstStyle/>
              <a:p>
                <a:pPr>
                  <a:defRPr sz="998"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1.8900000000000001</c:v>
                </c:pt>
                <c:pt idx="1">
                  <c:v>1.9000000000000001</c:v>
                </c:pt>
                <c:pt idx="2">
                  <c:v>3.05</c:v>
                </c:pt>
                <c:pt idx="3">
                  <c:v>2.8099999999999987</c:v>
                </c:pt>
                <c:pt idx="4">
                  <c:v>2.8</c:v>
                </c:pt>
              </c:numCache>
            </c:numRef>
          </c:val>
          <c:smooth val="0"/>
        </c:ser>
        <c:ser>
          <c:idx val="1"/>
          <c:order val="1"/>
          <c:tx>
            <c:strRef>
              <c:f>Sheet1!$A$3</c:f>
              <c:strCache>
                <c:ptCount val="1"/>
                <c:pt idx="0">
                  <c:v>maxima anuală</c:v>
                </c:pt>
              </c:strCache>
            </c:strRef>
          </c:tx>
          <c:spPr>
            <a:ln w="12680">
              <a:solidFill>
                <a:srgbClr val="FF00FF"/>
              </a:solidFill>
              <a:prstDash val="solid"/>
            </a:ln>
          </c:spPr>
          <c:marker>
            <c:symbol val="square"/>
            <c:size val="4"/>
            <c:spPr>
              <a:solidFill>
                <a:srgbClr val="FF00FF"/>
              </a:solidFill>
              <a:ln>
                <a:solidFill>
                  <a:srgbClr val="FF00FF"/>
                </a:solidFill>
                <a:prstDash val="solid"/>
              </a:ln>
            </c:spPr>
          </c:marker>
          <c:dLbls>
            <c:spPr>
              <a:noFill/>
              <a:ln w="25360">
                <a:noFill/>
              </a:ln>
            </c:spPr>
            <c:txPr>
              <a:bodyPr/>
              <a:lstStyle/>
              <a:p>
                <a:pPr>
                  <a:defRPr sz="998"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numRef>
              <c:f>Sheet1!$B$1:$F$1</c:f>
              <c:numCache>
                <c:formatCode>General</c:formatCode>
                <c:ptCount val="5"/>
                <c:pt idx="0">
                  <c:v>2011</c:v>
                </c:pt>
                <c:pt idx="1">
                  <c:v>2012</c:v>
                </c:pt>
                <c:pt idx="2">
                  <c:v>2013</c:v>
                </c:pt>
                <c:pt idx="3">
                  <c:v>2014</c:v>
                </c:pt>
                <c:pt idx="4">
                  <c:v>2015</c:v>
                </c:pt>
              </c:numCache>
            </c:numRef>
          </c:cat>
          <c:val>
            <c:numRef>
              <c:f>Sheet1!$B$3:$F$3</c:f>
              <c:numCache>
                <c:formatCode>General</c:formatCode>
                <c:ptCount val="5"/>
                <c:pt idx="0">
                  <c:v>9.7100000000000009</c:v>
                </c:pt>
                <c:pt idx="1">
                  <c:v>7.75</c:v>
                </c:pt>
                <c:pt idx="2">
                  <c:v>9.4700000000000006</c:v>
                </c:pt>
                <c:pt idx="3">
                  <c:v>9.91</c:v>
                </c:pt>
                <c:pt idx="4">
                  <c:v>9.8000000000000007</c:v>
                </c:pt>
              </c:numCache>
            </c:numRef>
          </c:val>
          <c:smooth val="0"/>
        </c:ser>
        <c:dLbls>
          <c:showLegendKey val="0"/>
          <c:showVal val="1"/>
          <c:showCatName val="0"/>
          <c:showSerName val="0"/>
          <c:showPercent val="0"/>
          <c:showBubbleSize val="0"/>
        </c:dLbls>
        <c:marker val="1"/>
        <c:smooth val="0"/>
        <c:axId val="303439232"/>
        <c:axId val="303449216"/>
      </c:lineChart>
      <c:catAx>
        <c:axId val="303439232"/>
        <c:scaling>
          <c:orientation val="minMax"/>
        </c:scaling>
        <c:delete val="0"/>
        <c:axPos val="b"/>
        <c:numFmt formatCode="General" sourceLinked="1"/>
        <c:majorTickMark val="out"/>
        <c:minorTickMark val="none"/>
        <c:tickLblPos val="nextTo"/>
        <c:spPr>
          <a:ln w="3170">
            <a:solidFill>
              <a:srgbClr val="000000"/>
            </a:solidFill>
            <a:prstDash val="solid"/>
          </a:ln>
        </c:spPr>
        <c:txPr>
          <a:bodyPr rot="0" vert="horz"/>
          <a:lstStyle/>
          <a:p>
            <a:pPr>
              <a:defRPr sz="998" b="1" i="0" u="none" strike="noStrike" baseline="0">
                <a:solidFill>
                  <a:srgbClr val="000000"/>
                </a:solidFill>
                <a:latin typeface="Arial"/>
                <a:ea typeface="Arial"/>
                <a:cs typeface="Arial"/>
              </a:defRPr>
            </a:pPr>
            <a:endParaRPr lang="en-US"/>
          </a:p>
        </c:txPr>
        <c:crossAx val="303449216"/>
        <c:crosses val="autoZero"/>
        <c:auto val="1"/>
        <c:lblAlgn val="ctr"/>
        <c:lblOffset val="100"/>
        <c:tickLblSkip val="1"/>
        <c:tickMarkSkip val="1"/>
        <c:noMultiLvlLbl val="0"/>
      </c:catAx>
      <c:valAx>
        <c:axId val="303449216"/>
        <c:scaling>
          <c:orientation val="minMax"/>
        </c:scaling>
        <c:delete val="0"/>
        <c:axPos val="l"/>
        <c:majorGridlines>
          <c:spPr>
            <a:ln w="3170">
              <a:solidFill>
                <a:srgbClr val="000000"/>
              </a:solidFill>
              <a:prstDash val="solid"/>
            </a:ln>
          </c:spPr>
        </c:majorGridlines>
        <c:title>
          <c:tx>
            <c:rich>
              <a:bodyPr/>
              <a:lstStyle/>
              <a:p>
                <a:pPr>
                  <a:defRPr sz="998" b="1" i="0" u="none" strike="noStrike" baseline="0">
                    <a:solidFill>
                      <a:srgbClr val="000000"/>
                    </a:solidFill>
                    <a:latin typeface="Arial"/>
                    <a:ea typeface="Arial"/>
                    <a:cs typeface="Arial"/>
                  </a:defRPr>
                </a:pPr>
                <a:r>
                  <a:rPr lang="en-US"/>
                  <a:t>[Bq/mc]</a:t>
                </a:r>
              </a:p>
            </c:rich>
          </c:tx>
          <c:layout>
            <c:manualLayout>
              <c:xMode val="edge"/>
              <c:yMode val="edge"/>
              <c:x val="1.7741935483870968E-2"/>
              <c:y val="0.34061135371179024"/>
            </c:manualLayout>
          </c:layout>
          <c:overlay val="0"/>
          <c:spPr>
            <a:noFill/>
            <a:ln w="25360">
              <a:noFill/>
            </a:ln>
          </c:spPr>
        </c:title>
        <c:numFmt formatCode="General" sourceLinked="1"/>
        <c:majorTickMark val="out"/>
        <c:minorTickMark val="none"/>
        <c:tickLblPos val="nextTo"/>
        <c:spPr>
          <a:ln w="3170">
            <a:solidFill>
              <a:srgbClr val="000000"/>
            </a:solidFill>
            <a:prstDash val="solid"/>
          </a:ln>
        </c:spPr>
        <c:txPr>
          <a:bodyPr rot="0" vert="horz"/>
          <a:lstStyle/>
          <a:p>
            <a:pPr>
              <a:defRPr sz="998" b="1" i="0" u="none" strike="noStrike" baseline="0">
                <a:solidFill>
                  <a:srgbClr val="000000"/>
                </a:solidFill>
                <a:latin typeface="Arial"/>
                <a:ea typeface="Arial"/>
                <a:cs typeface="Arial"/>
              </a:defRPr>
            </a:pPr>
            <a:endParaRPr lang="en-US"/>
          </a:p>
        </c:txPr>
        <c:crossAx val="303439232"/>
        <c:crosses val="autoZero"/>
        <c:crossBetween val="between"/>
      </c:valAx>
      <c:spPr>
        <a:solidFill>
          <a:srgbClr val="FFFFFF"/>
        </a:solidFill>
        <a:ln w="12680">
          <a:solidFill>
            <a:srgbClr val="808080"/>
          </a:solidFill>
          <a:prstDash val="solid"/>
        </a:ln>
      </c:spPr>
    </c:plotArea>
    <c:legend>
      <c:legendPos val="r"/>
      <c:layout>
        <c:manualLayout>
          <c:xMode val="edge"/>
          <c:yMode val="edge"/>
          <c:x val="0.23387096774193547"/>
          <c:y val="0"/>
          <c:w val="0.51774193548387537"/>
          <c:h val="0.10480349344978165"/>
        </c:manualLayout>
      </c:layout>
      <c:overlay val="0"/>
      <c:spPr>
        <a:noFill/>
        <a:ln w="3170">
          <a:solidFill>
            <a:srgbClr val="000000"/>
          </a:solidFill>
          <a:prstDash val="solid"/>
        </a:ln>
      </c:spPr>
      <c:txPr>
        <a:bodyPr/>
        <a:lstStyle/>
        <a:p>
          <a:pPr>
            <a:defRPr sz="919"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998" b="1" i="0" u="none" strike="noStrike" baseline="0">
          <a:solidFill>
            <a:srgbClr val="000000"/>
          </a:solidFill>
          <a:latin typeface="Arial"/>
          <a:ea typeface="Arial"/>
          <a:cs typeface="Arial"/>
        </a:defRPr>
      </a:pPr>
      <a:endParaRPr lang="en-US"/>
    </a:p>
  </c:txPr>
  <c:externalData r:id="rId2">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748019017432705E-2"/>
          <c:y val="9.3457943925234266E-2"/>
          <c:w val="0.85578446909667194"/>
          <c:h val="0.7429906542056105"/>
        </c:manualLayout>
      </c:layout>
      <c:lineChart>
        <c:grouping val="standard"/>
        <c:varyColors val="0"/>
        <c:ser>
          <c:idx val="0"/>
          <c:order val="0"/>
          <c:tx>
            <c:strRef>
              <c:f>Sheet1!$A$2</c:f>
              <c:strCache>
                <c:ptCount val="1"/>
                <c:pt idx="0">
                  <c:v>media anuală</c:v>
                </c:pt>
              </c:strCache>
            </c:strRef>
          </c:tx>
          <c:spPr>
            <a:ln w="12700">
              <a:solidFill>
                <a:srgbClr val="000080"/>
              </a:solidFill>
              <a:prstDash val="solid"/>
            </a:ln>
          </c:spPr>
          <c:marker>
            <c:symbol val="diamond"/>
            <c:size val="4"/>
            <c:spPr>
              <a:solidFill>
                <a:srgbClr val="000080"/>
              </a:solidFill>
              <a:ln>
                <a:solidFill>
                  <a:srgbClr val="000080"/>
                </a:solidFill>
                <a:prstDash val="solid"/>
              </a:ln>
            </c:spPr>
          </c:marker>
          <c:dLbls>
            <c:spPr>
              <a:noFill/>
              <a:ln w="25400">
                <a:noFill/>
              </a:ln>
            </c:spPr>
            <c:txPr>
              <a:bodyPr/>
              <a:lstStyle/>
              <a:p>
                <a:pPr>
                  <a:defRPr sz="8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0.92</c:v>
                </c:pt>
                <c:pt idx="1">
                  <c:v>1.22</c:v>
                </c:pt>
                <c:pt idx="2">
                  <c:v>2.4899999999999998</c:v>
                </c:pt>
                <c:pt idx="3">
                  <c:v>2.5</c:v>
                </c:pt>
                <c:pt idx="4">
                  <c:v>3.4499999999999997</c:v>
                </c:pt>
              </c:numCache>
            </c:numRef>
          </c:val>
          <c:smooth val="0"/>
        </c:ser>
        <c:ser>
          <c:idx val="1"/>
          <c:order val="1"/>
          <c:tx>
            <c:strRef>
              <c:f>Sheet1!$A$3</c:f>
              <c:strCache>
                <c:ptCount val="1"/>
                <c:pt idx="0">
                  <c:v>maxima anuală</c:v>
                </c:pt>
              </c:strCache>
            </c:strRef>
          </c:tx>
          <c:spPr>
            <a:ln w="12700">
              <a:solidFill>
                <a:srgbClr val="FF00FF"/>
              </a:solidFill>
              <a:prstDash val="solid"/>
            </a:ln>
          </c:spPr>
          <c:marker>
            <c:symbol val="square"/>
            <c:size val="4"/>
            <c:spPr>
              <a:solidFill>
                <a:srgbClr val="FF00FF"/>
              </a:solidFill>
              <a:ln>
                <a:solidFill>
                  <a:srgbClr val="FF00FF"/>
                </a:solidFill>
                <a:prstDash val="solid"/>
              </a:ln>
            </c:spPr>
          </c:marker>
          <c:dLbls>
            <c:spPr>
              <a:noFill/>
              <a:ln w="25400">
                <a:noFill/>
              </a:ln>
            </c:spPr>
            <c:txPr>
              <a:bodyPr/>
              <a:lstStyle/>
              <a:p>
                <a:pPr>
                  <a:defRPr sz="8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numRef>
              <c:f>Sheet1!$B$1:$F$1</c:f>
              <c:numCache>
                <c:formatCode>General</c:formatCode>
                <c:ptCount val="5"/>
                <c:pt idx="0">
                  <c:v>2011</c:v>
                </c:pt>
                <c:pt idx="1">
                  <c:v>2012</c:v>
                </c:pt>
                <c:pt idx="2">
                  <c:v>2013</c:v>
                </c:pt>
                <c:pt idx="3">
                  <c:v>2014</c:v>
                </c:pt>
                <c:pt idx="4">
                  <c:v>2015</c:v>
                </c:pt>
              </c:numCache>
            </c:numRef>
          </c:cat>
          <c:val>
            <c:numRef>
              <c:f>Sheet1!$B$3:$F$3</c:f>
              <c:numCache>
                <c:formatCode>General</c:formatCode>
                <c:ptCount val="5"/>
                <c:pt idx="0">
                  <c:v>6.22</c:v>
                </c:pt>
                <c:pt idx="1">
                  <c:v>17.34</c:v>
                </c:pt>
                <c:pt idx="2">
                  <c:v>45.57</c:v>
                </c:pt>
                <c:pt idx="3">
                  <c:v>38.78</c:v>
                </c:pt>
                <c:pt idx="4">
                  <c:v>83.3</c:v>
                </c:pt>
              </c:numCache>
            </c:numRef>
          </c:val>
          <c:smooth val="0"/>
        </c:ser>
        <c:dLbls>
          <c:showLegendKey val="0"/>
          <c:showVal val="1"/>
          <c:showCatName val="0"/>
          <c:showSerName val="0"/>
          <c:showPercent val="0"/>
          <c:showBubbleSize val="0"/>
        </c:dLbls>
        <c:marker val="1"/>
        <c:smooth val="0"/>
        <c:axId val="303491712"/>
        <c:axId val="303497600"/>
      </c:lineChart>
      <c:catAx>
        <c:axId val="30349171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303497600"/>
        <c:crosses val="autoZero"/>
        <c:auto val="1"/>
        <c:lblAlgn val="ctr"/>
        <c:lblOffset val="100"/>
        <c:tickLblSkip val="1"/>
        <c:tickMarkSkip val="1"/>
        <c:noMultiLvlLbl val="0"/>
      </c:catAx>
      <c:valAx>
        <c:axId val="303497600"/>
        <c:scaling>
          <c:orientation val="minMax"/>
        </c:scaling>
        <c:delete val="0"/>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rPr lang="en-US"/>
                  <a:t>[Bq/mp*zi]</a:t>
                </a:r>
              </a:p>
            </c:rich>
          </c:tx>
          <c:layout>
            <c:manualLayout>
              <c:xMode val="edge"/>
              <c:yMode val="edge"/>
              <c:x val="1.9017432646592721E-2"/>
              <c:y val="0.3177570093457943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303491712"/>
        <c:crosses val="autoZero"/>
        <c:crossBetween val="between"/>
      </c:valAx>
      <c:spPr>
        <a:solidFill>
          <a:srgbClr val="FFFFFF"/>
        </a:solidFill>
        <a:ln w="12700">
          <a:solidFill>
            <a:srgbClr val="808080"/>
          </a:solidFill>
          <a:prstDash val="solid"/>
        </a:ln>
      </c:spPr>
    </c:plotArea>
    <c:legend>
      <c:legendPos val="r"/>
      <c:layout>
        <c:manualLayout>
          <c:xMode val="edge"/>
          <c:yMode val="edge"/>
          <c:x val="0.17749603803486619"/>
          <c:y val="0"/>
          <c:w val="0.6988906497622821"/>
          <c:h val="9.3457943925234266E-2"/>
        </c:manualLayout>
      </c:layout>
      <c:overlay val="0"/>
      <c:spPr>
        <a:noFill/>
        <a:ln w="3175">
          <a:solidFill>
            <a:srgbClr val="000000"/>
          </a:solidFill>
          <a:prstDash val="solid"/>
        </a:ln>
      </c:spPr>
      <c:txPr>
        <a:bodyPr/>
        <a:lstStyle/>
        <a:p>
          <a:pPr>
            <a:defRPr sz="850"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925" b="1" i="0" u="none" strike="noStrike" baseline="0">
          <a:solidFill>
            <a:srgbClr val="000000"/>
          </a:solidFill>
          <a:latin typeface="Arial"/>
          <a:ea typeface="Arial"/>
          <a:cs typeface="Arial"/>
        </a:defRPr>
      </a:pPr>
      <a:endParaRPr lang="en-US"/>
    </a:p>
  </c:txPr>
  <c:externalData r:id="rId2">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45161290322602"/>
          <c:y val="0.11224489795918367"/>
          <c:w val="0.85000000000000064"/>
          <c:h val="0.68367346938775508"/>
        </c:manualLayout>
      </c:layout>
      <c:lineChart>
        <c:grouping val="standard"/>
        <c:varyColors val="0"/>
        <c:ser>
          <c:idx val="0"/>
          <c:order val="0"/>
          <c:tx>
            <c:strRef>
              <c:f>Sheet1!$A$2</c:f>
              <c:strCache>
                <c:ptCount val="1"/>
                <c:pt idx="0">
                  <c:v>media anuală</c:v>
                </c:pt>
              </c:strCache>
            </c:strRef>
          </c:tx>
          <c:spPr>
            <a:ln w="12700">
              <a:solidFill>
                <a:srgbClr val="000080"/>
              </a:solidFill>
              <a:prstDash val="solid"/>
            </a:ln>
          </c:spPr>
          <c:marker>
            <c:symbol val="diamond"/>
            <c:size val="4"/>
            <c:spPr>
              <a:solidFill>
                <a:srgbClr val="000080"/>
              </a:solidFill>
              <a:ln>
                <a:solidFill>
                  <a:srgbClr val="000080"/>
                </a:solidFill>
                <a:prstDash val="solid"/>
              </a:ln>
            </c:spPr>
          </c:marker>
          <c:dLbls>
            <c:spPr>
              <a:noFill/>
              <a:ln w="25400">
                <a:noFill/>
              </a:ln>
            </c:spPr>
            <c:txPr>
              <a:bodyPr/>
              <a:lstStyle/>
              <a:p>
                <a:pPr>
                  <a:defRPr sz="1075"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0.23</c:v>
                </c:pt>
                <c:pt idx="1">
                  <c:v>0.2</c:v>
                </c:pt>
                <c:pt idx="2">
                  <c:v>0.34</c:v>
                </c:pt>
                <c:pt idx="3">
                  <c:v>0.38</c:v>
                </c:pt>
                <c:pt idx="4">
                  <c:v>0.46</c:v>
                </c:pt>
              </c:numCache>
            </c:numRef>
          </c:val>
          <c:smooth val="0"/>
        </c:ser>
        <c:ser>
          <c:idx val="1"/>
          <c:order val="1"/>
          <c:tx>
            <c:strRef>
              <c:f>Sheet1!$A$3</c:f>
              <c:strCache>
                <c:ptCount val="1"/>
                <c:pt idx="0">
                  <c:v>maxima anuală</c:v>
                </c:pt>
              </c:strCache>
            </c:strRef>
          </c:tx>
          <c:spPr>
            <a:ln w="12700">
              <a:solidFill>
                <a:srgbClr val="FF00FF"/>
              </a:solidFill>
              <a:prstDash val="solid"/>
            </a:ln>
          </c:spPr>
          <c:marker>
            <c:symbol val="square"/>
            <c:size val="4"/>
            <c:spPr>
              <a:solidFill>
                <a:srgbClr val="FF00FF"/>
              </a:solidFill>
              <a:ln>
                <a:solidFill>
                  <a:srgbClr val="FF00FF"/>
                </a:solidFill>
                <a:prstDash val="solid"/>
              </a:ln>
            </c:spPr>
          </c:marker>
          <c:dLbls>
            <c:spPr>
              <a:noFill/>
              <a:ln w="25400">
                <a:noFill/>
              </a:ln>
            </c:spPr>
            <c:txPr>
              <a:bodyPr/>
              <a:lstStyle/>
              <a:p>
                <a:pPr>
                  <a:defRPr sz="1075"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numRef>
              <c:f>Sheet1!$B$1:$F$1</c:f>
              <c:numCache>
                <c:formatCode>General</c:formatCode>
                <c:ptCount val="5"/>
                <c:pt idx="0">
                  <c:v>2011</c:v>
                </c:pt>
                <c:pt idx="1">
                  <c:v>2012</c:v>
                </c:pt>
                <c:pt idx="2">
                  <c:v>2013</c:v>
                </c:pt>
                <c:pt idx="3">
                  <c:v>2014</c:v>
                </c:pt>
                <c:pt idx="4">
                  <c:v>2015</c:v>
                </c:pt>
              </c:numCache>
            </c:numRef>
          </c:cat>
          <c:val>
            <c:numRef>
              <c:f>Sheet1!$B$3:$F$3</c:f>
              <c:numCache>
                <c:formatCode>General</c:formatCode>
                <c:ptCount val="5"/>
                <c:pt idx="0">
                  <c:v>0.65</c:v>
                </c:pt>
                <c:pt idx="1">
                  <c:v>0.38</c:v>
                </c:pt>
                <c:pt idx="2">
                  <c:v>0.74</c:v>
                </c:pt>
                <c:pt idx="3">
                  <c:v>1.1100000000000001</c:v>
                </c:pt>
                <c:pt idx="4">
                  <c:v>0.76</c:v>
                </c:pt>
              </c:numCache>
            </c:numRef>
          </c:val>
          <c:smooth val="0"/>
        </c:ser>
        <c:dLbls>
          <c:showLegendKey val="0"/>
          <c:showVal val="1"/>
          <c:showCatName val="0"/>
          <c:showSerName val="0"/>
          <c:showPercent val="0"/>
          <c:showBubbleSize val="0"/>
        </c:dLbls>
        <c:marker val="1"/>
        <c:smooth val="0"/>
        <c:axId val="303404928"/>
        <c:axId val="303406464"/>
      </c:lineChart>
      <c:catAx>
        <c:axId val="30340492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75" b="1" i="0" u="none" strike="noStrike" baseline="0">
                <a:solidFill>
                  <a:srgbClr val="000000"/>
                </a:solidFill>
                <a:latin typeface="Arial"/>
                <a:ea typeface="Arial"/>
                <a:cs typeface="Arial"/>
              </a:defRPr>
            </a:pPr>
            <a:endParaRPr lang="en-US"/>
          </a:p>
        </c:txPr>
        <c:crossAx val="303406464"/>
        <c:crosses val="autoZero"/>
        <c:auto val="1"/>
        <c:lblAlgn val="ctr"/>
        <c:lblOffset val="100"/>
        <c:tickLblSkip val="1"/>
        <c:tickMarkSkip val="1"/>
        <c:noMultiLvlLbl val="0"/>
      </c:catAx>
      <c:valAx>
        <c:axId val="303406464"/>
        <c:scaling>
          <c:orientation val="minMax"/>
        </c:scaling>
        <c:delete val="0"/>
        <c:axPos val="l"/>
        <c:majorGridlines>
          <c:spPr>
            <a:ln w="3175">
              <a:solidFill>
                <a:srgbClr val="000000"/>
              </a:solidFill>
              <a:prstDash val="solid"/>
            </a:ln>
          </c:spPr>
        </c:majorGridlines>
        <c:title>
          <c:tx>
            <c:rich>
              <a:bodyPr/>
              <a:lstStyle/>
              <a:p>
                <a:pPr>
                  <a:defRPr sz="1075" b="1" i="0" u="none" strike="noStrike" baseline="0">
                    <a:solidFill>
                      <a:srgbClr val="000000"/>
                    </a:solidFill>
                    <a:latin typeface="Arial"/>
                    <a:ea typeface="Arial"/>
                    <a:cs typeface="Arial"/>
                  </a:defRPr>
                </a:pPr>
                <a:r>
                  <a:rPr lang="en-US"/>
                  <a:t>[Bq/L]</a:t>
                </a:r>
              </a:p>
            </c:rich>
          </c:tx>
          <c:layout>
            <c:manualLayout>
              <c:xMode val="edge"/>
              <c:yMode val="edge"/>
              <c:x val="1.4516129032258109E-2"/>
              <c:y val="0.3367346938775532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75" b="1" i="0" u="none" strike="noStrike" baseline="0">
                <a:solidFill>
                  <a:srgbClr val="000000"/>
                </a:solidFill>
                <a:latin typeface="Arial"/>
                <a:ea typeface="Arial"/>
                <a:cs typeface="Arial"/>
              </a:defRPr>
            </a:pPr>
            <a:endParaRPr lang="en-US"/>
          </a:p>
        </c:txPr>
        <c:crossAx val="303404928"/>
        <c:crosses val="autoZero"/>
        <c:crossBetween val="between"/>
      </c:valAx>
      <c:spPr>
        <a:solidFill>
          <a:srgbClr val="FFFFFF"/>
        </a:solidFill>
        <a:ln w="12700">
          <a:solidFill>
            <a:srgbClr val="808080"/>
          </a:solidFill>
          <a:prstDash val="solid"/>
        </a:ln>
      </c:spPr>
    </c:plotArea>
    <c:legend>
      <c:legendPos val="r"/>
      <c:layout>
        <c:manualLayout>
          <c:xMode val="edge"/>
          <c:yMode val="edge"/>
          <c:x val="0.18225806451612994"/>
          <c:y val="1.0204081632653114E-2"/>
          <c:w val="0.63387096774193552"/>
          <c:h val="0.10714285714285714"/>
        </c:manualLayout>
      </c:layout>
      <c:overlay val="0"/>
      <c:spPr>
        <a:noFill/>
        <a:ln w="3175">
          <a:solidFill>
            <a:srgbClr val="000000"/>
          </a:solidFill>
          <a:prstDash val="solid"/>
        </a:ln>
      </c:spPr>
      <c:txPr>
        <a:bodyPr/>
        <a:lstStyle/>
        <a:p>
          <a:pPr>
            <a:defRPr sz="920"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000" b="1" i="0" u="none" strike="noStrike" baseline="0">
          <a:solidFill>
            <a:srgbClr val="000000"/>
          </a:solidFill>
          <a:latin typeface="Arial"/>
          <a:ea typeface="Arial"/>
          <a:cs typeface="Arial"/>
        </a:defRPr>
      </a:pPr>
      <a:endParaRPr lang="en-US"/>
    </a:p>
  </c:txPr>
  <c:externalData r:id="rId2">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16404886562023"/>
          <c:y val="9.6774193548387247E-2"/>
          <c:w val="0.86387434554973863"/>
          <c:h val="0.75000000000000211"/>
        </c:manualLayout>
      </c:layout>
      <c:lineChart>
        <c:grouping val="standard"/>
        <c:varyColors val="0"/>
        <c:ser>
          <c:idx val="0"/>
          <c:order val="0"/>
          <c:tx>
            <c:strRef>
              <c:f>Sheet1!$A$2</c:f>
              <c:strCache>
                <c:ptCount val="1"/>
                <c:pt idx="0">
                  <c:v>media anuală</c:v>
                </c:pt>
              </c:strCache>
            </c:strRef>
          </c:tx>
          <c:spPr>
            <a:ln w="12678">
              <a:solidFill>
                <a:srgbClr val="000080"/>
              </a:solidFill>
              <a:prstDash val="solid"/>
            </a:ln>
          </c:spPr>
          <c:marker>
            <c:symbol val="diamond"/>
            <c:size val="4"/>
            <c:spPr>
              <a:solidFill>
                <a:srgbClr val="000080"/>
              </a:solidFill>
              <a:ln>
                <a:solidFill>
                  <a:srgbClr val="000080"/>
                </a:solidFill>
                <a:prstDash val="solid"/>
              </a:ln>
            </c:spPr>
          </c:marker>
          <c:dLbls>
            <c:spPr>
              <a:noFill/>
              <a:ln w="25357">
                <a:noFill/>
              </a:ln>
            </c:spPr>
            <c:txPr>
              <a:bodyPr/>
              <a:lstStyle/>
              <a:p>
                <a:pPr>
                  <a:defRPr sz="1198"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0.17</c:v>
                </c:pt>
                <c:pt idx="1">
                  <c:v>0.13</c:v>
                </c:pt>
                <c:pt idx="2">
                  <c:v>0.34</c:v>
                </c:pt>
                <c:pt idx="3">
                  <c:v>0.72000000000000031</c:v>
                </c:pt>
                <c:pt idx="4">
                  <c:v>0.36000000000000015</c:v>
                </c:pt>
              </c:numCache>
            </c:numRef>
          </c:val>
          <c:smooth val="0"/>
        </c:ser>
        <c:ser>
          <c:idx val="1"/>
          <c:order val="1"/>
          <c:tx>
            <c:strRef>
              <c:f>Sheet1!$A$3</c:f>
              <c:strCache>
                <c:ptCount val="1"/>
                <c:pt idx="0">
                  <c:v>maxima anuală</c:v>
                </c:pt>
              </c:strCache>
            </c:strRef>
          </c:tx>
          <c:spPr>
            <a:ln w="12678">
              <a:solidFill>
                <a:srgbClr val="FF00FF"/>
              </a:solidFill>
              <a:prstDash val="solid"/>
            </a:ln>
          </c:spPr>
          <c:marker>
            <c:symbol val="square"/>
            <c:size val="4"/>
            <c:spPr>
              <a:solidFill>
                <a:srgbClr val="FF00FF"/>
              </a:solidFill>
              <a:ln>
                <a:solidFill>
                  <a:srgbClr val="FF00FF"/>
                </a:solidFill>
                <a:prstDash val="solid"/>
              </a:ln>
            </c:spPr>
          </c:marker>
          <c:dLbls>
            <c:dLbl>
              <c:idx val="0"/>
              <c:layout>
                <c:manualLayout>
                  <c:x val="-7.0918284779901922E-3"/>
                  <c:y val="-7.8024768659356411E-2"/>
                </c:manualLayout>
              </c:layout>
              <c:dLblPos val="r"/>
              <c:showLegendKey val="0"/>
              <c:showVal val="1"/>
              <c:showCatName val="0"/>
              <c:showSerName val="0"/>
              <c:showPercent val="0"/>
              <c:showBubbleSize val="0"/>
            </c:dLbl>
            <c:dLbl>
              <c:idx val="1"/>
              <c:layout>
                <c:manualLayout>
                  <c:x val="-5.3466051131259114E-3"/>
                  <c:y val="-4.8670031681148702E-2"/>
                </c:manualLayout>
              </c:layout>
              <c:dLblPos val="r"/>
              <c:showLegendKey val="0"/>
              <c:showVal val="1"/>
              <c:showCatName val="0"/>
              <c:showSerName val="0"/>
              <c:showPercent val="0"/>
              <c:showBubbleSize val="0"/>
            </c:dLbl>
            <c:dLbl>
              <c:idx val="2"/>
              <c:layout>
                <c:manualLayout>
                  <c:x val="-2.8034371911207952E-2"/>
                  <c:y val="-0.11121032882892637"/>
                </c:manualLayout>
              </c:layout>
              <c:dLblPos val="r"/>
              <c:showLegendKey val="0"/>
              <c:showVal val="1"/>
              <c:showCatName val="0"/>
              <c:showSerName val="0"/>
              <c:showPercent val="0"/>
              <c:showBubbleSize val="0"/>
            </c:dLbl>
            <c:dLbl>
              <c:idx val="3"/>
              <c:layout>
                <c:manualLayout>
                  <c:x val="-3.1524750640584479E-2"/>
                  <c:y val="-0.13673424261577224"/>
                </c:manualLayout>
              </c:layout>
              <c:dLblPos val="r"/>
              <c:showLegendKey val="0"/>
              <c:showVal val="1"/>
              <c:showCatName val="0"/>
              <c:showSerName val="0"/>
              <c:showPercent val="0"/>
              <c:showBubbleSize val="0"/>
            </c:dLbl>
            <c:spPr>
              <a:noFill/>
              <a:ln w="25357">
                <a:noFill/>
              </a:ln>
            </c:spPr>
            <c:txPr>
              <a:bodyPr/>
              <a:lstStyle/>
              <a:p>
                <a:pPr>
                  <a:defRPr sz="1198"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numRef>
              <c:f>Sheet1!$B$1:$F$1</c:f>
              <c:numCache>
                <c:formatCode>General</c:formatCode>
                <c:ptCount val="5"/>
                <c:pt idx="0">
                  <c:v>2011</c:v>
                </c:pt>
                <c:pt idx="1">
                  <c:v>2012</c:v>
                </c:pt>
                <c:pt idx="2">
                  <c:v>2013</c:v>
                </c:pt>
                <c:pt idx="3">
                  <c:v>2014</c:v>
                </c:pt>
                <c:pt idx="4">
                  <c:v>2015</c:v>
                </c:pt>
              </c:numCache>
            </c:numRef>
          </c:cat>
          <c:val>
            <c:numRef>
              <c:f>Sheet1!$B$3:$F$3</c:f>
              <c:numCache>
                <c:formatCode>General</c:formatCode>
                <c:ptCount val="5"/>
                <c:pt idx="0">
                  <c:v>0.26</c:v>
                </c:pt>
                <c:pt idx="1">
                  <c:v>0.19</c:v>
                </c:pt>
                <c:pt idx="2">
                  <c:v>0.38000000000000017</c:v>
                </c:pt>
                <c:pt idx="3">
                  <c:v>1.1700000000000006</c:v>
                </c:pt>
                <c:pt idx="4">
                  <c:v>0.42000000000000015</c:v>
                </c:pt>
              </c:numCache>
            </c:numRef>
          </c:val>
          <c:smooth val="0"/>
        </c:ser>
        <c:dLbls>
          <c:showLegendKey val="0"/>
          <c:showVal val="1"/>
          <c:showCatName val="0"/>
          <c:showSerName val="0"/>
          <c:showPercent val="0"/>
          <c:showBubbleSize val="0"/>
        </c:dLbls>
        <c:marker val="1"/>
        <c:smooth val="0"/>
        <c:axId val="303756416"/>
        <c:axId val="303757952"/>
      </c:lineChart>
      <c:catAx>
        <c:axId val="303756416"/>
        <c:scaling>
          <c:orientation val="minMax"/>
        </c:scaling>
        <c:delete val="0"/>
        <c:axPos val="b"/>
        <c:numFmt formatCode="General" sourceLinked="1"/>
        <c:majorTickMark val="out"/>
        <c:minorTickMark val="none"/>
        <c:tickLblPos val="nextTo"/>
        <c:spPr>
          <a:ln w="3170">
            <a:solidFill>
              <a:srgbClr val="000000"/>
            </a:solidFill>
            <a:prstDash val="solid"/>
          </a:ln>
        </c:spPr>
        <c:txPr>
          <a:bodyPr rot="0" vert="horz"/>
          <a:lstStyle/>
          <a:p>
            <a:pPr>
              <a:defRPr sz="1198" b="1" i="0" u="none" strike="noStrike" baseline="0">
                <a:solidFill>
                  <a:srgbClr val="000000"/>
                </a:solidFill>
                <a:latin typeface="Arial"/>
                <a:ea typeface="Arial"/>
                <a:cs typeface="Arial"/>
              </a:defRPr>
            </a:pPr>
            <a:endParaRPr lang="en-US"/>
          </a:p>
        </c:txPr>
        <c:crossAx val="303757952"/>
        <c:crosses val="autoZero"/>
        <c:auto val="1"/>
        <c:lblAlgn val="ctr"/>
        <c:lblOffset val="100"/>
        <c:tickLblSkip val="1"/>
        <c:tickMarkSkip val="1"/>
        <c:noMultiLvlLbl val="0"/>
      </c:catAx>
      <c:valAx>
        <c:axId val="303757952"/>
        <c:scaling>
          <c:orientation val="minMax"/>
          <c:max val="2"/>
        </c:scaling>
        <c:delete val="0"/>
        <c:axPos val="l"/>
        <c:majorGridlines>
          <c:spPr>
            <a:ln w="3170">
              <a:solidFill>
                <a:srgbClr val="000000"/>
              </a:solidFill>
              <a:prstDash val="solid"/>
            </a:ln>
          </c:spPr>
        </c:majorGridlines>
        <c:title>
          <c:tx>
            <c:rich>
              <a:bodyPr/>
              <a:lstStyle/>
              <a:p>
                <a:pPr>
                  <a:defRPr sz="1198" b="1" i="0" u="none" strike="noStrike" baseline="0">
                    <a:solidFill>
                      <a:srgbClr val="000000"/>
                    </a:solidFill>
                    <a:latin typeface="Arial"/>
                    <a:ea typeface="Arial"/>
                    <a:cs typeface="Arial"/>
                  </a:defRPr>
                </a:pPr>
                <a:r>
                  <a:rPr lang="en-US"/>
                  <a:t>[Bq/L]</a:t>
                </a:r>
              </a:p>
            </c:rich>
          </c:tx>
          <c:layout>
            <c:manualLayout>
              <c:xMode val="edge"/>
              <c:yMode val="edge"/>
              <c:x val="3.4904013961605611E-3"/>
              <c:y val="0.33467741935484141"/>
            </c:manualLayout>
          </c:layout>
          <c:overlay val="0"/>
          <c:spPr>
            <a:noFill/>
            <a:ln w="25357">
              <a:noFill/>
            </a:ln>
          </c:spPr>
        </c:title>
        <c:numFmt formatCode="General" sourceLinked="1"/>
        <c:majorTickMark val="out"/>
        <c:minorTickMark val="none"/>
        <c:tickLblPos val="nextTo"/>
        <c:spPr>
          <a:ln w="3170">
            <a:solidFill>
              <a:srgbClr val="000000"/>
            </a:solidFill>
            <a:prstDash val="solid"/>
          </a:ln>
        </c:spPr>
        <c:txPr>
          <a:bodyPr rot="0" vert="horz"/>
          <a:lstStyle/>
          <a:p>
            <a:pPr>
              <a:defRPr sz="1198" b="1" i="0" u="none" strike="noStrike" baseline="0">
                <a:solidFill>
                  <a:srgbClr val="000000"/>
                </a:solidFill>
                <a:latin typeface="Arial"/>
                <a:ea typeface="Arial"/>
                <a:cs typeface="Arial"/>
              </a:defRPr>
            </a:pPr>
            <a:endParaRPr lang="en-US"/>
          </a:p>
        </c:txPr>
        <c:crossAx val="303756416"/>
        <c:crosses val="autoZero"/>
        <c:crossBetween val="between"/>
        <c:majorUnit val="0.2"/>
      </c:valAx>
      <c:spPr>
        <a:solidFill>
          <a:srgbClr val="FFFFFF"/>
        </a:solidFill>
        <a:ln w="12678">
          <a:solidFill>
            <a:srgbClr val="808080"/>
          </a:solidFill>
          <a:prstDash val="solid"/>
        </a:ln>
      </c:spPr>
    </c:plotArea>
    <c:legend>
      <c:legendPos val="r"/>
      <c:layout>
        <c:manualLayout>
          <c:xMode val="edge"/>
          <c:yMode val="edge"/>
          <c:x val="0.27225130890052329"/>
          <c:y val="8.0645161290322943E-3"/>
          <c:w val="0.5951134380453752"/>
          <c:h val="7.2580645161290328E-2"/>
        </c:manualLayout>
      </c:layout>
      <c:overlay val="0"/>
      <c:spPr>
        <a:noFill/>
        <a:ln w="3170">
          <a:solidFill>
            <a:srgbClr val="000000"/>
          </a:solidFill>
          <a:prstDash val="solid"/>
        </a:ln>
      </c:spPr>
      <c:txPr>
        <a:bodyPr/>
        <a:lstStyle/>
        <a:p>
          <a:pPr>
            <a:defRPr sz="1098"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198" b="1" i="0" u="none" strike="noStrike" baseline="0">
          <a:solidFill>
            <a:srgbClr val="000000"/>
          </a:solidFill>
          <a:latin typeface="Arial"/>
          <a:ea typeface="Arial"/>
          <a:cs typeface="Arial"/>
        </a:defRPr>
      </a:pPr>
      <a:endParaRPr lang="en-US"/>
    </a:p>
  </c:txPr>
  <c:externalData r:id="rId2">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57048092868988"/>
          <c:y val="8.98876404494382E-2"/>
          <c:w val="0.79767827529021562"/>
          <c:h val="0.76779026217228763"/>
        </c:manualLayout>
      </c:layout>
      <c:lineChart>
        <c:grouping val="standard"/>
        <c:varyColors val="0"/>
        <c:ser>
          <c:idx val="0"/>
          <c:order val="0"/>
          <c:tx>
            <c:strRef>
              <c:f>Sheet1!$A$2</c:f>
              <c:strCache>
                <c:ptCount val="1"/>
                <c:pt idx="0">
                  <c:v>media anuala</c:v>
                </c:pt>
              </c:strCache>
            </c:strRef>
          </c:tx>
          <c:spPr>
            <a:ln w="12700">
              <a:solidFill>
                <a:srgbClr val="000080"/>
              </a:solidFill>
              <a:prstDash val="solid"/>
            </a:ln>
          </c:spPr>
          <c:marker>
            <c:symbol val="diamond"/>
            <c:size val="4"/>
            <c:spPr>
              <a:solidFill>
                <a:srgbClr val="000080"/>
              </a:solidFill>
              <a:ln>
                <a:solidFill>
                  <a:srgbClr val="000080"/>
                </a:solidFill>
                <a:prstDash val="solid"/>
              </a:ln>
            </c:spPr>
          </c:marker>
          <c:dLbls>
            <c:spPr>
              <a:noFill/>
              <a:ln w="25399">
                <a:noFill/>
              </a:ln>
            </c:spPr>
            <c:txPr>
              <a:bodyPr/>
              <a:lstStyle/>
              <a:p>
                <a:pPr>
                  <a:defRPr sz="1175"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280</c:v>
                </c:pt>
                <c:pt idx="1">
                  <c:v>248</c:v>
                </c:pt>
                <c:pt idx="2">
                  <c:v>840</c:v>
                </c:pt>
                <c:pt idx="3">
                  <c:v>717</c:v>
                </c:pt>
                <c:pt idx="4">
                  <c:v>750</c:v>
                </c:pt>
              </c:numCache>
            </c:numRef>
          </c:val>
          <c:smooth val="0"/>
        </c:ser>
        <c:ser>
          <c:idx val="1"/>
          <c:order val="1"/>
          <c:tx>
            <c:strRef>
              <c:f>Sheet1!$A$3</c:f>
              <c:strCache>
                <c:ptCount val="1"/>
                <c:pt idx="0">
                  <c:v>maxima anuala </c:v>
                </c:pt>
              </c:strCache>
            </c:strRef>
          </c:tx>
          <c:spPr>
            <a:ln w="12700">
              <a:solidFill>
                <a:srgbClr val="FF00FF"/>
              </a:solidFill>
              <a:prstDash val="solid"/>
            </a:ln>
          </c:spPr>
          <c:marker>
            <c:symbol val="square"/>
            <c:size val="4"/>
            <c:spPr>
              <a:solidFill>
                <a:srgbClr val="FF00FF"/>
              </a:solidFill>
              <a:ln>
                <a:solidFill>
                  <a:srgbClr val="FF00FF"/>
                </a:solidFill>
                <a:prstDash val="solid"/>
              </a:ln>
            </c:spPr>
          </c:marker>
          <c:dLbls>
            <c:spPr>
              <a:noFill/>
              <a:ln w="25399">
                <a:noFill/>
              </a:ln>
            </c:spPr>
            <c:txPr>
              <a:bodyPr/>
              <a:lstStyle/>
              <a:p>
                <a:pPr>
                  <a:defRPr sz="1175"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numRef>
              <c:f>Sheet1!$B$1:$F$1</c:f>
              <c:numCache>
                <c:formatCode>General</c:formatCode>
                <c:ptCount val="5"/>
                <c:pt idx="0">
                  <c:v>2011</c:v>
                </c:pt>
                <c:pt idx="1">
                  <c:v>2012</c:v>
                </c:pt>
                <c:pt idx="2">
                  <c:v>2013</c:v>
                </c:pt>
                <c:pt idx="3">
                  <c:v>2014</c:v>
                </c:pt>
                <c:pt idx="4">
                  <c:v>2015</c:v>
                </c:pt>
              </c:numCache>
            </c:numRef>
          </c:cat>
          <c:val>
            <c:numRef>
              <c:f>Sheet1!$B$3:$F$3</c:f>
              <c:numCache>
                <c:formatCode>General</c:formatCode>
                <c:ptCount val="5"/>
                <c:pt idx="0">
                  <c:v>470</c:v>
                </c:pt>
                <c:pt idx="1">
                  <c:v>457</c:v>
                </c:pt>
                <c:pt idx="2">
                  <c:v>1478</c:v>
                </c:pt>
                <c:pt idx="3">
                  <c:v>1365</c:v>
                </c:pt>
                <c:pt idx="4">
                  <c:v>1013</c:v>
                </c:pt>
              </c:numCache>
            </c:numRef>
          </c:val>
          <c:smooth val="0"/>
        </c:ser>
        <c:dLbls>
          <c:showLegendKey val="0"/>
          <c:showVal val="1"/>
          <c:showCatName val="0"/>
          <c:showSerName val="0"/>
          <c:showPercent val="0"/>
          <c:showBubbleSize val="0"/>
        </c:dLbls>
        <c:marker val="1"/>
        <c:smooth val="0"/>
        <c:axId val="303808896"/>
        <c:axId val="303810432"/>
      </c:lineChart>
      <c:catAx>
        <c:axId val="30380889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175" b="1" i="0" u="none" strike="noStrike" baseline="0">
                <a:solidFill>
                  <a:srgbClr val="000000"/>
                </a:solidFill>
                <a:latin typeface="Arial"/>
                <a:ea typeface="Arial"/>
                <a:cs typeface="Arial"/>
              </a:defRPr>
            </a:pPr>
            <a:endParaRPr lang="en-US"/>
          </a:p>
        </c:txPr>
        <c:crossAx val="303810432"/>
        <c:crosses val="autoZero"/>
        <c:auto val="1"/>
        <c:lblAlgn val="ctr"/>
        <c:lblOffset val="100"/>
        <c:tickLblSkip val="1"/>
        <c:tickMarkSkip val="1"/>
        <c:noMultiLvlLbl val="0"/>
      </c:catAx>
      <c:valAx>
        <c:axId val="303810432"/>
        <c:scaling>
          <c:orientation val="minMax"/>
        </c:scaling>
        <c:delete val="0"/>
        <c:axPos val="l"/>
        <c:majorGridlines>
          <c:spPr>
            <a:ln w="3175">
              <a:solidFill>
                <a:srgbClr val="000000"/>
              </a:solidFill>
              <a:prstDash val="solid"/>
            </a:ln>
          </c:spPr>
        </c:majorGridlines>
        <c:title>
          <c:tx>
            <c:rich>
              <a:bodyPr/>
              <a:lstStyle/>
              <a:p>
                <a:pPr>
                  <a:defRPr sz="1175" b="1" i="0" u="none" strike="noStrike" baseline="0">
                    <a:solidFill>
                      <a:srgbClr val="000000"/>
                    </a:solidFill>
                    <a:latin typeface="Arial"/>
                    <a:ea typeface="Arial"/>
                    <a:cs typeface="Arial"/>
                  </a:defRPr>
                </a:pPr>
                <a:r>
                  <a:rPr lang="en-US"/>
                  <a:t>[Bq/Kg m.u.]</a:t>
                </a:r>
              </a:p>
            </c:rich>
          </c:tx>
          <c:layout>
            <c:manualLayout>
              <c:xMode val="edge"/>
              <c:yMode val="edge"/>
              <c:x val="1.658374792703151E-2"/>
              <c:y val="0.28089887640449551"/>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1175" b="1" i="0" u="none" strike="noStrike" baseline="0">
                <a:solidFill>
                  <a:srgbClr val="000000"/>
                </a:solidFill>
                <a:latin typeface="Arial"/>
                <a:ea typeface="Arial"/>
                <a:cs typeface="Arial"/>
              </a:defRPr>
            </a:pPr>
            <a:endParaRPr lang="en-US"/>
          </a:p>
        </c:txPr>
        <c:crossAx val="303808896"/>
        <c:crosses val="autoZero"/>
        <c:crossBetween val="between"/>
      </c:valAx>
      <c:spPr>
        <a:solidFill>
          <a:srgbClr val="FFFFFF"/>
        </a:solidFill>
        <a:ln w="12700">
          <a:solidFill>
            <a:srgbClr val="808080"/>
          </a:solidFill>
          <a:prstDash val="solid"/>
        </a:ln>
      </c:spPr>
    </c:plotArea>
    <c:legend>
      <c:legendPos val="r"/>
      <c:layout>
        <c:manualLayout>
          <c:xMode val="edge"/>
          <c:yMode val="edge"/>
          <c:x val="0.22719734660033222"/>
          <c:y val="1.4981273408239701E-2"/>
          <c:w val="0.67827529021559385"/>
          <c:h val="5.9925093632958802E-2"/>
        </c:manualLayout>
      </c:layout>
      <c:overlay val="0"/>
      <c:spPr>
        <a:noFill/>
        <a:ln w="3175">
          <a:solidFill>
            <a:srgbClr val="000000"/>
          </a:solidFill>
          <a:prstDash val="solid"/>
        </a:ln>
      </c:spPr>
      <c:txPr>
        <a:bodyPr/>
        <a:lstStyle/>
        <a:p>
          <a:pPr>
            <a:defRPr sz="1010"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100" b="1" i="0" u="none" strike="noStrike" baseline="0">
          <a:solidFill>
            <a:srgbClr val="000000"/>
          </a:solidFill>
          <a:latin typeface="Arial"/>
          <a:ea typeface="Arial"/>
          <a:cs typeface="Arial"/>
        </a:defRPr>
      </a:pPr>
      <a:endParaRPr lang="en-US"/>
    </a:p>
  </c:txPr>
  <c:externalData r:id="rId2">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25228519195696"/>
          <c:y val="0.11398963730569948"/>
          <c:w val="0.78244972577696226"/>
          <c:h val="0.67875647668394223"/>
        </c:manualLayout>
      </c:layout>
      <c:lineChart>
        <c:grouping val="standard"/>
        <c:varyColors val="0"/>
        <c:ser>
          <c:idx val="0"/>
          <c:order val="0"/>
          <c:tx>
            <c:strRef>
              <c:f>Sheet1!$A$2</c:f>
              <c:strCache>
                <c:ptCount val="1"/>
                <c:pt idx="0">
                  <c:v>media anuală</c:v>
                </c:pt>
              </c:strCache>
            </c:strRef>
          </c:tx>
          <c:spPr>
            <a:ln w="12677">
              <a:solidFill>
                <a:srgbClr val="000080"/>
              </a:solidFill>
              <a:prstDash val="solid"/>
            </a:ln>
          </c:spPr>
          <c:marker>
            <c:symbol val="diamond"/>
            <c:size val="4"/>
            <c:spPr>
              <a:solidFill>
                <a:srgbClr val="000080"/>
              </a:solidFill>
              <a:ln>
                <a:solidFill>
                  <a:srgbClr val="000080"/>
                </a:solidFill>
                <a:prstDash val="solid"/>
              </a:ln>
            </c:spPr>
          </c:marker>
          <c:dLbls>
            <c:spPr>
              <a:noFill/>
              <a:ln w="25354">
                <a:noFill/>
              </a:ln>
            </c:spPr>
            <c:txPr>
              <a:bodyPr/>
              <a:lstStyle/>
              <a:p>
                <a:pPr>
                  <a:defRPr sz="1073"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numRef>
              <c:f>Sheet1!$B$1:$G$1</c:f>
              <c:numCache>
                <c:formatCode>General</c:formatCode>
                <c:ptCount val="6"/>
                <c:pt idx="0">
                  <c:v>2011</c:v>
                </c:pt>
                <c:pt idx="1">
                  <c:v>2012</c:v>
                </c:pt>
                <c:pt idx="2">
                  <c:v>2013</c:v>
                </c:pt>
                <c:pt idx="3">
                  <c:v>2014</c:v>
                </c:pt>
                <c:pt idx="4">
                  <c:v>2015</c:v>
                </c:pt>
              </c:numCache>
            </c:numRef>
          </c:cat>
          <c:val>
            <c:numRef>
              <c:f>Sheet1!$B$2:$G$2</c:f>
              <c:numCache>
                <c:formatCode>General</c:formatCode>
                <c:ptCount val="6"/>
                <c:pt idx="0">
                  <c:v>208</c:v>
                </c:pt>
                <c:pt idx="1">
                  <c:v>172</c:v>
                </c:pt>
                <c:pt idx="2">
                  <c:v>548</c:v>
                </c:pt>
                <c:pt idx="3">
                  <c:v>497</c:v>
                </c:pt>
                <c:pt idx="4">
                  <c:v>361</c:v>
                </c:pt>
              </c:numCache>
            </c:numRef>
          </c:val>
          <c:smooth val="0"/>
        </c:ser>
        <c:ser>
          <c:idx val="1"/>
          <c:order val="1"/>
          <c:tx>
            <c:strRef>
              <c:f>Sheet1!$A$3</c:f>
              <c:strCache>
                <c:ptCount val="1"/>
                <c:pt idx="0">
                  <c:v>maxima anuală</c:v>
                </c:pt>
              </c:strCache>
            </c:strRef>
          </c:tx>
          <c:spPr>
            <a:ln w="12677">
              <a:solidFill>
                <a:srgbClr val="FF00FF"/>
              </a:solidFill>
              <a:prstDash val="solid"/>
            </a:ln>
          </c:spPr>
          <c:marker>
            <c:symbol val="square"/>
            <c:size val="4"/>
            <c:spPr>
              <a:solidFill>
                <a:srgbClr val="FF00FF"/>
              </a:solidFill>
              <a:ln>
                <a:solidFill>
                  <a:srgbClr val="FF00FF"/>
                </a:solidFill>
                <a:prstDash val="solid"/>
              </a:ln>
            </c:spPr>
          </c:marker>
          <c:dLbls>
            <c:spPr>
              <a:noFill/>
              <a:ln w="25354">
                <a:noFill/>
              </a:ln>
            </c:spPr>
            <c:txPr>
              <a:bodyPr/>
              <a:lstStyle/>
              <a:p>
                <a:pPr>
                  <a:defRPr sz="1073"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numRef>
              <c:f>Sheet1!$B$1:$G$1</c:f>
              <c:numCache>
                <c:formatCode>General</c:formatCode>
                <c:ptCount val="6"/>
                <c:pt idx="0">
                  <c:v>2011</c:v>
                </c:pt>
                <c:pt idx="1">
                  <c:v>2012</c:v>
                </c:pt>
                <c:pt idx="2">
                  <c:v>2013</c:v>
                </c:pt>
                <c:pt idx="3">
                  <c:v>2014</c:v>
                </c:pt>
                <c:pt idx="4">
                  <c:v>2015</c:v>
                </c:pt>
              </c:numCache>
            </c:numRef>
          </c:cat>
          <c:val>
            <c:numRef>
              <c:f>Sheet1!$B$3:$G$3</c:f>
              <c:numCache>
                <c:formatCode>General</c:formatCode>
                <c:ptCount val="6"/>
                <c:pt idx="0">
                  <c:v>343</c:v>
                </c:pt>
                <c:pt idx="1">
                  <c:v>393</c:v>
                </c:pt>
                <c:pt idx="2">
                  <c:v>960</c:v>
                </c:pt>
                <c:pt idx="3">
                  <c:v>993</c:v>
                </c:pt>
                <c:pt idx="4">
                  <c:v>592</c:v>
                </c:pt>
              </c:numCache>
            </c:numRef>
          </c:val>
          <c:smooth val="0"/>
        </c:ser>
        <c:dLbls>
          <c:showLegendKey val="0"/>
          <c:showVal val="1"/>
          <c:showCatName val="0"/>
          <c:showSerName val="0"/>
          <c:showPercent val="0"/>
          <c:showBubbleSize val="0"/>
        </c:dLbls>
        <c:marker val="1"/>
        <c:smooth val="0"/>
        <c:axId val="303897984"/>
        <c:axId val="303899776"/>
      </c:lineChart>
      <c:catAx>
        <c:axId val="303897984"/>
        <c:scaling>
          <c:orientation val="minMax"/>
        </c:scaling>
        <c:delete val="0"/>
        <c:axPos val="b"/>
        <c:numFmt formatCode="General" sourceLinked="1"/>
        <c:majorTickMark val="out"/>
        <c:minorTickMark val="none"/>
        <c:tickLblPos val="nextTo"/>
        <c:spPr>
          <a:ln w="3169">
            <a:solidFill>
              <a:srgbClr val="000000"/>
            </a:solidFill>
            <a:prstDash val="solid"/>
          </a:ln>
        </c:spPr>
        <c:txPr>
          <a:bodyPr rot="0" vert="horz"/>
          <a:lstStyle/>
          <a:p>
            <a:pPr>
              <a:defRPr sz="1073" b="1" i="0" u="none" strike="noStrike" baseline="0">
                <a:solidFill>
                  <a:srgbClr val="000000"/>
                </a:solidFill>
                <a:latin typeface="Arial"/>
                <a:ea typeface="Arial"/>
                <a:cs typeface="Arial"/>
              </a:defRPr>
            </a:pPr>
            <a:endParaRPr lang="en-US"/>
          </a:p>
        </c:txPr>
        <c:crossAx val="303899776"/>
        <c:crosses val="autoZero"/>
        <c:auto val="1"/>
        <c:lblAlgn val="ctr"/>
        <c:lblOffset val="100"/>
        <c:tickLblSkip val="1"/>
        <c:tickMarkSkip val="1"/>
        <c:noMultiLvlLbl val="0"/>
      </c:catAx>
      <c:valAx>
        <c:axId val="303899776"/>
        <c:scaling>
          <c:orientation val="minMax"/>
        </c:scaling>
        <c:delete val="0"/>
        <c:axPos val="l"/>
        <c:majorGridlines>
          <c:spPr>
            <a:ln w="3169">
              <a:solidFill>
                <a:srgbClr val="000000"/>
              </a:solidFill>
              <a:prstDash val="solid"/>
            </a:ln>
          </c:spPr>
        </c:majorGridlines>
        <c:title>
          <c:tx>
            <c:rich>
              <a:bodyPr/>
              <a:lstStyle/>
              <a:p>
                <a:pPr>
                  <a:defRPr sz="1073" b="1" i="0" u="none" strike="noStrike" baseline="0">
                    <a:solidFill>
                      <a:srgbClr val="000000"/>
                    </a:solidFill>
                    <a:latin typeface="Arial"/>
                    <a:ea typeface="Arial"/>
                    <a:cs typeface="Arial"/>
                  </a:defRPr>
                </a:pPr>
                <a:r>
                  <a:rPr lang="en-US"/>
                  <a:t>[Bq/Kg m.v.]</a:t>
                </a:r>
              </a:p>
            </c:rich>
          </c:tx>
          <c:layout>
            <c:manualLayout>
              <c:xMode val="edge"/>
              <c:yMode val="edge"/>
              <c:x val="2.0109689213893972E-2"/>
              <c:y val="0.23834196891191708"/>
            </c:manualLayout>
          </c:layout>
          <c:overlay val="0"/>
          <c:spPr>
            <a:noFill/>
            <a:ln w="25354">
              <a:noFill/>
            </a:ln>
          </c:spPr>
        </c:title>
        <c:numFmt formatCode="General" sourceLinked="1"/>
        <c:majorTickMark val="out"/>
        <c:minorTickMark val="none"/>
        <c:tickLblPos val="nextTo"/>
        <c:spPr>
          <a:ln w="3169">
            <a:solidFill>
              <a:srgbClr val="000000"/>
            </a:solidFill>
            <a:prstDash val="solid"/>
          </a:ln>
        </c:spPr>
        <c:txPr>
          <a:bodyPr rot="0" vert="horz"/>
          <a:lstStyle/>
          <a:p>
            <a:pPr>
              <a:defRPr sz="1073" b="1" i="0" u="none" strike="noStrike" baseline="0">
                <a:solidFill>
                  <a:srgbClr val="000000"/>
                </a:solidFill>
                <a:latin typeface="Arial"/>
                <a:ea typeface="Arial"/>
                <a:cs typeface="Arial"/>
              </a:defRPr>
            </a:pPr>
            <a:endParaRPr lang="en-US"/>
          </a:p>
        </c:txPr>
        <c:crossAx val="303897984"/>
        <c:crosses val="autoZero"/>
        <c:crossBetween val="between"/>
      </c:valAx>
      <c:spPr>
        <a:solidFill>
          <a:srgbClr val="FFFFFF"/>
        </a:solidFill>
        <a:ln w="12677">
          <a:solidFill>
            <a:srgbClr val="808080"/>
          </a:solidFill>
          <a:prstDash val="solid"/>
        </a:ln>
      </c:spPr>
    </c:plotArea>
    <c:legend>
      <c:legendPos val="r"/>
      <c:layout>
        <c:manualLayout>
          <c:xMode val="edge"/>
          <c:yMode val="edge"/>
          <c:x val="0.19744058500914091"/>
          <c:y val="0"/>
          <c:w val="0.70749542961609024"/>
          <c:h val="0.11398963730569948"/>
        </c:manualLayout>
      </c:layout>
      <c:overlay val="0"/>
      <c:spPr>
        <a:noFill/>
        <a:ln w="3169">
          <a:solidFill>
            <a:srgbClr val="000000"/>
          </a:solidFill>
          <a:prstDash val="solid"/>
        </a:ln>
      </c:spPr>
      <c:txPr>
        <a:bodyPr/>
        <a:lstStyle/>
        <a:p>
          <a:pPr>
            <a:defRPr sz="918" b="1"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948" b="1" i="0" u="none" strike="noStrike" baseline="0">
          <a:solidFill>
            <a:srgbClr val="000000"/>
          </a:solidFill>
          <a:latin typeface="Arial"/>
          <a:ea typeface="Arial"/>
          <a:cs typeface="Arial"/>
        </a:defRPr>
      </a:pPr>
      <a:endParaRPr lang="en-US"/>
    </a:p>
  </c:txPr>
  <c:externalData r:id="rId2">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20952380952380953"/>
          <c:y val="7.8189300411522639E-2"/>
          <c:w val="0.79047619047619044"/>
          <c:h val="0.44855967078189302"/>
        </c:manualLayout>
      </c:layout>
      <c:bar3DChart>
        <c:barDir val="col"/>
        <c:grouping val="clustered"/>
        <c:varyColors val="0"/>
        <c:ser>
          <c:idx val="0"/>
          <c:order val="0"/>
          <c:tx>
            <c:strRef>
              <c:f>Sheet1!$A$2</c:f>
              <c:strCache>
                <c:ptCount val="1"/>
                <c:pt idx="0">
                  <c:v>Total gospodării</c:v>
                </c:pt>
              </c:strCache>
            </c:strRef>
          </c:tx>
          <c:spPr>
            <a:solidFill>
              <a:srgbClr val="9999FF"/>
            </a:solidFill>
            <a:ln w="12700">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174469</c:v>
                </c:pt>
                <c:pt idx="1">
                  <c:v>174860</c:v>
                </c:pt>
                <c:pt idx="2">
                  <c:v>175239</c:v>
                </c:pt>
                <c:pt idx="3">
                  <c:v>175569</c:v>
                </c:pt>
                <c:pt idx="4">
                  <c:v>175940</c:v>
                </c:pt>
              </c:numCache>
            </c:numRef>
          </c:val>
        </c:ser>
        <c:ser>
          <c:idx val="1"/>
          <c:order val="1"/>
          <c:tx>
            <c:strRef>
              <c:f>Sheet1!$A$3</c:f>
              <c:strCache>
                <c:ptCount val="1"/>
                <c:pt idx="0">
                  <c:v>Urban</c:v>
                </c:pt>
              </c:strCache>
            </c:strRef>
          </c:tx>
          <c:spPr>
            <a:solidFill>
              <a:srgbClr val="993366"/>
            </a:solidFill>
            <a:ln w="12700">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Sheet1!$B$3:$F$3</c:f>
              <c:numCache>
                <c:formatCode>General</c:formatCode>
                <c:ptCount val="5"/>
                <c:pt idx="0">
                  <c:v>67338</c:v>
                </c:pt>
                <c:pt idx="1">
                  <c:v>67528</c:v>
                </c:pt>
                <c:pt idx="2">
                  <c:v>67685</c:v>
                </c:pt>
                <c:pt idx="3">
                  <c:v>67847</c:v>
                </c:pt>
                <c:pt idx="4">
                  <c:v>67996</c:v>
                </c:pt>
              </c:numCache>
            </c:numRef>
          </c:val>
        </c:ser>
        <c:ser>
          <c:idx val="2"/>
          <c:order val="2"/>
          <c:tx>
            <c:strRef>
              <c:f>Sheet1!$A$4</c:f>
              <c:strCache>
                <c:ptCount val="1"/>
                <c:pt idx="0">
                  <c:v>Rural</c:v>
                </c:pt>
              </c:strCache>
            </c:strRef>
          </c:tx>
          <c:spPr>
            <a:solidFill>
              <a:srgbClr val="FFFFCC"/>
            </a:solidFill>
            <a:ln w="12700">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Sheet1!$B$4:$F$4</c:f>
              <c:numCache>
                <c:formatCode>General</c:formatCode>
                <c:ptCount val="5"/>
                <c:pt idx="0">
                  <c:v>107131</c:v>
                </c:pt>
                <c:pt idx="1">
                  <c:v>107332</c:v>
                </c:pt>
                <c:pt idx="2">
                  <c:v>107554</c:v>
                </c:pt>
                <c:pt idx="3">
                  <c:v>107722</c:v>
                </c:pt>
                <c:pt idx="4">
                  <c:v>107944</c:v>
                </c:pt>
              </c:numCache>
            </c:numRef>
          </c:val>
        </c:ser>
        <c:ser>
          <c:idx val="3"/>
          <c:order val="3"/>
          <c:tx>
            <c:strRef>
              <c:f>Sheet1!$A$5</c:f>
              <c:strCache>
                <c:ptCount val="1"/>
                <c:pt idx="0">
                  <c:v>Persoane/gospodărie</c:v>
                </c:pt>
              </c:strCache>
            </c:strRef>
          </c:tx>
          <c:spPr>
            <a:solidFill>
              <a:srgbClr val="CCFFFF"/>
            </a:solidFill>
            <a:ln w="12700">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Sheet1!$B$5:$F$5</c:f>
              <c:numCache>
                <c:formatCode>General</c:formatCode>
                <c:ptCount val="5"/>
                <c:pt idx="0">
                  <c:v>2.56</c:v>
                </c:pt>
                <c:pt idx="1">
                  <c:v>2.54</c:v>
                </c:pt>
                <c:pt idx="2">
                  <c:v>2.67</c:v>
                </c:pt>
                <c:pt idx="3">
                  <c:v>2.71</c:v>
                </c:pt>
                <c:pt idx="4">
                  <c:v>2.71</c:v>
                </c:pt>
              </c:numCache>
            </c:numRef>
          </c:val>
        </c:ser>
        <c:dLbls>
          <c:showLegendKey val="0"/>
          <c:showVal val="0"/>
          <c:showCatName val="0"/>
          <c:showSerName val="0"/>
          <c:showPercent val="0"/>
          <c:showBubbleSize val="0"/>
        </c:dLbls>
        <c:gapWidth val="150"/>
        <c:gapDepth val="0"/>
        <c:shape val="box"/>
        <c:axId val="303939584"/>
        <c:axId val="303941120"/>
        <c:axId val="0"/>
      </c:bar3DChart>
      <c:catAx>
        <c:axId val="30393958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75" b="1" i="0" u="none" strike="noStrike" baseline="0">
                <a:solidFill>
                  <a:srgbClr val="000000"/>
                </a:solidFill>
                <a:latin typeface="Calibri"/>
                <a:ea typeface="Calibri"/>
                <a:cs typeface="Calibri"/>
              </a:defRPr>
            </a:pPr>
            <a:endParaRPr lang="en-US"/>
          </a:p>
        </c:txPr>
        <c:crossAx val="303941120"/>
        <c:crosses val="autoZero"/>
        <c:auto val="1"/>
        <c:lblAlgn val="ctr"/>
        <c:lblOffset val="100"/>
        <c:tickLblSkip val="1"/>
        <c:tickMarkSkip val="1"/>
        <c:noMultiLvlLbl val="0"/>
      </c:catAx>
      <c:valAx>
        <c:axId val="30394112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75" b="1" i="0" u="none" strike="noStrike" baseline="0">
                <a:solidFill>
                  <a:srgbClr val="000000"/>
                </a:solidFill>
                <a:latin typeface="Calibri"/>
                <a:ea typeface="Calibri"/>
                <a:cs typeface="Calibri"/>
              </a:defRPr>
            </a:pPr>
            <a:endParaRPr lang="en-US"/>
          </a:p>
        </c:txPr>
        <c:crossAx val="303939584"/>
        <c:crosses val="autoZero"/>
        <c:crossBetween val="between"/>
      </c:valAx>
      <c:dTable>
        <c:showHorzBorder val="1"/>
        <c:showVertBorder val="1"/>
        <c:showOutline val="1"/>
        <c:showKeys val="1"/>
        <c:spPr>
          <a:ln w="3175">
            <a:solidFill>
              <a:srgbClr val="000000"/>
            </a:solidFill>
            <a:prstDash val="solid"/>
          </a:ln>
        </c:spPr>
        <c:txPr>
          <a:bodyPr/>
          <a:lstStyle/>
          <a:p>
            <a:pPr rtl="0">
              <a:defRPr sz="900" b="1" i="0" u="none" strike="noStrike" baseline="0">
                <a:solidFill>
                  <a:srgbClr val="000000"/>
                </a:solidFill>
                <a:latin typeface="Calibri"/>
                <a:ea typeface="Calibri"/>
                <a:cs typeface="Calibri"/>
              </a:defRPr>
            </a:pPr>
            <a:endParaRPr lang="en-US"/>
          </a:p>
        </c:txPr>
      </c:dTable>
      <c:spPr>
        <a:noFill/>
        <a:ln w="25400">
          <a:noFill/>
        </a:ln>
      </c:spPr>
    </c:plotArea>
    <c:plotVisOnly val="1"/>
    <c:dispBlanksAs val="gap"/>
    <c:showDLblsOverMax val="0"/>
  </c:chart>
  <c:spPr>
    <a:noFill/>
    <a:ln>
      <a:noFill/>
    </a:ln>
  </c:spPr>
  <c:txPr>
    <a:bodyPr/>
    <a:lstStyle/>
    <a:p>
      <a:pPr>
        <a:defRPr sz="1075" b="1" i="0" u="none" strike="noStrike" baseline="0">
          <a:solidFill>
            <a:srgbClr val="000000"/>
          </a:solidFill>
          <a:latin typeface="Calibri"/>
          <a:ea typeface="Calibri"/>
          <a:cs typeface="Calibri"/>
        </a:defRPr>
      </a:pPr>
      <a:endParaRPr lang="en-US"/>
    </a:p>
  </c:txPr>
  <c:externalData r:id="rId1">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799" b="1" i="0" u="none" strike="noStrike" baseline="0">
                <a:solidFill>
                  <a:srgbClr val="000000"/>
                </a:solidFill>
                <a:latin typeface="Arial"/>
                <a:ea typeface="Arial"/>
                <a:cs typeface="Arial"/>
              </a:defRPr>
            </a:pPr>
            <a:r>
              <a:rPr lang="en-US"/>
              <a:t>Transport public local de pasageri, în judeţul Vaslui, în perioada 2011-2015</a:t>
            </a:r>
          </a:p>
        </c:rich>
      </c:tx>
      <c:layout>
        <c:manualLayout>
          <c:xMode val="edge"/>
          <c:yMode val="edge"/>
          <c:x val="0.17017828200972449"/>
          <c:y val="1.8181818181818181E-2"/>
        </c:manualLayout>
      </c:layout>
      <c:overlay val="0"/>
      <c:spPr>
        <a:noFill/>
        <a:ln w="25359">
          <a:noFill/>
        </a:ln>
      </c:spPr>
    </c:title>
    <c:autoTitleDeleted val="0"/>
    <c:view3D>
      <c:rotX val="15"/>
      <c:hPercent val="2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4829821717990274E-2"/>
          <c:y val="0.24242424242424243"/>
          <c:w val="0.7925445705024311"/>
          <c:h val="0.55151515151515151"/>
        </c:manualLayout>
      </c:layout>
      <c:bar3DChart>
        <c:barDir val="col"/>
        <c:grouping val="clustered"/>
        <c:varyColors val="0"/>
        <c:ser>
          <c:idx val="0"/>
          <c:order val="0"/>
          <c:tx>
            <c:strRef>
              <c:f>Sheet1!$A$2</c:f>
              <c:strCache>
                <c:ptCount val="1"/>
                <c:pt idx="0">
                  <c:v>mii pasageri</c:v>
                </c:pt>
              </c:strCache>
            </c:strRef>
          </c:tx>
          <c:spPr>
            <a:solidFill>
              <a:srgbClr val="9999FF"/>
            </a:solidFill>
            <a:ln w="12680">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5387</c:v>
                </c:pt>
                <c:pt idx="1">
                  <c:v>5556.7</c:v>
                </c:pt>
                <c:pt idx="2">
                  <c:v>5391</c:v>
                </c:pt>
                <c:pt idx="3">
                  <c:v>5050.6000000000004</c:v>
                </c:pt>
                <c:pt idx="4">
                  <c:v>5309.5</c:v>
                </c:pt>
              </c:numCache>
            </c:numRef>
          </c:val>
        </c:ser>
        <c:dLbls>
          <c:showLegendKey val="0"/>
          <c:showVal val="0"/>
          <c:showCatName val="0"/>
          <c:showSerName val="0"/>
          <c:showPercent val="0"/>
          <c:showBubbleSize val="0"/>
        </c:dLbls>
        <c:gapWidth val="150"/>
        <c:gapDepth val="0"/>
        <c:shape val="box"/>
        <c:axId val="301853312"/>
        <c:axId val="303530368"/>
        <c:axId val="0"/>
      </c:bar3DChart>
      <c:catAx>
        <c:axId val="301853312"/>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en-US"/>
          </a:p>
        </c:txPr>
        <c:crossAx val="303530368"/>
        <c:crosses val="autoZero"/>
        <c:auto val="1"/>
        <c:lblAlgn val="ctr"/>
        <c:lblOffset val="100"/>
        <c:tickLblSkip val="1"/>
        <c:tickMarkSkip val="1"/>
        <c:noMultiLvlLbl val="0"/>
      </c:catAx>
      <c:valAx>
        <c:axId val="303530368"/>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en-US"/>
          </a:p>
        </c:txPr>
        <c:crossAx val="301853312"/>
        <c:crosses val="autoZero"/>
        <c:crossBetween val="between"/>
      </c:valAx>
      <c:spPr>
        <a:noFill/>
        <a:ln w="25359">
          <a:noFill/>
        </a:ln>
      </c:spPr>
    </c:plotArea>
    <c:legend>
      <c:legendPos val="r"/>
      <c:layout>
        <c:manualLayout>
          <c:xMode val="edge"/>
          <c:yMode val="edge"/>
          <c:x val="0.87520259319286875"/>
          <c:y val="0.52727272727272723"/>
          <c:w val="0.11831442463533225"/>
          <c:h val="0.12121212121212122"/>
        </c:manualLayout>
      </c:layout>
      <c:overlay val="0"/>
      <c:spPr>
        <a:noFill/>
        <a:ln w="3170">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Arial"/>
                <a:ea typeface="Arial"/>
                <a:cs typeface="Arial"/>
              </a:defRPr>
            </a:pPr>
            <a:r>
              <a:rPr lang="en-US"/>
              <a:t>Ponderea popula</a:t>
            </a:r>
            <a:r>
              <a:rPr lang="ro-RO"/>
              <a:t>ţ</a:t>
            </a:r>
            <a:r>
              <a:rPr lang="en-US"/>
              <a:t>iei expus</a:t>
            </a:r>
            <a:r>
              <a:rPr lang="ro-RO"/>
              <a:t>ă</a:t>
            </a:r>
            <a:r>
              <a:rPr lang="en-US"/>
              <a:t> la poluarea cu PM10</a:t>
            </a:r>
          </a:p>
        </c:rich>
      </c:tx>
      <c:layout>
        <c:manualLayout>
          <c:xMode val="edge"/>
          <c:yMode val="edge"/>
          <c:x val="0.2719869706840391"/>
          <c:y val="2.0746887966804978E-2"/>
        </c:manualLayout>
      </c:layout>
      <c:overlay val="0"/>
      <c:spPr>
        <a:noFill/>
        <a:ln w="25400">
          <a:noFill/>
        </a:ln>
      </c:spPr>
    </c:title>
    <c:autoTitleDeleted val="0"/>
    <c:view3D>
      <c:rotX val="15"/>
      <c:hPercent val="35"/>
      <c:rotY val="20"/>
      <c:depthPercent val="100"/>
      <c:rAngAx val="1"/>
    </c:view3D>
    <c:floor>
      <c:thickness val="0"/>
      <c:spPr>
        <a:solidFill>
          <a:srgbClr val="C0C0C0"/>
        </a:solidFill>
        <a:ln w="3175">
          <a:solidFill>
            <a:srgbClr val="000000"/>
          </a:solidFill>
          <a:prstDash val="solid"/>
        </a:ln>
      </c:spPr>
    </c:floor>
    <c:sideWall>
      <c:thickness val="0"/>
      <c:spPr>
        <a:gradFill rotWithShape="0">
          <a:gsLst>
            <a:gs pos="0">
              <a:srgbClr xmlns:mc="http://schemas.openxmlformats.org/markup-compatibility/2006" xmlns:a14="http://schemas.microsoft.com/office/drawing/2010/main" val="FFFFCC" mc:Ignorable="a14" a14:legacySpreadsheetColorIndex="26"/>
            </a:gs>
            <a:gs pos="100000">
              <a:srgbClr xmlns:mc="http://schemas.openxmlformats.org/markup-compatibility/2006" xmlns:a14="http://schemas.microsoft.com/office/drawing/2010/main" val="CCCCFF" mc:Ignorable="a14" a14:legacySpreadsheetColorIndex="31"/>
            </a:gs>
          </a:gsLst>
          <a:lin ang="5400000" scaled="1"/>
        </a:gradFill>
        <a:ln w="12700">
          <a:solidFill>
            <a:srgbClr val="808080"/>
          </a:solidFill>
          <a:prstDash val="solid"/>
        </a:ln>
      </c:spPr>
    </c:sideWall>
    <c:backWall>
      <c:thickness val="0"/>
      <c:spPr>
        <a:gradFill rotWithShape="0">
          <a:gsLst>
            <a:gs pos="0">
              <a:srgbClr xmlns:mc="http://schemas.openxmlformats.org/markup-compatibility/2006" xmlns:a14="http://schemas.microsoft.com/office/drawing/2010/main" val="FFFFCC" mc:Ignorable="a14" a14:legacySpreadsheetColorIndex="26"/>
            </a:gs>
            <a:gs pos="100000">
              <a:srgbClr xmlns:mc="http://schemas.openxmlformats.org/markup-compatibility/2006" xmlns:a14="http://schemas.microsoft.com/office/drawing/2010/main" val="CCCCFF" mc:Ignorable="a14" a14:legacySpreadsheetColorIndex="31"/>
            </a:gs>
          </a:gsLst>
          <a:lin ang="5400000" scaled="1"/>
        </a:gradFill>
        <a:ln w="12700">
          <a:solidFill>
            <a:srgbClr val="808080"/>
          </a:solidFill>
          <a:prstDash val="solid"/>
        </a:ln>
      </c:spPr>
    </c:backWall>
    <c:plotArea>
      <c:layout>
        <c:manualLayout>
          <c:layoutTarget val="inner"/>
          <c:xMode val="edge"/>
          <c:yMode val="edge"/>
          <c:x val="5.5374592833876218E-2"/>
          <c:y val="0.19502074688796681"/>
          <c:w val="0.85016286644951145"/>
          <c:h val="0.66390041493775931"/>
        </c:manualLayout>
      </c:layout>
      <c:bar3DChart>
        <c:barDir val="col"/>
        <c:grouping val="clustered"/>
        <c:varyColors val="0"/>
        <c:ser>
          <c:idx val="0"/>
          <c:order val="0"/>
          <c:tx>
            <c:strRef>
              <c:f>Sheet1!$A$2</c:f>
              <c:strCache>
                <c:ptCount val="1"/>
                <c:pt idx="0">
                  <c:v>VS-1</c:v>
                </c:pt>
              </c:strCache>
            </c:strRef>
          </c:tx>
          <c:spPr>
            <a:solidFill>
              <a:srgbClr val="9999FF"/>
            </a:solidFill>
            <a:ln w="12700">
              <a:solidFill>
                <a:srgbClr val="000000"/>
              </a:solidFill>
              <a:prstDash val="solid"/>
            </a:ln>
          </c:spPr>
          <c:invertIfNegative val="0"/>
          <c:cat>
            <c:numRef>
              <c:f>Sheet1!$B$1:$I$1</c:f>
              <c:numCache>
                <c:formatCode>General</c:formatCode>
                <c:ptCount val="8"/>
                <c:pt idx="0">
                  <c:v>2008</c:v>
                </c:pt>
                <c:pt idx="1">
                  <c:v>2009</c:v>
                </c:pt>
                <c:pt idx="2">
                  <c:v>2010</c:v>
                </c:pt>
                <c:pt idx="3">
                  <c:v>2011</c:v>
                </c:pt>
                <c:pt idx="4">
                  <c:v>2012</c:v>
                </c:pt>
                <c:pt idx="5">
                  <c:v>2013</c:v>
                </c:pt>
                <c:pt idx="6">
                  <c:v>2014</c:v>
                </c:pt>
                <c:pt idx="7">
                  <c:v>2015</c:v>
                </c:pt>
              </c:numCache>
            </c:numRef>
          </c:cat>
          <c:val>
            <c:numRef>
              <c:f>Sheet1!$B$2:$I$2</c:f>
              <c:numCache>
                <c:formatCode>General</c:formatCode>
                <c:ptCount val="8"/>
                <c:pt idx="1">
                  <c:v>100</c:v>
                </c:pt>
                <c:pt idx="2">
                  <c:v>100</c:v>
                </c:pt>
              </c:numCache>
            </c:numRef>
          </c:val>
        </c:ser>
        <c:ser>
          <c:idx val="1"/>
          <c:order val="1"/>
          <c:tx>
            <c:strRef>
              <c:f>Sheet1!$A$3</c:f>
              <c:strCache>
                <c:ptCount val="1"/>
                <c:pt idx="0">
                  <c:v>VS-2</c:v>
                </c:pt>
              </c:strCache>
            </c:strRef>
          </c:tx>
          <c:spPr>
            <a:solidFill>
              <a:srgbClr val="993366"/>
            </a:solidFill>
            <a:ln w="12700">
              <a:solidFill>
                <a:srgbClr val="000000"/>
              </a:solidFill>
              <a:prstDash val="solid"/>
            </a:ln>
          </c:spPr>
          <c:invertIfNegative val="0"/>
          <c:cat>
            <c:numRef>
              <c:f>Sheet1!$B$1:$I$1</c:f>
              <c:numCache>
                <c:formatCode>General</c:formatCode>
                <c:ptCount val="8"/>
                <c:pt idx="0">
                  <c:v>2008</c:v>
                </c:pt>
                <c:pt idx="1">
                  <c:v>2009</c:v>
                </c:pt>
                <c:pt idx="2">
                  <c:v>2010</c:v>
                </c:pt>
                <c:pt idx="3">
                  <c:v>2011</c:v>
                </c:pt>
                <c:pt idx="4">
                  <c:v>2012</c:v>
                </c:pt>
                <c:pt idx="5">
                  <c:v>2013</c:v>
                </c:pt>
                <c:pt idx="6">
                  <c:v>2014</c:v>
                </c:pt>
                <c:pt idx="7">
                  <c:v>2015</c:v>
                </c:pt>
              </c:numCache>
            </c:numRef>
          </c:cat>
          <c:val>
            <c:numRef>
              <c:f>Sheet1!$B$3:$I$3</c:f>
              <c:numCache>
                <c:formatCode>General</c:formatCode>
                <c:ptCount val="8"/>
              </c:numCache>
            </c:numRef>
          </c:val>
        </c:ser>
        <c:dLbls>
          <c:showLegendKey val="0"/>
          <c:showVal val="0"/>
          <c:showCatName val="0"/>
          <c:showSerName val="0"/>
          <c:showPercent val="0"/>
          <c:showBubbleSize val="0"/>
        </c:dLbls>
        <c:gapWidth val="150"/>
        <c:gapDepth val="0"/>
        <c:shape val="box"/>
        <c:axId val="294988416"/>
        <c:axId val="294994304"/>
        <c:axId val="0"/>
      </c:bar3DChart>
      <c:catAx>
        <c:axId val="29498841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294994304"/>
        <c:crosses val="autoZero"/>
        <c:auto val="1"/>
        <c:lblAlgn val="ctr"/>
        <c:lblOffset val="100"/>
        <c:tickLblSkip val="1"/>
        <c:tickMarkSkip val="1"/>
        <c:noMultiLvlLbl val="0"/>
      </c:catAx>
      <c:valAx>
        <c:axId val="29499430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294988416"/>
        <c:crosses val="autoZero"/>
        <c:crossBetween val="between"/>
      </c:valAx>
      <c:spPr>
        <a:noFill/>
        <a:ln w="25400">
          <a:noFill/>
        </a:ln>
      </c:spPr>
    </c:plotArea>
    <c:legend>
      <c:legendPos val="r"/>
      <c:layout>
        <c:manualLayout>
          <c:xMode val="edge"/>
          <c:yMode val="edge"/>
          <c:x val="0.92345276872964166"/>
          <c:y val="0.48547717842323651"/>
          <c:w val="7.0032573289902283E-2"/>
          <c:h val="0.16182572614107885"/>
        </c:manualLayout>
      </c:layout>
      <c:overlay val="0"/>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800" b="1" i="0" u="none" strike="noStrike" baseline="0">
          <a:solidFill>
            <a:srgbClr val="000000"/>
          </a:solidFill>
          <a:latin typeface="Arial"/>
          <a:ea typeface="Arial"/>
          <a:cs typeface="Arial"/>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75" b="1" i="0" u="none" strike="noStrike" baseline="0">
                <a:solidFill>
                  <a:srgbClr val="000000"/>
                </a:solidFill>
                <a:latin typeface="Arial"/>
                <a:ea typeface="Arial"/>
                <a:cs typeface="Arial"/>
              </a:defRPr>
            </a:pPr>
            <a:r>
              <a:rPr lang="en-US"/>
              <a:t>Ponderea popula</a:t>
            </a:r>
            <a:r>
              <a:rPr lang="ro-RO"/>
              <a:t>ţ</a:t>
            </a:r>
            <a:r>
              <a:rPr lang="en-US"/>
              <a:t>iei expus</a:t>
            </a:r>
            <a:r>
              <a:rPr lang="ro-RO"/>
              <a:t>ă</a:t>
            </a:r>
            <a:r>
              <a:rPr lang="en-US"/>
              <a:t> la poluarea cu O3</a:t>
            </a:r>
          </a:p>
        </c:rich>
      </c:tx>
      <c:layout>
        <c:manualLayout>
          <c:xMode val="edge"/>
          <c:yMode val="edge"/>
          <c:x val="0.23102310231023102"/>
          <c:y val="1.9867549668874173E-2"/>
        </c:manualLayout>
      </c:layout>
      <c:overlay val="0"/>
      <c:spPr>
        <a:noFill/>
        <a:ln w="25400">
          <a:noFill/>
        </a:ln>
      </c:spPr>
    </c:title>
    <c:autoTitleDeleted val="0"/>
    <c:plotArea>
      <c:layout>
        <c:manualLayout>
          <c:layoutTarget val="inner"/>
          <c:xMode val="edge"/>
          <c:yMode val="edge"/>
          <c:x val="7.2607260726072612E-2"/>
          <c:y val="0.19205298013245034"/>
          <c:w val="0.7722772277227723"/>
          <c:h val="0.67880794701986757"/>
        </c:manualLayout>
      </c:layout>
      <c:lineChart>
        <c:grouping val="standard"/>
        <c:varyColors val="0"/>
        <c:ser>
          <c:idx val="0"/>
          <c:order val="0"/>
          <c:tx>
            <c:strRef>
              <c:f>Sheet1!$A$2</c:f>
              <c:strCache>
                <c:ptCount val="1"/>
                <c:pt idx="0">
                  <c:v>VS-1</c:v>
                </c:pt>
              </c:strCache>
            </c:strRef>
          </c:tx>
          <c:spPr>
            <a:ln w="12700">
              <a:solidFill>
                <a:srgbClr val="000080"/>
              </a:solidFill>
              <a:prstDash val="solid"/>
            </a:ln>
          </c:spPr>
          <c:marker>
            <c:symbol val="diamond"/>
            <c:size val="4"/>
            <c:spPr>
              <a:solidFill>
                <a:srgbClr val="000080"/>
              </a:solidFill>
              <a:ln>
                <a:solidFill>
                  <a:srgbClr val="000080"/>
                </a:solidFill>
                <a:prstDash val="solid"/>
              </a:ln>
            </c:spPr>
          </c:marker>
          <c:cat>
            <c:numRef>
              <c:f>Sheet1!$B$1:$I$1</c:f>
              <c:numCache>
                <c:formatCode>General</c:formatCode>
                <c:ptCount val="8"/>
                <c:pt idx="0">
                  <c:v>2008</c:v>
                </c:pt>
                <c:pt idx="1">
                  <c:v>2009</c:v>
                </c:pt>
                <c:pt idx="2">
                  <c:v>2010</c:v>
                </c:pt>
                <c:pt idx="3">
                  <c:v>2011</c:v>
                </c:pt>
                <c:pt idx="4">
                  <c:v>2012</c:v>
                </c:pt>
                <c:pt idx="5">
                  <c:v>2013</c:v>
                </c:pt>
                <c:pt idx="6">
                  <c:v>2014</c:v>
                </c:pt>
                <c:pt idx="7">
                  <c:v>2015</c:v>
                </c:pt>
              </c:numCache>
            </c:numRef>
          </c:cat>
          <c:val>
            <c:numRef>
              <c:f>Sheet1!$B$2:$I$2</c:f>
              <c:numCache>
                <c:formatCode>General</c:formatCode>
                <c:ptCount val="8"/>
              </c:numCache>
            </c:numRef>
          </c:val>
          <c:smooth val="0"/>
        </c:ser>
        <c:ser>
          <c:idx val="1"/>
          <c:order val="1"/>
          <c:tx>
            <c:strRef>
              <c:f>Sheet1!$A$3</c:f>
              <c:strCache>
                <c:ptCount val="1"/>
                <c:pt idx="0">
                  <c:v>VS-2</c:v>
                </c:pt>
              </c:strCache>
            </c:strRef>
          </c:tx>
          <c:spPr>
            <a:ln w="12700">
              <a:solidFill>
                <a:srgbClr val="FF00FF"/>
              </a:solidFill>
              <a:prstDash val="solid"/>
            </a:ln>
          </c:spPr>
          <c:marker>
            <c:symbol val="square"/>
            <c:size val="4"/>
            <c:spPr>
              <a:solidFill>
                <a:srgbClr val="FF00FF"/>
              </a:solidFill>
              <a:ln>
                <a:solidFill>
                  <a:srgbClr val="FF00FF"/>
                </a:solidFill>
                <a:prstDash val="solid"/>
              </a:ln>
            </c:spPr>
          </c:marker>
          <c:cat>
            <c:numRef>
              <c:f>Sheet1!$B$1:$I$1</c:f>
              <c:numCache>
                <c:formatCode>General</c:formatCode>
                <c:ptCount val="8"/>
                <c:pt idx="0">
                  <c:v>2008</c:v>
                </c:pt>
                <c:pt idx="1">
                  <c:v>2009</c:v>
                </c:pt>
                <c:pt idx="2">
                  <c:v>2010</c:v>
                </c:pt>
                <c:pt idx="3">
                  <c:v>2011</c:v>
                </c:pt>
                <c:pt idx="4">
                  <c:v>2012</c:v>
                </c:pt>
                <c:pt idx="5">
                  <c:v>2013</c:v>
                </c:pt>
                <c:pt idx="6">
                  <c:v>2014</c:v>
                </c:pt>
                <c:pt idx="7">
                  <c:v>2015</c:v>
                </c:pt>
              </c:numCache>
            </c:numRef>
          </c:cat>
          <c:val>
            <c:numRef>
              <c:f>Sheet1!$B$3:$I$3</c:f>
              <c:numCache>
                <c:formatCode>General</c:formatCode>
                <c:ptCount val="8"/>
                <c:pt idx="4">
                  <c:v>10</c:v>
                </c:pt>
              </c:numCache>
            </c:numRef>
          </c:val>
          <c:smooth val="0"/>
        </c:ser>
        <c:ser>
          <c:idx val="2"/>
          <c:order val="2"/>
          <c:tx>
            <c:strRef>
              <c:f>Sheet1!$A$4</c:f>
              <c:strCache>
                <c:ptCount val="1"/>
                <c:pt idx="0">
                  <c:v>Maxima</c:v>
                </c:pt>
              </c:strCache>
            </c:strRef>
          </c:tx>
          <c:spPr>
            <a:ln w="12700">
              <a:solidFill>
                <a:srgbClr val="FFFF00"/>
              </a:solidFill>
              <a:prstDash val="solid"/>
            </a:ln>
          </c:spPr>
          <c:marker>
            <c:symbol val="triangle"/>
            <c:size val="4"/>
            <c:spPr>
              <a:solidFill>
                <a:srgbClr val="FFFF00"/>
              </a:solidFill>
              <a:ln>
                <a:solidFill>
                  <a:srgbClr val="FFFF00"/>
                </a:solidFill>
                <a:prstDash val="solid"/>
              </a:ln>
            </c:spPr>
          </c:marker>
          <c:cat>
            <c:numRef>
              <c:f>Sheet1!$B$1:$I$1</c:f>
              <c:numCache>
                <c:formatCode>General</c:formatCode>
                <c:ptCount val="8"/>
                <c:pt idx="0">
                  <c:v>2008</c:v>
                </c:pt>
                <c:pt idx="1">
                  <c:v>2009</c:v>
                </c:pt>
                <c:pt idx="2">
                  <c:v>2010</c:v>
                </c:pt>
                <c:pt idx="3">
                  <c:v>2011</c:v>
                </c:pt>
                <c:pt idx="4">
                  <c:v>2012</c:v>
                </c:pt>
                <c:pt idx="5">
                  <c:v>2013</c:v>
                </c:pt>
                <c:pt idx="6">
                  <c:v>2014</c:v>
                </c:pt>
                <c:pt idx="7">
                  <c:v>2015</c:v>
                </c:pt>
              </c:numCache>
            </c:numRef>
          </c:cat>
          <c:val>
            <c:numRef>
              <c:f>Sheet1!$B$4:$I$4</c:f>
              <c:numCache>
                <c:formatCode>General</c:formatCode>
                <c:ptCount val="8"/>
                <c:pt idx="0">
                  <c:v>100</c:v>
                </c:pt>
                <c:pt idx="1">
                  <c:v>100</c:v>
                </c:pt>
                <c:pt idx="2">
                  <c:v>100</c:v>
                </c:pt>
                <c:pt idx="3">
                  <c:v>100</c:v>
                </c:pt>
                <c:pt idx="4">
                  <c:v>100</c:v>
                </c:pt>
                <c:pt idx="5">
                  <c:v>100</c:v>
                </c:pt>
                <c:pt idx="6">
                  <c:v>100</c:v>
                </c:pt>
              </c:numCache>
            </c:numRef>
          </c:val>
          <c:smooth val="0"/>
        </c:ser>
        <c:dLbls>
          <c:showLegendKey val="0"/>
          <c:showVal val="0"/>
          <c:showCatName val="0"/>
          <c:showSerName val="0"/>
          <c:showPercent val="0"/>
          <c:showBubbleSize val="0"/>
        </c:dLbls>
        <c:marker val="1"/>
        <c:smooth val="0"/>
        <c:axId val="295077376"/>
        <c:axId val="295079296"/>
      </c:lineChart>
      <c:catAx>
        <c:axId val="29507737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en-US"/>
          </a:p>
        </c:txPr>
        <c:crossAx val="295079296"/>
        <c:crosses val="autoZero"/>
        <c:auto val="1"/>
        <c:lblAlgn val="ctr"/>
        <c:lblOffset val="100"/>
        <c:tickLblSkip val="1"/>
        <c:tickMarkSkip val="1"/>
        <c:noMultiLvlLbl val="0"/>
      </c:catAx>
      <c:valAx>
        <c:axId val="29507929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en-US"/>
          </a:p>
        </c:txPr>
        <c:crossAx val="295077376"/>
        <c:crosses val="autoZero"/>
        <c:crossBetween val="between"/>
      </c:valAx>
      <c:spPr>
        <a:gradFill rotWithShape="0">
          <a:gsLst>
            <a:gs pos="0">
              <a:srgbClr xmlns:mc="http://schemas.openxmlformats.org/markup-compatibility/2006" xmlns:a14="http://schemas.microsoft.com/office/drawing/2010/main" val="0000FF" mc:Ignorable="a14" a14:legacySpreadsheetColorIndex="12"/>
            </a:gs>
            <a:gs pos="100000">
              <a:srgbClr xmlns:mc="http://schemas.openxmlformats.org/markup-compatibility/2006" xmlns:a14="http://schemas.microsoft.com/office/drawing/2010/main" val="FFFFFF" mc:Ignorable="a14" a14:legacySpreadsheetColorIndex="9"/>
            </a:gs>
          </a:gsLst>
          <a:lin ang="5400000" scaled="1"/>
        </a:gradFill>
        <a:ln w="12700">
          <a:solidFill>
            <a:srgbClr val="808080"/>
          </a:solidFill>
          <a:prstDash val="solid"/>
        </a:ln>
      </c:spPr>
    </c:plotArea>
    <c:legend>
      <c:legendPos val="r"/>
      <c:layout>
        <c:manualLayout>
          <c:xMode val="edge"/>
          <c:yMode val="edge"/>
          <c:x val="0.86138613861386137"/>
          <c:y val="0.43377483443708609"/>
          <c:w val="0.132013201320132"/>
          <c:h val="0.19205298013245034"/>
        </c:manualLayout>
      </c:layout>
      <c:overlay val="0"/>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b="1" i="0" u="none" strike="noStrike" baseline="0">
                <a:solidFill>
                  <a:srgbClr val="000000"/>
                </a:solidFill>
                <a:latin typeface="Arial"/>
                <a:ea typeface="Arial"/>
                <a:cs typeface="Arial"/>
              </a:defRPr>
            </a:pPr>
            <a:r>
              <a:rPr lang="en-US"/>
              <a:t>Procentul de popula</a:t>
            </a:r>
            <a:r>
              <a:rPr lang="ro-RO"/>
              <a:t>ţ</a:t>
            </a:r>
            <a:r>
              <a:rPr lang="en-US"/>
              <a:t>ie urban</a:t>
            </a:r>
            <a:r>
              <a:rPr lang="ro-RO"/>
              <a:t>ă</a:t>
            </a:r>
            <a:r>
              <a:rPr lang="en-US"/>
              <a:t> poten</a:t>
            </a:r>
            <a:r>
              <a:rPr lang="ro-RO"/>
              <a:t>ţ</a:t>
            </a:r>
            <a:r>
              <a:rPr lang="en-US"/>
              <a:t>ial expus</a:t>
            </a:r>
            <a:r>
              <a:rPr lang="ro-RO"/>
              <a:t>ă</a:t>
            </a:r>
            <a:r>
              <a:rPr lang="en-US"/>
              <a:t> la concentra</a:t>
            </a:r>
            <a:r>
              <a:rPr lang="ro-RO"/>
              <a:t>ţ</a:t>
            </a:r>
            <a:r>
              <a:rPr lang="en-US"/>
              <a:t>ii de poluan</a:t>
            </a:r>
            <a:r>
              <a:rPr lang="ro-RO"/>
              <a:t>ţi</a:t>
            </a:r>
            <a:r>
              <a:rPr lang="en-US"/>
              <a:t> atmosferici ce dep</a:t>
            </a:r>
            <a:r>
              <a:rPr lang="ro-RO"/>
              <a:t>ăş</a:t>
            </a:r>
            <a:r>
              <a:rPr lang="en-US"/>
              <a:t>esc valori limit</a:t>
            </a:r>
            <a:r>
              <a:rPr lang="ro-RO"/>
              <a:t>ă</a:t>
            </a:r>
            <a:r>
              <a:rPr lang="en-US"/>
              <a:t>/</a:t>
            </a:r>
            <a:r>
              <a:rPr lang="ro-RO"/>
              <a:t>ţ</a:t>
            </a:r>
            <a:r>
              <a:rPr lang="en-US"/>
              <a:t>int</a:t>
            </a:r>
            <a:r>
              <a:rPr lang="ro-RO"/>
              <a:t>ă</a:t>
            </a:r>
            <a:endParaRPr lang="en-US"/>
          </a:p>
        </c:rich>
      </c:tx>
      <c:layout>
        <c:manualLayout>
          <c:xMode val="edge"/>
          <c:yMode val="edge"/>
          <c:x val="9.841272965879265E-2"/>
          <c:y val="2.1201257692617777E-2"/>
        </c:manualLayout>
      </c:layout>
      <c:overlay val="0"/>
      <c:spPr>
        <a:noFill/>
        <a:ln w="25400">
          <a:noFill/>
        </a:ln>
      </c:spPr>
    </c:title>
    <c:autoTitleDeleted val="0"/>
    <c:view3D>
      <c:rotX val="15"/>
      <c:hPercent val="38"/>
      <c:rotY val="20"/>
      <c:depthPercent val="100"/>
      <c:rAngAx val="1"/>
    </c:view3D>
    <c:floor>
      <c:thickness val="0"/>
      <c:spPr>
        <a:solidFill>
          <a:srgbClr val="C0C0C0"/>
        </a:solidFill>
        <a:ln w="3175">
          <a:solidFill>
            <a:srgbClr val="000000"/>
          </a:solidFill>
          <a:prstDash val="solid"/>
        </a:ln>
      </c:spPr>
    </c:floor>
    <c:sideWall>
      <c:thickness val="0"/>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CC99FF" mc:Ignorable="a14" a14:legacySpreadsheetColorIndex="46"/>
            </a:gs>
          </a:gsLst>
          <a:lin ang="5400000" scaled="1"/>
        </a:gradFill>
        <a:ln w="12700">
          <a:solidFill>
            <a:srgbClr val="808080"/>
          </a:solidFill>
          <a:prstDash val="solid"/>
        </a:ln>
      </c:spPr>
    </c:sideWall>
    <c:backWall>
      <c:thickness val="0"/>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CC99FF" mc:Ignorable="a14" a14:legacySpreadsheetColorIndex="46"/>
            </a:gs>
          </a:gsLst>
          <a:lin ang="5400000" scaled="1"/>
        </a:gradFill>
        <a:ln w="12700">
          <a:solidFill>
            <a:srgbClr val="808080"/>
          </a:solidFill>
          <a:prstDash val="solid"/>
        </a:ln>
      </c:spPr>
    </c:backWall>
    <c:plotArea>
      <c:layout>
        <c:manualLayout>
          <c:layoutTarget val="inner"/>
          <c:xMode val="edge"/>
          <c:yMode val="edge"/>
          <c:x val="5.3968253968253971E-2"/>
          <c:y val="0.24028268551236748"/>
          <c:w val="0.84761904761904761"/>
          <c:h val="0.63957597173144876"/>
        </c:manualLayout>
      </c:layout>
      <c:bar3DChart>
        <c:barDir val="col"/>
        <c:grouping val="clustered"/>
        <c:varyColors val="0"/>
        <c:ser>
          <c:idx val="0"/>
          <c:order val="0"/>
          <c:tx>
            <c:strRef>
              <c:f>Sheet1!$A$2</c:f>
              <c:strCache>
                <c:ptCount val="1"/>
                <c:pt idx="0">
                  <c:v>PM10</c:v>
                </c:pt>
              </c:strCache>
            </c:strRef>
          </c:tx>
          <c:spPr>
            <a:solidFill>
              <a:srgbClr val="9999FF"/>
            </a:solidFill>
            <a:ln w="12700">
              <a:solidFill>
                <a:srgbClr val="000000"/>
              </a:solidFill>
              <a:prstDash val="solid"/>
            </a:ln>
          </c:spPr>
          <c:invertIfNegative val="0"/>
          <c:cat>
            <c:numRef>
              <c:f>Sheet1!$B$1:$I$1</c:f>
              <c:numCache>
                <c:formatCode>General</c:formatCode>
                <c:ptCount val="8"/>
                <c:pt idx="0">
                  <c:v>2008</c:v>
                </c:pt>
                <c:pt idx="1">
                  <c:v>2009</c:v>
                </c:pt>
                <c:pt idx="2">
                  <c:v>2010</c:v>
                </c:pt>
                <c:pt idx="3">
                  <c:v>2011</c:v>
                </c:pt>
                <c:pt idx="4">
                  <c:v>2012</c:v>
                </c:pt>
                <c:pt idx="5">
                  <c:v>2013</c:v>
                </c:pt>
                <c:pt idx="6">
                  <c:v>2014</c:v>
                </c:pt>
                <c:pt idx="7">
                  <c:v>2015</c:v>
                </c:pt>
              </c:numCache>
            </c:numRef>
          </c:cat>
          <c:val>
            <c:numRef>
              <c:f>Sheet1!$B$2:$I$2</c:f>
              <c:numCache>
                <c:formatCode>General</c:formatCode>
                <c:ptCount val="8"/>
                <c:pt idx="1">
                  <c:v>100</c:v>
                </c:pt>
                <c:pt idx="2">
                  <c:v>100</c:v>
                </c:pt>
              </c:numCache>
            </c:numRef>
          </c:val>
        </c:ser>
        <c:ser>
          <c:idx val="1"/>
          <c:order val="1"/>
          <c:tx>
            <c:strRef>
              <c:f>Sheet1!$A$3</c:f>
              <c:strCache>
                <c:ptCount val="1"/>
                <c:pt idx="0">
                  <c:v>O3</c:v>
                </c:pt>
              </c:strCache>
            </c:strRef>
          </c:tx>
          <c:spPr>
            <a:solidFill>
              <a:srgbClr val="993366"/>
            </a:solidFill>
            <a:ln w="12700">
              <a:solidFill>
                <a:srgbClr val="000000"/>
              </a:solidFill>
              <a:prstDash val="solid"/>
            </a:ln>
          </c:spPr>
          <c:invertIfNegative val="0"/>
          <c:cat>
            <c:numRef>
              <c:f>Sheet1!$B$1:$I$1</c:f>
              <c:numCache>
                <c:formatCode>General</c:formatCode>
                <c:ptCount val="8"/>
                <c:pt idx="0">
                  <c:v>2008</c:v>
                </c:pt>
                <c:pt idx="1">
                  <c:v>2009</c:v>
                </c:pt>
                <c:pt idx="2">
                  <c:v>2010</c:v>
                </c:pt>
                <c:pt idx="3">
                  <c:v>2011</c:v>
                </c:pt>
                <c:pt idx="4">
                  <c:v>2012</c:v>
                </c:pt>
                <c:pt idx="5">
                  <c:v>2013</c:v>
                </c:pt>
                <c:pt idx="6">
                  <c:v>2014</c:v>
                </c:pt>
                <c:pt idx="7">
                  <c:v>2015</c:v>
                </c:pt>
              </c:numCache>
            </c:numRef>
          </c:cat>
          <c:val>
            <c:numRef>
              <c:f>Sheet1!$B$3:$I$3</c:f>
              <c:numCache>
                <c:formatCode>General</c:formatCode>
                <c:ptCount val="8"/>
                <c:pt idx="4">
                  <c:v>20</c:v>
                </c:pt>
              </c:numCache>
            </c:numRef>
          </c:val>
        </c:ser>
        <c:dLbls>
          <c:showLegendKey val="0"/>
          <c:showVal val="0"/>
          <c:showCatName val="0"/>
          <c:showSerName val="0"/>
          <c:showPercent val="0"/>
          <c:showBubbleSize val="0"/>
        </c:dLbls>
        <c:gapWidth val="150"/>
        <c:gapDepth val="0"/>
        <c:shape val="box"/>
        <c:axId val="295117568"/>
        <c:axId val="295119104"/>
        <c:axId val="0"/>
      </c:bar3DChart>
      <c:catAx>
        <c:axId val="29511756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295119104"/>
        <c:crosses val="autoZero"/>
        <c:auto val="1"/>
        <c:lblAlgn val="ctr"/>
        <c:lblOffset val="100"/>
        <c:tickLblSkip val="1"/>
        <c:tickMarkSkip val="1"/>
        <c:noMultiLvlLbl val="0"/>
      </c:catAx>
      <c:valAx>
        <c:axId val="29511910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295117568"/>
        <c:crosses val="autoZero"/>
        <c:crossBetween val="between"/>
      </c:valAx>
      <c:spPr>
        <a:noFill/>
        <a:ln w="25400">
          <a:noFill/>
        </a:ln>
      </c:spPr>
    </c:plotArea>
    <c:legend>
      <c:legendPos val="r"/>
      <c:layout>
        <c:manualLayout>
          <c:xMode val="edge"/>
          <c:yMode val="edge"/>
          <c:x val="0.919047619047619"/>
          <c:y val="0.52650176678445226"/>
          <c:w val="7.4603174603174602E-2"/>
          <c:h val="0.13780918727915195"/>
        </c:manualLayout>
      </c:layout>
      <c:overlay val="0"/>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Arial"/>
                <a:ea typeface="Arial"/>
                <a:cs typeface="Arial"/>
              </a:defRPr>
            </a:pPr>
            <a:r>
              <a:rPr lang="en-US"/>
              <a:t>Emisii anuale de SO2</a:t>
            </a:r>
          </a:p>
        </c:rich>
      </c:tx>
      <c:layout>
        <c:manualLayout>
          <c:xMode val="edge"/>
          <c:yMode val="edge"/>
          <c:x val="0.39037433155080214"/>
          <c:y val="1.9230769230769232E-2"/>
        </c:manualLayout>
      </c:layout>
      <c:overlay val="0"/>
      <c:spPr>
        <a:noFill/>
        <a:ln w="25400">
          <a:noFill/>
        </a:ln>
      </c:spPr>
    </c:title>
    <c:autoTitleDeleted val="0"/>
    <c:view3D>
      <c:rotX val="15"/>
      <c:hPercent val="35"/>
      <c:rotY val="20"/>
      <c:depthPercent val="100"/>
      <c:rAngAx val="1"/>
    </c:view3D>
    <c:floor>
      <c:thickness val="0"/>
      <c:spPr>
        <a:solidFill>
          <a:srgbClr val="CCFFCC"/>
        </a:solidFill>
        <a:ln w="3175">
          <a:solidFill>
            <a:srgbClr val="000000"/>
          </a:solidFill>
          <a:prstDash val="solid"/>
        </a:ln>
      </c:spPr>
    </c:floor>
    <c:sideWall>
      <c:thickness val="0"/>
      <c:spPr>
        <a:gradFill rotWithShape="0">
          <a:gsLst>
            <a:gs pos="0">
              <a:srgbClr xmlns:mc="http://schemas.openxmlformats.org/markup-compatibility/2006" xmlns:a14="http://schemas.microsoft.com/office/drawing/2010/main" val="FFFF99" mc:Ignorable="a14" a14:legacySpreadsheetColorIndex="43"/>
            </a:gs>
            <a:gs pos="100000">
              <a:srgbClr xmlns:mc="http://schemas.openxmlformats.org/markup-compatibility/2006" xmlns:a14="http://schemas.microsoft.com/office/drawing/2010/main" val="CCFFCC" mc:Ignorable="a14" a14:legacySpreadsheetColorIndex="42"/>
            </a:gs>
          </a:gsLst>
          <a:lin ang="5400000" scaled="1"/>
        </a:gradFill>
        <a:ln w="12700">
          <a:solidFill>
            <a:srgbClr val="808080"/>
          </a:solidFill>
          <a:prstDash val="solid"/>
        </a:ln>
      </c:spPr>
    </c:sideWall>
    <c:backWall>
      <c:thickness val="0"/>
      <c:spPr>
        <a:gradFill rotWithShape="0">
          <a:gsLst>
            <a:gs pos="0">
              <a:srgbClr xmlns:mc="http://schemas.openxmlformats.org/markup-compatibility/2006" xmlns:a14="http://schemas.microsoft.com/office/drawing/2010/main" val="FFFF99" mc:Ignorable="a14" a14:legacySpreadsheetColorIndex="43"/>
            </a:gs>
            <a:gs pos="100000">
              <a:srgbClr xmlns:mc="http://schemas.openxmlformats.org/markup-compatibility/2006" xmlns:a14="http://schemas.microsoft.com/office/drawing/2010/main" val="CCFFCC" mc:Ignorable="a14" a14:legacySpreadsheetColorIndex="42"/>
            </a:gs>
          </a:gsLst>
          <a:lin ang="5400000" scaled="1"/>
        </a:gradFill>
        <a:ln w="12700">
          <a:solidFill>
            <a:srgbClr val="808080"/>
          </a:solidFill>
          <a:prstDash val="solid"/>
        </a:ln>
      </c:spPr>
    </c:backWall>
    <c:plotArea>
      <c:layout>
        <c:manualLayout>
          <c:layoutTarget val="inner"/>
          <c:xMode val="edge"/>
          <c:yMode val="edge"/>
          <c:x val="7.3083778966131913E-2"/>
          <c:y val="0.21634615384615385"/>
          <c:w val="0.75222816399286985"/>
          <c:h val="0.55769230769230771"/>
        </c:manualLayout>
      </c:layout>
      <c:bar3DChart>
        <c:barDir val="col"/>
        <c:grouping val="clustered"/>
        <c:varyColors val="0"/>
        <c:ser>
          <c:idx val="0"/>
          <c:order val="0"/>
          <c:tx>
            <c:strRef>
              <c:f>Sheet1!$A$2</c:f>
              <c:strCache>
                <c:ptCount val="1"/>
                <c:pt idx="0">
                  <c:v>tone SO2/an</c:v>
                </c:pt>
              </c:strCache>
            </c:strRef>
          </c:tx>
          <c:spPr>
            <a:solidFill>
              <a:srgbClr val="800080"/>
            </a:solidFill>
            <a:ln w="12700">
              <a:solidFill>
                <a:srgbClr val="000000"/>
              </a:solidFill>
              <a:prstDash val="solid"/>
            </a:ln>
          </c:spPr>
          <c:invertIfNegative val="0"/>
          <c:cat>
            <c:numRef>
              <c:f>Sheet1!$B$1:$J$1</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Sheet1!$B$2:$J$2</c:f>
              <c:numCache>
                <c:formatCode>General</c:formatCode>
                <c:ptCount val="9"/>
                <c:pt idx="0">
                  <c:v>360.5</c:v>
                </c:pt>
                <c:pt idx="1">
                  <c:v>141.6</c:v>
                </c:pt>
                <c:pt idx="2">
                  <c:v>91.7</c:v>
                </c:pt>
                <c:pt idx="3">
                  <c:v>15.48</c:v>
                </c:pt>
                <c:pt idx="4">
                  <c:v>288.8</c:v>
                </c:pt>
                <c:pt idx="5">
                  <c:v>730</c:v>
                </c:pt>
                <c:pt idx="6">
                  <c:v>75</c:v>
                </c:pt>
                <c:pt idx="7">
                  <c:v>40.97</c:v>
                </c:pt>
                <c:pt idx="8">
                  <c:v>40.25</c:v>
                </c:pt>
              </c:numCache>
            </c:numRef>
          </c:val>
        </c:ser>
        <c:dLbls>
          <c:showLegendKey val="0"/>
          <c:showVal val="0"/>
          <c:showCatName val="0"/>
          <c:showSerName val="0"/>
          <c:showPercent val="0"/>
          <c:showBubbleSize val="0"/>
        </c:dLbls>
        <c:gapWidth val="150"/>
        <c:gapDepth val="0"/>
        <c:shape val="cylinder"/>
        <c:axId val="295148544"/>
        <c:axId val="295150336"/>
        <c:axId val="0"/>
      </c:bar3DChart>
      <c:catAx>
        <c:axId val="295148544"/>
        <c:scaling>
          <c:orientation val="minMax"/>
        </c:scaling>
        <c:delete val="0"/>
        <c:axPos val="b"/>
        <c:numFmt formatCode="General" sourceLinked="1"/>
        <c:majorTickMark val="out"/>
        <c:minorTickMark val="none"/>
        <c:tickLblPos val="low"/>
        <c:spPr>
          <a:ln w="3175">
            <a:solidFill>
              <a:srgbClr val="000000"/>
            </a:solidFill>
            <a:prstDash val="solid"/>
          </a:ln>
        </c:spPr>
        <c:txPr>
          <a:bodyPr rot="-2700000" vert="horz"/>
          <a:lstStyle/>
          <a:p>
            <a:pPr>
              <a:defRPr sz="800" b="1" i="0" u="none" strike="noStrike" baseline="0">
                <a:solidFill>
                  <a:srgbClr val="000000"/>
                </a:solidFill>
                <a:latin typeface="Arial"/>
                <a:ea typeface="Arial"/>
                <a:cs typeface="Arial"/>
              </a:defRPr>
            </a:pPr>
            <a:endParaRPr lang="en-US"/>
          </a:p>
        </c:txPr>
        <c:crossAx val="295150336"/>
        <c:crosses val="autoZero"/>
        <c:auto val="1"/>
        <c:lblAlgn val="ctr"/>
        <c:lblOffset val="100"/>
        <c:tickLblSkip val="1"/>
        <c:tickMarkSkip val="1"/>
        <c:noMultiLvlLbl val="0"/>
      </c:catAx>
      <c:valAx>
        <c:axId val="29515033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295148544"/>
        <c:crosses val="autoZero"/>
        <c:crossBetween val="between"/>
      </c:valAx>
      <c:spPr>
        <a:noFill/>
        <a:ln w="25400">
          <a:noFill/>
        </a:ln>
      </c:spPr>
    </c:plotArea>
    <c:legend>
      <c:legendPos val="r"/>
      <c:layout>
        <c:manualLayout>
          <c:xMode val="edge"/>
          <c:yMode val="edge"/>
          <c:x val="0.84491978609625673"/>
          <c:y val="0.52403846153846156"/>
          <c:w val="0.14795008912655971"/>
          <c:h val="9.6153846153846159E-2"/>
        </c:manualLayout>
      </c:layout>
      <c:overlay val="0"/>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925" b="1" i="0" u="none" strike="noStrike" baseline="0">
          <a:solidFill>
            <a:srgbClr val="000000"/>
          </a:solidFill>
          <a:latin typeface="Arial"/>
          <a:ea typeface="Arial"/>
          <a:cs typeface="Arial"/>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7"/>
      <c:rotY val="20"/>
      <c:depthPercent val="100"/>
      <c:rAngAx val="1"/>
    </c:view3D>
    <c:floor>
      <c:thickness val="0"/>
      <c:spPr>
        <a:solidFill>
          <a:srgbClr val="FFFFCC"/>
        </a:solidFill>
        <a:ln w="3175">
          <a:solidFill>
            <a:srgbClr val="000000"/>
          </a:solidFill>
          <a:prstDash val="solid"/>
        </a:ln>
      </c:spPr>
    </c:floor>
    <c:sideWall>
      <c:thickness val="0"/>
      <c:spPr>
        <a:solidFill>
          <a:srgbClr val="FFFFCC"/>
        </a:solidFill>
        <a:ln w="12700">
          <a:solidFill>
            <a:srgbClr val="808080"/>
          </a:solidFill>
          <a:prstDash val="solid"/>
        </a:ln>
      </c:spPr>
    </c:sideWall>
    <c:backWall>
      <c:thickness val="0"/>
      <c:spPr>
        <a:solidFill>
          <a:srgbClr val="FFFFCC"/>
        </a:solidFill>
        <a:ln w="12700">
          <a:solidFill>
            <a:srgbClr val="808080"/>
          </a:solidFill>
          <a:prstDash val="solid"/>
        </a:ln>
      </c:spPr>
    </c:backWall>
    <c:plotArea>
      <c:layout>
        <c:manualLayout>
          <c:layoutTarget val="inner"/>
          <c:xMode val="edge"/>
          <c:yMode val="edge"/>
          <c:x val="5.1107325383304938E-2"/>
          <c:y val="3.9647577092511016E-2"/>
          <c:w val="0.58603066439522999"/>
          <c:h val="0.77092511013215859"/>
        </c:manualLayout>
      </c:layout>
      <c:bar3DChart>
        <c:barDir val="col"/>
        <c:grouping val="clustered"/>
        <c:varyColors val="0"/>
        <c:ser>
          <c:idx val="1"/>
          <c:order val="0"/>
          <c:tx>
            <c:strRef>
              <c:f>Sheet1!$A$2</c:f>
              <c:strCache>
                <c:ptCount val="1"/>
                <c:pt idx="0">
                  <c:v>Incalzire rezidentiala, prepararea hranei</c:v>
                </c:pt>
              </c:strCache>
            </c:strRef>
          </c:tx>
          <c:spPr>
            <a:solidFill>
              <a:srgbClr val="993366"/>
            </a:solidFill>
            <a:ln w="12700">
              <a:solidFill>
                <a:srgbClr val="000000"/>
              </a:solidFill>
              <a:prstDash val="solid"/>
            </a:ln>
          </c:spPr>
          <c:invertIfNegative val="0"/>
          <c:cat>
            <c:numRef>
              <c:f>Sheet1!$B$1:$B$1</c:f>
              <c:numCache>
                <c:formatCode>General</c:formatCode>
                <c:ptCount val="1"/>
              </c:numCache>
            </c:numRef>
          </c:cat>
          <c:val>
            <c:numRef>
              <c:f>Sheet1!$B$2:$B$2</c:f>
              <c:numCache>
                <c:formatCode>General</c:formatCode>
                <c:ptCount val="1"/>
                <c:pt idx="0">
                  <c:v>29.8</c:v>
                </c:pt>
              </c:numCache>
            </c:numRef>
          </c:val>
        </c:ser>
        <c:ser>
          <c:idx val="2"/>
          <c:order val="1"/>
          <c:tx>
            <c:strRef>
              <c:f>Sheet1!$A$3</c:f>
              <c:strCache>
                <c:ptCount val="1"/>
                <c:pt idx="0">
                  <c:v>Arderi in surse stationare de mica putere</c:v>
                </c:pt>
              </c:strCache>
            </c:strRef>
          </c:tx>
          <c:spPr>
            <a:solidFill>
              <a:srgbClr val="CC99FF"/>
            </a:solidFill>
            <a:ln w="12700">
              <a:solidFill>
                <a:srgbClr val="000000"/>
              </a:solidFill>
              <a:prstDash val="solid"/>
            </a:ln>
          </c:spPr>
          <c:invertIfNegative val="0"/>
          <c:cat>
            <c:numRef>
              <c:f>Sheet1!$B$1:$B$1</c:f>
              <c:numCache>
                <c:formatCode>General</c:formatCode>
                <c:ptCount val="1"/>
              </c:numCache>
            </c:numRef>
          </c:cat>
          <c:val>
            <c:numRef>
              <c:f>Sheet1!$B$3:$B$3</c:f>
              <c:numCache>
                <c:formatCode>General</c:formatCode>
                <c:ptCount val="1"/>
                <c:pt idx="0">
                  <c:v>1.81</c:v>
                </c:pt>
              </c:numCache>
            </c:numRef>
          </c:val>
        </c:ser>
        <c:ser>
          <c:idx val="3"/>
          <c:order val="2"/>
          <c:tx>
            <c:strRef>
              <c:f>Sheet1!$A$4</c:f>
              <c:strCache>
                <c:ptCount val="1"/>
                <c:pt idx="0">
                  <c:v>Productia de mixturi asfaltice</c:v>
                </c:pt>
              </c:strCache>
            </c:strRef>
          </c:tx>
          <c:spPr>
            <a:solidFill>
              <a:srgbClr val="CCFFFF"/>
            </a:solidFill>
            <a:ln w="12700">
              <a:solidFill>
                <a:srgbClr val="000000"/>
              </a:solidFill>
              <a:prstDash val="solid"/>
            </a:ln>
          </c:spPr>
          <c:invertIfNegative val="0"/>
          <c:cat>
            <c:numRef>
              <c:f>Sheet1!$B$1:$B$1</c:f>
              <c:numCache>
                <c:formatCode>General</c:formatCode>
                <c:ptCount val="1"/>
              </c:numCache>
            </c:numRef>
          </c:cat>
          <c:val>
            <c:numRef>
              <c:f>Sheet1!$B$4:$B$4</c:f>
              <c:numCache>
                <c:formatCode>General</c:formatCode>
                <c:ptCount val="1"/>
                <c:pt idx="0">
                  <c:v>8.6300000000000008</c:v>
                </c:pt>
              </c:numCache>
            </c:numRef>
          </c:val>
        </c:ser>
        <c:dLbls>
          <c:showLegendKey val="0"/>
          <c:showVal val="0"/>
          <c:showCatName val="0"/>
          <c:showSerName val="0"/>
          <c:showPercent val="0"/>
          <c:showBubbleSize val="0"/>
        </c:dLbls>
        <c:gapWidth val="150"/>
        <c:gapDepth val="0"/>
        <c:shape val="cone"/>
        <c:axId val="295254656"/>
        <c:axId val="295256832"/>
        <c:axId val="0"/>
      </c:bar3DChart>
      <c:catAx>
        <c:axId val="29525465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US"/>
                  <a:t>Emisii SO2 (tone)</a:t>
                </a:r>
              </a:p>
            </c:rich>
          </c:tx>
          <c:layout>
            <c:manualLayout>
              <c:xMode val="edge"/>
              <c:yMode val="edge"/>
              <c:x val="0.24701873935264054"/>
              <c:y val="0.8458149779735683"/>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en-US"/>
          </a:p>
        </c:txPr>
        <c:crossAx val="295256832"/>
        <c:crosses val="autoZero"/>
        <c:auto val="1"/>
        <c:lblAlgn val="ctr"/>
        <c:lblOffset val="100"/>
        <c:tickLblSkip val="1"/>
        <c:tickMarkSkip val="1"/>
        <c:noMultiLvlLbl val="0"/>
      </c:catAx>
      <c:valAx>
        <c:axId val="29525683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en-US"/>
          </a:p>
        </c:txPr>
        <c:crossAx val="295254656"/>
        <c:crosses val="autoZero"/>
        <c:crossBetween val="between"/>
      </c:valAx>
      <c:spPr>
        <a:noFill/>
        <a:ln w="25400">
          <a:noFill/>
        </a:ln>
      </c:spPr>
    </c:plotArea>
    <c:legend>
      <c:legendPos val="r"/>
      <c:layout>
        <c:manualLayout>
          <c:xMode val="edge"/>
          <c:yMode val="edge"/>
          <c:x val="0.60330112521423784"/>
          <c:y val="0.24669603524229075"/>
          <c:w val="0.39158813350223964"/>
          <c:h val="0.61674008810572689"/>
        </c:manualLayout>
      </c:layout>
      <c:overlay val="0"/>
      <c:spPr>
        <a:noFill/>
        <a:ln w="3175">
          <a:solidFill>
            <a:srgbClr val="000000"/>
          </a:solidFill>
          <a:prstDash val="solid"/>
        </a:ln>
      </c:spPr>
      <c:txPr>
        <a:bodyPr/>
        <a:lstStyle/>
        <a:p>
          <a:pPr>
            <a:defRPr sz="660"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000" b="1" i="0" u="none" strike="noStrike" baseline="0">
          <a:solidFill>
            <a:srgbClr val="000000"/>
          </a:solidFill>
          <a:latin typeface="Arial"/>
          <a:ea typeface="Arial"/>
          <a:cs typeface="Arial"/>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Arial"/>
                <a:ea typeface="Arial"/>
                <a:cs typeface="Arial"/>
              </a:defRPr>
            </a:pPr>
            <a:r>
              <a:rPr lang="en-US"/>
              <a:t>Emisii anuale de N02</a:t>
            </a:r>
          </a:p>
        </c:rich>
      </c:tx>
      <c:layout>
        <c:manualLayout>
          <c:xMode val="edge"/>
          <c:yMode val="edge"/>
          <c:x val="0.38593155893536124"/>
          <c:y val="0.02"/>
        </c:manualLayout>
      </c:layout>
      <c:overlay val="0"/>
      <c:spPr>
        <a:noFill/>
        <a:ln w="25400">
          <a:noFill/>
        </a:ln>
      </c:spPr>
    </c:title>
    <c:autoTitleDeleted val="0"/>
    <c:view3D>
      <c:rotX val="15"/>
      <c:hPercent val="34"/>
      <c:rotY val="20"/>
      <c:depthPercent val="100"/>
      <c:rAngAx val="1"/>
    </c:view3D>
    <c:floor>
      <c:thickness val="0"/>
      <c:spPr>
        <a:solidFill>
          <a:srgbClr val="CCCCFF"/>
        </a:solidFill>
        <a:ln w="3175">
          <a:solidFill>
            <a:srgbClr val="000000"/>
          </a:solidFill>
          <a:prstDash val="solid"/>
        </a:ln>
      </c:spPr>
    </c:floor>
    <c:sideWall>
      <c:thickness val="0"/>
      <c:spPr>
        <a:gradFill rotWithShape="0">
          <a:gsLst>
            <a:gs pos="0">
              <a:srgbClr xmlns:mc="http://schemas.openxmlformats.org/markup-compatibility/2006" xmlns:a14="http://schemas.microsoft.com/office/drawing/2010/main" val="CCCCFF" mc:Ignorable="a14" a14:legacySpreadsheetColorIndex="31"/>
            </a:gs>
            <a:gs pos="100000">
              <a:srgbClr xmlns:mc="http://schemas.openxmlformats.org/markup-compatibility/2006" xmlns:a14="http://schemas.microsoft.com/office/drawing/2010/main" val="CC99FF" mc:Ignorable="a14" a14:legacySpreadsheetColorIndex="46"/>
            </a:gs>
          </a:gsLst>
          <a:lin ang="5400000" scaled="1"/>
        </a:gradFill>
        <a:ln w="12700">
          <a:solidFill>
            <a:srgbClr val="808080"/>
          </a:solidFill>
          <a:prstDash val="solid"/>
        </a:ln>
      </c:spPr>
    </c:sideWall>
    <c:backWall>
      <c:thickness val="0"/>
      <c:spPr>
        <a:gradFill rotWithShape="0">
          <a:gsLst>
            <a:gs pos="0">
              <a:srgbClr xmlns:mc="http://schemas.openxmlformats.org/markup-compatibility/2006" xmlns:a14="http://schemas.microsoft.com/office/drawing/2010/main" val="CCCCFF" mc:Ignorable="a14" a14:legacySpreadsheetColorIndex="31"/>
            </a:gs>
            <a:gs pos="100000">
              <a:srgbClr xmlns:mc="http://schemas.openxmlformats.org/markup-compatibility/2006" xmlns:a14="http://schemas.microsoft.com/office/drawing/2010/main" val="CC99FF" mc:Ignorable="a14" a14:legacySpreadsheetColorIndex="46"/>
            </a:gs>
          </a:gsLst>
          <a:lin ang="5400000" scaled="1"/>
        </a:gradFill>
        <a:ln w="12700">
          <a:solidFill>
            <a:srgbClr val="808080"/>
          </a:solidFill>
          <a:prstDash val="solid"/>
        </a:ln>
      </c:spPr>
    </c:backWall>
    <c:plotArea>
      <c:layout>
        <c:manualLayout>
          <c:layoutTarget val="inner"/>
          <c:xMode val="edge"/>
          <c:yMode val="edge"/>
          <c:x val="7.7946768060836502E-2"/>
          <c:y val="0.23"/>
          <c:w val="0.77756653992395441"/>
          <c:h val="0.53500000000000003"/>
        </c:manualLayout>
      </c:layout>
      <c:bar3DChart>
        <c:barDir val="col"/>
        <c:grouping val="clustered"/>
        <c:varyColors val="0"/>
        <c:ser>
          <c:idx val="0"/>
          <c:order val="0"/>
          <c:tx>
            <c:strRef>
              <c:f>Sheet1!$A$2</c:f>
              <c:strCache>
                <c:ptCount val="1"/>
                <c:pt idx="0">
                  <c:v>tone NOx/an</c:v>
                </c:pt>
              </c:strCache>
            </c:strRef>
          </c:tx>
          <c:spPr>
            <a:solidFill>
              <a:srgbClr val="800080"/>
            </a:solidFill>
            <a:ln w="12700">
              <a:solidFill>
                <a:srgbClr val="000000"/>
              </a:solidFill>
              <a:prstDash val="solid"/>
            </a:ln>
          </c:spPr>
          <c:invertIfNegative val="0"/>
          <c:cat>
            <c:numRef>
              <c:f>Sheet1!$B$1:$J$1</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Sheet1!$B$2:$J$2</c:f>
              <c:numCache>
                <c:formatCode>General</c:formatCode>
                <c:ptCount val="9"/>
                <c:pt idx="0">
                  <c:v>955</c:v>
                </c:pt>
                <c:pt idx="1">
                  <c:v>455.8</c:v>
                </c:pt>
                <c:pt idx="2">
                  <c:v>709.2</c:v>
                </c:pt>
                <c:pt idx="3">
                  <c:v>1520.2</c:v>
                </c:pt>
                <c:pt idx="4">
                  <c:v>1323.9</c:v>
                </c:pt>
                <c:pt idx="5">
                  <c:v>3011.3</c:v>
                </c:pt>
                <c:pt idx="6">
                  <c:v>3753.9</c:v>
                </c:pt>
                <c:pt idx="7">
                  <c:v>886.7</c:v>
                </c:pt>
                <c:pt idx="8">
                  <c:v>884.24</c:v>
                </c:pt>
              </c:numCache>
            </c:numRef>
          </c:val>
        </c:ser>
        <c:dLbls>
          <c:showLegendKey val="0"/>
          <c:showVal val="0"/>
          <c:showCatName val="0"/>
          <c:showSerName val="0"/>
          <c:showPercent val="0"/>
          <c:showBubbleSize val="0"/>
        </c:dLbls>
        <c:gapWidth val="150"/>
        <c:gapDepth val="0"/>
        <c:shape val="cylinder"/>
        <c:axId val="295289600"/>
        <c:axId val="295291136"/>
        <c:axId val="0"/>
      </c:bar3DChart>
      <c:catAx>
        <c:axId val="295289600"/>
        <c:scaling>
          <c:orientation val="minMax"/>
        </c:scaling>
        <c:delete val="0"/>
        <c:axPos val="b"/>
        <c:numFmt formatCode="General" sourceLinked="1"/>
        <c:majorTickMark val="out"/>
        <c:minorTickMark val="none"/>
        <c:tickLblPos val="low"/>
        <c:spPr>
          <a:ln w="3175">
            <a:solidFill>
              <a:srgbClr val="000000"/>
            </a:solidFill>
            <a:prstDash val="solid"/>
          </a:ln>
        </c:spPr>
        <c:txPr>
          <a:bodyPr rot="-2700000" vert="horz"/>
          <a:lstStyle/>
          <a:p>
            <a:pPr>
              <a:defRPr sz="800" b="1" i="0" u="none" strike="noStrike" baseline="0">
                <a:solidFill>
                  <a:srgbClr val="000000"/>
                </a:solidFill>
                <a:latin typeface="Arial"/>
                <a:ea typeface="Arial"/>
                <a:cs typeface="Arial"/>
              </a:defRPr>
            </a:pPr>
            <a:endParaRPr lang="en-US"/>
          </a:p>
        </c:txPr>
        <c:crossAx val="295291136"/>
        <c:crosses val="autoZero"/>
        <c:auto val="1"/>
        <c:lblAlgn val="ctr"/>
        <c:lblOffset val="100"/>
        <c:tickLblSkip val="1"/>
        <c:tickMarkSkip val="1"/>
        <c:noMultiLvlLbl val="0"/>
      </c:catAx>
      <c:valAx>
        <c:axId val="29529113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295289600"/>
        <c:crosses val="autoZero"/>
        <c:crossBetween val="between"/>
      </c:valAx>
      <c:spPr>
        <a:noFill/>
        <a:ln w="25400">
          <a:noFill/>
        </a:ln>
      </c:spPr>
    </c:plotArea>
    <c:legend>
      <c:legendPos val="r"/>
      <c:layout>
        <c:manualLayout>
          <c:xMode val="edge"/>
          <c:yMode val="edge"/>
          <c:x val="0.87642585551330798"/>
          <c:y val="0.54"/>
          <c:w val="0.11596958174904944"/>
          <c:h val="7.0000000000000007E-2"/>
        </c:manualLayout>
      </c:layout>
      <c:overlay val="0"/>
      <c:spPr>
        <a:noFill/>
        <a:ln w="3175">
          <a:solidFill>
            <a:srgbClr val="000000"/>
          </a:solidFill>
          <a:prstDash val="solid"/>
        </a:ln>
      </c:spPr>
      <c:txPr>
        <a:bodyPr/>
        <a:lstStyle/>
        <a:p>
          <a:pPr>
            <a:defRPr sz="525"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875" b="1" i="0" u="none" strike="noStrike" baseline="0">
          <a:solidFill>
            <a:srgbClr val="000000"/>
          </a:solidFill>
          <a:latin typeface="Arial"/>
          <a:ea typeface="Arial"/>
          <a:cs typeface="Arial"/>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6"/>
      <c:rotY val="20"/>
      <c:depthPercent val="100"/>
      <c:rAngAx val="1"/>
    </c:view3D>
    <c:floor>
      <c:thickness val="0"/>
      <c:spPr>
        <a:solidFill>
          <a:srgbClr val="CCCCFF"/>
        </a:solidFill>
        <a:ln w="3175">
          <a:solidFill>
            <a:srgbClr val="000000"/>
          </a:solidFill>
          <a:prstDash val="solid"/>
        </a:ln>
      </c:spPr>
    </c:floor>
    <c:sideWall>
      <c:thickness val="0"/>
      <c:spPr>
        <a:solidFill>
          <a:srgbClr val="CCCCFF"/>
        </a:solidFill>
        <a:ln w="12700">
          <a:solidFill>
            <a:srgbClr val="808080"/>
          </a:solidFill>
          <a:prstDash val="solid"/>
        </a:ln>
      </c:spPr>
    </c:sideWall>
    <c:backWall>
      <c:thickness val="0"/>
      <c:spPr>
        <a:solidFill>
          <a:srgbClr val="CCCCFF"/>
        </a:solidFill>
        <a:ln w="12700">
          <a:solidFill>
            <a:srgbClr val="808080"/>
          </a:solidFill>
          <a:prstDash val="solid"/>
        </a:ln>
      </c:spPr>
    </c:backWall>
    <c:plotArea>
      <c:layout>
        <c:manualLayout>
          <c:layoutTarget val="inner"/>
          <c:xMode val="edge"/>
          <c:yMode val="edge"/>
          <c:x val="5.6856187290969896E-2"/>
          <c:y val="4.8387096774193547E-2"/>
          <c:w val="0.57859531772575246"/>
          <c:h val="0.74193548387096775"/>
        </c:manualLayout>
      </c:layout>
      <c:bar3DChart>
        <c:barDir val="col"/>
        <c:grouping val="clustered"/>
        <c:varyColors val="0"/>
        <c:ser>
          <c:idx val="2"/>
          <c:order val="0"/>
          <c:tx>
            <c:strRef>
              <c:f>Sheet1!$A$2</c:f>
              <c:strCache>
                <c:ptCount val="1"/>
                <c:pt idx="0">
                  <c:v>Arderi in surse stationare de mica putere</c:v>
                </c:pt>
              </c:strCache>
            </c:strRef>
          </c:tx>
          <c:spPr>
            <a:solidFill>
              <a:srgbClr val="FFCC99"/>
            </a:solidFill>
            <a:ln w="12700">
              <a:solidFill>
                <a:srgbClr val="000000"/>
              </a:solidFill>
              <a:prstDash val="solid"/>
            </a:ln>
          </c:spPr>
          <c:invertIfNegative val="0"/>
          <c:cat>
            <c:numRef>
              <c:f>Sheet1!$B$1:$B$1</c:f>
              <c:numCache>
                <c:formatCode>General</c:formatCode>
                <c:ptCount val="1"/>
              </c:numCache>
            </c:numRef>
          </c:cat>
          <c:val>
            <c:numRef>
              <c:f>Sheet1!$B$2:$B$2</c:f>
              <c:numCache>
                <c:formatCode>General</c:formatCode>
                <c:ptCount val="1"/>
                <c:pt idx="0">
                  <c:v>11.43</c:v>
                </c:pt>
              </c:numCache>
            </c:numRef>
          </c:val>
        </c:ser>
        <c:ser>
          <c:idx val="3"/>
          <c:order val="1"/>
          <c:tx>
            <c:strRef>
              <c:f>Sheet1!$A$3</c:f>
              <c:strCache>
                <c:ptCount val="1"/>
                <c:pt idx="0">
                  <c:v>Incalzire rezidentiala, prepararea hranei</c:v>
                </c:pt>
              </c:strCache>
            </c:strRef>
          </c:tx>
          <c:spPr>
            <a:solidFill>
              <a:srgbClr val="CCFFFF"/>
            </a:solidFill>
            <a:ln w="12700">
              <a:solidFill>
                <a:srgbClr val="000000"/>
              </a:solidFill>
              <a:prstDash val="solid"/>
            </a:ln>
          </c:spPr>
          <c:invertIfNegative val="0"/>
          <c:cat>
            <c:numRef>
              <c:f>Sheet1!$B$1:$B$1</c:f>
              <c:numCache>
                <c:formatCode>General</c:formatCode>
                <c:ptCount val="1"/>
              </c:numCache>
            </c:numRef>
          </c:cat>
          <c:val>
            <c:numRef>
              <c:f>Sheet1!$B$3:$B$3</c:f>
              <c:numCache>
                <c:formatCode>General</c:formatCode>
                <c:ptCount val="1"/>
                <c:pt idx="0">
                  <c:v>99.75</c:v>
                </c:pt>
              </c:numCache>
            </c:numRef>
          </c:val>
        </c:ser>
        <c:ser>
          <c:idx val="6"/>
          <c:order val="2"/>
          <c:tx>
            <c:strRef>
              <c:f>Sheet1!$A$4</c:f>
              <c:strCache>
                <c:ptCount val="1"/>
                <c:pt idx="0">
                  <c:v>Trafic</c:v>
                </c:pt>
              </c:strCache>
            </c:strRef>
          </c:tx>
          <c:spPr>
            <a:solidFill>
              <a:srgbClr val="0066CC"/>
            </a:solidFill>
            <a:ln w="12700">
              <a:solidFill>
                <a:srgbClr val="000000"/>
              </a:solidFill>
              <a:prstDash val="solid"/>
            </a:ln>
          </c:spPr>
          <c:invertIfNegative val="0"/>
          <c:cat>
            <c:numRef>
              <c:f>Sheet1!$B$1:$B$1</c:f>
              <c:numCache>
                <c:formatCode>General</c:formatCode>
                <c:ptCount val="1"/>
              </c:numCache>
            </c:numRef>
          </c:cat>
          <c:val>
            <c:numRef>
              <c:f>Sheet1!$B$4:$B$4</c:f>
              <c:numCache>
                <c:formatCode>General</c:formatCode>
                <c:ptCount val="1"/>
                <c:pt idx="0">
                  <c:v>610.70000000000005</c:v>
                </c:pt>
              </c:numCache>
            </c:numRef>
          </c:val>
        </c:ser>
        <c:ser>
          <c:idx val="0"/>
          <c:order val="3"/>
          <c:tx>
            <c:strRef>
              <c:f>Sheet1!$A$5</c:f>
              <c:strCache>
                <c:ptCount val="1"/>
                <c:pt idx="0">
                  <c:v>Preparare mixturi asfaltice</c:v>
                </c:pt>
              </c:strCache>
            </c:strRef>
          </c:tx>
          <c:spPr>
            <a:solidFill>
              <a:srgbClr val="9999FF"/>
            </a:solidFill>
            <a:ln w="12700">
              <a:solidFill>
                <a:srgbClr val="000000"/>
              </a:solidFill>
              <a:prstDash val="solid"/>
            </a:ln>
          </c:spPr>
          <c:invertIfNegative val="0"/>
          <c:cat>
            <c:numRef>
              <c:f>Sheet1!$B$1:$B$1</c:f>
              <c:numCache>
                <c:formatCode>General</c:formatCode>
                <c:ptCount val="1"/>
              </c:numCache>
            </c:numRef>
          </c:cat>
          <c:val>
            <c:numRef>
              <c:f>Sheet1!$B$5:$B$5</c:f>
              <c:numCache>
                <c:formatCode>General</c:formatCode>
                <c:ptCount val="1"/>
                <c:pt idx="0">
                  <c:v>153.44</c:v>
                </c:pt>
              </c:numCache>
            </c:numRef>
          </c:val>
        </c:ser>
        <c:dLbls>
          <c:showLegendKey val="0"/>
          <c:showVal val="0"/>
          <c:showCatName val="0"/>
          <c:showSerName val="0"/>
          <c:showPercent val="0"/>
          <c:showBubbleSize val="0"/>
        </c:dLbls>
        <c:gapWidth val="150"/>
        <c:gapDepth val="0"/>
        <c:shape val="cone"/>
        <c:axId val="296756352"/>
        <c:axId val="296758272"/>
        <c:axId val="0"/>
      </c:bar3DChart>
      <c:catAx>
        <c:axId val="296756352"/>
        <c:scaling>
          <c:orientation val="minMax"/>
        </c:scaling>
        <c:delete val="0"/>
        <c:axPos val="b"/>
        <c:title>
          <c:tx>
            <c:rich>
              <a:bodyPr/>
              <a:lstStyle/>
              <a:p>
                <a:pPr>
                  <a:defRPr sz="825" b="1" i="0" u="none" strike="noStrike" baseline="0">
                    <a:solidFill>
                      <a:srgbClr val="000000"/>
                    </a:solidFill>
                    <a:latin typeface="Arial"/>
                    <a:ea typeface="Arial"/>
                    <a:cs typeface="Arial"/>
                  </a:defRPr>
                </a:pPr>
                <a:r>
                  <a:rPr lang="en-US"/>
                  <a:t>Emisii NOx (tone)</a:t>
                </a:r>
              </a:p>
            </c:rich>
          </c:tx>
          <c:layout>
            <c:manualLayout>
              <c:xMode val="edge"/>
              <c:yMode val="edge"/>
              <c:x val="0.25418060200668896"/>
              <c:y val="0.83333333333333337"/>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sz="825" b="1" i="0" u="none" strike="noStrike" baseline="0">
                <a:solidFill>
                  <a:srgbClr val="000000"/>
                </a:solidFill>
                <a:latin typeface="Arial"/>
                <a:ea typeface="Arial"/>
                <a:cs typeface="Arial"/>
              </a:defRPr>
            </a:pPr>
            <a:endParaRPr lang="en-US"/>
          </a:p>
        </c:txPr>
        <c:crossAx val="296758272"/>
        <c:crosses val="autoZero"/>
        <c:auto val="1"/>
        <c:lblAlgn val="ctr"/>
        <c:lblOffset val="100"/>
        <c:tickLblSkip val="1"/>
        <c:tickMarkSkip val="1"/>
        <c:noMultiLvlLbl val="0"/>
      </c:catAx>
      <c:valAx>
        <c:axId val="29675827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25" b="1" i="0" u="none" strike="noStrike" baseline="0">
                <a:solidFill>
                  <a:srgbClr val="000000"/>
                </a:solidFill>
                <a:latin typeface="Arial"/>
                <a:ea typeface="Arial"/>
                <a:cs typeface="Arial"/>
              </a:defRPr>
            </a:pPr>
            <a:endParaRPr lang="en-US"/>
          </a:p>
        </c:txPr>
        <c:crossAx val="296756352"/>
        <c:crosses val="autoZero"/>
        <c:crossBetween val="between"/>
      </c:valAx>
      <c:spPr>
        <a:noFill/>
        <a:ln w="25400">
          <a:noFill/>
        </a:ln>
      </c:spPr>
    </c:plotArea>
    <c:legend>
      <c:legendPos val="r"/>
      <c:overlay val="0"/>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825" b="1"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48" b="1" i="0" u="none" strike="noStrike" baseline="0">
                <a:solidFill>
                  <a:srgbClr val="000000"/>
                </a:solidFill>
                <a:latin typeface="Arial"/>
                <a:ea typeface="Arial"/>
                <a:cs typeface="Arial"/>
              </a:defRPr>
            </a:pPr>
            <a:r>
              <a:rPr lang="en-US"/>
              <a:t>Evolu</a:t>
            </a:r>
            <a:r>
              <a:rPr lang="ro-RO"/>
              <a:t>ţ</a:t>
            </a:r>
            <a:r>
              <a:rPr lang="en-US"/>
              <a:t>ia lunar</a:t>
            </a:r>
            <a:r>
              <a:rPr lang="ro-RO"/>
              <a:t>ă</a:t>
            </a:r>
            <a:r>
              <a:rPr lang="en-US"/>
              <a:t> a concentra</a:t>
            </a:r>
            <a:r>
              <a:rPr lang="ro-RO"/>
              <a:t>ţ</a:t>
            </a:r>
            <a:r>
              <a:rPr lang="en-US"/>
              <a:t>iei de NH3 pentru anul 2015</a:t>
            </a:r>
          </a:p>
        </c:rich>
      </c:tx>
      <c:layout>
        <c:manualLayout>
          <c:xMode val="edge"/>
          <c:yMode val="edge"/>
          <c:x val="0.20658682634730538"/>
          <c:y val="2.0080321285140562E-2"/>
        </c:manualLayout>
      </c:layout>
      <c:overlay val="0"/>
      <c:spPr>
        <a:noFill/>
        <a:ln w="25362">
          <a:noFill/>
        </a:ln>
      </c:spPr>
    </c:title>
    <c:autoTitleDeleted val="0"/>
    <c:view3D>
      <c:rotX val="15"/>
      <c:hPercent val="39"/>
      <c:rotY val="20"/>
      <c:depthPercent val="100"/>
      <c:rAngAx val="1"/>
    </c:view3D>
    <c:floor>
      <c:thickness val="0"/>
      <c:spPr>
        <a:solidFill>
          <a:srgbClr val="C0C0C0"/>
        </a:solidFill>
        <a:ln w="3175">
          <a:solidFill>
            <a:srgbClr val="000000"/>
          </a:solidFill>
          <a:prstDash val="solid"/>
        </a:ln>
      </c:spPr>
    </c:floor>
    <c:sideWall>
      <c:thickness val="0"/>
      <c:spPr>
        <a:solidFill>
          <a:srgbClr val="CCFFFF"/>
        </a:solidFill>
        <a:ln w="12700">
          <a:solidFill>
            <a:srgbClr val="CCFFCC"/>
          </a:solidFill>
          <a:prstDash val="solid"/>
        </a:ln>
      </c:spPr>
    </c:sideWall>
    <c:backWall>
      <c:thickness val="0"/>
      <c:spPr>
        <a:solidFill>
          <a:srgbClr val="CCFFFF"/>
        </a:solidFill>
        <a:ln w="12700">
          <a:solidFill>
            <a:srgbClr val="CCFFCC"/>
          </a:solidFill>
          <a:prstDash val="solid"/>
        </a:ln>
      </c:spPr>
    </c:backWall>
    <c:plotArea>
      <c:layout>
        <c:manualLayout>
          <c:layoutTarget val="inner"/>
          <c:xMode val="edge"/>
          <c:yMode val="edge"/>
          <c:x val="5.089820359281437E-2"/>
          <c:y val="0.20481927710843373"/>
          <c:w val="0.71856287425149701"/>
          <c:h val="0.65863453815261042"/>
        </c:manualLayout>
      </c:layout>
      <c:bar3DChart>
        <c:barDir val="col"/>
        <c:grouping val="clustered"/>
        <c:varyColors val="0"/>
        <c:ser>
          <c:idx val="0"/>
          <c:order val="0"/>
          <c:tx>
            <c:strRef>
              <c:f>Sheet1!$A$2</c:f>
              <c:strCache>
                <c:ptCount val="1"/>
                <c:pt idx="0">
                  <c:v>Sediu APM</c:v>
                </c:pt>
              </c:strCache>
            </c:strRef>
          </c:tx>
          <c:spPr>
            <a:solidFill>
              <a:srgbClr val="9999FF"/>
            </a:solidFill>
            <a:ln w="12681">
              <a:solidFill>
                <a:srgbClr val="000000"/>
              </a:solidFill>
              <a:prstDash val="solid"/>
            </a:ln>
          </c:spPr>
          <c:invertIfNegative val="0"/>
          <c:cat>
            <c:strRef>
              <c:f>Sheet1!$B$1:$M$1</c:f>
              <c:strCache>
                <c:ptCount val="12"/>
                <c:pt idx="0">
                  <c:v>ian</c:v>
                </c:pt>
                <c:pt idx="1">
                  <c:v>feb</c:v>
                </c:pt>
                <c:pt idx="2">
                  <c:v>martie</c:v>
                </c:pt>
                <c:pt idx="3">
                  <c:v>apr</c:v>
                </c:pt>
                <c:pt idx="4">
                  <c:v>mai</c:v>
                </c:pt>
                <c:pt idx="5">
                  <c:v>iunie</c:v>
                </c:pt>
                <c:pt idx="6">
                  <c:v>iulie</c:v>
                </c:pt>
                <c:pt idx="7">
                  <c:v>aug</c:v>
                </c:pt>
                <c:pt idx="8">
                  <c:v>sept</c:v>
                </c:pt>
                <c:pt idx="9">
                  <c:v>oct</c:v>
                </c:pt>
                <c:pt idx="10">
                  <c:v>nov</c:v>
                </c:pt>
                <c:pt idx="11">
                  <c:v>dec</c:v>
                </c:pt>
              </c:strCache>
            </c:strRef>
          </c:cat>
          <c:val>
            <c:numRef>
              <c:f>Sheet1!$B$2:$M$2</c:f>
              <c:numCache>
                <c:formatCode>General</c:formatCode>
                <c:ptCount val="12"/>
                <c:pt idx="0">
                  <c:v>9.6</c:v>
                </c:pt>
                <c:pt idx="1">
                  <c:v>9.6999999999999993</c:v>
                </c:pt>
                <c:pt idx="2">
                  <c:v>9.1999999999999993</c:v>
                </c:pt>
                <c:pt idx="3">
                  <c:v>9.1</c:v>
                </c:pt>
                <c:pt idx="4">
                  <c:v>9.8000000000000007</c:v>
                </c:pt>
                <c:pt idx="5">
                  <c:v>9.6</c:v>
                </c:pt>
                <c:pt idx="6">
                  <c:v>10.199999999999999</c:v>
                </c:pt>
                <c:pt idx="7">
                  <c:v>9.4</c:v>
                </c:pt>
                <c:pt idx="8">
                  <c:v>9.9</c:v>
                </c:pt>
                <c:pt idx="9">
                  <c:v>10.199999999999999</c:v>
                </c:pt>
                <c:pt idx="10">
                  <c:v>9.6999999999999993</c:v>
                </c:pt>
                <c:pt idx="11">
                  <c:v>9.6</c:v>
                </c:pt>
              </c:numCache>
            </c:numRef>
          </c:val>
        </c:ser>
        <c:ser>
          <c:idx val="1"/>
          <c:order val="1"/>
          <c:tx>
            <c:strRef>
              <c:f>Sheet1!$A$3</c:f>
              <c:strCache>
                <c:ptCount val="1"/>
                <c:pt idx="0">
                  <c:v>Spital Judetean</c:v>
                </c:pt>
              </c:strCache>
            </c:strRef>
          </c:tx>
          <c:spPr>
            <a:solidFill>
              <a:srgbClr val="993366"/>
            </a:solidFill>
            <a:ln w="12681">
              <a:solidFill>
                <a:srgbClr val="000000"/>
              </a:solidFill>
              <a:prstDash val="solid"/>
            </a:ln>
          </c:spPr>
          <c:invertIfNegative val="0"/>
          <c:cat>
            <c:strRef>
              <c:f>Sheet1!$B$1:$M$1</c:f>
              <c:strCache>
                <c:ptCount val="12"/>
                <c:pt idx="0">
                  <c:v>ian</c:v>
                </c:pt>
                <c:pt idx="1">
                  <c:v>feb</c:v>
                </c:pt>
                <c:pt idx="2">
                  <c:v>martie</c:v>
                </c:pt>
                <c:pt idx="3">
                  <c:v>apr</c:v>
                </c:pt>
                <c:pt idx="4">
                  <c:v>mai</c:v>
                </c:pt>
                <c:pt idx="5">
                  <c:v>iunie</c:v>
                </c:pt>
                <c:pt idx="6">
                  <c:v>iulie</c:v>
                </c:pt>
                <c:pt idx="7">
                  <c:v>aug</c:v>
                </c:pt>
                <c:pt idx="8">
                  <c:v>sept</c:v>
                </c:pt>
                <c:pt idx="9">
                  <c:v>oct</c:v>
                </c:pt>
                <c:pt idx="10">
                  <c:v>nov</c:v>
                </c:pt>
                <c:pt idx="11">
                  <c:v>dec</c:v>
                </c:pt>
              </c:strCache>
            </c:strRef>
          </c:cat>
          <c:val>
            <c:numRef>
              <c:f>Sheet1!$B$3:$M$3</c:f>
              <c:numCache>
                <c:formatCode>General</c:formatCode>
                <c:ptCount val="12"/>
                <c:pt idx="0">
                  <c:v>12.2</c:v>
                </c:pt>
                <c:pt idx="1">
                  <c:v>11.6</c:v>
                </c:pt>
                <c:pt idx="2">
                  <c:v>11.5</c:v>
                </c:pt>
                <c:pt idx="3">
                  <c:v>12.5</c:v>
                </c:pt>
                <c:pt idx="4">
                  <c:v>12.9</c:v>
                </c:pt>
                <c:pt idx="5">
                  <c:v>12.5</c:v>
                </c:pt>
                <c:pt idx="6">
                  <c:v>12.8</c:v>
                </c:pt>
                <c:pt idx="7">
                  <c:v>12.8</c:v>
                </c:pt>
                <c:pt idx="8">
                  <c:v>12.8</c:v>
                </c:pt>
                <c:pt idx="9">
                  <c:v>13.5</c:v>
                </c:pt>
                <c:pt idx="10">
                  <c:v>13.2</c:v>
                </c:pt>
                <c:pt idx="11">
                  <c:v>12.8</c:v>
                </c:pt>
              </c:numCache>
            </c:numRef>
          </c:val>
        </c:ser>
        <c:ser>
          <c:idx val="2"/>
          <c:order val="2"/>
          <c:tx>
            <c:strRef>
              <c:f>Sheet1!$A$4</c:f>
              <c:strCache>
                <c:ptCount val="1"/>
                <c:pt idx="0">
                  <c:v>Statia de epurare</c:v>
                </c:pt>
              </c:strCache>
            </c:strRef>
          </c:tx>
          <c:spPr>
            <a:solidFill>
              <a:srgbClr val="FFFFCC"/>
            </a:solidFill>
            <a:ln w="12681">
              <a:solidFill>
                <a:srgbClr val="000000"/>
              </a:solidFill>
              <a:prstDash val="solid"/>
            </a:ln>
          </c:spPr>
          <c:invertIfNegative val="0"/>
          <c:cat>
            <c:strRef>
              <c:f>Sheet1!$B$1:$M$1</c:f>
              <c:strCache>
                <c:ptCount val="12"/>
                <c:pt idx="0">
                  <c:v>ian</c:v>
                </c:pt>
                <c:pt idx="1">
                  <c:v>feb</c:v>
                </c:pt>
                <c:pt idx="2">
                  <c:v>martie</c:v>
                </c:pt>
                <c:pt idx="3">
                  <c:v>apr</c:v>
                </c:pt>
                <c:pt idx="4">
                  <c:v>mai</c:v>
                </c:pt>
                <c:pt idx="5">
                  <c:v>iunie</c:v>
                </c:pt>
                <c:pt idx="6">
                  <c:v>iulie</c:v>
                </c:pt>
                <c:pt idx="7">
                  <c:v>aug</c:v>
                </c:pt>
                <c:pt idx="8">
                  <c:v>sept</c:v>
                </c:pt>
                <c:pt idx="9">
                  <c:v>oct</c:v>
                </c:pt>
                <c:pt idx="10">
                  <c:v>nov</c:v>
                </c:pt>
                <c:pt idx="11">
                  <c:v>dec</c:v>
                </c:pt>
              </c:strCache>
            </c:strRef>
          </c:cat>
          <c:val>
            <c:numRef>
              <c:f>Sheet1!$B$4:$M$4</c:f>
              <c:numCache>
                <c:formatCode>General</c:formatCode>
                <c:ptCount val="12"/>
                <c:pt idx="0">
                  <c:v>12.3</c:v>
                </c:pt>
                <c:pt idx="1">
                  <c:v>11.6</c:v>
                </c:pt>
                <c:pt idx="2">
                  <c:v>11.4</c:v>
                </c:pt>
                <c:pt idx="3">
                  <c:v>11.9</c:v>
                </c:pt>
                <c:pt idx="4">
                  <c:v>12.14</c:v>
                </c:pt>
                <c:pt idx="5">
                  <c:v>12.5</c:v>
                </c:pt>
                <c:pt idx="6">
                  <c:v>12.5</c:v>
                </c:pt>
                <c:pt idx="7">
                  <c:v>11.4</c:v>
                </c:pt>
                <c:pt idx="8">
                  <c:v>12.8</c:v>
                </c:pt>
                <c:pt idx="9">
                  <c:v>12.9</c:v>
                </c:pt>
                <c:pt idx="10">
                  <c:v>13</c:v>
                </c:pt>
                <c:pt idx="11">
                  <c:v>12.7</c:v>
                </c:pt>
              </c:numCache>
            </c:numRef>
          </c:val>
        </c:ser>
        <c:ser>
          <c:idx val="3"/>
          <c:order val="3"/>
          <c:tx>
            <c:strRef>
              <c:f>Sheet1!$A$5</c:f>
              <c:strCache>
                <c:ptCount val="1"/>
                <c:pt idx="0">
                  <c:v>Valoare limita maxima</c:v>
                </c:pt>
              </c:strCache>
            </c:strRef>
          </c:tx>
          <c:spPr>
            <a:solidFill>
              <a:srgbClr val="CCFFFF"/>
            </a:solidFill>
            <a:ln w="12681">
              <a:solidFill>
                <a:srgbClr val="000000"/>
              </a:solidFill>
              <a:prstDash val="solid"/>
            </a:ln>
          </c:spPr>
          <c:invertIfNegative val="0"/>
          <c:cat>
            <c:strRef>
              <c:f>Sheet1!$B$1:$M$1</c:f>
              <c:strCache>
                <c:ptCount val="12"/>
                <c:pt idx="0">
                  <c:v>ian</c:v>
                </c:pt>
                <c:pt idx="1">
                  <c:v>feb</c:v>
                </c:pt>
                <c:pt idx="2">
                  <c:v>martie</c:v>
                </c:pt>
                <c:pt idx="3">
                  <c:v>apr</c:v>
                </c:pt>
                <c:pt idx="4">
                  <c:v>mai</c:v>
                </c:pt>
                <c:pt idx="5">
                  <c:v>iunie</c:v>
                </c:pt>
                <c:pt idx="6">
                  <c:v>iulie</c:v>
                </c:pt>
                <c:pt idx="7">
                  <c:v>aug</c:v>
                </c:pt>
                <c:pt idx="8">
                  <c:v>sept</c:v>
                </c:pt>
                <c:pt idx="9">
                  <c:v>oct</c:v>
                </c:pt>
                <c:pt idx="10">
                  <c:v>nov</c:v>
                </c:pt>
                <c:pt idx="11">
                  <c:v>dec</c:v>
                </c:pt>
              </c:strCache>
            </c:strRef>
          </c:cat>
          <c:val>
            <c:numRef>
              <c:f>Sheet1!$B$5:$M$5</c:f>
              <c:numCache>
                <c:formatCode>General</c:formatCode>
                <c:ptCount val="12"/>
                <c:pt idx="1">
                  <c:v>100</c:v>
                </c:pt>
                <c:pt idx="2">
                  <c:v>100</c:v>
                </c:pt>
                <c:pt idx="3">
                  <c:v>100</c:v>
                </c:pt>
                <c:pt idx="4">
                  <c:v>100</c:v>
                </c:pt>
                <c:pt idx="5">
                  <c:v>100</c:v>
                </c:pt>
                <c:pt idx="6">
                  <c:v>100</c:v>
                </c:pt>
                <c:pt idx="7">
                  <c:v>100</c:v>
                </c:pt>
                <c:pt idx="8">
                  <c:v>100</c:v>
                </c:pt>
                <c:pt idx="9">
                  <c:v>100</c:v>
                </c:pt>
                <c:pt idx="10">
                  <c:v>100</c:v>
                </c:pt>
                <c:pt idx="11">
                  <c:v>100</c:v>
                </c:pt>
              </c:numCache>
            </c:numRef>
          </c:val>
        </c:ser>
        <c:dLbls>
          <c:showLegendKey val="0"/>
          <c:showVal val="0"/>
          <c:showCatName val="0"/>
          <c:showSerName val="0"/>
          <c:showPercent val="0"/>
          <c:showBubbleSize val="0"/>
        </c:dLbls>
        <c:gapWidth val="150"/>
        <c:gapDepth val="0"/>
        <c:shape val="box"/>
        <c:axId val="291729408"/>
        <c:axId val="291730944"/>
        <c:axId val="0"/>
      </c:bar3DChart>
      <c:catAx>
        <c:axId val="291729408"/>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en-US"/>
          </a:p>
        </c:txPr>
        <c:crossAx val="291730944"/>
        <c:crosses val="autoZero"/>
        <c:auto val="1"/>
        <c:lblAlgn val="ctr"/>
        <c:lblOffset val="100"/>
        <c:tickLblSkip val="2"/>
        <c:tickMarkSkip val="1"/>
        <c:noMultiLvlLbl val="0"/>
      </c:catAx>
      <c:valAx>
        <c:axId val="291730944"/>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en-US"/>
          </a:p>
        </c:txPr>
        <c:crossAx val="291729408"/>
        <c:crosses val="autoZero"/>
        <c:crossBetween val="between"/>
      </c:valAx>
      <c:spPr>
        <a:noFill/>
        <a:ln w="25362">
          <a:noFill/>
        </a:ln>
      </c:spPr>
    </c:plotArea>
    <c:legend>
      <c:legendPos val="r"/>
      <c:layout>
        <c:manualLayout>
          <c:xMode val="edge"/>
          <c:yMode val="edge"/>
          <c:x val="0.7859281437125748"/>
          <c:y val="0.41365461847389556"/>
          <c:w val="0.20808383233532934"/>
          <c:h val="0.30923694779116467"/>
        </c:manualLayout>
      </c:layout>
      <c:overlay val="0"/>
      <c:spPr>
        <a:noFill/>
        <a:ln w="3170">
          <a:solidFill>
            <a:srgbClr val="000000"/>
          </a:solidFill>
          <a:prstDash val="solid"/>
        </a:ln>
      </c:spPr>
      <c:txPr>
        <a:bodyPr/>
        <a:lstStyle/>
        <a:p>
          <a:pPr>
            <a:defRPr sz="734"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098" b="1" i="0" u="none" strike="noStrike" baseline="0">
          <a:solidFill>
            <a:srgbClr val="000000"/>
          </a:solidFill>
          <a:latin typeface="Arial"/>
          <a:ea typeface="Arial"/>
          <a:cs typeface="Arial"/>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Emisii anuale de NH3</a:t>
            </a:r>
          </a:p>
        </c:rich>
      </c:tx>
      <c:layout>
        <c:manualLayout>
          <c:xMode val="edge"/>
          <c:yMode val="edge"/>
          <c:x val="0.38279932546374368"/>
          <c:y val="1.948051948051948E-2"/>
        </c:manualLayout>
      </c:layout>
      <c:overlay val="0"/>
      <c:spPr>
        <a:noFill/>
        <a:ln w="25400">
          <a:noFill/>
        </a:ln>
      </c:spPr>
    </c:title>
    <c:autoTitleDeleted val="0"/>
    <c:view3D>
      <c:rotX val="15"/>
      <c:hPercent val="24"/>
      <c:rotY val="20"/>
      <c:depthPercent val="100"/>
      <c:rAngAx val="1"/>
    </c:view3D>
    <c:floor>
      <c:thickness val="0"/>
      <c:spPr>
        <a:solidFill>
          <a:srgbClr val="FFFF99"/>
        </a:solidFill>
        <a:ln w="3175">
          <a:solidFill>
            <a:srgbClr val="000000"/>
          </a:solidFill>
          <a:prstDash val="solid"/>
        </a:ln>
      </c:spPr>
    </c:floor>
    <c:sideWall>
      <c:thickness val="0"/>
      <c:spPr>
        <a:gradFill rotWithShape="0">
          <a:gsLst>
            <a:gs pos="0">
              <a:srgbClr xmlns:mc="http://schemas.openxmlformats.org/markup-compatibility/2006" xmlns:a14="http://schemas.microsoft.com/office/drawing/2010/main" val="FFCC99" mc:Ignorable="a14" a14:legacySpreadsheetColorIndex="47"/>
            </a:gs>
            <a:gs pos="100000">
              <a:srgbClr xmlns:mc="http://schemas.openxmlformats.org/markup-compatibility/2006" xmlns:a14="http://schemas.microsoft.com/office/drawing/2010/main" val="FFFF99" mc:Ignorable="a14" a14:legacySpreadsheetColorIndex="43"/>
            </a:gs>
          </a:gsLst>
          <a:lin ang="5400000" scaled="1"/>
        </a:gradFill>
        <a:ln w="12700">
          <a:solidFill>
            <a:srgbClr val="808080"/>
          </a:solidFill>
          <a:prstDash val="solid"/>
        </a:ln>
      </c:spPr>
    </c:sideWall>
    <c:backWall>
      <c:thickness val="0"/>
      <c:spPr>
        <a:gradFill rotWithShape="0">
          <a:gsLst>
            <a:gs pos="0">
              <a:srgbClr xmlns:mc="http://schemas.openxmlformats.org/markup-compatibility/2006" xmlns:a14="http://schemas.microsoft.com/office/drawing/2010/main" val="FFCC99" mc:Ignorable="a14" a14:legacySpreadsheetColorIndex="47"/>
            </a:gs>
            <a:gs pos="100000">
              <a:srgbClr xmlns:mc="http://schemas.openxmlformats.org/markup-compatibility/2006" xmlns:a14="http://schemas.microsoft.com/office/drawing/2010/main" val="FFFF99" mc:Ignorable="a14" a14:legacySpreadsheetColorIndex="43"/>
            </a:gs>
          </a:gsLst>
          <a:lin ang="5400000" scaled="1"/>
        </a:gradFill>
        <a:ln w="12700">
          <a:solidFill>
            <a:srgbClr val="808080"/>
          </a:solidFill>
          <a:prstDash val="solid"/>
        </a:ln>
      </c:spPr>
    </c:backWall>
    <c:plotArea>
      <c:layout>
        <c:manualLayout>
          <c:layoutTarget val="inner"/>
          <c:xMode val="edge"/>
          <c:yMode val="edge"/>
          <c:x val="6.9139966273187178E-2"/>
          <c:y val="0.29220779220779219"/>
          <c:w val="0.76728499156829677"/>
          <c:h val="0.46753246753246752"/>
        </c:manualLayout>
      </c:layout>
      <c:bar3DChart>
        <c:barDir val="col"/>
        <c:grouping val="clustered"/>
        <c:varyColors val="0"/>
        <c:ser>
          <c:idx val="0"/>
          <c:order val="0"/>
          <c:tx>
            <c:strRef>
              <c:f>Sheet1!$A$2</c:f>
              <c:strCache>
                <c:ptCount val="1"/>
                <c:pt idx="0">
                  <c:v>tone NH3/an</c:v>
                </c:pt>
              </c:strCache>
            </c:strRef>
          </c:tx>
          <c:spPr>
            <a:solidFill>
              <a:srgbClr val="800080"/>
            </a:solidFill>
            <a:ln w="12700">
              <a:solidFill>
                <a:srgbClr val="000000"/>
              </a:solidFill>
              <a:prstDash val="solid"/>
            </a:ln>
          </c:spPr>
          <c:invertIfNegative val="0"/>
          <c:cat>
            <c:numRef>
              <c:f>Sheet1!$B$1:$J$1</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Sheet1!$B$2:$J$2</c:f>
              <c:numCache>
                <c:formatCode>General</c:formatCode>
                <c:ptCount val="9"/>
                <c:pt idx="0">
                  <c:v>1310.4000000000001</c:v>
                </c:pt>
                <c:pt idx="1">
                  <c:v>828.2</c:v>
                </c:pt>
                <c:pt idx="2">
                  <c:v>765.4</c:v>
                </c:pt>
                <c:pt idx="3">
                  <c:v>862.9</c:v>
                </c:pt>
                <c:pt idx="4">
                  <c:v>265.5</c:v>
                </c:pt>
                <c:pt idx="5">
                  <c:v>622.6</c:v>
                </c:pt>
                <c:pt idx="6">
                  <c:v>474.9</c:v>
                </c:pt>
                <c:pt idx="7">
                  <c:v>628.79999999999995</c:v>
                </c:pt>
                <c:pt idx="8">
                  <c:v>674.8</c:v>
                </c:pt>
              </c:numCache>
            </c:numRef>
          </c:val>
        </c:ser>
        <c:dLbls>
          <c:showLegendKey val="0"/>
          <c:showVal val="0"/>
          <c:showCatName val="0"/>
          <c:showSerName val="0"/>
          <c:showPercent val="0"/>
          <c:showBubbleSize val="0"/>
        </c:dLbls>
        <c:gapWidth val="150"/>
        <c:gapDepth val="0"/>
        <c:shape val="cylinder"/>
        <c:axId val="296795136"/>
        <c:axId val="296796928"/>
        <c:axId val="0"/>
      </c:bar3DChart>
      <c:catAx>
        <c:axId val="296795136"/>
        <c:scaling>
          <c:orientation val="minMax"/>
        </c:scaling>
        <c:delete val="0"/>
        <c:axPos val="b"/>
        <c:numFmt formatCode="General" sourceLinked="1"/>
        <c:majorTickMark val="out"/>
        <c:minorTickMark val="none"/>
        <c:tickLblPos val="low"/>
        <c:spPr>
          <a:ln w="3175">
            <a:solidFill>
              <a:srgbClr val="000000"/>
            </a:solidFill>
            <a:prstDash val="solid"/>
          </a:ln>
        </c:spPr>
        <c:txPr>
          <a:bodyPr rot="-2700000" vert="horz"/>
          <a:lstStyle/>
          <a:p>
            <a:pPr>
              <a:defRPr sz="800" b="1" i="0" u="none" strike="noStrike" baseline="0">
                <a:solidFill>
                  <a:srgbClr val="000000"/>
                </a:solidFill>
                <a:latin typeface="Arial"/>
                <a:ea typeface="Arial"/>
                <a:cs typeface="Arial"/>
              </a:defRPr>
            </a:pPr>
            <a:endParaRPr lang="en-US"/>
          </a:p>
        </c:txPr>
        <c:crossAx val="296796928"/>
        <c:crosses val="autoZero"/>
        <c:auto val="1"/>
        <c:lblAlgn val="ctr"/>
        <c:lblOffset val="100"/>
        <c:tickLblSkip val="1"/>
        <c:tickMarkSkip val="1"/>
        <c:noMultiLvlLbl val="0"/>
      </c:catAx>
      <c:valAx>
        <c:axId val="29679692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296795136"/>
        <c:crosses val="autoZero"/>
        <c:crossBetween val="between"/>
      </c:valAx>
      <c:spPr>
        <a:noFill/>
        <a:ln w="25400">
          <a:noFill/>
        </a:ln>
      </c:spPr>
    </c:plotArea>
    <c:legend>
      <c:legendPos val="r"/>
      <c:layout>
        <c:manualLayout>
          <c:xMode val="edge"/>
          <c:yMode val="edge"/>
          <c:x val="0.85497470489038785"/>
          <c:y val="0.53896103896103897"/>
          <c:w val="0.13827993254637436"/>
          <c:h val="0.12987012987012986"/>
        </c:manualLayout>
      </c:layout>
      <c:overlay val="0"/>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800" b="1" i="0" u="none" strike="noStrike" baseline="0">
          <a:solidFill>
            <a:srgbClr val="000000"/>
          </a:solidFill>
          <a:latin typeface="Arial"/>
          <a:ea typeface="Arial"/>
          <a:cs typeface="Arial"/>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6"/>
      <c:rotY val="20"/>
      <c:depthPercent val="100"/>
      <c:rAngAx val="1"/>
    </c:view3D>
    <c:floor>
      <c:thickness val="0"/>
      <c:spPr>
        <a:solidFill>
          <a:srgbClr val="CCFFCC"/>
        </a:solidFill>
        <a:ln w="3175">
          <a:solidFill>
            <a:srgbClr val="000000"/>
          </a:solidFill>
          <a:prstDash val="solid"/>
        </a:ln>
      </c:spPr>
    </c:floor>
    <c:sideWall>
      <c:thickness val="0"/>
      <c:spPr>
        <a:solidFill>
          <a:srgbClr val="CCFFCC"/>
        </a:solidFill>
        <a:ln w="12700">
          <a:solidFill>
            <a:srgbClr val="808080"/>
          </a:solidFill>
          <a:prstDash val="solid"/>
        </a:ln>
      </c:spPr>
    </c:sideWall>
    <c:backWall>
      <c:thickness val="0"/>
      <c:spPr>
        <a:solidFill>
          <a:srgbClr val="CCFFCC"/>
        </a:solidFill>
        <a:ln w="12700">
          <a:solidFill>
            <a:srgbClr val="808080"/>
          </a:solidFill>
          <a:prstDash val="solid"/>
        </a:ln>
      </c:spPr>
    </c:backWall>
    <c:plotArea>
      <c:layout>
        <c:manualLayout>
          <c:layoutTarget val="inner"/>
          <c:xMode val="edge"/>
          <c:yMode val="edge"/>
          <c:x val="0.14930555555555555"/>
          <c:y val="4.9450549450549448E-2"/>
          <c:w val="0.51215277777777779"/>
          <c:h val="0.62637362637362637"/>
        </c:manualLayout>
      </c:layout>
      <c:bar3DChart>
        <c:barDir val="col"/>
        <c:grouping val="clustered"/>
        <c:varyColors val="0"/>
        <c:ser>
          <c:idx val="0"/>
          <c:order val="0"/>
          <c:tx>
            <c:strRef>
              <c:f>Sheet1!$A$2</c:f>
              <c:strCache>
                <c:ptCount val="1"/>
                <c:pt idx="0">
                  <c:v>Cresterea pasarilor si managementul dejectiilor animaliere</c:v>
                </c:pt>
              </c:strCache>
            </c:strRef>
          </c:tx>
          <c:spPr>
            <a:solidFill>
              <a:srgbClr val="9999FF"/>
            </a:solidFill>
            <a:ln w="12700">
              <a:solidFill>
                <a:srgbClr val="000000"/>
              </a:solidFill>
              <a:prstDash val="solid"/>
            </a:ln>
          </c:spPr>
          <c:invertIfNegative val="0"/>
          <c:cat>
            <c:numRef>
              <c:f>Sheet1!$B$1:$B$1</c:f>
              <c:numCache>
                <c:formatCode>General</c:formatCode>
                <c:ptCount val="1"/>
              </c:numCache>
            </c:numRef>
          </c:cat>
          <c:val>
            <c:numRef>
              <c:f>Sheet1!$B$2:$B$2</c:f>
              <c:numCache>
                <c:formatCode>General</c:formatCode>
                <c:ptCount val="1"/>
                <c:pt idx="0">
                  <c:v>560.08000000000004</c:v>
                </c:pt>
              </c:numCache>
            </c:numRef>
          </c:val>
        </c:ser>
        <c:ser>
          <c:idx val="1"/>
          <c:order val="1"/>
          <c:tx>
            <c:strRef>
              <c:f>Sheet1!$A$3</c:f>
              <c:strCache>
                <c:ptCount val="1"/>
                <c:pt idx="0">
                  <c:v>Trafic</c:v>
                </c:pt>
              </c:strCache>
            </c:strRef>
          </c:tx>
          <c:spPr>
            <a:solidFill>
              <a:srgbClr val="993366"/>
            </a:solidFill>
            <a:ln w="12700">
              <a:solidFill>
                <a:srgbClr val="000000"/>
              </a:solidFill>
              <a:prstDash val="solid"/>
            </a:ln>
          </c:spPr>
          <c:invertIfNegative val="0"/>
          <c:cat>
            <c:numRef>
              <c:f>Sheet1!$B$1:$B$1</c:f>
              <c:numCache>
                <c:formatCode>General</c:formatCode>
                <c:ptCount val="1"/>
              </c:numCache>
            </c:numRef>
          </c:cat>
          <c:val>
            <c:numRef>
              <c:f>Sheet1!$B$3:$B$3</c:f>
              <c:numCache>
                <c:formatCode>General</c:formatCode>
                <c:ptCount val="1"/>
                <c:pt idx="0">
                  <c:v>6.75</c:v>
                </c:pt>
              </c:numCache>
            </c:numRef>
          </c:val>
        </c:ser>
        <c:ser>
          <c:idx val="3"/>
          <c:order val="2"/>
          <c:tx>
            <c:strRef>
              <c:f>Sheet1!$A$4</c:f>
              <c:strCache>
                <c:ptCount val="1"/>
                <c:pt idx="0">
                  <c:v>Incalzire rezidentiala, prepararea hranei</c:v>
                </c:pt>
              </c:strCache>
            </c:strRef>
          </c:tx>
          <c:spPr>
            <a:solidFill>
              <a:srgbClr val="CCFFFF"/>
            </a:solidFill>
            <a:ln w="12700">
              <a:solidFill>
                <a:srgbClr val="000000"/>
              </a:solidFill>
              <a:prstDash val="solid"/>
            </a:ln>
          </c:spPr>
          <c:invertIfNegative val="0"/>
          <c:cat>
            <c:numRef>
              <c:f>Sheet1!$B$1:$B$1</c:f>
              <c:numCache>
                <c:formatCode>General</c:formatCode>
                <c:ptCount val="1"/>
              </c:numCache>
            </c:numRef>
          </c:cat>
          <c:val>
            <c:numRef>
              <c:f>Sheet1!$B$4:$B$4</c:f>
              <c:numCache>
                <c:formatCode>General</c:formatCode>
                <c:ptCount val="1"/>
                <c:pt idx="0">
                  <c:v>106.6</c:v>
                </c:pt>
              </c:numCache>
            </c:numRef>
          </c:val>
        </c:ser>
        <c:dLbls>
          <c:showLegendKey val="0"/>
          <c:showVal val="0"/>
          <c:showCatName val="0"/>
          <c:showSerName val="0"/>
          <c:showPercent val="0"/>
          <c:showBubbleSize val="0"/>
        </c:dLbls>
        <c:gapWidth val="150"/>
        <c:gapDepth val="0"/>
        <c:shape val="cone"/>
        <c:axId val="296827520"/>
        <c:axId val="296870656"/>
        <c:axId val="0"/>
      </c:bar3DChart>
      <c:catAx>
        <c:axId val="29682752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US"/>
                  <a:t>Emisii NH3 (tone)</a:t>
                </a:r>
              </a:p>
            </c:rich>
          </c:tx>
          <c:layout>
            <c:manualLayout>
              <c:xMode val="edge"/>
              <c:yMode val="edge"/>
              <c:x val="0.30902777777777779"/>
              <c:y val="0.7142857142857143"/>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296870656"/>
        <c:crosses val="autoZero"/>
        <c:auto val="1"/>
        <c:lblAlgn val="ctr"/>
        <c:lblOffset val="100"/>
        <c:tickLblSkip val="1"/>
        <c:tickMarkSkip val="1"/>
        <c:noMultiLvlLbl val="0"/>
      </c:catAx>
      <c:valAx>
        <c:axId val="29687065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296827520"/>
        <c:crosses val="autoZero"/>
        <c:crossBetween val="between"/>
      </c:valAx>
      <c:spPr>
        <a:noFill/>
        <a:ln w="25400">
          <a:noFill/>
        </a:ln>
      </c:spPr>
    </c:plotArea>
    <c:legend>
      <c:legendPos val="r"/>
      <c:layout>
        <c:manualLayout>
          <c:xMode val="edge"/>
          <c:yMode val="edge"/>
          <c:x val="0.68055555555555558"/>
          <c:y val="0"/>
          <c:w val="0.3125"/>
          <c:h val="0.69230769230769229"/>
        </c:manualLayout>
      </c:layout>
      <c:overlay val="0"/>
      <c:spPr>
        <a:noFill/>
        <a:ln w="3175">
          <a:solidFill>
            <a:srgbClr val="000000"/>
          </a:solidFill>
          <a:prstDash val="solid"/>
        </a:ln>
      </c:spPr>
      <c:txPr>
        <a:bodyPr/>
        <a:lstStyle/>
        <a:p>
          <a:pPr>
            <a:defRPr sz="640"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800" b="1" i="0" u="none" strike="noStrike" baseline="0">
          <a:solidFill>
            <a:srgbClr val="000000"/>
          </a:solidFill>
          <a:latin typeface="Arial"/>
          <a:ea typeface="Arial"/>
          <a:cs typeface="Arial"/>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Arial"/>
                <a:ea typeface="Arial"/>
                <a:cs typeface="Arial"/>
              </a:defRPr>
            </a:pPr>
            <a:r>
              <a:rPr lang="en-US"/>
              <a:t>Emisii anuale de NMVOC</a:t>
            </a:r>
          </a:p>
        </c:rich>
      </c:tx>
      <c:layout>
        <c:manualLayout>
          <c:xMode val="edge"/>
          <c:yMode val="edge"/>
          <c:x val="0.35318275154004108"/>
          <c:y val="1.7341040462427744E-2"/>
        </c:manualLayout>
      </c:layout>
      <c:overlay val="0"/>
      <c:spPr>
        <a:noFill/>
        <a:ln w="25400">
          <a:noFill/>
        </a:ln>
      </c:spPr>
    </c:title>
    <c:autoTitleDeleted val="0"/>
    <c:view3D>
      <c:rotX val="15"/>
      <c:hPercent val="37"/>
      <c:rotY val="20"/>
      <c:depthPercent val="100"/>
      <c:rAngAx val="1"/>
    </c:view3D>
    <c:floor>
      <c:thickness val="0"/>
      <c:spPr>
        <a:solidFill>
          <a:srgbClr val="CCCCFF"/>
        </a:solidFill>
        <a:ln w="3175">
          <a:solidFill>
            <a:srgbClr val="000000"/>
          </a:solidFill>
          <a:prstDash val="solid"/>
        </a:ln>
      </c:spPr>
    </c:floor>
    <c:sideWall>
      <c:thickness val="0"/>
      <c:spPr>
        <a:gradFill rotWithShape="0">
          <a:gsLst>
            <a:gs pos="0">
              <a:srgbClr xmlns:mc="http://schemas.openxmlformats.org/markup-compatibility/2006" xmlns:a14="http://schemas.microsoft.com/office/drawing/2010/main" val="99CCFF" mc:Ignorable="a14" a14:legacySpreadsheetColorIndex="44"/>
            </a:gs>
            <a:gs pos="100000">
              <a:srgbClr xmlns:mc="http://schemas.openxmlformats.org/markup-compatibility/2006" xmlns:a14="http://schemas.microsoft.com/office/drawing/2010/main" val="CCCCFF" mc:Ignorable="a14" a14:legacySpreadsheetColorIndex="31"/>
            </a:gs>
          </a:gsLst>
          <a:lin ang="5400000" scaled="1"/>
        </a:gradFill>
        <a:ln w="12700">
          <a:solidFill>
            <a:srgbClr val="808080"/>
          </a:solidFill>
          <a:prstDash val="solid"/>
        </a:ln>
      </c:spPr>
    </c:sideWall>
    <c:backWall>
      <c:thickness val="0"/>
      <c:spPr>
        <a:gradFill rotWithShape="0">
          <a:gsLst>
            <a:gs pos="0">
              <a:srgbClr xmlns:mc="http://schemas.openxmlformats.org/markup-compatibility/2006" xmlns:a14="http://schemas.microsoft.com/office/drawing/2010/main" val="99CCFF" mc:Ignorable="a14" a14:legacySpreadsheetColorIndex="44"/>
            </a:gs>
            <a:gs pos="100000">
              <a:srgbClr xmlns:mc="http://schemas.openxmlformats.org/markup-compatibility/2006" xmlns:a14="http://schemas.microsoft.com/office/drawing/2010/main" val="CCCCFF" mc:Ignorable="a14" a14:legacySpreadsheetColorIndex="31"/>
            </a:gs>
          </a:gsLst>
          <a:lin ang="5400000" scaled="1"/>
        </a:gradFill>
        <a:ln w="12700">
          <a:solidFill>
            <a:srgbClr val="808080"/>
          </a:solidFill>
          <a:prstDash val="solid"/>
        </a:ln>
      </c:spPr>
    </c:backWall>
    <c:plotArea>
      <c:layout>
        <c:manualLayout>
          <c:layoutTarget val="inner"/>
          <c:xMode val="edge"/>
          <c:yMode val="edge"/>
          <c:x val="6.1601642710472276E-2"/>
          <c:y val="0.24277456647398843"/>
          <c:w val="0.6960985626283368"/>
          <c:h val="0.61849710982658956"/>
        </c:manualLayout>
      </c:layout>
      <c:bar3DChart>
        <c:barDir val="col"/>
        <c:grouping val="clustered"/>
        <c:varyColors val="0"/>
        <c:ser>
          <c:idx val="0"/>
          <c:order val="0"/>
          <c:tx>
            <c:strRef>
              <c:f>Sheet1!$A$2</c:f>
              <c:strCache>
                <c:ptCount val="1"/>
                <c:pt idx="0">
                  <c:v>tone NMVOC/an</c:v>
                </c:pt>
              </c:strCache>
            </c:strRef>
          </c:tx>
          <c:spPr>
            <a:solidFill>
              <a:srgbClr val="CC99FF"/>
            </a:solidFill>
            <a:ln w="12700">
              <a:solidFill>
                <a:srgbClr val="000000"/>
              </a:solidFill>
              <a:prstDash val="solid"/>
            </a:ln>
          </c:spPr>
          <c:invertIfNegative val="0"/>
          <c:cat>
            <c:numRef>
              <c:f>Sheet1!$B$1:$J$1</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Sheet1!$B$2:$J$2</c:f>
              <c:numCache>
                <c:formatCode>General</c:formatCode>
                <c:ptCount val="9"/>
                <c:pt idx="0">
                  <c:v>2548</c:v>
                </c:pt>
                <c:pt idx="1">
                  <c:v>1991</c:v>
                </c:pt>
                <c:pt idx="2">
                  <c:v>1957</c:v>
                </c:pt>
                <c:pt idx="3">
                  <c:v>1361.34</c:v>
                </c:pt>
                <c:pt idx="4">
                  <c:v>1410.6</c:v>
                </c:pt>
                <c:pt idx="5">
                  <c:v>6440</c:v>
                </c:pt>
                <c:pt idx="6">
                  <c:v>6030.6</c:v>
                </c:pt>
                <c:pt idx="7">
                  <c:v>3709</c:v>
                </c:pt>
              </c:numCache>
            </c:numRef>
          </c:val>
        </c:ser>
        <c:dLbls>
          <c:showLegendKey val="0"/>
          <c:showVal val="0"/>
          <c:showCatName val="0"/>
          <c:showSerName val="0"/>
          <c:showPercent val="0"/>
          <c:showBubbleSize val="0"/>
        </c:dLbls>
        <c:gapWidth val="150"/>
        <c:gapDepth val="0"/>
        <c:shape val="cylinder"/>
        <c:axId val="297890176"/>
        <c:axId val="297891712"/>
        <c:axId val="0"/>
      </c:bar3DChart>
      <c:catAx>
        <c:axId val="29789017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297891712"/>
        <c:crosses val="autoZero"/>
        <c:auto val="1"/>
        <c:lblAlgn val="ctr"/>
        <c:lblOffset val="100"/>
        <c:tickLblSkip val="1"/>
        <c:tickMarkSkip val="1"/>
        <c:noMultiLvlLbl val="0"/>
      </c:catAx>
      <c:valAx>
        <c:axId val="29789171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575" b="1" i="0" u="none" strike="noStrike" baseline="0">
                <a:solidFill>
                  <a:srgbClr val="000000"/>
                </a:solidFill>
                <a:latin typeface="Arial"/>
                <a:ea typeface="Arial"/>
                <a:cs typeface="Arial"/>
              </a:defRPr>
            </a:pPr>
            <a:endParaRPr lang="en-US"/>
          </a:p>
        </c:txPr>
        <c:crossAx val="297890176"/>
        <c:crosses val="autoZero"/>
        <c:crossBetween val="between"/>
      </c:valAx>
      <c:spPr>
        <a:noFill/>
        <a:ln w="25400">
          <a:noFill/>
        </a:ln>
      </c:spPr>
    </c:plotArea>
    <c:legend>
      <c:legendPos val="r"/>
      <c:layout>
        <c:manualLayout>
          <c:xMode val="edge"/>
          <c:yMode val="edge"/>
          <c:x val="0.78028747433264889"/>
          <c:y val="0.53757225433526012"/>
          <c:w val="0.21149897330595482"/>
          <c:h val="0.11560693641618497"/>
        </c:manualLayout>
      </c:layout>
      <c:overlay val="0"/>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800" b="1" i="0" u="none" strike="noStrike" baseline="0">
          <a:solidFill>
            <a:srgbClr val="000000"/>
          </a:solidFill>
          <a:latin typeface="Arial"/>
          <a:ea typeface="Arial"/>
          <a:cs typeface="Arial"/>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Arial"/>
                <a:ea typeface="Arial"/>
                <a:cs typeface="Arial"/>
              </a:defRPr>
            </a:pPr>
            <a:r>
              <a:rPr lang="en-US"/>
              <a:t>Emisii NMVOC pe sectoare de activitate</a:t>
            </a:r>
          </a:p>
        </c:rich>
      </c:tx>
      <c:layout>
        <c:manualLayout>
          <c:xMode val="edge"/>
          <c:yMode val="edge"/>
          <c:x val="0.32880844645550528"/>
          <c:y val="2.0491803278688523E-2"/>
        </c:manualLayout>
      </c:layout>
      <c:overlay val="0"/>
      <c:spPr>
        <a:noFill/>
        <a:ln w="25400">
          <a:noFill/>
        </a:ln>
      </c:spPr>
    </c:title>
    <c:autoTitleDeleted val="0"/>
    <c:view3D>
      <c:rotX val="15"/>
      <c:hPercent val="51"/>
      <c:rotY val="20"/>
      <c:depthPercent val="100"/>
      <c:rAngAx val="1"/>
    </c:view3D>
    <c:floor>
      <c:thickness val="0"/>
      <c:spPr>
        <a:solidFill>
          <a:srgbClr val="CCFFFF"/>
        </a:solidFill>
        <a:ln w="3175">
          <a:solidFill>
            <a:srgbClr val="000000"/>
          </a:solidFill>
          <a:prstDash val="solid"/>
        </a:ln>
      </c:spPr>
    </c:floor>
    <c:sideWall>
      <c:thickness val="0"/>
      <c:spPr>
        <a:solidFill>
          <a:srgbClr val="CCFFFF"/>
        </a:solidFill>
        <a:ln w="12700">
          <a:solidFill>
            <a:srgbClr val="808080"/>
          </a:solidFill>
          <a:prstDash val="solid"/>
        </a:ln>
      </c:spPr>
    </c:sideWall>
    <c:backWall>
      <c:thickness val="0"/>
      <c:spPr>
        <a:solidFill>
          <a:srgbClr val="CCFFFF"/>
        </a:solidFill>
        <a:ln w="12700">
          <a:solidFill>
            <a:srgbClr val="808080"/>
          </a:solidFill>
          <a:prstDash val="solid"/>
        </a:ln>
      </c:spPr>
    </c:backWall>
    <c:plotArea>
      <c:layout>
        <c:manualLayout>
          <c:layoutTarget val="inner"/>
          <c:xMode val="edge"/>
          <c:yMode val="edge"/>
          <c:x val="4.5248868778280542E-2"/>
          <c:y val="0.16803278688524589"/>
          <c:w val="0.55203619909502266"/>
          <c:h val="0.79098360655737709"/>
        </c:manualLayout>
      </c:layout>
      <c:bar3DChart>
        <c:barDir val="col"/>
        <c:grouping val="clustered"/>
        <c:varyColors val="0"/>
        <c:ser>
          <c:idx val="0"/>
          <c:order val="0"/>
          <c:tx>
            <c:strRef>
              <c:f>Sheet1!$A$2</c:f>
              <c:strCache>
                <c:ptCount val="1"/>
                <c:pt idx="0">
                  <c:v>Fabricarea produselor alimentare si a bauturilor</c:v>
                </c:pt>
              </c:strCache>
            </c:strRef>
          </c:tx>
          <c:spPr>
            <a:solidFill>
              <a:srgbClr val="9999FF"/>
            </a:solidFill>
            <a:ln w="12700">
              <a:solidFill>
                <a:srgbClr val="000000"/>
              </a:solidFill>
              <a:prstDash val="solid"/>
            </a:ln>
          </c:spPr>
          <c:invertIfNegative val="0"/>
          <c:cat>
            <c:numRef>
              <c:f>Sheet1!$B$1:$B$1</c:f>
              <c:numCache>
                <c:formatCode>General</c:formatCode>
                <c:ptCount val="1"/>
              </c:numCache>
            </c:numRef>
          </c:cat>
          <c:val>
            <c:numRef>
              <c:f>Sheet1!$B$2:$B$2</c:f>
              <c:numCache>
                <c:formatCode>General</c:formatCode>
                <c:ptCount val="1"/>
                <c:pt idx="0">
                  <c:v>20.52</c:v>
                </c:pt>
              </c:numCache>
            </c:numRef>
          </c:val>
        </c:ser>
        <c:ser>
          <c:idx val="3"/>
          <c:order val="1"/>
          <c:tx>
            <c:strRef>
              <c:f>Sheet1!$A$3</c:f>
              <c:strCache>
                <c:ptCount val="1"/>
                <c:pt idx="0">
                  <c:v>Epurarea apelor uzate</c:v>
                </c:pt>
              </c:strCache>
            </c:strRef>
          </c:tx>
          <c:spPr>
            <a:solidFill>
              <a:srgbClr val="CCFFFF"/>
            </a:solidFill>
            <a:ln w="12700">
              <a:solidFill>
                <a:srgbClr val="000000"/>
              </a:solidFill>
              <a:prstDash val="solid"/>
            </a:ln>
          </c:spPr>
          <c:invertIfNegative val="0"/>
          <c:cat>
            <c:numRef>
              <c:f>Sheet1!$B$1:$B$1</c:f>
              <c:numCache>
                <c:formatCode>General</c:formatCode>
                <c:ptCount val="1"/>
              </c:numCache>
            </c:numRef>
          </c:cat>
          <c:val>
            <c:numRef>
              <c:f>Sheet1!$B$3:$B$3</c:f>
              <c:numCache>
                <c:formatCode>General</c:formatCode>
                <c:ptCount val="1"/>
                <c:pt idx="0">
                  <c:v>0.11</c:v>
                </c:pt>
              </c:numCache>
            </c:numRef>
          </c:val>
        </c:ser>
        <c:ser>
          <c:idx val="5"/>
          <c:order val="2"/>
          <c:tx>
            <c:strRef>
              <c:f>Sheet1!$A$4</c:f>
              <c:strCache>
                <c:ptCount val="1"/>
                <c:pt idx="0">
                  <c:v>Ingrasarea porcilor</c:v>
                </c:pt>
              </c:strCache>
            </c:strRef>
          </c:tx>
          <c:spPr>
            <a:solidFill>
              <a:srgbClr val="FF8080"/>
            </a:solidFill>
            <a:ln w="12700">
              <a:solidFill>
                <a:srgbClr val="000000"/>
              </a:solidFill>
              <a:prstDash val="solid"/>
            </a:ln>
          </c:spPr>
          <c:invertIfNegative val="0"/>
          <c:cat>
            <c:numRef>
              <c:f>Sheet1!$B$1:$B$1</c:f>
              <c:numCache>
                <c:formatCode>General</c:formatCode>
                <c:ptCount val="1"/>
              </c:numCache>
            </c:numRef>
          </c:cat>
          <c:val>
            <c:numRef>
              <c:f>Sheet1!$B$4:$B$4</c:f>
              <c:numCache>
                <c:formatCode>General</c:formatCode>
                <c:ptCount val="1"/>
                <c:pt idx="0">
                  <c:v>14.84</c:v>
                </c:pt>
              </c:numCache>
            </c:numRef>
          </c:val>
        </c:ser>
        <c:ser>
          <c:idx val="6"/>
          <c:order val="3"/>
          <c:tx>
            <c:strRef>
              <c:f>Sheet1!$A$5</c:f>
              <c:strCache>
                <c:ptCount val="1"/>
                <c:pt idx="0">
                  <c:v>Pasari</c:v>
                </c:pt>
              </c:strCache>
            </c:strRef>
          </c:tx>
          <c:spPr>
            <a:solidFill>
              <a:srgbClr val="0066CC"/>
            </a:solidFill>
            <a:ln w="12700">
              <a:solidFill>
                <a:srgbClr val="000000"/>
              </a:solidFill>
              <a:prstDash val="solid"/>
            </a:ln>
          </c:spPr>
          <c:invertIfNegative val="0"/>
          <c:cat>
            <c:numRef>
              <c:f>Sheet1!$B$1:$B$1</c:f>
              <c:numCache>
                <c:formatCode>General</c:formatCode>
                <c:ptCount val="1"/>
              </c:numCache>
            </c:numRef>
          </c:cat>
          <c:val>
            <c:numRef>
              <c:f>Sheet1!$B$5:$B$5</c:f>
              <c:numCache>
                <c:formatCode>General</c:formatCode>
                <c:ptCount val="1"/>
                <c:pt idx="0">
                  <c:v>290</c:v>
                </c:pt>
              </c:numCache>
            </c:numRef>
          </c:val>
        </c:ser>
        <c:ser>
          <c:idx val="7"/>
          <c:order val="4"/>
          <c:tx>
            <c:strRef>
              <c:f>Sheet1!$A$6</c:f>
              <c:strCache>
                <c:ptCount val="1"/>
                <c:pt idx="0">
                  <c:v>Trafic</c:v>
                </c:pt>
              </c:strCache>
            </c:strRef>
          </c:tx>
          <c:spPr>
            <a:solidFill>
              <a:srgbClr val="CCCCFF"/>
            </a:solidFill>
            <a:ln w="12700">
              <a:solidFill>
                <a:srgbClr val="000000"/>
              </a:solidFill>
              <a:prstDash val="solid"/>
            </a:ln>
          </c:spPr>
          <c:invertIfNegative val="0"/>
          <c:cat>
            <c:numRef>
              <c:f>Sheet1!$B$1:$B$1</c:f>
              <c:numCache>
                <c:formatCode>General</c:formatCode>
                <c:ptCount val="1"/>
              </c:numCache>
            </c:numRef>
          </c:cat>
          <c:val>
            <c:numRef>
              <c:f>Sheet1!$B$6:$B$6</c:f>
              <c:numCache>
                <c:formatCode>General</c:formatCode>
                <c:ptCount val="1"/>
                <c:pt idx="0">
                  <c:v>179.53</c:v>
                </c:pt>
              </c:numCache>
            </c:numRef>
          </c:val>
        </c:ser>
        <c:ser>
          <c:idx val="9"/>
          <c:order val="5"/>
          <c:tx>
            <c:strRef>
              <c:f>Sheet1!$A$7</c:f>
              <c:strCache>
                <c:ptCount val="1"/>
                <c:pt idx="0">
                  <c:v>Incalzire rezidentiala, prepararea hranei</c:v>
                </c:pt>
              </c:strCache>
            </c:strRef>
          </c:tx>
          <c:spPr>
            <a:solidFill>
              <a:srgbClr val="FF00FF"/>
            </a:solidFill>
            <a:ln w="12700">
              <a:solidFill>
                <a:srgbClr val="000000"/>
              </a:solidFill>
              <a:prstDash val="solid"/>
            </a:ln>
          </c:spPr>
          <c:invertIfNegative val="0"/>
          <c:cat>
            <c:numRef>
              <c:f>Sheet1!$B$1:$B$1</c:f>
              <c:numCache>
                <c:formatCode>General</c:formatCode>
                <c:ptCount val="1"/>
              </c:numCache>
            </c:numRef>
          </c:cat>
          <c:val>
            <c:numRef>
              <c:f>Sheet1!$B$7:$B$7</c:f>
              <c:numCache>
                <c:formatCode>General</c:formatCode>
                <c:ptCount val="1"/>
                <c:pt idx="0">
                  <c:v>2676.9</c:v>
                </c:pt>
              </c:numCache>
            </c:numRef>
          </c:val>
        </c:ser>
        <c:dLbls>
          <c:showLegendKey val="0"/>
          <c:showVal val="0"/>
          <c:showCatName val="0"/>
          <c:showSerName val="0"/>
          <c:showPercent val="0"/>
          <c:showBubbleSize val="0"/>
        </c:dLbls>
        <c:gapWidth val="150"/>
        <c:gapDepth val="0"/>
        <c:shape val="cone"/>
        <c:axId val="298875136"/>
        <c:axId val="298881024"/>
        <c:axId val="0"/>
      </c:bar3DChart>
      <c:catAx>
        <c:axId val="2988751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75" b="1" i="0" u="none" strike="noStrike" baseline="0">
                <a:solidFill>
                  <a:srgbClr val="000000"/>
                </a:solidFill>
                <a:latin typeface="Arial"/>
                <a:ea typeface="Arial"/>
                <a:cs typeface="Arial"/>
              </a:defRPr>
            </a:pPr>
            <a:endParaRPr lang="en-US"/>
          </a:p>
        </c:txPr>
        <c:crossAx val="298881024"/>
        <c:crosses val="autoZero"/>
        <c:auto val="1"/>
        <c:lblAlgn val="ctr"/>
        <c:lblOffset val="100"/>
        <c:tickLblSkip val="1"/>
        <c:tickMarkSkip val="1"/>
        <c:noMultiLvlLbl val="0"/>
      </c:catAx>
      <c:valAx>
        <c:axId val="29888102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298875136"/>
        <c:crosses val="autoZero"/>
        <c:crossBetween val="between"/>
      </c:valAx>
      <c:spPr>
        <a:noFill/>
        <a:ln w="25400">
          <a:noFill/>
        </a:ln>
      </c:spPr>
    </c:plotArea>
    <c:legend>
      <c:legendPos val="r"/>
      <c:layout>
        <c:manualLayout>
          <c:xMode val="edge"/>
          <c:yMode val="edge"/>
          <c:x val="0.68778280542986425"/>
          <c:y val="3.6885245901639344E-2"/>
          <c:w val="0.30618401206636503"/>
          <c:h val="0.77049180327868849"/>
        </c:manualLayout>
      </c:layout>
      <c:overlay val="0"/>
      <c:spPr>
        <a:noFill/>
        <a:ln w="3175">
          <a:solidFill>
            <a:srgbClr val="000000"/>
          </a:solidFill>
          <a:prstDash val="solid"/>
        </a:ln>
      </c:spPr>
      <c:txPr>
        <a:bodyPr/>
        <a:lstStyle/>
        <a:p>
          <a:pPr>
            <a:defRPr sz="640"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075" b="1" i="0" u="none" strike="noStrike" baseline="0">
          <a:solidFill>
            <a:srgbClr val="000000"/>
          </a:solidFill>
          <a:latin typeface="Arial"/>
          <a:ea typeface="Arial"/>
          <a:cs typeface="Arial"/>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25" b="1" i="0" u="none" strike="noStrike" baseline="0">
                <a:solidFill>
                  <a:srgbClr val="000000"/>
                </a:solidFill>
                <a:latin typeface="Arial"/>
                <a:ea typeface="Arial"/>
                <a:cs typeface="Arial"/>
              </a:defRPr>
            </a:pPr>
            <a:r>
              <a:rPr lang="en-US"/>
              <a:t>Emisii de metale grele pe sectoare de activitate</a:t>
            </a:r>
          </a:p>
        </c:rich>
      </c:tx>
      <c:layout>
        <c:manualLayout>
          <c:xMode val="edge"/>
          <c:yMode val="edge"/>
          <c:x val="0.27458256029684602"/>
          <c:y val="1.8181818181818181E-2"/>
        </c:manualLayout>
      </c:layout>
      <c:overlay val="0"/>
      <c:spPr>
        <a:noFill/>
        <a:ln w="25387">
          <a:noFill/>
        </a:ln>
      </c:spPr>
    </c:title>
    <c:autoTitleDeleted val="0"/>
    <c:view3D>
      <c:rotX val="15"/>
      <c:hPercent val="37"/>
      <c:rotY val="20"/>
      <c:depthPercent val="100"/>
      <c:rAngAx val="1"/>
    </c:view3D>
    <c:floor>
      <c:thickness val="0"/>
      <c:spPr>
        <a:solidFill>
          <a:srgbClr val="CCFFFF"/>
        </a:solidFill>
        <a:ln w="3175">
          <a:solidFill>
            <a:srgbClr val="000000"/>
          </a:solidFill>
          <a:prstDash val="solid"/>
        </a:ln>
      </c:spPr>
    </c:floor>
    <c:sideWall>
      <c:thickness val="0"/>
      <c:spPr>
        <a:solidFill>
          <a:srgbClr val="FFFFCC"/>
        </a:solidFill>
        <a:ln w="12700">
          <a:solidFill>
            <a:srgbClr val="808080"/>
          </a:solidFill>
          <a:prstDash val="solid"/>
        </a:ln>
      </c:spPr>
    </c:sideWall>
    <c:backWall>
      <c:thickness val="0"/>
      <c:spPr>
        <a:solidFill>
          <a:srgbClr val="FFFFCC"/>
        </a:solidFill>
        <a:ln w="12700">
          <a:solidFill>
            <a:srgbClr val="808080"/>
          </a:solidFill>
          <a:prstDash val="solid"/>
        </a:ln>
      </c:spPr>
    </c:backWall>
    <c:plotArea>
      <c:layout>
        <c:manualLayout>
          <c:layoutTarget val="inner"/>
          <c:xMode val="edge"/>
          <c:yMode val="edge"/>
          <c:x val="7.4211502782931357E-2"/>
          <c:y val="0.19090909090909092"/>
          <c:w val="0.80519480519480524"/>
          <c:h val="0.65454545454545454"/>
        </c:manualLayout>
      </c:layout>
      <c:bar3DChart>
        <c:barDir val="col"/>
        <c:grouping val="clustered"/>
        <c:varyColors val="0"/>
        <c:ser>
          <c:idx val="0"/>
          <c:order val="0"/>
          <c:tx>
            <c:strRef>
              <c:f>Sheet1!$A$2</c:f>
              <c:strCache>
                <c:ptCount val="1"/>
                <c:pt idx="0">
                  <c:v>Hg</c:v>
                </c:pt>
              </c:strCache>
            </c:strRef>
          </c:tx>
          <c:spPr>
            <a:solidFill>
              <a:srgbClr val="9999FF"/>
            </a:solidFill>
            <a:ln w="12694">
              <a:solidFill>
                <a:srgbClr val="000000"/>
              </a:solidFill>
              <a:prstDash val="solid"/>
            </a:ln>
          </c:spPr>
          <c:invertIfNegative val="0"/>
          <c:cat>
            <c:strRef>
              <c:f>Sheet1!$B$1:$E$1</c:f>
              <c:strCache>
                <c:ptCount val="3"/>
                <c:pt idx="0">
                  <c:v>Rezidential</c:v>
                </c:pt>
                <c:pt idx="1">
                  <c:v>Industrial</c:v>
                </c:pt>
                <c:pt idx="2">
                  <c:v>Agricultura</c:v>
                </c:pt>
              </c:strCache>
            </c:strRef>
          </c:cat>
          <c:val>
            <c:numRef>
              <c:f>Sheet1!$B$2:$E$2</c:f>
              <c:numCache>
                <c:formatCode>General</c:formatCode>
                <c:ptCount val="4"/>
                <c:pt idx="0">
                  <c:v>1.36</c:v>
                </c:pt>
                <c:pt idx="1">
                  <c:v>3.5999999999999997E-2</c:v>
                </c:pt>
                <c:pt idx="2">
                  <c:v>4.5999999999999999E-2</c:v>
                </c:pt>
              </c:numCache>
            </c:numRef>
          </c:val>
        </c:ser>
        <c:ser>
          <c:idx val="1"/>
          <c:order val="1"/>
          <c:tx>
            <c:strRef>
              <c:f>Sheet1!$A$3</c:f>
              <c:strCache>
                <c:ptCount val="1"/>
                <c:pt idx="0">
                  <c:v>Cd</c:v>
                </c:pt>
              </c:strCache>
            </c:strRef>
          </c:tx>
          <c:spPr>
            <a:solidFill>
              <a:srgbClr val="993366"/>
            </a:solidFill>
            <a:ln w="12694">
              <a:solidFill>
                <a:srgbClr val="000000"/>
              </a:solidFill>
              <a:prstDash val="solid"/>
            </a:ln>
          </c:spPr>
          <c:invertIfNegative val="0"/>
          <c:cat>
            <c:strRef>
              <c:f>Sheet1!$B$1:$E$1</c:f>
              <c:strCache>
                <c:ptCount val="3"/>
                <c:pt idx="0">
                  <c:v>Rezidential</c:v>
                </c:pt>
                <c:pt idx="1">
                  <c:v>Industrial</c:v>
                </c:pt>
                <c:pt idx="2">
                  <c:v>Agricultura</c:v>
                </c:pt>
              </c:strCache>
            </c:strRef>
          </c:cat>
          <c:val>
            <c:numRef>
              <c:f>Sheet1!$B$3:$E$3</c:f>
              <c:numCache>
                <c:formatCode>General</c:formatCode>
                <c:ptCount val="4"/>
                <c:pt idx="0">
                  <c:v>3.8</c:v>
                </c:pt>
                <c:pt idx="1">
                  <c:v>0.10199999999999999</c:v>
                </c:pt>
                <c:pt idx="2">
                  <c:v>2.8000000000000001E-2</c:v>
                </c:pt>
              </c:numCache>
            </c:numRef>
          </c:val>
        </c:ser>
        <c:dLbls>
          <c:showLegendKey val="0"/>
          <c:showVal val="0"/>
          <c:showCatName val="0"/>
          <c:showSerName val="0"/>
          <c:showPercent val="0"/>
          <c:showBubbleSize val="0"/>
        </c:dLbls>
        <c:gapWidth val="150"/>
        <c:gapDepth val="0"/>
        <c:shape val="box"/>
        <c:axId val="299443328"/>
        <c:axId val="299444864"/>
        <c:axId val="0"/>
      </c:bar3DChart>
      <c:catAx>
        <c:axId val="299443328"/>
        <c:scaling>
          <c:orientation val="minMax"/>
        </c:scaling>
        <c:delete val="0"/>
        <c:axPos val="b"/>
        <c:numFmt formatCode="General" sourceLinked="1"/>
        <c:majorTickMark val="out"/>
        <c:minorTickMark val="none"/>
        <c:tickLblPos val="low"/>
        <c:spPr>
          <a:ln w="3173">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299444864"/>
        <c:crosses val="autoZero"/>
        <c:auto val="1"/>
        <c:lblAlgn val="ctr"/>
        <c:lblOffset val="100"/>
        <c:tickLblSkip val="1"/>
        <c:tickMarkSkip val="1"/>
        <c:noMultiLvlLbl val="0"/>
      </c:catAx>
      <c:valAx>
        <c:axId val="299444864"/>
        <c:scaling>
          <c:orientation val="minMax"/>
        </c:scaling>
        <c:delete val="0"/>
        <c:axPos val="l"/>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299443328"/>
        <c:crosses val="autoZero"/>
        <c:crossBetween val="between"/>
      </c:valAx>
      <c:spPr>
        <a:noFill/>
        <a:ln w="25387">
          <a:noFill/>
        </a:ln>
      </c:spPr>
    </c:plotArea>
    <c:legend>
      <c:legendPos val="r"/>
      <c:layout>
        <c:manualLayout>
          <c:xMode val="edge"/>
          <c:yMode val="edge"/>
          <c:x val="0.8998144712430427"/>
          <c:y val="0.48181818181818181"/>
          <c:w val="9.2764378478664186E-2"/>
          <c:h val="0.17727272727272728"/>
        </c:manualLayout>
      </c:layout>
      <c:overlay val="0"/>
      <c:spPr>
        <a:noFill/>
        <a:ln w="3173">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975" b="1" i="0" u="none" strike="noStrike" baseline="0">
          <a:solidFill>
            <a:srgbClr val="000000"/>
          </a:solidFill>
          <a:latin typeface="Arial"/>
          <a:ea typeface="Arial"/>
          <a:cs typeface="Arial"/>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Emisii anuale de Pb</a:t>
            </a:r>
          </a:p>
        </c:rich>
      </c:tx>
      <c:layout>
        <c:manualLayout>
          <c:xMode val="edge"/>
          <c:yMode val="edge"/>
          <c:x val="0.37451737451737449"/>
          <c:y val="2.0270270270270271E-2"/>
        </c:manualLayout>
      </c:layout>
      <c:overlay val="0"/>
      <c:spPr>
        <a:noFill/>
        <a:ln w="25400">
          <a:noFill/>
        </a:ln>
      </c:spPr>
    </c:title>
    <c:autoTitleDeleted val="0"/>
    <c:view3D>
      <c:rotX val="28"/>
      <c:hPercent val="24"/>
      <c:rotY val="44"/>
      <c:depthPercent val="100"/>
      <c:rAngAx val="1"/>
    </c:view3D>
    <c:floor>
      <c:thickness val="0"/>
      <c:spPr>
        <a:solidFill>
          <a:srgbClr val="FFFFCC"/>
        </a:solidFill>
        <a:ln w="3175">
          <a:solidFill>
            <a:srgbClr val="000000"/>
          </a:solidFill>
          <a:prstDash val="solid"/>
        </a:ln>
      </c:spPr>
    </c:floor>
    <c:sideWall>
      <c:thickness val="0"/>
      <c:spPr>
        <a:gradFill rotWithShape="0">
          <a:gsLst>
            <a:gs pos="0">
              <a:srgbClr xmlns:mc="http://schemas.openxmlformats.org/markup-compatibility/2006" xmlns:a14="http://schemas.microsoft.com/office/drawing/2010/main" val="CCFFCC" mc:Ignorable="a14" a14:legacySpreadsheetColorIndex="42"/>
            </a:gs>
            <a:gs pos="100000">
              <a:srgbClr xmlns:mc="http://schemas.openxmlformats.org/markup-compatibility/2006" xmlns:a14="http://schemas.microsoft.com/office/drawing/2010/main" val="FFFFCC" mc:Ignorable="a14" a14:legacySpreadsheetColorIndex="26"/>
            </a:gs>
          </a:gsLst>
          <a:lin ang="5400000" scaled="1"/>
        </a:gradFill>
        <a:ln w="12700">
          <a:solidFill>
            <a:srgbClr val="808080"/>
          </a:solidFill>
          <a:prstDash val="solid"/>
        </a:ln>
      </c:spPr>
    </c:sideWall>
    <c:backWall>
      <c:thickness val="0"/>
      <c:spPr>
        <a:gradFill rotWithShape="0">
          <a:gsLst>
            <a:gs pos="0">
              <a:srgbClr xmlns:mc="http://schemas.openxmlformats.org/markup-compatibility/2006" xmlns:a14="http://schemas.microsoft.com/office/drawing/2010/main" val="CCFFCC" mc:Ignorable="a14" a14:legacySpreadsheetColorIndex="42"/>
            </a:gs>
            <a:gs pos="100000">
              <a:srgbClr xmlns:mc="http://schemas.openxmlformats.org/markup-compatibility/2006" xmlns:a14="http://schemas.microsoft.com/office/drawing/2010/main" val="FFFFCC" mc:Ignorable="a14" a14:legacySpreadsheetColorIndex="26"/>
            </a:gs>
          </a:gsLst>
          <a:lin ang="5400000" scaled="1"/>
        </a:gradFill>
        <a:ln w="12700">
          <a:solidFill>
            <a:srgbClr val="808080"/>
          </a:solidFill>
          <a:prstDash val="solid"/>
        </a:ln>
      </c:spPr>
    </c:backWall>
    <c:plotArea>
      <c:layout>
        <c:manualLayout>
          <c:layoutTarget val="inner"/>
          <c:xMode val="edge"/>
          <c:yMode val="edge"/>
          <c:x val="5.7915057915057917E-2"/>
          <c:y val="0.26351351351351349"/>
          <c:w val="0.82625482625482627"/>
          <c:h val="0.56081081081081086"/>
        </c:manualLayout>
      </c:layout>
      <c:bar3DChart>
        <c:barDir val="col"/>
        <c:grouping val="clustered"/>
        <c:varyColors val="0"/>
        <c:ser>
          <c:idx val="0"/>
          <c:order val="0"/>
          <c:tx>
            <c:strRef>
              <c:f>Sheet1!$A$2</c:f>
              <c:strCache>
                <c:ptCount val="1"/>
                <c:pt idx="0">
                  <c:v>tone Pb/an</c:v>
                </c:pt>
              </c:strCache>
            </c:strRef>
          </c:tx>
          <c:spPr>
            <a:solidFill>
              <a:srgbClr val="800080"/>
            </a:solidFill>
            <a:ln w="12700">
              <a:solidFill>
                <a:srgbClr val="000000"/>
              </a:solidFill>
              <a:prstDash val="solid"/>
            </a:ln>
          </c:spPr>
          <c:invertIfNegative val="0"/>
          <c:cat>
            <c:numRef>
              <c:f>Sheet1!$B$1:$J$1</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Sheet1!$B$2:$J$2</c:f>
              <c:numCache>
                <c:formatCode>General</c:formatCode>
                <c:ptCount val="9"/>
                <c:pt idx="0">
                  <c:v>1.17E-2</c:v>
                </c:pt>
                <c:pt idx="1">
                  <c:v>9.1400000000000006E-3</c:v>
                </c:pt>
                <c:pt idx="2">
                  <c:v>2.9999999999999997E-4</c:v>
                </c:pt>
                <c:pt idx="3">
                  <c:v>9.8999999999999999E-4</c:v>
                </c:pt>
                <c:pt idx="4">
                  <c:v>3.6499999999999998E-2</c:v>
                </c:pt>
                <c:pt idx="5">
                  <c:v>0.57299999999999995</c:v>
                </c:pt>
                <c:pt idx="6">
                  <c:v>0.20499999999999999</c:v>
                </c:pt>
                <c:pt idx="7">
                  <c:v>0.10050000000000001</c:v>
                </c:pt>
                <c:pt idx="8">
                  <c:v>0.124</c:v>
                </c:pt>
              </c:numCache>
            </c:numRef>
          </c:val>
        </c:ser>
        <c:dLbls>
          <c:showLegendKey val="0"/>
          <c:showVal val="0"/>
          <c:showCatName val="0"/>
          <c:showSerName val="0"/>
          <c:showPercent val="0"/>
          <c:showBubbleSize val="0"/>
        </c:dLbls>
        <c:gapWidth val="150"/>
        <c:gapDepth val="0"/>
        <c:shape val="cylinder"/>
        <c:axId val="299437056"/>
        <c:axId val="299574016"/>
        <c:axId val="0"/>
      </c:bar3DChart>
      <c:catAx>
        <c:axId val="299437056"/>
        <c:scaling>
          <c:orientation val="minMax"/>
        </c:scaling>
        <c:delete val="0"/>
        <c:axPos val="b"/>
        <c:numFmt formatCode="General" sourceLinked="1"/>
        <c:majorTickMark val="out"/>
        <c:minorTickMark val="none"/>
        <c:tickLblPos val="low"/>
        <c:spPr>
          <a:ln w="3175">
            <a:solidFill>
              <a:srgbClr val="000000"/>
            </a:solidFill>
            <a:prstDash val="solid"/>
          </a:ln>
        </c:spPr>
        <c:txPr>
          <a:bodyPr rot="-2700000" vert="horz"/>
          <a:lstStyle/>
          <a:p>
            <a:pPr>
              <a:defRPr sz="575" b="1" i="0" u="none" strike="noStrike" baseline="0">
                <a:solidFill>
                  <a:srgbClr val="000000"/>
                </a:solidFill>
                <a:latin typeface="Arial"/>
                <a:ea typeface="Arial"/>
                <a:cs typeface="Arial"/>
              </a:defRPr>
            </a:pPr>
            <a:endParaRPr lang="en-US"/>
          </a:p>
        </c:txPr>
        <c:crossAx val="299574016"/>
        <c:crosses val="autoZero"/>
        <c:auto val="1"/>
        <c:lblAlgn val="ctr"/>
        <c:lblOffset val="100"/>
        <c:tickLblSkip val="1"/>
        <c:tickMarkSkip val="1"/>
        <c:noMultiLvlLbl val="0"/>
      </c:catAx>
      <c:valAx>
        <c:axId val="29957401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575" b="1" i="0" u="none" strike="noStrike" baseline="0">
                <a:solidFill>
                  <a:srgbClr val="000000"/>
                </a:solidFill>
                <a:latin typeface="Arial"/>
                <a:ea typeface="Arial"/>
                <a:cs typeface="Arial"/>
              </a:defRPr>
            </a:pPr>
            <a:endParaRPr lang="en-US"/>
          </a:p>
        </c:txPr>
        <c:crossAx val="299437056"/>
        <c:crosses val="autoZero"/>
        <c:crossBetween val="between"/>
      </c:valAx>
      <c:spPr>
        <a:noFill/>
        <a:ln w="25400">
          <a:noFill/>
        </a:ln>
      </c:spPr>
    </c:plotArea>
    <c:legend>
      <c:legendPos val="r"/>
      <c:layout>
        <c:manualLayout>
          <c:xMode val="edge"/>
          <c:yMode val="edge"/>
          <c:x val="0.87451737451737455"/>
          <c:y val="0.48648648648648651"/>
          <c:w val="0.11776061776061776"/>
          <c:h val="0.17567567567567569"/>
        </c:manualLayout>
      </c:layout>
      <c:overlay val="0"/>
      <c:spPr>
        <a:noFill/>
        <a:ln w="3175">
          <a:solidFill>
            <a:srgbClr val="000000"/>
          </a:solidFill>
          <a:prstDash val="solid"/>
        </a:ln>
      </c:spPr>
      <c:txPr>
        <a:bodyPr/>
        <a:lstStyle/>
        <a:p>
          <a:pPr>
            <a:defRPr sz="550"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800" b="1" i="0" u="none" strike="noStrike" baseline="0">
          <a:solidFill>
            <a:srgbClr val="000000"/>
          </a:solidFill>
          <a:latin typeface="Arial"/>
          <a:ea typeface="Arial"/>
          <a:cs typeface="Arial"/>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1"/>
      <c:rotY val="20"/>
      <c:depthPercent val="100"/>
      <c:rAngAx val="1"/>
    </c:view3D>
    <c:floor>
      <c:thickness val="0"/>
      <c:spPr>
        <a:solidFill>
          <a:srgbClr val="99CC00"/>
        </a:solidFill>
        <a:ln w="3175">
          <a:solidFill>
            <a:srgbClr val="000000"/>
          </a:solidFill>
          <a:prstDash val="solid"/>
        </a:ln>
      </c:spPr>
    </c:floor>
    <c:sideWall>
      <c:thickness val="0"/>
      <c:spPr>
        <a:solidFill>
          <a:srgbClr val="99CC00"/>
        </a:solidFill>
        <a:ln w="12700">
          <a:solidFill>
            <a:srgbClr val="808080"/>
          </a:solidFill>
          <a:prstDash val="solid"/>
        </a:ln>
      </c:spPr>
    </c:sideWall>
    <c:backWall>
      <c:thickness val="0"/>
      <c:spPr>
        <a:solidFill>
          <a:srgbClr val="99CC00"/>
        </a:solidFill>
        <a:ln w="12700">
          <a:solidFill>
            <a:srgbClr val="808080"/>
          </a:solidFill>
          <a:prstDash val="solid"/>
        </a:ln>
      </c:spPr>
    </c:backWall>
    <c:plotArea>
      <c:layout>
        <c:manualLayout>
          <c:layoutTarget val="inner"/>
          <c:xMode val="edge"/>
          <c:yMode val="edge"/>
          <c:x val="6.0855263157894739E-2"/>
          <c:y val="5.5555555555555552E-2"/>
          <c:w val="0.70888157894736847"/>
          <c:h val="0.67901234567901236"/>
        </c:manualLayout>
      </c:layout>
      <c:bar3DChart>
        <c:barDir val="col"/>
        <c:grouping val="clustered"/>
        <c:varyColors val="0"/>
        <c:ser>
          <c:idx val="0"/>
          <c:order val="0"/>
          <c:tx>
            <c:strRef>
              <c:f>Sheet1!$A$2</c:f>
              <c:strCache>
                <c:ptCount val="1"/>
                <c:pt idx="0">
                  <c:v>Trafic</c:v>
                </c:pt>
              </c:strCache>
            </c:strRef>
          </c:tx>
          <c:spPr>
            <a:solidFill>
              <a:srgbClr val="9999FF"/>
            </a:solidFill>
            <a:ln w="12700">
              <a:solidFill>
                <a:srgbClr val="000000"/>
              </a:solidFill>
              <a:prstDash val="solid"/>
            </a:ln>
          </c:spPr>
          <c:invertIfNegative val="0"/>
          <c:cat>
            <c:numRef>
              <c:f>Sheet1!$B$1:$B$1</c:f>
              <c:numCache>
                <c:formatCode>General</c:formatCode>
                <c:ptCount val="1"/>
              </c:numCache>
            </c:numRef>
          </c:cat>
          <c:val>
            <c:numRef>
              <c:f>Sheet1!$B$2:$B$2</c:f>
              <c:numCache>
                <c:formatCode>General</c:formatCode>
                <c:ptCount val="1"/>
                <c:pt idx="0">
                  <c:v>4.1000000000000002E-2</c:v>
                </c:pt>
              </c:numCache>
            </c:numRef>
          </c:val>
        </c:ser>
        <c:ser>
          <c:idx val="3"/>
          <c:order val="1"/>
          <c:tx>
            <c:strRef>
              <c:f>Sheet1!$A$3</c:f>
              <c:strCache>
                <c:ptCount val="1"/>
                <c:pt idx="0">
                  <c:v>Arderi in surse stationare de mica putere</c:v>
                </c:pt>
              </c:strCache>
            </c:strRef>
          </c:tx>
          <c:spPr>
            <a:solidFill>
              <a:srgbClr val="993366"/>
            </a:solidFill>
            <a:ln w="12700">
              <a:solidFill>
                <a:srgbClr val="000000"/>
              </a:solidFill>
              <a:prstDash val="solid"/>
            </a:ln>
          </c:spPr>
          <c:invertIfNegative val="0"/>
          <c:cat>
            <c:numRef>
              <c:f>Sheet1!$B$1:$B$1</c:f>
              <c:numCache>
                <c:formatCode>General</c:formatCode>
                <c:ptCount val="1"/>
              </c:numCache>
            </c:numRef>
          </c:cat>
          <c:val>
            <c:numRef>
              <c:f>Sheet1!$B$3:$B$3</c:f>
              <c:numCache>
                <c:formatCode>General</c:formatCode>
                <c:ptCount val="1"/>
                <c:pt idx="0">
                  <c:v>1.8E-3</c:v>
                </c:pt>
              </c:numCache>
            </c:numRef>
          </c:val>
        </c:ser>
        <c:ser>
          <c:idx val="1"/>
          <c:order val="2"/>
          <c:tx>
            <c:strRef>
              <c:f>Sheet1!$A$4</c:f>
              <c:strCache>
                <c:ptCount val="1"/>
                <c:pt idx="0">
                  <c:v>Incalzire rezidentiala, prepararea hranei</c:v>
                </c:pt>
              </c:strCache>
            </c:strRef>
          </c:tx>
          <c:spPr>
            <a:solidFill>
              <a:srgbClr val="993366"/>
            </a:solidFill>
            <a:ln w="12700">
              <a:solidFill>
                <a:srgbClr val="000000"/>
              </a:solidFill>
              <a:prstDash val="solid"/>
            </a:ln>
          </c:spPr>
          <c:invertIfNegative val="0"/>
          <c:cat>
            <c:numRef>
              <c:f>Sheet1!$B$1:$B$1</c:f>
              <c:numCache>
                <c:formatCode>General</c:formatCode>
                <c:ptCount val="1"/>
              </c:numCache>
            </c:numRef>
          </c:cat>
          <c:val>
            <c:numRef>
              <c:f>Sheet1!$B$4:$B$4</c:f>
              <c:numCache>
                <c:formatCode>General</c:formatCode>
                <c:ptCount val="1"/>
                <c:pt idx="0">
                  <c:v>7.9000000000000001E-2</c:v>
                </c:pt>
              </c:numCache>
            </c:numRef>
          </c:val>
        </c:ser>
        <c:dLbls>
          <c:showLegendKey val="0"/>
          <c:showVal val="0"/>
          <c:showCatName val="0"/>
          <c:showSerName val="0"/>
          <c:showPercent val="0"/>
          <c:showBubbleSize val="0"/>
        </c:dLbls>
        <c:gapWidth val="150"/>
        <c:gapDepth val="0"/>
        <c:shape val="cone"/>
        <c:axId val="299612800"/>
        <c:axId val="299627264"/>
        <c:axId val="0"/>
      </c:bar3DChart>
      <c:catAx>
        <c:axId val="29961280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US"/>
                  <a:t>Emisii plumb (tone)</a:t>
                </a:r>
              </a:p>
            </c:rich>
          </c:tx>
          <c:layout>
            <c:manualLayout>
              <c:xMode val="edge"/>
              <c:yMode val="edge"/>
              <c:x val="0.30756578947368424"/>
              <c:y val="0.77777777777777779"/>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299627264"/>
        <c:crosses val="autoZero"/>
        <c:auto val="1"/>
        <c:lblAlgn val="ctr"/>
        <c:lblOffset val="100"/>
        <c:tickLblSkip val="1"/>
        <c:tickMarkSkip val="1"/>
        <c:noMultiLvlLbl val="0"/>
      </c:catAx>
      <c:valAx>
        <c:axId val="29962726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299612800"/>
        <c:crosses val="autoZero"/>
        <c:crossBetween val="between"/>
      </c:valAx>
      <c:spPr>
        <a:noFill/>
        <a:ln w="25400">
          <a:noFill/>
        </a:ln>
      </c:spPr>
    </c:plotArea>
    <c:legend>
      <c:legendPos val="r"/>
      <c:layout>
        <c:manualLayout>
          <c:xMode val="edge"/>
          <c:yMode val="edge"/>
          <c:x val="0.75493421052631582"/>
          <c:y val="0.20370370370370369"/>
          <c:w val="0.24342105263157895"/>
          <c:h val="0.54938271604938271"/>
        </c:manualLayout>
      </c:layout>
      <c:overlay val="0"/>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800" b="1" i="0" u="none" strike="noStrike" baseline="0">
          <a:solidFill>
            <a:srgbClr val="000000"/>
          </a:solidFill>
          <a:latin typeface="Arial"/>
          <a:ea typeface="Arial"/>
          <a:cs typeface="Arial"/>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55" b="1" i="0" u="none" strike="noStrike" baseline="0">
                <a:solidFill>
                  <a:srgbClr val="000000"/>
                </a:solidFill>
                <a:latin typeface="Arial"/>
                <a:ea typeface="Arial"/>
                <a:cs typeface="Arial"/>
              </a:defRPr>
            </a:pPr>
            <a:r>
              <a:rPr lang="en-US"/>
              <a:t>Emisii anuale de P</a:t>
            </a:r>
            <a:r>
              <a:rPr lang="ro-RO"/>
              <a:t>AH</a:t>
            </a:r>
            <a:endParaRPr lang="en-US"/>
          </a:p>
        </c:rich>
      </c:tx>
      <c:layout>
        <c:manualLayout>
          <c:xMode val="edge"/>
          <c:yMode val="edge"/>
          <c:x val="0.37451744457868696"/>
          <c:y val="2.027029230041897E-2"/>
        </c:manualLayout>
      </c:layout>
      <c:overlay val="0"/>
      <c:spPr>
        <a:noFill/>
        <a:ln w="21728">
          <a:noFill/>
        </a:ln>
      </c:spPr>
    </c:title>
    <c:autoTitleDeleted val="0"/>
    <c:view3D>
      <c:rotX val="28"/>
      <c:hPercent val="24"/>
      <c:rotY val="44"/>
      <c:depthPercent val="100"/>
      <c:rAngAx val="1"/>
    </c:view3D>
    <c:floor>
      <c:thickness val="0"/>
      <c:spPr>
        <a:solidFill>
          <a:srgbClr val="FFFFCC"/>
        </a:solidFill>
        <a:ln w="3175">
          <a:solidFill>
            <a:srgbClr val="000000"/>
          </a:solidFill>
          <a:prstDash val="solid"/>
        </a:ln>
      </c:spPr>
    </c:floor>
    <c:sideWall>
      <c:thickness val="0"/>
      <c:spPr>
        <a:gradFill rotWithShape="0">
          <a:gsLst>
            <a:gs pos="0">
              <a:srgbClr val="CCFFCC"/>
            </a:gs>
            <a:gs pos="100000">
              <a:srgbClr val="FFFFCC"/>
            </a:gs>
          </a:gsLst>
          <a:lin ang="5400000" scaled="1"/>
        </a:gradFill>
        <a:ln w="12700">
          <a:solidFill>
            <a:srgbClr val="808080"/>
          </a:solidFill>
          <a:prstDash val="solid"/>
        </a:ln>
      </c:spPr>
    </c:sideWall>
    <c:backWall>
      <c:thickness val="0"/>
      <c:spPr>
        <a:gradFill rotWithShape="0">
          <a:gsLst>
            <a:gs pos="0">
              <a:srgbClr val="CCFFCC"/>
            </a:gs>
            <a:gs pos="100000">
              <a:srgbClr val="FFFFCC"/>
            </a:gs>
          </a:gsLst>
          <a:lin ang="5400000" scaled="1"/>
        </a:gradFill>
        <a:ln w="12700">
          <a:solidFill>
            <a:srgbClr val="808080"/>
          </a:solidFill>
          <a:prstDash val="solid"/>
        </a:ln>
      </c:spPr>
    </c:backWall>
    <c:plotArea>
      <c:layout>
        <c:manualLayout>
          <c:layoutTarget val="inner"/>
          <c:xMode val="edge"/>
          <c:yMode val="edge"/>
          <c:x val="4.2990382016201464E-2"/>
          <c:y val="0.25675675675675674"/>
          <c:w val="0.88390055894176023"/>
          <c:h val="0.6479065555402066"/>
        </c:manualLayout>
      </c:layout>
      <c:bar3DChart>
        <c:barDir val="col"/>
        <c:grouping val="clustered"/>
        <c:varyColors val="0"/>
        <c:ser>
          <c:idx val="0"/>
          <c:order val="0"/>
          <c:tx>
            <c:strRef>
              <c:f>Sheet1!$A$2</c:f>
              <c:strCache>
                <c:ptCount val="1"/>
                <c:pt idx="0">
                  <c:v>g PAH/an</c:v>
                </c:pt>
              </c:strCache>
            </c:strRef>
          </c:tx>
          <c:spPr>
            <a:solidFill>
              <a:srgbClr val="800080"/>
            </a:solidFill>
            <a:ln w="10864">
              <a:solidFill>
                <a:srgbClr val="000000"/>
              </a:solidFill>
              <a:prstDash val="solid"/>
            </a:ln>
          </c:spPr>
          <c:invertIfNegative val="0"/>
          <c:cat>
            <c:numRef>
              <c:f>Sheet1!$B$1:$F$1</c:f>
              <c:numCache>
                <c:formatCode>General</c:formatCode>
                <c:ptCount val="5"/>
                <c:pt idx="0">
                  <c:v>2010</c:v>
                </c:pt>
                <c:pt idx="1">
                  <c:v>2011</c:v>
                </c:pt>
                <c:pt idx="2">
                  <c:v>2012</c:v>
                </c:pt>
                <c:pt idx="3">
                  <c:v>2013</c:v>
                </c:pt>
                <c:pt idx="4">
                  <c:v>2014</c:v>
                </c:pt>
              </c:numCache>
            </c:numRef>
          </c:cat>
          <c:val>
            <c:numRef>
              <c:f>Sheet1!$B$2:$F$2</c:f>
              <c:numCache>
                <c:formatCode>General</c:formatCode>
                <c:ptCount val="5"/>
                <c:pt idx="0">
                  <c:v>1500</c:v>
                </c:pt>
                <c:pt idx="1">
                  <c:v>1009.95</c:v>
                </c:pt>
                <c:pt idx="2">
                  <c:v>3776.97</c:v>
                </c:pt>
                <c:pt idx="3">
                  <c:v>14768.58</c:v>
                </c:pt>
                <c:pt idx="4">
                  <c:v>933</c:v>
                </c:pt>
              </c:numCache>
            </c:numRef>
          </c:val>
        </c:ser>
        <c:dLbls>
          <c:showLegendKey val="0"/>
          <c:showVal val="0"/>
          <c:showCatName val="0"/>
          <c:showSerName val="0"/>
          <c:showPercent val="0"/>
          <c:showBubbleSize val="0"/>
        </c:dLbls>
        <c:gapWidth val="150"/>
        <c:gapDepth val="0"/>
        <c:shape val="cylinder"/>
        <c:axId val="299922176"/>
        <c:axId val="299923712"/>
        <c:axId val="0"/>
      </c:bar3DChart>
      <c:catAx>
        <c:axId val="299922176"/>
        <c:scaling>
          <c:orientation val="minMax"/>
        </c:scaling>
        <c:delete val="0"/>
        <c:axPos val="b"/>
        <c:numFmt formatCode="General" sourceLinked="1"/>
        <c:majorTickMark val="out"/>
        <c:minorTickMark val="none"/>
        <c:tickLblPos val="low"/>
        <c:spPr>
          <a:ln w="2716">
            <a:solidFill>
              <a:srgbClr val="000000"/>
            </a:solidFill>
            <a:prstDash val="solid"/>
          </a:ln>
        </c:spPr>
        <c:txPr>
          <a:bodyPr rot="-2700000" vert="horz"/>
          <a:lstStyle/>
          <a:p>
            <a:pPr>
              <a:defRPr sz="492" b="1" i="0" u="none" strike="noStrike" baseline="0">
                <a:solidFill>
                  <a:srgbClr val="000000"/>
                </a:solidFill>
                <a:latin typeface="Arial"/>
                <a:ea typeface="Arial"/>
                <a:cs typeface="Arial"/>
              </a:defRPr>
            </a:pPr>
            <a:endParaRPr lang="en-US"/>
          </a:p>
        </c:txPr>
        <c:crossAx val="299923712"/>
        <c:crosses val="autoZero"/>
        <c:auto val="1"/>
        <c:lblAlgn val="ctr"/>
        <c:lblOffset val="100"/>
        <c:tickLblSkip val="1"/>
        <c:tickMarkSkip val="1"/>
        <c:noMultiLvlLbl val="0"/>
      </c:catAx>
      <c:valAx>
        <c:axId val="299923712"/>
        <c:scaling>
          <c:orientation val="minMax"/>
        </c:scaling>
        <c:delete val="0"/>
        <c:axPos val="l"/>
        <c:majorGridlines>
          <c:spPr>
            <a:ln w="2716">
              <a:solidFill>
                <a:srgbClr val="000000"/>
              </a:solidFill>
              <a:prstDash val="solid"/>
            </a:ln>
          </c:spPr>
        </c:majorGridlines>
        <c:numFmt formatCode="General" sourceLinked="1"/>
        <c:majorTickMark val="out"/>
        <c:minorTickMark val="none"/>
        <c:tickLblPos val="nextTo"/>
        <c:spPr>
          <a:ln w="2716">
            <a:solidFill>
              <a:srgbClr val="000000"/>
            </a:solidFill>
            <a:prstDash val="solid"/>
          </a:ln>
        </c:spPr>
        <c:txPr>
          <a:bodyPr rot="0" vert="horz"/>
          <a:lstStyle/>
          <a:p>
            <a:pPr>
              <a:defRPr sz="492" b="1" i="0" u="none" strike="noStrike" baseline="0">
                <a:solidFill>
                  <a:srgbClr val="000000"/>
                </a:solidFill>
                <a:latin typeface="Arial"/>
                <a:ea typeface="Arial"/>
                <a:cs typeface="Arial"/>
              </a:defRPr>
            </a:pPr>
            <a:endParaRPr lang="en-US"/>
          </a:p>
        </c:txPr>
        <c:crossAx val="299922176"/>
        <c:crosses val="autoZero"/>
        <c:crossBetween val="between"/>
      </c:valAx>
      <c:spPr>
        <a:noFill/>
        <a:ln w="21728">
          <a:noFill/>
        </a:ln>
      </c:spPr>
    </c:plotArea>
    <c:legend>
      <c:legendPos val="r"/>
      <c:layout>
        <c:manualLayout>
          <c:xMode val="edge"/>
          <c:yMode val="edge"/>
          <c:x val="0.90252578892754687"/>
          <c:y val="0.35393286365520099"/>
          <c:w val="9.4181773789904166E-2"/>
          <c:h val="0.30043191969424876"/>
        </c:manualLayout>
      </c:layout>
      <c:overlay val="0"/>
      <c:spPr>
        <a:noFill/>
        <a:ln w="2716">
          <a:solidFill>
            <a:srgbClr val="000000"/>
          </a:solidFill>
          <a:prstDash val="solid"/>
        </a:ln>
      </c:spPr>
      <c:txPr>
        <a:bodyPr/>
        <a:lstStyle/>
        <a:p>
          <a:pPr>
            <a:defRPr sz="630"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684" b="1" i="0" u="none" strike="noStrike" baseline="0">
          <a:solidFill>
            <a:srgbClr val="000000"/>
          </a:solidFill>
          <a:latin typeface="Arial"/>
          <a:ea typeface="Arial"/>
          <a:cs typeface="Arial"/>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48" b="1" i="0" u="none" strike="noStrike" baseline="0">
                <a:solidFill>
                  <a:srgbClr val="000000"/>
                </a:solidFill>
                <a:latin typeface="Arial"/>
                <a:ea typeface="Arial"/>
                <a:cs typeface="Arial"/>
              </a:defRPr>
            </a:pPr>
            <a:r>
              <a:rPr lang="en-US"/>
              <a:t>Emisii anuale de P</a:t>
            </a:r>
            <a:r>
              <a:rPr lang="ro-RO"/>
              <a:t>CB</a:t>
            </a:r>
            <a:endParaRPr lang="en-US"/>
          </a:p>
        </c:rich>
      </c:tx>
      <c:layout>
        <c:manualLayout>
          <c:xMode val="edge"/>
          <c:yMode val="edge"/>
          <c:x val="0.37451729982768256"/>
          <c:y val="2.0270360941724391E-2"/>
        </c:manualLayout>
      </c:layout>
      <c:overlay val="0"/>
      <c:spPr>
        <a:noFill/>
        <a:ln w="21544">
          <a:noFill/>
        </a:ln>
      </c:spPr>
    </c:title>
    <c:autoTitleDeleted val="0"/>
    <c:view3D>
      <c:rotX val="28"/>
      <c:hPercent val="24"/>
      <c:rotY val="44"/>
      <c:depthPercent val="100"/>
      <c:rAngAx val="1"/>
    </c:view3D>
    <c:floor>
      <c:thickness val="0"/>
      <c:spPr>
        <a:solidFill>
          <a:srgbClr val="FFFFCC"/>
        </a:solidFill>
        <a:ln w="3175">
          <a:solidFill>
            <a:srgbClr val="000000"/>
          </a:solidFill>
          <a:prstDash val="solid"/>
        </a:ln>
      </c:spPr>
    </c:floor>
    <c:sideWall>
      <c:thickness val="0"/>
      <c:spPr>
        <a:gradFill rotWithShape="0">
          <a:gsLst>
            <a:gs pos="0">
              <a:srgbClr val="CCFFCC"/>
            </a:gs>
            <a:gs pos="100000">
              <a:srgbClr val="FFFFCC"/>
            </a:gs>
          </a:gsLst>
          <a:lin ang="5400000" scaled="1"/>
        </a:gradFill>
        <a:ln w="12700">
          <a:solidFill>
            <a:srgbClr val="808080"/>
          </a:solidFill>
          <a:prstDash val="solid"/>
        </a:ln>
      </c:spPr>
    </c:sideWall>
    <c:backWall>
      <c:thickness val="0"/>
      <c:spPr>
        <a:gradFill rotWithShape="0">
          <a:gsLst>
            <a:gs pos="0">
              <a:srgbClr val="CCFFCC"/>
            </a:gs>
            <a:gs pos="100000">
              <a:srgbClr val="FFFFCC"/>
            </a:gs>
          </a:gsLst>
          <a:lin ang="5400000" scaled="1"/>
        </a:gradFill>
        <a:ln w="12700">
          <a:solidFill>
            <a:srgbClr val="808080"/>
          </a:solidFill>
          <a:prstDash val="solid"/>
        </a:ln>
      </c:spPr>
    </c:backWall>
    <c:plotArea>
      <c:layout>
        <c:manualLayout>
          <c:layoutTarget val="inner"/>
          <c:xMode val="edge"/>
          <c:yMode val="edge"/>
          <c:x val="7.3359073359073393E-2"/>
          <c:y val="0.25675675675675674"/>
          <c:w val="0.81081081081081163"/>
          <c:h val="0.52702702702702697"/>
        </c:manualLayout>
      </c:layout>
      <c:bar3DChart>
        <c:barDir val="col"/>
        <c:grouping val="clustered"/>
        <c:varyColors val="0"/>
        <c:ser>
          <c:idx val="0"/>
          <c:order val="0"/>
          <c:tx>
            <c:strRef>
              <c:f>Sheet1!$A$2</c:f>
              <c:strCache>
                <c:ptCount val="1"/>
                <c:pt idx="0">
                  <c:v>g PCB/an</c:v>
                </c:pt>
              </c:strCache>
            </c:strRef>
          </c:tx>
          <c:spPr>
            <a:solidFill>
              <a:srgbClr val="800080"/>
            </a:solidFill>
            <a:ln w="10772">
              <a:solidFill>
                <a:srgbClr val="000000"/>
              </a:solidFill>
              <a:prstDash val="solid"/>
            </a:ln>
          </c:spPr>
          <c:invertIfNegative val="0"/>
          <c:cat>
            <c:numRef>
              <c:f>Sheet1!$B$1:$F$1</c:f>
              <c:numCache>
                <c:formatCode>General</c:formatCode>
                <c:ptCount val="5"/>
                <c:pt idx="0">
                  <c:v>2010</c:v>
                </c:pt>
                <c:pt idx="1">
                  <c:v>2011</c:v>
                </c:pt>
                <c:pt idx="2">
                  <c:v>2012</c:v>
                </c:pt>
                <c:pt idx="3">
                  <c:v>2013</c:v>
                </c:pt>
                <c:pt idx="4">
                  <c:v>2014</c:v>
                </c:pt>
              </c:numCache>
            </c:numRef>
          </c:cat>
          <c:val>
            <c:numRef>
              <c:f>Sheet1!$B$2:$F$2</c:f>
              <c:numCache>
                <c:formatCode>General</c:formatCode>
                <c:ptCount val="5"/>
                <c:pt idx="0">
                  <c:v>0</c:v>
                </c:pt>
                <c:pt idx="1">
                  <c:v>0.54</c:v>
                </c:pt>
                <c:pt idx="2">
                  <c:v>1218.4000000000001</c:v>
                </c:pt>
                <c:pt idx="3">
                  <c:v>147.30000000000001</c:v>
                </c:pt>
                <c:pt idx="4">
                  <c:v>167</c:v>
                </c:pt>
              </c:numCache>
            </c:numRef>
          </c:val>
        </c:ser>
        <c:dLbls>
          <c:showLegendKey val="0"/>
          <c:showVal val="0"/>
          <c:showCatName val="0"/>
          <c:showSerName val="0"/>
          <c:showPercent val="0"/>
          <c:showBubbleSize val="0"/>
        </c:dLbls>
        <c:gapWidth val="150"/>
        <c:gapDepth val="0"/>
        <c:shape val="cylinder"/>
        <c:axId val="299932288"/>
        <c:axId val="300081536"/>
        <c:axId val="0"/>
      </c:bar3DChart>
      <c:catAx>
        <c:axId val="299932288"/>
        <c:scaling>
          <c:orientation val="minMax"/>
        </c:scaling>
        <c:delete val="0"/>
        <c:axPos val="b"/>
        <c:numFmt formatCode="General" sourceLinked="1"/>
        <c:majorTickMark val="out"/>
        <c:minorTickMark val="none"/>
        <c:tickLblPos val="low"/>
        <c:spPr>
          <a:ln w="2693">
            <a:solidFill>
              <a:srgbClr val="000000"/>
            </a:solidFill>
            <a:prstDash val="solid"/>
          </a:ln>
        </c:spPr>
        <c:txPr>
          <a:bodyPr rot="-2700000" vert="horz"/>
          <a:lstStyle/>
          <a:p>
            <a:pPr>
              <a:defRPr sz="488" b="1" i="0" u="none" strike="noStrike" baseline="0">
                <a:solidFill>
                  <a:srgbClr val="000000"/>
                </a:solidFill>
                <a:latin typeface="Arial"/>
                <a:ea typeface="Arial"/>
                <a:cs typeface="Arial"/>
              </a:defRPr>
            </a:pPr>
            <a:endParaRPr lang="en-US"/>
          </a:p>
        </c:txPr>
        <c:crossAx val="300081536"/>
        <c:crosses val="autoZero"/>
        <c:auto val="1"/>
        <c:lblAlgn val="ctr"/>
        <c:lblOffset val="100"/>
        <c:tickLblSkip val="1"/>
        <c:tickMarkSkip val="1"/>
        <c:noMultiLvlLbl val="0"/>
      </c:catAx>
      <c:valAx>
        <c:axId val="300081536"/>
        <c:scaling>
          <c:orientation val="minMax"/>
        </c:scaling>
        <c:delete val="0"/>
        <c:axPos val="l"/>
        <c:majorGridlines>
          <c:spPr>
            <a:ln w="2693">
              <a:solidFill>
                <a:srgbClr val="000000"/>
              </a:solidFill>
              <a:prstDash val="solid"/>
            </a:ln>
          </c:spPr>
        </c:majorGridlines>
        <c:numFmt formatCode="General" sourceLinked="1"/>
        <c:majorTickMark val="out"/>
        <c:minorTickMark val="none"/>
        <c:tickLblPos val="nextTo"/>
        <c:spPr>
          <a:ln w="2693">
            <a:solidFill>
              <a:srgbClr val="000000"/>
            </a:solidFill>
            <a:prstDash val="solid"/>
          </a:ln>
        </c:spPr>
        <c:txPr>
          <a:bodyPr rot="0" vert="horz"/>
          <a:lstStyle/>
          <a:p>
            <a:pPr>
              <a:defRPr sz="488" b="1" i="0" u="none" strike="noStrike" baseline="0">
                <a:solidFill>
                  <a:srgbClr val="000000"/>
                </a:solidFill>
                <a:latin typeface="Arial"/>
                <a:ea typeface="Arial"/>
                <a:cs typeface="Arial"/>
              </a:defRPr>
            </a:pPr>
            <a:endParaRPr lang="en-US"/>
          </a:p>
        </c:txPr>
        <c:crossAx val="299932288"/>
        <c:crosses val="autoZero"/>
        <c:crossBetween val="between"/>
      </c:valAx>
      <c:spPr>
        <a:noFill/>
        <a:ln w="21544">
          <a:noFill/>
        </a:ln>
      </c:spPr>
    </c:plotArea>
    <c:legend>
      <c:legendPos val="r"/>
      <c:layout>
        <c:manualLayout>
          <c:xMode val="edge"/>
          <c:yMode val="edge"/>
          <c:x val="0.81583194706295514"/>
          <c:y val="0.30000624047868146"/>
          <c:w val="0.18114080810321243"/>
          <c:h val="0.34350751610594132"/>
        </c:manualLayout>
      </c:layout>
      <c:overlay val="0"/>
      <c:spPr>
        <a:noFill/>
        <a:ln w="2693">
          <a:solidFill>
            <a:srgbClr val="000000"/>
          </a:solidFill>
          <a:prstDash val="solid"/>
        </a:ln>
      </c:spPr>
      <c:txPr>
        <a:bodyPr/>
        <a:lstStyle/>
        <a:p>
          <a:pPr>
            <a:defRPr sz="650"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679" b="1" i="0" u="none" strike="noStrike" baseline="0">
          <a:solidFill>
            <a:srgbClr val="000000"/>
          </a:solidFill>
          <a:latin typeface="Arial"/>
          <a:ea typeface="Arial"/>
          <a:cs typeface="Arial"/>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50" b="1" i="0" u="none" strike="noStrike" baseline="0">
                <a:solidFill>
                  <a:srgbClr val="000000"/>
                </a:solidFill>
                <a:latin typeface="Arial"/>
                <a:ea typeface="Arial"/>
                <a:cs typeface="Arial"/>
              </a:defRPr>
            </a:pPr>
            <a:r>
              <a:rPr lang="en-US"/>
              <a:t>Emisii anuale de PAH</a:t>
            </a:r>
          </a:p>
        </c:rich>
      </c:tx>
      <c:layout>
        <c:manualLayout>
          <c:xMode val="edge"/>
          <c:yMode val="edge"/>
          <c:x val="0.37451736142029096"/>
          <c:y val="2.0270221904080173E-2"/>
        </c:manualLayout>
      </c:layout>
      <c:overlay val="0"/>
      <c:spPr>
        <a:noFill/>
        <a:ln w="21579">
          <a:noFill/>
        </a:ln>
      </c:spPr>
    </c:title>
    <c:autoTitleDeleted val="0"/>
    <c:view3D>
      <c:rotX val="28"/>
      <c:hPercent val="24"/>
      <c:rotY val="44"/>
      <c:depthPercent val="100"/>
      <c:rAngAx val="1"/>
    </c:view3D>
    <c:floor>
      <c:thickness val="0"/>
      <c:spPr>
        <a:solidFill>
          <a:srgbClr val="FFFFCC"/>
        </a:solidFill>
        <a:ln w="3175">
          <a:solidFill>
            <a:srgbClr val="000000"/>
          </a:solidFill>
          <a:prstDash val="solid"/>
        </a:ln>
      </c:spPr>
    </c:floor>
    <c:sideWall>
      <c:thickness val="0"/>
      <c:spPr>
        <a:gradFill rotWithShape="0">
          <a:gsLst>
            <a:gs pos="0">
              <a:srgbClr val="CCFFCC"/>
            </a:gs>
            <a:gs pos="100000">
              <a:srgbClr val="FFFFCC"/>
            </a:gs>
          </a:gsLst>
          <a:lin ang="5400000" scaled="1"/>
        </a:gradFill>
        <a:ln w="12700">
          <a:solidFill>
            <a:srgbClr val="808080"/>
          </a:solidFill>
          <a:prstDash val="solid"/>
        </a:ln>
      </c:spPr>
    </c:sideWall>
    <c:backWall>
      <c:thickness val="0"/>
      <c:spPr>
        <a:gradFill rotWithShape="0">
          <a:gsLst>
            <a:gs pos="0">
              <a:srgbClr val="CCFFCC"/>
            </a:gs>
            <a:gs pos="100000">
              <a:srgbClr val="FFFFCC"/>
            </a:gs>
          </a:gsLst>
          <a:lin ang="5400000" scaled="1"/>
        </a:gradFill>
        <a:ln w="12700">
          <a:solidFill>
            <a:srgbClr val="808080"/>
          </a:solidFill>
          <a:prstDash val="solid"/>
        </a:ln>
      </c:spPr>
    </c:backWall>
    <c:plotArea>
      <c:layout>
        <c:manualLayout>
          <c:layoutTarget val="inner"/>
          <c:xMode val="edge"/>
          <c:yMode val="edge"/>
          <c:x val="7.3359073359073393E-2"/>
          <c:y val="0.25675675675675674"/>
          <c:w val="0.81081081081081163"/>
          <c:h val="0.52702702702702697"/>
        </c:manualLayout>
      </c:layout>
      <c:bar3DChart>
        <c:barDir val="col"/>
        <c:grouping val="clustered"/>
        <c:varyColors val="0"/>
        <c:ser>
          <c:idx val="0"/>
          <c:order val="0"/>
          <c:tx>
            <c:strRef>
              <c:f>Sheet1!$A$2</c:f>
              <c:strCache>
                <c:ptCount val="1"/>
                <c:pt idx="0">
                  <c:v>g PAH/an</c:v>
                </c:pt>
              </c:strCache>
            </c:strRef>
          </c:tx>
          <c:spPr>
            <a:solidFill>
              <a:srgbClr val="800080"/>
            </a:solidFill>
            <a:ln w="10790">
              <a:solidFill>
                <a:srgbClr val="000000"/>
              </a:solidFill>
              <a:prstDash val="solid"/>
            </a:ln>
          </c:spPr>
          <c:invertIfNegative val="0"/>
          <c:cat>
            <c:numRef>
              <c:f>Sheet1!$B$1:$F$1</c:f>
              <c:numCache>
                <c:formatCode>General</c:formatCode>
                <c:ptCount val="5"/>
                <c:pt idx="0">
                  <c:v>2010</c:v>
                </c:pt>
                <c:pt idx="1">
                  <c:v>2011</c:v>
                </c:pt>
                <c:pt idx="2">
                  <c:v>2012</c:v>
                </c:pt>
                <c:pt idx="3">
                  <c:v>2013</c:v>
                </c:pt>
                <c:pt idx="4">
                  <c:v>2014</c:v>
                </c:pt>
              </c:numCache>
            </c:numRef>
          </c:cat>
          <c:val>
            <c:numRef>
              <c:f>Sheet1!$B$2:$F$2</c:f>
              <c:numCache>
                <c:formatCode>General</c:formatCode>
                <c:ptCount val="5"/>
                <c:pt idx="0">
                  <c:v>0</c:v>
                </c:pt>
                <c:pt idx="1">
                  <c:v>0.54</c:v>
                </c:pt>
                <c:pt idx="2">
                  <c:v>1218.4000000000001</c:v>
                </c:pt>
                <c:pt idx="3">
                  <c:v>147.30000000000001</c:v>
                </c:pt>
                <c:pt idx="4">
                  <c:v>167</c:v>
                </c:pt>
              </c:numCache>
            </c:numRef>
          </c:val>
        </c:ser>
        <c:dLbls>
          <c:showLegendKey val="0"/>
          <c:showVal val="0"/>
          <c:showCatName val="0"/>
          <c:showSerName val="0"/>
          <c:showPercent val="0"/>
          <c:showBubbleSize val="0"/>
        </c:dLbls>
        <c:gapWidth val="150"/>
        <c:gapDepth val="0"/>
        <c:shape val="cylinder"/>
        <c:axId val="300135168"/>
        <c:axId val="300136704"/>
        <c:axId val="0"/>
      </c:bar3DChart>
      <c:catAx>
        <c:axId val="300135168"/>
        <c:scaling>
          <c:orientation val="minMax"/>
        </c:scaling>
        <c:delete val="0"/>
        <c:axPos val="b"/>
        <c:numFmt formatCode="General" sourceLinked="1"/>
        <c:majorTickMark val="out"/>
        <c:minorTickMark val="none"/>
        <c:tickLblPos val="low"/>
        <c:spPr>
          <a:ln w="2697">
            <a:solidFill>
              <a:srgbClr val="000000"/>
            </a:solidFill>
            <a:prstDash val="solid"/>
          </a:ln>
        </c:spPr>
        <c:txPr>
          <a:bodyPr rot="-2700000" vert="horz"/>
          <a:lstStyle/>
          <a:p>
            <a:pPr>
              <a:defRPr sz="489" b="1" i="0" u="none" strike="noStrike" baseline="0">
                <a:solidFill>
                  <a:srgbClr val="000000"/>
                </a:solidFill>
                <a:latin typeface="Arial"/>
                <a:ea typeface="Arial"/>
                <a:cs typeface="Arial"/>
              </a:defRPr>
            </a:pPr>
            <a:endParaRPr lang="en-US"/>
          </a:p>
        </c:txPr>
        <c:crossAx val="300136704"/>
        <c:crosses val="autoZero"/>
        <c:auto val="1"/>
        <c:lblAlgn val="ctr"/>
        <c:lblOffset val="100"/>
        <c:tickLblSkip val="1"/>
        <c:tickMarkSkip val="1"/>
        <c:noMultiLvlLbl val="0"/>
      </c:catAx>
      <c:valAx>
        <c:axId val="300136704"/>
        <c:scaling>
          <c:orientation val="minMax"/>
        </c:scaling>
        <c:delete val="0"/>
        <c:axPos val="l"/>
        <c:majorGridlines>
          <c:spPr>
            <a:ln w="2697">
              <a:solidFill>
                <a:srgbClr val="000000"/>
              </a:solidFill>
              <a:prstDash val="solid"/>
            </a:ln>
          </c:spPr>
        </c:majorGridlines>
        <c:numFmt formatCode="General" sourceLinked="1"/>
        <c:majorTickMark val="out"/>
        <c:minorTickMark val="none"/>
        <c:tickLblPos val="nextTo"/>
        <c:spPr>
          <a:ln w="2697">
            <a:solidFill>
              <a:srgbClr val="000000"/>
            </a:solidFill>
            <a:prstDash val="solid"/>
          </a:ln>
        </c:spPr>
        <c:txPr>
          <a:bodyPr rot="0" vert="horz"/>
          <a:lstStyle/>
          <a:p>
            <a:pPr>
              <a:defRPr sz="489" b="1" i="0" u="none" strike="noStrike" baseline="0">
                <a:solidFill>
                  <a:srgbClr val="000000"/>
                </a:solidFill>
                <a:latin typeface="Arial"/>
                <a:ea typeface="Arial"/>
                <a:cs typeface="Arial"/>
              </a:defRPr>
            </a:pPr>
            <a:endParaRPr lang="en-US"/>
          </a:p>
        </c:txPr>
        <c:crossAx val="300135168"/>
        <c:crosses val="autoZero"/>
        <c:crossBetween val="between"/>
      </c:valAx>
      <c:spPr>
        <a:noFill/>
        <a:ln w="21579">
          <a:noFill/>
        </a:ln>
      </c:spPr>
    </c:plotArea>
    <c:legend>
      <c:legendPos val="r"/>
      <c:layout>
        <c:manualLayout>
          <c:xMode val="edge"/>
          <c:yMode val="edge"/>
          <c:x val="0.85120004673501659"/>
          <c:y val="0.36462280924561852"/>
          <c:w val="0.14107799323176812"/>
          <c:h val="0.29753901730025684"/>
        </c:manualLayout>
      </c:layout>
      <c:overlay val="0"/>
      <c:spPr>
        <a:noFill/>
        <a:ln w="2697">
          <a:solidFill>
            <a:srgbClr val="000000"/>
          </a:solidFill>
          <a:prstDash val="solid"/>
        </a:ln>
      </c:spPr>
      <c:txPr>
        <a:bodyPr/>
        <a:lstStyle/>
        <a:p>
          <a:pPr>
            <a:defRPr sz="670"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680" b="1"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Evolu</a:t>
            </a:r>
            <a:r>
              <a:rPr lang="ro-RO"/>
              <a:t>ţ</a:t>
            </a:r>
            <a:r>
              <a:rPr lang="en-US"/>
              <a:t>ia anual</a:t>
            </a:r>
            <a:r>
              <a:rPr lang="ro-RO"/>
              <a:t>ă</a:t>
            </a:r>
            <a:r>
              <a:rPr lang="en-US"/>
              <a:t> a concentra</a:t>
            </a:r>
            <a:r>
              <a:rPr lang="ro-RO"/>
              <a:t>ţ</a:t>
            </a:r>
            <a:r>
              <a:rPr lang="en-US"/>
              <a:t>iei de NO2</a:t>
            </a:r>
          </a:p>
        </c:rich>
      </c:tx>
      <c:layout>
        <c:manualLayout>
          <c:xMode val="edge"/>
          <c:yMode val="edge"/>
          <c:x val="0.25862068965517243"/>
          <c:y val="2.1645021645021644E-2"/>
        </c:manualLayout>
      </c:layout>
      <c:overlay val="0"/>
      <c:spPr>
        <a:noFill/>
        <a:ln w="25400">
          <a:noFill/>
        </a:ln>
      </c:spPr>
    </c:title>
    <c:autoTitleDeleted val="0"/>
    <c:plotArea>
      <c:layout>
        <c:manualLayout>
          <c:layoutTarget val="inner"/>
          <c:xMode val="edge"/>
          <c:yMode val="edge"/>
          <c:x val="4.4061302681992334E-2"/>
          <c:y val="0.22943722943722944"/>
          <c:w val="0.72413793103448276"/>
          <c:h val="0.65800865800865804"/>
        </c:manualLayout>
      </c:layout>
      <c:lineChart>
        <c:grouping val="standard"/>
        <c:varyColors val="0"/>
        <c:ser>
          <c:idx val="0"/>
          <c:order val="0"/>
          <c:tx>
            <c:strRef>
              <c:f>Sheet1!$A$2</c:f>
              <c:strCache>
                <c:ptCount val="1"/>
                <c:pt idx="0">
                  <c:v>VS1</c:v>
                </c:pt>
              </c:strCache>
            </c:strRef>
          </c:tx>
          <c:spPr>
            <a:ln w="25400">
              <a:solidFill>
                <a:srgbClr val="FF6600"/>
              </a:solidFill>
              <a:prstDash val="solid"/>
            </a:ln>
          </c:spPr>
          <c:marker>
            <c:symbol val="x"/>
            <c:size val="4"/>
            <c:spPr>
              <a:solidFill>
                <a:srgbClr val="FF6600"/>
              </a:solidFill>
              <a:ln>
                <a:solidFill>
                  <a:srgbClr val="FF6600"/>
                </a:solidFill>
                <a:prstDash val="solid"/>
              </a:ln>
            </c:spPr>
          </c:marker>
          <c:cat>
            <c:numRef>
              <c:f>Sheet1!$B$1:$I$1</c:f>
              <c:numCache>
                <c:formatCode>General</c:formatCode>
                <c:ptCount val="8"/>
                <c:pt idx="0">
                  <c:v>2008</c:v>
                </c:pt>
                <c:pt idx="1">
                  <c:v>2009</c:v>
                </c:pt>
                <c:pt idx="2">
                  <c:v>2010</c:v>
                </c:pt>
                <c:pt idx="3">
                  <c:v>2011</c:v>
                </c:pt>
                <c:pt idx="4">
                  <c:v>2012</c:v>
                </c:pt>
                <c:pt idx="5">
                  <c:v>2013</c:v>
                </c:pt>
                <c:pt idx="6">
                  <c:v>2014</c:v>
                </c:pt>
                <c:pt idx="7">
                  <c:v>2015</c:v>
                </c:pt>
              </c:numCache>
            </c:numRef>
          </c:cat>
          <c:val>
            <c:numRef>
              <c:f>Sheet1!$B$2:$I$2</c:f>
              <c:numCache>
                <c:formatCode>General</c:formatCode>
                <c:ptCount val="8"/>
                <c:pt idx="0">
                  <c:v>11.08</c:v>
                </c:pt>
                <c:pt idx="1">
                  <c:v>15</c:v>
                </c:pt>
                <c:pt idx="3">
                  <c:v>20.32</c:v>
                </c:pt>
                <c:pt idx="7">
                  <c:v>14.43</c:v>
                </c:pt>
              </c:numCache>
            </c:numRef>
          </c:val>
          <c:smooth val="0"/>
        </c:ser>
        <c:ser>
          <c:idx val="1"/>
          <c:order val="1"/>
          <c:tx>
            <c:strRef>
              <c:f>Sheet1!$A$3</c:f>
              <c:strCache>
                <c:ptCount val="1"/>
                <c:pt idx="0">
                  <c:v>VS2</c:v>
                </c:pt>
              </c:strCache>
            </c:strRef>
          </c:tx>
          <c:spPr>
            <a:ln w="12700">
              <a:solidFill>
                <a:srgbClr val="0000FF"/>
              </a:solidFill>
              <a:prstDash val="solid"/>
            </a:ln>
          </c:spPr>
          <c:marker>
            <c:symbol val="square"/>
            <c:size val="4"/>
            <c:spPr>
              <a:solidFill>
                <a:srgbClr val="0000FF"/>
              </a:solidFill>
              <a:ln>
                <a:solidFill>
                  <a:srgbClr val="0000FF"/>
                </a:solidFill>
                <a:prstDash val="solid"/>
              </a:ln>
            </c:spPr>
          </c:marker>
          <c:dPt>
            <c:idx val="4"/>
            <c:bubble3D val="0"/>
            <c:spPr>
              <a:ln w="25400">
                <a:solidFill>
                  <a:srgbClr val="0000FF"/>
                </a:solidFill>
                <a:prstDash val="solid"/>
              </a:ln>
            </c:spPr>
          </c:dPt>
          <c:cat>
            <c:numRef>
              <c:f>Sheet1!$B$1:$I$1</c:f>
              <c:numCache>
                <c:formatCode>General</c:formatCode>
                <c:ptCount val="8"/>
                <c:pt idx="0">
                  <c:v>2008</c:v>
                </c:pt>
                <c:pt idx="1">
                  <c:v>2009</c:v>
                </c:pt>
                <c:pt idx="2">
                  <c:v>2010</c:v>
                </c:pt>
                <c:pt idx="3">
                  <c:v>2011</c:v>
                </c:pt>
                <c:pt idx="4">
                  <c:v>2012</c:v>
                </c:pt>
                <c:pt idx="5">
                  <c:v>2013</c:v>
                </c:pt>
                <c:pt idx="6">
                  <c:v>2014</c:v>
                </c:pt>
                <c:pt idx="7">
                  <c:v>2015</c:v>
                </c:pt>
              </c:numCache>
            </c:numRef>
          </c:cat>
          <c:val>
            <c:numRef>
              <c:f>Sheet1!$B$3:$I$3</c:f>
              <c:numCache>
                <c:formatCode>General</c:formatCode>
                <c:ptCount val="8"/>
              </c:numCache>
            </c:numRef>
          </c:val>
          <c:smooth val="0"/>
        </c:ser>
        <c:ser>
          <c:idx val="2"/>
          <c:order val="2"/>
          <c:tx>
            <c:strRef>
              <c:f>Sheet1!$A$4</c:f>
              <c:strCache>
                <c:ptCount val="1"/>
                <c:pt idx="0">
                  <c:v>Valoare limita orara</c:v>
                </c:pt>
              </c:strCache>
            </c:strRef>
          </c:tx>
          <c:spPr>
            <a:ln w="25400">
              <a:solidFill>
                <a:srgbClr val="800080"/>
              </a:solidFill>
              <a:prstDash val="solid"/>
            </a:ln>
          </c:spPr>
          <c:marker>
            <c:symbol val="triangle"/>
            <c:size val="4"/>
            <c:spPr>
              <a:solidFill>
                <a:srgbClr val="800080"/>
              </a:solidFill>
              <a:ln>
                <a:solidFill>
                  <a:srgbClr val="800080"/>
                </a:solidFill>
                <a:prstDash val="solid"/>
              </a:ln>
            </c:spPr>
          </c:marker>
          <c:cat>
            <c:numRef>
              <c:f>Sheet1!$B$1:$I$1</c:f>
              <c:numCache>
                <c:formatCode>General</c:formatCode>
                <c:ptCount val="8"/>
                <c:pt idx="0">
                  <c:v>2008</c:v>
                </c:pt>
                <c:pt idx="1">
                  <c:v>2009</c:v>
                </c:pt>
                <c:pt idx="2">
                  <c:v>2010</c:v>
                </c:pt>
                <c:pt idx="3">
                  <c:v>2011</c:v>
                </c:pt>
                <c:pt idx="4">
                  <c:v>2012</c:v>
                </c:pt>
                <c:pt idx="5">
                  <c:v>2013</c:v>
                </c:pt>
                <c:pt idx="6">
                  <c:v>2014</c:v>
                </c:pt>
                <c:pt idx="7">
                  <c:v>2015</c:v>
                </c:pt>
              </c:numCache>
            </c:numRef>
          </c:cat>
          <c:val>
            <c:numRef>
              <c:f>Sheet1!$B$4:$I$4</c:f>
              <c:numCache>
                <c:formatCode>General</c:formatCode>
                <c:ptCount val="8"/>
                <c:pt idx="0">
                  <c:v>40</c:v>
                </c:pt>
                <c:pt idx="1">
                  <c:v>40</c:v>
                </c:pt>
                <c:pt idx="2">
                  <c:v>40</c:v>
                </c:pt>
                <c:pt idx="3">
                  <c:v>40</c:v>
                </c:pt>
                <c:pt idx="4">
                  <c:v>40</c:v>
                </c:pt>
                <c:pt idx="5">
                  <c:v>40</c:v>
                </c:pt>
                <c:pt idx="6">
                  <c:v>40</c:v>
                </c:pt>
                <c:pt idx="7">
                  <c:v>40</c:v>
                </c:pt>
              </c:numCache>
            </c:numRef>
          </c:val>
          <c:smooth val="0"/>
        </c:ser>
        <c:dLbls>
          <c:showLegendKey val="0"/>
          <c:showVal val="0"/>
          <c:showCatName val="0"/>
          <c:showSerName val="0"/>
          <c:showPercent val="0"/>
          <c:showBubbleSize val="0"/>
        </c:dLbls>
        <c:marker val="1"/>
        <c:smooth val="0"/>
        <c:axId val="292764672"/>
        <c:axId val="292828288"/>
      </c:lineChart>
      <c:catAx>
        <c:axId val="29276467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25" b="1" i="0" u="none" strike="noStrike" baseline="0">
                <a:solidFill>
                  <a:srgbClr val="000000"/>
                </a:solidFill>
                <a:latin typeface="Arial"/>
                <a:ea typeface="Arial"/>
                <a:cs typeface="Arial"/>
              </a:defRPr>
            </a:pPr>
            <a:endParaRPr lang="en-US"/>
          </a:p>
        </c:txPr>
        <c:crossAx val="292828288"/>
        <c:crosses val="autoZero"/>
        <c:auto val="1"/>
        <c:lblAlgn val="ctr"/>
        <c:lblOffset val="100"/>
        <c:tickLblSkip val="1"/>
        <c:tickMarkSkip val="1"/>
        <c:noMultiLvlLbl val="0"/>
      </c:catAx>
      <c:valAx>
        <c:axId val="29282828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25" b="1" i="0" u="none" strike="noStrike" baseline="0">
                <a:solidFill>
                  <a:srgbClr val="000000"/>
                </a:solidFill>
                <a:latin typeface="Arial"/>
                <a:ea typeface="Arial"/>
                <a:cs typeface="Arial"/>
              </a:defRPr>
            </a:pPr>
            <a:endParaRPr lang="en-US"/>
          </a:p>
        </c:txPr>
        <c:crossAx val="292764672"/>
        <c:crosses val="autoZero"/>
        <c:crossBetween val="between"/>
      </c:valAx>
      <c:spPr>
        <a:gradFill rotWithShape="0">
          <a:gsLst>
            <a:gs pos="0">
              <a:srgbClr xmlns:mc="http://schemas.openxmlformats.org/markup-compatibility/2006" xmlns:a14="http://schemas.microsoft.com/office/drawing/2010/main" val="FFCC99" mc:Ignorable="a14" a14:legacySpreadsheetColorIndex="47"/>
            </a:gs>
            <a:gs pos="50000">
              <a:srgbClr xmlns:mc="http://schemas.openxmlformats.org/markup-compatibility/2006" xmlns:a14="http://schemas.microsoft.com/office/drawing/2010/main" val="FFFFCC" mc:Ignorable="a14" a14:legacySpreadsheetColorIndex="26"/>
            </a:gs>
            <a:gs pos="100000">
              <a:srgbClr xmlns:mc="http://schemas.openxmlformats.org/markup-compatibility/2006" xmlns:a14="http://schemas.microsoft.com/office/drawing/2010/main" val="FFCC99" mc:Ignorable="a14" a14:legacySpreadsheetColorIndex="47"/>
            </a:gs>
          </a:gsLst>
          <a:lin ang="5400000" scaled="1"/>
        </a:gradFill>
        <a:ln w="12700">
          <a:solidFill>
            <a:srgbClr val="808080"/>
          </a:solidFill>
          <a:prstDash val="solid"/>
        </a:ln>
      </c:spPr>
    </c:plotArea>
    <c:legend>
      <c:legendPos val="r"/>
      <c:layout>
        <c:manualLayout>
          <c:xMode val="edge"/>
          <c:yMode val="edge"/>
          <c:x val="0.77969348659003834"/>
          <c:y val="0.26839826839826841"/>
          <c:w val="0.21455938697318008"/>
          <c:h val="0.40692640692640691"/>
        </c:manualLayout>
      </c:layout>
      <c:overlay val="0"/>
      <c:spPr>
        <a:noFill/>
        <a:ln w="3175">
          <a:solidFill>
            <a:srgbClr val="000000"/>
          </a:solidFill>
          <a:prstDash val="solid"/>
        </a:ln>
      </c:spPr>
      <c:txPr>
        <a:bodyPr/>
        <a:lstStyle/>
        <a:p>
          <a:pPr>
            <a:defRPr sz="780"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025" b="1" i="0" u="none" strike="noStrike" baseline="0">
          <a:solidFill>
            <a:srgbClr val="000000"/>
          </a:solidFill>
          <a:latin typeface="Arial"/>
          <a:ea typeface="Arial"/>
          <a:cs typeface="Arial"/>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25" b="1" i="0" u="none" strike="noStrike" baseline="0">
                <a:solidFill>
                  <a:srgbClr val="000000"/>
                </a:solidFill>
                <a:latin typeface="Arial"/>
                <a:ea typeface="Arial"/>
                <a:cs typeface="Arial"/>
              </a:defRPr>
            </a:pPr>
            <a:r>
              <a:rPr lang="en-US"/>
              <a:t>Emisii POPs pe sectoare de activitate, grame</a:t>
            </a:r>
          </a:p>
        </c:rich>
      </c:tx>
      <c:layout>
        <c:manualLayout>
          <c:xMode val="edge"/>
          <c:yMode val="edge"/>
          <c:x val="0.25298804780876494"/>
          <c:y val="0.02"/>
        </c:manualLayout>
      </c:layout>
      <c:overlay val="0"/>
      <c:spPr>
        <a:noFill/>
        <a:ln w="25399">
          <a:noFill/>
        </a:ln>
      </c:spPr>
    </c:title>
    <c:autoTitleDeleted val="0"/>
    <c:view3D>
      <c:rotX val="15"/>
      <c:hPercent val="24"/>
      <c:rotY val="20"/>
      <c:depthPercent val="100"/>
      <c:rAngAx val="1"/>
    </c:view3D>
    <c:floor>
      <c:thickness val="0"/>
      <c:spPr>
        <a:solidFill>
          <a:srgbClr val="C0C0C0"/>
        </a:solidFill>
        <a:ln w="3175">
          <a:solidFill>
            <a:srgbClr val="000000"/>
          </a:solidFill>
          <a:prstDash val="solid"/>
        </a:ln>
      </c:spPr>
    </c:floor>
    <c:sideWall>
      <c:thickness val="0"/>
      <c:spPr>
        <a:solidFill>
          <a:srgbClr val="FFFFFF">
            <a:alpha val="99000"/>
          </a:srgbClr>
        </a:solidFill>
        <a:ln w="12700">
          <a:solidFill>
            <a:srgbClr val="808080"/>
          </a:solidFill>
          <a:prstDash val="solid"/>
        </a:ln>
      </c:spPr>
    </c:sideWall>
    <c:backWall>
      <c:thickness val="0"/>
      <c:spPr>
        <a:solidFill>
          <a:srgbClr val="FFFFFF">
            <a:alpha val="99000"/>
          </a:srgbClr>
        </a:solidFill>
        <a:ln w="12700">
          <a:solidFill>
            <a:srgbClr val="808080"/>
          </a:solidFill>
          <a:prstDash val="solid"/>
        </a:ln>
      </c:spPr>
    </c:backWall>
    <c:plotArea>
      <c:layout>
        <c:manualLayout>
          <c:layoutTarget val="inner"/>
          <c:xMode val="edge"/>
          <c:yMode val="edge"/>
          <c:x val="6.7729083665338641E-2"/>
          <c:y val="0.28000000000000003"/>
          <c:w val="0.79083665338645415"/>
          <c:h val="0.49333333333333335"/>
        </c:manualLayout>
      </c:layout>
      <c:bar3DChart>
        <c:barDir val="col"/>
        <c:grouping val="clustered"/>
        <c:varyColors val="0"/>
        <c:ser>
          <c:idx val="0"/>
          <c:order val="0"/>
          <c:tx>
            <c:strRef>
              <c:f>Sheet1!$A$2</c:f>
              <c:strCache>
                <c:ptCount val="1"/>
                <c:pt idx="0">
                  <c:v>PCDD/F</c:v>
                </c:pt>
              </c:strCache>
            </c:strRef>
          </c:tx>
          <c:spPr>
            <a:solidFill>
              <a:srgbClr val="9999FF"/>
            </a:solidFill>
            <a:ln w="12700">
              <a:solidFill>
                <a:srgbClr val="000000"/>
              </a:solidFill>
              <a:prstDash val="solid"/>
            </a:ln>
          </c:spPr>
          <c:invertIfNegative val="0"/>
          <c:cat>
            <c:strRef>
              <c:f>Sheet1!$B$1:$E$1</c:f>
              <c:strCache>
                <c:ptCount val="2"/>
                <c:pt idx="0">
                  <c:v>Rezidential</c:v>
                </c:pt>
                <c:pt idx="1">
                  <c:v>Industrial</c:v>
                </c:pt>
              </c:strCache>
            </c:strRef>
          </c:cat>
          <c:val>
            <c:numRef>
              <c:f>Sheet1!$B$2:$E$2</c:f>
              <c:numCache>
                <c:formatCode>General</c:formatCode>
                <c:ptCount val="4"/>
                <c:pt idx="0">
                  <c:v>1.77</c:v>
                </c:pt>
                <c:pt idx="1">
                  <c:v>0.14000000000000001</c:v>
                </c:pt>
              </c:numCache>
            </c:numRef>
          </c:val>
        </c:ser>
        <c:ser>
          <c:idx val="1"/>
          <c:order val="1"/>
          <c:tx>
            <c:strRef>
              <c:f>Sheet1!$A$3</c:f>
              <c:strCache>
                <c:ptCount val="1"/>
                <c:pt idx="0">
                  <c:v>PCB</c:v>
                </c:pt>
              </c:strCache>
            </c:strRef>
          </c:tx>
          <c:spPr>
            <a:solidFill>
              <a:srgbClr val="993366"/>
            </a:solidFill>
            <a:ln w="12700">
              <a:solidFill>
                <a:srgbClr val="000000"/>
              </a:solidFill>
              <a:prstDash val="solid"/>
            </a:ln>
          </c:spPr>
          <c:invertIfNegative val="0"/>
          <c:cat>
            <c:strRef>
              <c:f>Sheet1!$B$1:$E$1</c:f>
              <c:strCache>
                <c:ptCount val="2"/>
                <c:pt idx="0">
                  <c:v>Rezidential</c:v>
                </c:pt>
                <c:pt idx="1">
                  <c:v>Industrial</c:v>
                </c:pt>
              </c:strCache>
            </c:strRef>
          </c:cat>
          <c:val>
            <c:numRef>
              <c:f>Sheet1!$B$3:$E$3</c:f>
              <c:numCache>
                <c:formatCode>General</c:formatCode>
                <c:ptCount val="4"/>
                <c:pt idx="0">
                  <c:v>133.41999999999999</c:v>
                </c:pt>
                <c:pt idx="1">
                  <c:v>27.16</c:v>
                </c:pt>
              </c:numCache>
            </c:numRef>
          </c:val>
        </c:ser>
        <c:ser>
          <c:idx val="2"/>
          <c:order val="2"/>
          <c:tx>
            <c:strRef>
              <c:f>Sheet1!$A$4</c:f>
              <c:strCache>
                <c:ptCount val="1"/>
                <c:pt idx="0">
                  <c:v>HCB</c:v>
                </c:pt>
              </c:strCache>
            </c:strRef>
          </c:tx>
          <c:spPr>
            <a:solidFill>
              <a:srgbClr val="FFFFCC"/>
            </a:solidFill>
            <a:ln w="12700">
              <a:solidFill>
                <a:srgbClr val="000000"/>
              </a:solidFill>
              <a:prstDash val="solid"/>
            </a:ln>
          </c:spPr>
          <c:invertIfNegative val="0"/>
          <c:cat>
            <c:strRef>
              <c:f>Sheet1!$B$1:$E$1</c:f>
              <c:strCache>
                <c:ptCount val="2"/>
                <c:pt idx="0">
                  <c:v>Rezidential</c:v>
                </c:pt>
                <c:pt idx="1">
                  <c:v>Industrial</c:v>
                </c:pt>
              </c:strCache>
            </c:strRef>
          </c:cat>
          <c:val>
            <c:numRef>
              <c:f>Sheet1!$B$4:$E$4</c:f>
              <c:numCache>
                <c:formatCode>General</c:formatCode>
                <c:ptCount val="4"/>
                <c:pt idx="0">
                  <c:v>13.2</c:v>
                </c:pt>
                <c:pt idx="1">
                  <c:v>2.72</c:v>
                </c:pt>
              </c:numCache>
            </c:numRef>
          </c:val>
        </c:ser>
        <c:dLbls>
          <c:showLegendKey val="0"/>
          <c:showVal val="0"/>
          <c:showCatName val="0"/>
          <c:showSerName val="0"/>
          <c:showPercent val="0"/>
          <c:showBubbleSize val="0"/>
        </c:dLbls>
        <c:gapWidth val="150"/>
        <c:gapDepth val="0"/>
        <c:shape val="box"/>
        <c:axId val="300310912"/>
        <c:axId val="300312448"/>
        <c:axId val="0"/>
      </c:bar3DChart>
      <c:catAx>
        <c:axId val="30031091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300312448"/>
        <c:crosses val="autoZero"/>
        <c:auto val="1"/>
        <c:lblAlgn val="ctr"/>
        <c:lblOffset val="100"/>
        <c:tickLblSkip val="1"/>
        <c:tickMarkSkip val="1"/>
        <c:noMultiLvlLbl val="0"/>
      </c:catAx>
      <c:valAx>
        <c:axId val="30031244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300310912"/>
        <c:crosses val="autoZero"/>
        <c:crossBetween val="between"/>
      </c:valAx>
      <c:spPr>
        <a:noFill/>
        <a:ln w="25399">
          <a:noFill/>
        </a:ln>
      </c:spPr>
    </c:plotArea>
    <c:legend>
      <c:legendPos val="r"/>
      <c:layout>
        <c:manualLayout>
          <c:xMode val="edge"/>
          <c:yMode val="edge"/>
          <c:x val="0.88047808764940239"/>
          <c:y val="0.4"/>
          <c:w val="0.11155378486055777"/>
          <c:h val="0.38666666666666666"/>
        </c:manualLayout>
      </c:layout>
      <c:overlay val="0"/>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800" b="1" i="0" u="none" strike="noStrike" baseline="0">
          <a:solidFill>
            <a:srgbClr val="000000"/>
          </a:solidFill>
          <a:latin typeface="Arial"/>
          <a:ea typeface="Arial"/>
          <a:cs typeface="Arial"/>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Arial"/>
                <a:ea typeface="Arial"/>
                <a:cs typeface="Arial"/>
              </a:defRPr>
            </a:pPr>
            <a:r>
              <a:rPr lang="en-US"/>
              <a:t>Emisiile de substante acidifiante 2010-2015</a:t>
            </a:r>
          </a:p>
        </c:rich>
      </c:tx>
      <c:layout>
        <c:manualLayout>
          <c:xMode val="edge"/>
          <c:yMode val="edge"/>
          <c:x val="0.26235741444866922"/>
          <c:y val="2.0689655172413793E-2"/>
        </c:manualLayout>
      </c:layout>
      <c:overlay val="0"/>
      <c:spPr>
        <a:noFill/>
        <a:ln w="25400">
          <a:noFill/>
        </a:ln>
      </c:spPr>
    </c:title>
    <c:autoTitleDeleted val="0"/>
    <c:plotArea>
      <c:layout>
        <c:manualLayout>
          <c:layoutTarget val="inner"/>
          <c:xMode val="edge"/>
          <c:yMode val="edge"/>
          <c:x val="0.11977186311787072"/>
          <c:y val="0.20344827586206896"/>
          <c:w val="0.70912547528517111"/>
          <c:h val="0.63103448275862073"/>
        </c:manualLayout>
      </c:layout>
      <c:lineChart>
        <c:grouping val="standard"/>
        <c:varyColors val="0"/>
        <c:ser>
          <c:idx val="0"/>
          <c:order val="0"/>
          <c:tx>
            <c:strRef>
              <c:f>Sheet1!$A$2</c:f>
              <c:strCache>
                <c:ptCount val="1"/>
                <c:pt idx="0">
                  <c:v>N0x</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Sheet1!$B$1:$G$1</c:f>
              <c:numCache>
                <c:formatCode>General</c:formatCode>
                <c:ptCount val="6"/>
                <c:pt idx="0">
                  <c:v>2010</c:v>
                </c:pt>
                <c:pt idx="1">
                  <c:v>2011</c:v>
                </c:pt>
                <c:pt idx="2">
                  <c:v>2012</c:v>
                </c:pt>
                <c:pt idx="3">
                  <c:v>2013</c:v>
                </c:pt>
                <c:pt idx="4">
                  <c:v>2014</c:v>
                </c:pt>
                <c:pt idx="5">
                  <c:v>2015</c:v>
                </c:pt>
              </c:numCache>
            </c:numRef>
          </c:cat>
          <c:val>
            <c:numRef>
              <c:f>Sheet1!$B$2:$G$2</c:f>
              <c:numCache>
                <c:formatCode>General</c:formatCode>
                <c:ptCount val="6"/>
                <c:pt idx="0">
                  <c:v>1520.2</c:v>
                </c:pt>
                <c:pt idx="1">
                  <c:v>1309.7</c:v>
                </c:pt>
                <c:pt idx="2">
                  <c:v>3011.3</c:v>
                </c:pt>
                <c:pt idx="3">
                  <c:v>3753.9</c:v>
                </c:pt>
                <c:pt idx="4">
                  <c:v>886.7</c:v>
                </c:pt>
                <c:pt idx="5">
                  <c:v>884.24</c:v>
                </c:pt>
              </c:numCache>
            </c:numRef>
          </c:val>
          <c:smooth val="0"/>
        </c:ser>
        <c:ser>
          <c:idx val="1"/>
          <c:order val="1"/>
          <c:tx>
            <c:strRef>
              <c:f>Sheet1!$A$3</c:f>
              <c:strCache>
                <c:ptCount val="1"/>
                <c:pt idx="0">
                  <c:v>SO2</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cat>
            <c:numRef>
              <c:f>Sheet1!$B$1:$G$1</c:f>
              <c:numCache>
                <c:formatCode>General</c:formatCode>
                <c:ptCount val="6"/>
                <c:pt idx="0">
                  <c:v>2010</c:v>
                </c:pt>
                <c:pt idx="1">
                  <c:v>2011</c:v>
                </c:pt>
                <c:pt idx="2">
                  <c:v>2012</c:v>
                </c:pt>
                <c:pt idx="3">
                  <c:v>2013</c:v>
                </c:pt>
                <c:pt idx="4">
                  <c:v>2014</c:v>
                </c:pt>
                <c:pt idx="5">
                  <c:v>2015</c:v>
                </c:pt>
              </c:numCache>
            </c:numRef>
          </c:cat>
          <c:val>
            <c:numRef>
              <c:f>Sheet1!$B$3:$G$3</c:f>
              <c:numCache>
                <c:formatCode>General</c:formatCode>
                <c:ptCount val="6"/>
                <c:pt idx="0">
                  <c:v>15.5</c:v>
                </c:pt>
                <c:pt idx="1">
                  <c:v>288.8</c:v>
                </c:pt>
                <c:pt idx="2">
                  <c:v>730</c:v>
                </c:pt>
                <c:pt idx="3">
                  <c:v>75</c:v>
                </c:pt>
                <c:pt idx="4">
                  <c:v>40.97</c:v>
                </c:pt>
                <c:pt idx="5">
                  <c:v>40.25</c:v>
                </c:pt>
              </c:numCache>
            </c:numRef>
          </c:val>
          <c:smooth val="0"/>
        </c:ser>
        <c:ser>
          <c:idx val="2"/>
          <c:order val="2"/>
          <c:tx>
            <c:strRef>
              <c:f>Sheet1!$A$4</c:f>
              <c:strCache>
                <c:ptCount val="1"/>
                <c:pt idx="0">
                  <c:v>NH3</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cat>
            <c:numRef>
              <c:f>Sheet1!$B$1:$G$1</c:f>
              <c:numCache>
                <c:formatCode>General</c:formatCode>
                <c:ptCount val="6"/>
                <c:pt idx="0">
                  <c:v>2010</c:v>
                </c:pt>
                <c:pt idx="1">
                  <c:v>2011</c:v>
                </c:pt>
                <c:pt idx="2">
                  <c:v>2012</c:v>
                </c:pt>
                <c:pt idx="3">
                  <c:v>2013</c:v>
                </c:pt>
                <c:pt idx="4">
                  <c:v>2014</c:v>
                </c:pt>
                <c:pt idx="5">
                  <c:v>2015</c:v>
                </c:pt>
              </c:numCache>
            </c:numRef>
          </c:cat>
          <c:val>
            <c:numRef>
              <c:f>Sheet1!$B$4:$G$4</c:f>
              <c:numCache>
                <c:formatCode>General</c:formatCode>
                <c:ptCount val="6"/>
                <c:pt idx="0">
                  <c:v>862.9</c:v>
                </c:pt>
                <c:pt idx="1">
                  <c:v>265.5</c:v>
                </c:pt>
                <c:pt idx="2">
                  <c:v>622.6</c:v>
                </c:pt>
                <c:pt idx="3">
                  <c:v>474.9</c:v>
                </c:pt>
                <c:pt idx="4">
                  <c:v>628.79999999999995</c:v>
                </c:pt>
                <c:pt idx="5">
                  <c:v>674.8</c:v>
                </c:pt>
              </c:numCache>
            </c:numRef>
          </c:val>
          <c:smooth val="0"/>
        </c:ser>
        <c:dLbls>
          <c:showLegendKey val="0"/>
          <c:showVal val="0"/>
          <c:showCatName val="0"/>
          <c:showSerName val="0"/>
          <c:showPercent val="0"/>
          <c:showBubbleSize val="0"/>
        </c:dLbls>
        <c:marker val="1"/>
        <c:smooth val="0"/>
        <c:axId val="300362752"/>
        <c:axId val="300369024"/>
      </c:lineChart>
      <c:catAx>
        <c:axId val="30036275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300369024"/>
        <c:crosses val="autoZero"/>
        <c:auto val="1"/>
        <c:lblAlgn val="ctr"/>
        <c:lblOffset val="100"/>
        <c:tickLblSkip val="1"/>
        <c:tickMarkSkip val="1"/>
        <c:noMultiLvlLbl val="0"/>
      </c:catAx>
      <c:valAx>
        <c:axId val="30036902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300362752"/>
        <c:crosses val="autoZero"/>
        <c:crossBetween val="between"/>
      </c:valAx>
      <c:spPr>
        <a:solidFill>
          <a:srgbClr val="CCCCFF"/>
        </a:solidFill>
        <a:ln w="12700">
          <a:solidFill>
            <a:srgbClr val="808080"/>
          </a:solidFill>
          <a:prstDash val="solid"/>
        </a:ln>
      </c:spPr>
    </c:plotArea>
    <c:legend>
      <c:legendPos val="r"/>
      <c:layout>
        <c:manualLayout>
          <c:xMode val="edge"/>
          <c:yMode val="edge"/>
          <c:x val="0.84790874524714832"/>
          <c:y val="0.3896551724137931"/>
          <c:w val="0.14448669201520911"/>
          <c:h val="0.25172413793103449"/>
        </c:manualLayout>
      </c:layout>
      <c:overlay val="0"/>
      <c:spPr>
        <a:noFill/>
        <a:ln w="3175">
          <a:solidFill>
            <a:srgbClr val="000000"/>
          </a:solidFill>
          <a:prstDash val="solid"/>
        </a:ln>
      </c:spPr>
      <c:txPr>
        <a:bodyPr/>
        <a:lstStyle/>
        <a:p>
          <a:pPr>
            <a:defRPr sz="1100"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25" b="1" i="0" u="none" strike="noStrike" baseline="0">
                <a:solidFill>
                  <a:srgbClr val="000000"/>
                </a:solidFill>
                <a:latin typeface="Arial"/>
                <a:ea typeface="Arial"/>
                <a:cs typeface="Arial"/>
              </a:defRPr>
            </a:pPr>
            <a:r>
              <a:rPr lang="en-US"/>
              <a:t>Contributia sectoarelor de activitate la emisiile de poluanti atmosferici cu efect acidifiant</a:t>
            </a:r>
          </a:p>
        </c:rich>
      </c:tx>
      <c:layout>
        <c:manualLayout>
          <c:xMode val="edge"/>
          <c:yMode val="edge"/>
          <c:x val="0.13422818791946309"/>
          <c:y val="1.8726591760299626E-2"/>
        </c:manualLayout>
      </c:layout>
      <c:overlay val="0"/>
      <c:spPr>
        <a:noFill/>
        <a:ln w="25400">
          <a:noFill/>
        </a:ln>
      </c:spPr>
    </c:title>
    <c:autoTitleDeleted val="0"/>
    <c:view3D>
      <c:rotX val="15"/>
      <c:hPercent val="38"/>
      <c:rotY val="20"/>
      <c:depthPercent val="100"/>
      <c:rAngAx val="1"/>
    </c:view3D>
    <c:floor>
      <c:thickness val="0"/>
      <c:spPr>
        <a:solidFill>
          <a:srgbClr val="CCCCFF"/>
        </a:solidFill>
        <a:ln w="3175">
          <a:solidFill>
            <a:srgbClr val="000000"/>
          </a:solidFill>
          <a:prstDash val="solid"/>
        </a:ln>
      </c:spPr>
    </c:floor>
    <c:sideWall>
      <c:thickness val="0"/>
      <c:spPr>
        <a:solidFill>
          <a:srgbClr val="CC99FF"/>
        </a:solidFill>
        <a:ln w="12700">
          <a:solidFill>
            <a:srgbClr val="808080"/>
          </a:solidFill>
          <a:prstDash val="solid"/>
        </a:ln>
      </c:spPr>
    </c:sideWall>
    <c:backWall>
      <c:thickness val="0"/>
      <c:spPr>
        <a:solidFill>
          <a:srgbClr val="CC99FF"/>
        </a:solidFill>
        <a:ln w="12700">
          <a:solidFill>
            <a:srgbClr val="808080"/>
          </a:solidFill>
          <a:prstDash val="solid"/>
        </a:ln>
      </c:spPr>
    </c:backWall>
    <c:plotArea>
      <c:layout>
        <c:manualLayout>
          <c:layoutTarget val="inner"/>
          <c:xMode val="edge"/>
          <c:yMode val="edge"/>
          <c:x val="9.2281879194630878E-2"/>
          <c:y val="0.20973782771535582"/>
          <c:w val="0.81711409395973156"/>
          <c:h val="0.6629213483146067"/>
        </c:manualLayout>
      </c:layout>
      <c:bar3DChart>
        <c:barDir val="col"/>
        <c:grouping val="percentStacked"/>
        <c:varyColors val="0"/>
        <c:ser>
          <c:idx val="0"/>
          <c:order val="0"/>
          <c:tx>
            <c:strRef>
              <c:f>Sheet1!$A$2</c:f>
              <c:strCache>
                <c:ptCount val="1"/>
                <c:pt idx="0">
                  <c:v>NH3</c:v>
                </c:pt>
              </c:strCache>
            </c:strRef>
          </c:tx>
          <c:spPr>
            <a:solidFill>
              <a:srgbClr val="9999FF"/>
            </a:solidFill>
            <a:ln w="12700">
              <a:solidFill>
                <a:srgbClr val="000000"/>
              </a:solidFill>
              <a:prstDash val="solid"/>
            </a:ln>
          </c:spPr>
          <c:invertIfNegative val="0"/>
          <c:cat>
            <c:strRef>
              <c:f>Sheet1!$B$1:$E$1</c:f>
              <c:strCache>
                <c:ptCount val="4"/>
                <c:pt idx="0">
                  <c:v>Energie</c:v>
                </c:pt>
                <c:pt idx="1">
                  <c:v>Industrie</c:v>
                </c:pt>
                <c:pt idx="2">
                  <c:v>Agricultura</c:v>
                </c:pt>
                <c:pt idx="3">
                  <c:v>Transport</c:v>
                </c:pt>
              </c:strCache>
            </c:strRef>
          </c:cat>
          <c:val>
            <c:numRef>
              <c:f>Sheet1!$B$2:$E$2</c:f>
              <c:numCache>
                <c:formatCode>General</c:formatCode>
                <c:ptCount val="4"/>
                <c:pt idx="0">
                  <c:v>1.37</c:v>
                </c:pt>
                <c:pt idx="1">
                  <c:v>0</c:v>
                </c:pt>
                <c:pt idx="2">
                  <c:v>560.08000000000004</c:v>
                </c:pt>
                <c:pt idx="3">
                  <c:v>6.75</c:v>
                </c:pt>
              </c:numCache>
            </c:numRef>
          </c:val>
        </c:ser>
        <c:ser>
          <c:idx val="1"/>
          <c:order val="1"/>
          <c:tx>
            <c:strRef>
              <c:f>Sheet1!$A$3</c:f>
              <c:strCache>
                <c:ptCount val="1"/>
                <c:pt idx="0">
                  <c:v>SO2</c:v>
                </c:pt>
              </c:strCache>
            </c:strRef>
          </c:tx>
          <c:spPr>
            <a:solidFill>
              <a:srgbClr val="993366"/>
            </a:solidFill>
            <a:ln w="12700">
              <a:solidFill>
                <a:srgbClr val="000000"/>
              </a:solidFill>
              <a:prstDash val="solid"/>
            </a:ln>
          </c:spPr>
          <c:invertIfNegative val="0"/>
          <c:cat>
            <c:strRef>
              <c:f>Sheet1!$B$1:$E$1</c:f>
              <c:strCache>
                <c:ptCount val="4"/>
                <c:pt idx="0">
                  <c:v>Energie</c:v>
                </c:pt>
                <c:pt idx="1">
                  <c:v>Industrie</c:v>
                </c:pt>
                <c:pt idx="2">
                  <c:v>Agricultura</c:v>
                </c:pt>
                <c:pt idx="3">
                  <c:v>Transport</c:v>
                </c:pt>
              </c:strCache>
            </c:strRef>
          </c:cat>
          <c:val>
            <c:numRef>
              <c:f>Sheet1!$B$3:$E$3</c:f>
              <c:numCache>
                <c:formatCode>General</c:formatCode>
                <c:ptCount val="4"/>
                <c:pt idx="0">
                  <c:v>29.8</c:v>
                </c:pt>
                <c:pt idx="1">
                  <c:v>10.44</c:v>
                </c:pt>
                <c:pt idx="2">
                  <c:v>0</c:v>
                </c:pt>
                <c:pt idx="3">
                  <c:v>0</c:v>
                </c:pt>
              </c:numCache>
            </c:numRef>
          </c:val>
        </c:ser>
        <c:ser>
          <c:idx val="2"/>
          <c:order val="2"/>
          <c:tx>
            <c:strRef>
              <c:f>Sheet1!$A$4</c:f>
              <c:strCache>
                <c:ptCount val="1"/>
                <c:pt idx="0">
                  <c:v>N0x</c:v>
                </c:pt>
              </c:strCache>
            </c:strRef>
          </c:tx>
          <c:spPr>
            <a:solidFill>
              <a:srgbClr val="FFFFCC"/>
            </a:solidFill>
            <a:ln w="12700">
              <a:solidFill>
                <a:srgbClr val="000000"/>
              </a:solidFill>
              <a:prstDash val="solid"/>
            </a:ln>
          </c:spPr>
          <c:invertIfNegative val="0"/>
          <c:cat>
            <c:strRef>
              <c:f>Sheet1!$B$1:$E$1</c:f>
              <c:strCache>
                <c:ptCount val="4"/>
                <c:pt idx="0">
                  <c:v>Energie</c:v>
                </c:pt>
                <c:pt idx="1">
                  <c:v>Industrie</c:v>
                </c:pt>
                <c:pt idx="2">
                  <c:v>Agricultura</c:v>
                </c:pt>
                <c:pt idx="3">
                  <c:v>Transport</c:v>
                </c:pt>
              </c:strCache>
            </c:strRef>
          </c:cat>
          <c:val>
            <c:numRef>
              <c:f>Sheet1!$B$4:$E$4</c:f>
              <c:numCache>
                <c:formatCode>General</c:formatCode>
                <c:ptCount val="4"/>
                <c:pt idx="0">
                  <c:v>153.44</c:v>
                </c:pt>
                <c:pt idx="1">
                  <c:v>11.43</c:v>
                </c:pt>
                <c:pt idx="2">
                  <c:v>1.11E-2</c:v>
                </c:pt>
                <c:pt idx="3">
                  <c:v>610.70000000000005</c:v>
                </c:pt>
              </c:numCache>
            </c:numRef>
          </c:val>
        </c:ser>
        <c:dLbls>
          <c:showLegendKey val="0"/>
          <c:showVal val="0"/>
          <c:showCatName val="0"/>
          <c:showSerName val="0"/>
          <c:showPercent val="0"/>
          <c:showBubbleSize val="0"/>
        </c:dLbls>
        <c:gapWidth val="150"/>
        <c:gapDepth val="0"/>
        <c:shape val="cylinder"/>
        <c:axId val="300481536"/>
        <c:axId val="300483328"/>
        <c:axId val="0"/>
      </c:bar3DChart>
      <c:catAx>
        <c:axId val="3004815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300483328"/>
        <c:crosses val="autoZero"/>
        <c:auto val="1"/>
        <c:lblAlgn val="ctr"/>
        <c:lblOffset val="100"/>
        <c:tickLblSkip val="1"/>
        <c:tickMarkSkip val="1"/>
        <c:noMultiLvlLbl val="0"/>
      </c:catAx>
      <c:valAx>
        <c:axId val="300483328"/>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300481536"/>
        <c:crosses val="autoZero"/>
        <c:crossBetween val="between"/>
      </c:valAx>
      <c:spPr>
        <a:noFill/>
        <a:ln w="25400">
          <a:noFill/>
        </a:ln>
      </c:spPr>
    </c:plotArea>
    <c:legend>
      <c:legendPos val="r"/>
      <c:layout>
        <c:manualLayout>
          <c:xMode val="edge"/>
          <c:yMode val="edge"/>
          <c:x val="0.92785234899328861"/>
          <c:y val="0.47940074906367042"/>
          <c:w val="6.5436241610738258E-2"/>
          <c:h val="0.21722846441947566"/>
        </c:manualLayout>
      </c:layout>
      <c:overlay val="0"/>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175" b="1" i="0" u="none" strike="noStrike" baseline="0">
          <a:solidFill>
            <a:srgbClr val="000000"/>
          </a:solidFill>
          <a:latin typeface="Arial"/>
          <a:ea typeface="Arial"/>
          <a:cs typeface="Arial"/>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Arial"/>
                <a:ea typeface="Arial"/>
                <a:cs typeface="Arial"/>
              </a:defRPr>
            </a:pPr>
            <a:r>
              <a:rPr lang="en-US"/>
              <a:t>Tendinta emisiei poluantilor cu efect acidifiant si de eutrofizare</a:t>
            </a:r>
          </a:p>
        </c:rich>
      </c:tx>
      <c:layout>
        <c:manualLayout>
          <c:xMode val="edge"/>
          <c:yMode val="edge"/>
          <c:x val="0.21496815286624205"/>
          <c:y val="2.1551724137931036E-2"/>
        </c:manualLayout>
      </c:layout>
      <c:overlay val="0"/>
      <c:spPr>
        <a:noFill/>
        <a:ln w="25400">
          <a:noFill/>
        </a:ln>
      </c:spPr>
    </c:title>
    <c:autoTitleDeleted val="0"/>
    <c:view3D>
      <c:rotX val="15"/>
      <c:hPercent val="32"/>
      <c:rotY val="20"/>
      <c:depthPercent val="100"/>
      <c:rAngAx val="1"/>
    </c:view3D>
    <c:floor>
      <c:thickness val="0"/>
      <c:spPr>
        <a:solidFill>
          <a:srgbClr val="C0C0C0"/>
        </a:solidFill>
        <a:ln w="3175">
          <a:solidFill>
            <a:srgbClr val="000000"/>
          </a:solidFill>
          <a:prstDash val="solid"/>
        </a:ln>
      </c:spPr>
    </c:floor>
    <c:sideWall>
      <c:thickness val="0"/>
      <c:spPr>
        <a:solidFill>
          <a:srgbClr val="CCFFFF"/>
        </a:solidFill>
        <a:ln w="12700">
          <a:solidFill>
            <a:srgbClr val="808080"/>
          </a:solidFill>
          <a:prstDash val="solid"/>
        </a:ln>
      </c:spPr>
    </c:sideWall>
    <c:backWall>
      <c:thickness val="0"/>
      <c:spPr>
        <a:solidFill>
          <a:srgbClr val="CCFFFF"/>
        </a:solidFill>
        <a:ln w="12700">
          <a:solidFill>
            <a:srgbClr val="808080"/>
          </a:solidFill>
          <a:prstDash val="solid"/>
        </a:ln>
      </c:spPr>
    </c:backWall>
    <c:plotArea>
      <c:layout>
        <c:manualLayout>
          <c:layoutTarget val="inner"/>
          <c:xMode val="edge"/>
          <c:yMode val="edge"/>
          <c:x val="6.3694267515923567E-2"/>
          <c:y val="0.19827586206896552"/>
          <c:w val="0.85031847133757965"/>
          <c:h val="0.65517241379310343"/>
        </c:manualLayout>
      </c:layout>
      <c:bar3DChart>
        <c:barDir val="col"/>
        <c:grouping val="clustered"/>
        <c:varyColors val="0"/>
        <c:ser>
          <c:idx val="0"/>
          <c:order val="0"/>
          <c:tx>
            <c:strRef>
              <c:f>Sheet1!$A$2</c:f>
              <c:strCache>
                <c:ptCount val="1"/>
                <c:pt idx="0">
                  <c:v>SO2</c:v>
                </c:pt>
              </c:strCache>
            </c:strRef>
          </c:tx>
          <c:spPr>
            <a:solidFill>
              <a:srgbClr val="9999FF"/>
            </a:solidFill>
            <a:ln w="12700">
              <a:solidFill>
                <a:srgbClr val="000000"/>
              </a:solidFill>
              <a:prstDash val="solid"/>
            </a:ln>
          </c:spPr>
          <c:invertIfNegative val="0"/>
          <c:cat>
            <c:numRef>
              <c:f>Sheet1!$B$1:$G$1</c:f>
              <c:numCache>
                <c:formatCode>General</c:formatCode>
                <c:ptCount val="6"/>
                <c:pt idx="0">
                  <c:v>2010</c:v>
                </c:pt>
                <c:pt idx="1">
                  <c:v>2011</c:v>
                </c:pt>
                <c:pt idx="2">
                  <c:v>2012</c:v>
                </c:pt>
                <c:pt idx="3">
                  <c:v>2013</c:v>
                </c:pt>
                <c:pt idx="4">
                  <c:v>2014</c:v>
                </c:pt>
                <c:pt idx="5">
                  <c:v>2015</c:v>
                </c:pt>
              </c:numCache>
            </c:numRef>
          </c:cat>
          <c:val>
            <c:numRef>
              <c:f>Sheet1!$B$2:$G$2</c:f>
              <c:numCache>
                <c:formatCode>General</c:formatCode>
                <c:ptCount val="6"/>
                <c:pt idx="0">
                  <c:v>15.5</c:v>
                </c:pt>
                <c:pt idx="1">
                  <c:v>288.8</c:v>
                </c:pt>
                <c:pt idx="2">
                  <c:v>730</c:v>
                </c:pt>
                <c:pt idx="3">
                  <c:v>75</c:v>
                </c:pt>
                <c:pt idx="4">
                  <c:v>40.97</c:v>
                </c:pt>
                <c:pt idx="5">
                  <c:v>40.25</c:v>
                </c:pt>
              </c:numCache>
            </c:numRef>
          </c:val>
        </c:ser>
        <c:ser>
          <c:idx val="1"/>
          <c:order val="1"/>
          <c:tx>
            <c:strRef>
              <c:f>Sheet1!$A$3</c:f>
              <c:strCache>
                <c:ptCount val="1"/>
                <c:pt idx="0">
                  <c:v>N0x</c:v>
                </c:pt>
              </c:strCache>
            </c:strRef>
          </c:tx>
          <c:spPr>
            <a:solidFill>
              <a:srgbClr val="993366"/>
            </a:solidFill>
            <a:ln w="12700">
              <a:solidFill>
                <a:srgbClr val="000000"/>
              </a:solidFill>
              <a:prstDash val="solid"/>
            </a:ln>
          </c:spPr>
          <c:invertIfNegative val="0"/>
          <c:cat>
            <c:numRef>
              <c:f>Sheet1!$B$1:$G$1</c:f>
              <c:numCache>
                <c:formatCode>General</c:formatCode>
                <c:ptCount val="6"/>
                <c:pt idx="0">
                  <c:v>2010</c:v>
                </c:pt>
                <c:pt idx="1">
                  <c:v>2011</c:v>
                </c:pt>
                <c:pt idx="2">
                  <c:v>2012</c:v>
                </c:pt>
                <c:pt idx="3">
                  <c:v>2013</c:v>
                </c:pt>
                <c:pt idx="4">
                  <c:v>2014</c:v>
                </c:pt>
                <c:pt idx="5">
                  <c:v>2015</c:v>
                </c:pt>
              </c:numCache>
            </c:numRef>
          </c:cat>
          <c:val>
            <c:numRef>
              <c:f>Sheet1!$B$3:$G$3</c:f>
              <c:numCache>
                <c:formatCode>General</c:formatCode>
                <c:ptCount val="6"/>
                <c:pt idx="0">
                  <c:v>1520.2</c:v>
                </c:pt>
                <c:pt idx="1">
                  <c:v>1309.7</c:v>
                </c:pt>
                <c:pt idx="2">
                  <c:v>3011.3</c:v>
                </c:pt>
                <c:pt idx="3">
                  <c:v>3753.9</c:v>
                </c:pt>
                <c:pt idx="4">
                  <c:v>886.7</c:v>
                </c:pt>
                <c:pt idx="5">
                  <c:v>884.24</c:v>
                </c:pt>
              </c:numCache>
            </c:numRef>
          </c:val>
        </c:ser>
        <c:ser>
          <c:idx val="2"/>
          <c:order val="2"/>
          <c:tx>
            <c:strRef>
              <c:f>Sheet1!$A$4</c:f>
              <c:strCache>
                <c:ptCount val="1"/>
                <c:pt idx="0">
                  <c:v>NH3</c:v>
                </c:pt>
              </c:strCache>
            </c:strRef>
          </c:tx>
          <c:spPr>
            <a:solidFill>
              <a:srgbClr val="FFFFCC"/>
            </a:solidFill>
            <a:ln w="12700">
              <a:solidFill>
                <a:srgbClr val="000000"/>
              </a:solidFill>
              <a:prstDash val="solid"/>
            </a:ln>
          </c:spPr>
          <c:invertIfNegative val="0"/>
          <c:cat>
            <c:numRef>
              <c:f>Sheet1!$B$1:$G$1</c:f>
              <c:numCache>
                <c:formatCode>General</c:formatCode>
                <c:ptCount val="6"/>
                <c:pt idx="0">
                  <c:v>2010</c:v>
                </c:pt>
                <c:pt idx="1">
                  <c:v>2011</c:v>
                </c:pt>
                <c:pt idx="2">
                  <c:v>2012</c:v>
                </c:pt>
                <c:pt idx="3">
                  <c:v>2013</c:v>
                </c:pt>
                <c:pt idx="4">
                  <c:v>2014</c:v>
                </c:pt>
                <c:pt idx="5">
                  <c:v>2015</c:v>
                </c:pt>
              </c:numCache>
            </c:numRef>
          </c:cat>
          <c:val>
            <c:numRef>
              <c:f>Sheet1!$B$4:$G$4</c:f>
              <c:numCache>
                <c:formatCode>General</c:formatCode>
                <c:ptCount val="6"/>
                <c:pt idx="0">
                  <c:v>862.9</c:v>
                </c:pt>
                <c:pt idx="1">
                  <c:v>265.5</c:v>
                </c:pt>
                <c:pt idx="2">
                  <c:v>622.6</c:v>
                </c:pt>
                <c:pt idx="3">
                  <c:v>474.9</c:v>
                </c:pt>
                <c:pt idx="4">
                  <c:v>628.79999999999995</c:v>
                </c:pt>
                <c:pt idx="5">
                  <c:v>674.8</c:v>
                </c:pt>
              </c:numCache>
            </c:numRef>
          </c:val>
        </c:ser>
        <c:dLbls>
          <c:showLegendKey val="0"/>
          <c:showVal val="0"/>
          <c:showCatName val="0"/>
          <c:showSerName val="0"/>
          <c:showPercent val="0"/>
          <c:showBubbleSize val="0"/>
        </c:dLbls>
        <c:gapWidth val="150"/>
        <c:gapDepth val="0"/>
        <c:shape val="cone"/>
        <c:axId val="300513920"/>
        <c:axId val="300528000"/>
        <c:axId val="0"/>
      </c:bar3DChart>
      <c:catAx>
        <c:axId val="30051392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300528000"/>
        <c:crosses val="autoZero"/>
        <c:auto val="1"/>
        <c:lblAlgn val="ctr"/>
        <c:lblOffset val="100"/>
        <c:tickLblSkip val="1"/>
        <c:tickMarkSkip val="1"/>
        <c:noMultiLvlLbl val="0"/>
      </c:catAx>
      <c:valAx>
        <c:axId val="30052800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300513920"/>
        <c:crosses val="autoZero"/>
        <c:crossBetween val="between"/>
      </c:valAx>
      <c:spPr>
        <a:noFill/>
        <a:ln w="25400">
          <a:noFill/>
        </a:ln>
      </c:spPr>
    </c:plotArea>
    <c:legend>
      <c:legendPos val="r"/>
      <c:layout>
        <c:manualLayout>
          <c:xMode val="edge"/>
          <c:yMode val="edge"/>
          <c:x val="0.93152866242038213"/>
          <c:y val="0.44396551724137934"/>
          <c:w val="6.2101910828025478E-2"/>
          <c:h val="0.25"/>
        </c:manualLayout>
      </c:layout>
      <c:overlay val="0"/>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025" b="1" i="0" u="none" strike="noStrike" baseline="0">
          <a:solidFill>
            <a:srgbClr val="000000"/>
          </a:solidFill>
          <a:latin typeface="Arial"/>
          <a:ea typeface="Arial"/>
          <a:cs typeface="Arial"/>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Emisii de substante acidifiante/cap de locuitor</a:t>
            </a:r>
          </a:p>
        </c:rich>
      </c:tx>
      <c:layout>
        <c:manualLayout>
          <c:xMode val="edge"/>
          <c:yMode val="edge"/>
          <c:x val="0.25250836120401338"/>
          <c:y val="1.7937219730941704E-2"/>
        </c:manualLayout>
      </c:layout>
      <c:overlay val="0"/>
      <c:spPr>
        <a:noFill/>
        <a:ln w="25399">
          <a:noFill/>
        </a:ln>
      </c:spPr>
    </c:title>
    <c:autoTitleDeleted val="0"/>
    <c:view3D>
      <c:rotX val="15"/>
      <c:hPercent val="45"/>
      <c:rotY val="20"/>
      <c:depthPercent val="100"/>
      <c:rAngAx val="1"/>
    </c:view3D>
    <c:floor>
      <c:thickness val="0"/>
      <c:spPr>
        <a:solidFill>
          <a:srgbClr val="FF0000"/>
        </a:solidFill>
        <a:ln w="3175">
          <a:solidFill>
            <a:srgbClr val="000000"/>
          </a:solidFill>
          <a:prstDash val="solid"/>
        </a:ln>
      </c:spPr>
    </c:floor>
    <c:sideWall>
      <c:thickness val="0"/>
      <c:spPr>
        <a:solidFill>
          <a:srgbClr val="FFFF00"/>
        </a:solidFill>
        <a:ln w="12700">
          <a:solidFill>
            <a:srgbClr val="808080"/>
          </a:solidFill>
          <a:prstDash val="solid"/>
        </a:ln>
      </c:spPr>
    </c:sideWall>
    <c:backWall>
      <c:thickness val="0"/>
      <c:spPr>
        <a:solidFill>
          <a:srgbClr val="FFFF00"/>
        </a:solidFill>
        <a:ln w="12700">
          <a:solidFill>
            <a:srgbClr val="808080"/>
          </a:solidFill>
          <a:prstDash val="solid"/>
        </a:ln>
      </c:spPr>
    </c:backWall>
    <c:plotArea>
      <c:layout>
        <c:manualLayout>
          <c:layoutTarget val="inner"/>
          <c:xMode val="edge"/>
          <c:yMode val="edge"/>
          <c:x val="0.10367892976588629"/>
          <c:y val="0.21076233183856502"/>
          <c:w val="0.55351170568561869"/>
          <c:h val="0.62780269058295968"/>
        </c:manualLayout>
      </c:layout>
      <c:bar3DChart>
        <c:barDir val="col"/>
        <c:grouping val="clustered"/>
        <c:varyColors val="0"/>
        <c:ser>
          <c:idx val="0"/>
          <c:order val="0"/>
          <c:tx>
            <c:strRef>
              <c:f>Sheet1!$A$2</c:f>
              <c:strCache>
                <c:ptCount val="1"/>
                <c:pt idx="0">
                  <c:v>Indice de acidifiere/cap de locuitor</c:v>
                </c:pt>
              </c:strCache>
            </c:strRef>
          </c:tx>
          <c:spPr>
            <a:solidFill>
              <a:srgbClr val="9999FF"/>
            </a:solidFill>
            <a:ln w="12700">
              <a:solidFill>
                <a:srgbClr val="000000"/>
              </a:solidFill>
              <a:prstDash val="solid"/>
            </a:ln>
          </c:spPr>
          <c:invertIfNegative val="0"/>
          <c:cat>
            <c:numRef>
              <c:f>Sheet1!$B$1:$G$1</c:f>
              <c:numCache>
                <c:formatCode>General</c:formatCode>
                <c:ptCount val="6"/>
                <c:pt idx="0">
                  <c:v>2010</c:v>
                </c:pt>
                <c:pt idx="1">
                  <c:v>2011</c:v>
                </c:pt>
                <c:pt idx="2">
                  <c:v>2012</c:v>
                </c:pt>
                <c:pt idx="3">
                  <c:v>2013</c:v>
                </c:pt>
                <c:pt idx="4">
                  <c:v>2014</c:v>
                </c:pt>
                <c:pt idx="5">
                  <c:v>2015</c:v>
                </c:pt>
              </c:numCache>
            </c:numRef>
          </c:cat>
          <c:val>
            <c:numRef>
              <c:f>Sheet1!$B$2:$G$2</c:f>
              <c:numCache>
                <c:formatCode>General</c:formatCode>
                <c:ptCount val="6"/>
                <c:pt idx="0">
                  <c:v>1.84E-4</c:v>
                </c:pt>
                <c:pt idx="1">
                  <c:v>1.15E-4</c:v>
                </c:pt>
                <c:pt idx="2">
                  <c:v>2.72E-4</c:v>
                </c:pt>
                <c:pt idx="3">
                  <c:v>2.9999999999999997E-4</c:v>
                </c:pt>
                <c:pt idx="4">
                  <c:v>1.21E-4</c:v>
                </c:pt>
                <c:pt idx="5">
                  <c:v>1.2400000000000001E-4</c:v>
                </c:pt>
              </c:numCache>
            </c:numRef>
          </c:val>
        </c:ser>
        <c:dLbls>
          <c:showLegendKey val="0"/>
          <c:showVal val="0"/>
          <c:showCatName val="0"/>
          <c:showSerName val="0"/>
          <c:showPercent val="0"/>
          <c:showBubbleSize val="0"/>
        </c:dLbls>
        <c:gapWidth val="150"/>
        <c:gapDepth val="0"/>
        <c:shape val="box"/>
        <c:axId val="300565248"/>
        <c:axId val="300566784"/>
        <c:axId val="0"/>
      </c:bar3DChart>
      <c:catAx>
        <c:axId val="30056524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75" b="1" i="0" u="none" strike="noStrike" baseline="0">
                <a:solidFill>
                  <a:srgbClr val="000000"/>
                </a:solidFill>
                <a:latin typeface="Arial"/>
                <a:ea typeface="Arial"/>
                <a:cs typeface="Arial"/>
              </a:defRPr>
            </a:pPr>
            <a:endParaRPr lang="en-US"/>
          </a:p>
        </c:txPr>
        <c:crossAx val="300566784"/>
        <c:crosses val="autoZero"/>
        <c:auto val="1"/>
        <c:lblAlgn val="ctr"/>
        <c:lblOffset val="100"/>
        <c:tickLblSkip val="1"/>
        <c:tickMarkSkip val="1"/>
        <c:noMultiLvlLbl val="0"/>
      </c:catAx>
      <c:valAx>
        <c:axId val="30056678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75" b="1" i="0" u="none" strike="noStrike" baseline="0">
                <a:solidFill>
                  <a:srgbClr val="000000"/>
                </a:solidFill>
                <a:latin typeface="Arial"/>
                <a:ea typeface="Arial"/>
                <a:cs typeface="Arial"/>
              </a:defRPr>
            </a:pPr>
            <a:endParaRPr lang="en-US"/>
          </a:p>
        </c:txPr>
        <c:crossAx val="300565248"/>
        <c:crosses val="autoZero"/>
        <c:crossBetween val="between"/>
      </c:valAx>
      <c:spPr>
        <a:noFill/>
        <a:ln w="25399">
          <a:noFill/>
        </a:ln>
      </c:spPr>
    </c:plotArea>
    <c:legend>
      <c:legendPos val="r"/>
      <c:layout>
        <c:manualLayout>
          <c:xMode val="edge"/>
          <c:yMode val="edge"/>
          <c:x val="0.67558528428093645"/>
          <c:y val="0.48878923766816146"/>
          <c:w val="0.31772575250836121"/>
          <c:h val="0.17040358744394618"/>
        </c:manualLayout>
      </c:layout>
      <c:overlay val="0"/>
      <c:spPr>
        <a:noFill/>
        <a:ln w="3175">
          <a:solidFill>
            <a:srgbClr val="000000"/>
          </a:solidFill>
          <a:prstDash val="solid"/>
        </a:ln>
      </c:spPr>
      <c:txPr>
        <a:bodyPr/>
        <a:lstStyle/>
        <a:p>
          <a:pPr>
            <a:defRPr sz="895"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975" b="1" i="0" u="none" strike="noStrike" baseline="0">
          <a:solidFill>
            <a:srgbClr val="000000"/>
          </a:solidFill>
          <a:latin typeface="Arial"/>
          <a:ea typeface="Arial"/>
          <a:cs typeface="Arial"/>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Emisii de precursori ai ozonului pe sectoare de activitate, tone</a:t>
            </a:r>
          </a:p>
        </c:rich>
      </c:tx>
      <c:layout>
        <c:manualLayout>
          <c:xMode val="edge"/>
          <c:yMode val="edge"/>
          <c:x val="0.13099630996309963"/>
          <c:y val="1.8018018018018018E-2"/>
        </c:manualLayout>
      </c:layout>
      <c:overlay val="0"/>
      <c:spPr>
        <a:noFill/>
        <a:ln w="25400">
          <a:noFill/>
        </a:ln>
      </c:spPr>
    </c:title>
    <c:autoTitleDeleted val="0"/>
    <c:view3D>
      <c:rotX val="15"/>
      <c:hPercent val="38"/>
      <c:rotY val="20"/>
      <c:depthPercent val="100"/>
      <c:rAngAx val="1"/>
    </c:view3D>
    <c:floor>
      <c:thickness val="0"/>
      <c:spPr>
        <a:solidFill>
          <a:srgbClr val="FF0000"/>
        </a:solidFill>
        <a:ln w="3175">
          <a:solidFill>
            <a:srgbClr val="000000"/>
          </a:solidFill>
          <a:prstDash val="solid"/>
        </a:ln>
      </c:spPr>
    </c:floor>
    <c:sideWall>
      <c:thickness val="0"/>
      <c:spPr>
        <a:solidFill>
          <a:srgbClr val="FFFFCC"/>
        </a:solidFill>
        <a:ln w="12700">
          <a:solidFill>
            <a:srgbClr val="808080"/>
          </a:solidFill>
          <a:prstDash val="solid"/>
        </a:ln>
      </c:spPr>
    </c:sideWall>
    <c:backWall>
      <c:thickness val="0"/>
      <c:spPr>
        <a:solidFill>
          <a:srgbClr val="FFFFCC"/>
        </a:solidFill>
        <a:ln w="12700">
          <a:solidFill>
            <a:srgbClr val="808080"/>
          </a:solidFill>
          <a:prstDash val="solid"/>
        </a:ln>
      </c:spPr>
    </c:backWall>
    <c:plotArea>
      <c:layout>
        <c:manualLayout>
          <c:layoutTarget val="inner"/>
          <c:xMode val="edge"/>
          <c:yMode val="edge"/>
          <c:x val="9.4095940959409596E-2"/>
          <c:y val="0.21621621621621623"/>
          <c:w val="0.75276752767527677"/>
          <c:h val="0.6216216216216216"/>
        </c:manualLayout>
      </c:layout>
      <c:bar3DChart>
        <c:barDir val="col"/>
        <c:grouping val="clustered"/>
        <c:varyColors val="0"/>
        <c:ser>
          <c:idx val="0"/>
          <c:order val="0"/>
          <c:tx>
            <c:strRef>
              <c:f>Sheet1!$A$2</c:f>
              <c:strCache>
                <c:ptCount val="1"/>
                <c:pt idx="0">
                  <c:v>CO</c:v>
                </c:pt>
              </c:strCache>
            </c:strRef>
          </c:tx>
          <c:spPr>
            <a:solidFill>
              <a:srgbClr val="9999FF"/>
            </a:solidFill>
            <a:ln w="12700">
              <a:solidFill>
                <a:srgbClr val="000000"/>
              </a:solidFill>
              <a:prstDash val="solid"/>
            </a:ln>
          </c:spPr>
          <c:invertIfNegative val="0"/>
          <c:cat>
            <c:strRef>
              <c:f>Sheet1!$B$1:$E$1</c:f>
              <c:strCache>
                <c:ptCount val="4"/>
                <c:pt idx="0">
                  <c:v>Rezidential</c:v>
                </c:pt>
                <c:pt idx="1">
                  <c:v>Industrial</c:v>
                </c:pt>
                <c:pt idx="2">
                  <c:v>Transport</c:v>
                </c:pt>
                <c:pt idx="3">
                  <c:v>Agricultura</c:v>
                </c:pt>
              </c:strCache>
            </c:strRef>
          </c:cat>
          <c:val>
            <c:numRef>
              <c:f>Sheet1!$B$2:$E$2</c:f>
              <c:numCache>
                <c:formatCode>General</c:formatCode>
                <c:ptCount val="4"/>
                <c:pt idx="0">
                  <c:v>13348</c:v>
                </c:pt>
                <c:pt idx="1">
                  <c:v>1191</c:v>
                </c:pt>
                <c:pt idx="2">
                  <c:v>1442.4</c:v>
                </c:pt>
                <c:pt idx="3">
                  <c:v>2.2999999999999998</c:v>
                </c:pt>
              </c:numCache>
            </c:numRef>
          </c:val>
        </c:ser>
        <c:ser>
          <c:idx val="1"/>
          <c:order val="1"/>
          <c:tx>
            <c:strRef>
              <c:f>Sheet1!$A$3</c:f>
              <c:strCache>
                <c:ptCount val="1"/>
                <c:pt idx="0">
                  <c:v>NMVOC</c:v>
                </c:pt>
              </c:strCache>
            </c:strRef>
          </c:tx>
          <c:spPr>
            <a:solidFill>
              <a:srgbClr val="993366"/>
            </a:solidFill>
            <a:ln w="12700">
              <a:solidFill>
                <a:srgbClr val="000000"/>
              </a:solidFill>
              <a:prstDash val="solid"/>
            </a:ln>
          </c:spPr>
          <c:invertIfNegative val="0"/>
          <c:cat>
            <c:strRef>
              <c:f>Sheet1!$B$1:$E$1</c:f>
              <c:strCache>
                <c:ptCount val="4"/>
                <c:pt idx="0">
                  <c:v>Rezidential</c:v>
                </c:pt>
                <c:pt idx="1">
                  <c:v>Industrial</c:v>
                </c:pt>
                <c:pt idx="2">
                  <c:v>Transport</c:v>
                </c:pt>
                <c:pt idx="3">
                  <c:v>Agricultura</c:v>
                </c:pt>
              </c:strCache>
            </c:strRef>
          </c:cat>
          <c:val>
            <c:numRef>
              <c:f>Sheet1!$B$3:$E$3</c:f>
              <c:numCache>
                <c:formatCode>General</c:formatCode>
                <c:ptCount val="4"/>
                <c:pt idx="0">
                  <c:v>2676.9</c:v>
                </c:pt>
                <c:pt idx="1">
                  <c:v>23.06</c:v>
                </c:pt>
                <c:pt idx="2">
                  <c:v>179.53</c:v>
                </c:pt>
                <c:pt idx="3">
                  <c:v>322.5</c:v>
                </c:pt>
              </c:numCache>
            </c:numRef>
          </c:val>
        </c:ser>
        <c:ser>
          <c:idx val="2"/>
          <c:order val="2"/>
          <c:tx>
            <c:strRef>
              <c:f>Sheet1!$A$4</c:f>
              <c:strCache>
                <c:ptCount val="1"/>
                <c:pt idx="0">
                  <c:v>N0x</c:v>
                </c:pt>
              </c:strCache>
            </c:strRef>
          </c:tx>
          <c:spPr>
            <a:solidFill>
              <a:srgbClr val="FFFFCC"/>
            </a:solidFill>
            <a:ln w="12700">
              <a:solidFill>
                <a:srgbClr val="000000"/>
              </a:solidFill>
              <a:prstDash val="solid"/>
            </a:ln>
          </c:spPr>
          <c:invertIfNegative val="0"/>
          <c:cat>
            <c:strRef>
              <c:f>Sheet1!$B$1:$E$1</c:f>
              <c:strCache>
                <c:ptCount val="4"/>
                <c:pt idx="0">
                  <c:v>Rezidential</c:v>
                </c:pt>
                <c:pt idx="1">
                  <c:v>Industrial</c:v>
                </c:pt>
                <c:pt idx="2">
                  <c:v>Transport</c:v>
                </c:pt>
                <c:pt idx="3">
                  <c:v>Agricultura</c:v>
                </c:pt>
              </c:strCache>
            </c:strRef>
          </c:cat>
          <c:val>
            <c:numRef>
              <c:f>Sheet1!$B$4:$E$4</c:f>
              <c:numCache>
                <c:formatCode>General</c:formatCode>
                <c:ptCount val="4"/>
                <c:pt idx="0">
                  <c:v>153.44</c:v>
                </c:pt>
                <c:pt idx="1">
                  <c:v>11.43</c:v>
                </c:pt>
                <c:pt idx="2">
                  <c:v>610.70000000000005</c:v>
                </c:pt>
                <c:pt idx="3">
                  <c:v>8.6</c:v>
                </c:pt>
              </c:numCache>
            </c:numRef>
          </c:val>
        </c:ser>
        <c:ser>
          <c:idx val="3"/>
          <c:order val="3"/>
          <c:tx>
            <c:strRef>
              <c:f>Sheet1!$A$5</c:f>
              <c:strCache>
                <c:ptCount val="1"/>
                <c:pt idx="0">
                  <c:v>CH4</c:v>
                </c:pt>
              </c:strCache>
            </c:strRef>
          </c:tx>
          <c:spPr>
            <a:solidFill>
              <a:srgbClr val="CCFFFF"/>
            </a:solidFill>
            <a:ln w="12700">
              <a:solidFill>
                <a:srgbClr val="000000"/>
              </a:solidFill>
              <a:prstDash val="solid"/>
            </a:ln>
          </c:spPr>
          <c:invertIfNegative val="0"/>
          <c:cat>
            <c:strRef>
              <c:f>Sheet1!$B$1:$E$1</c:f>
              <c:strCache>
                <c:ptCount val="4"/>
                <c:pt idx="0">
                  <c:v>Rezidential</c:v>
                </c:pt>
                <c:pt idx="1">
                  <c:v>Industrial</c:v>
                </c:pt>
                <c:pt idx="2">
                  <c:v>Transport</c:v>
                </c:pt>
                <c:pt idx="3">
                  <c:v>Agricultura</c:v>
                </c:pt>
              </c:strCache>
            </c:strRef>
          </c:cat>
          <c:val>
            <c:numRef>
              <c:f>Sheet1!$B$5:$E$5</c:f>
              <c:numCache>
                <c:formatCode>General</c:formatCode>
                <c:ptCount val="4"/>
                <c:pt idx="0">
                  <c:v>0</c:v>
                </c:pt>
                <c:pt idx="1">
                  <c:v>0</c:v>
                </c:pt>
                <c:pt idx="2">
                  <c:v>15.5</c:v>
                </c:pt>
                <c:pt idx="3">
                  <c:v>0.1</c:v>
                </c:pt>
              </c:numCache>
            </c:numRef>
          </c:val>
        </c:ser>
        <c:dLbls>
          <c:showLegendKey val="0"/>
          <c:showVal val="0"/>
          <c:showCatName val="0"/>
          <c:showSerName val="0"/>
          <c:showPercent val="0"/>
          <c:showBubbleSize val="0"/>
        </c:dLbls>
        <c:gapWidth val="150"/>
        <c:gapDepth val="0"/>
        <c:shape val="box"/>
        <c:axId val="300958848"/>
        <c:axId val="300960384"/>
        <c:axId val="0"/>
      </c:bar3DChart>
      <c:catAx>
        <c:axId val="30095884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75" b="1" i="0" u="none" strike="noStrike" baseline="0">
                <a:solidFill>
                  <a:srgbClr val="000000"/>
                </a:solidFill>
                <a:latin typeface="Arial"/>
                <a:ea typeface="Arial"/>
                <a:cs typeface="Arial"/>
              </a:defRPr>
            </a:pPr>
            <a:endParaRPr lang="en-US"/>
          </a:p>
        </c:txPr>
        <c:crossAx val="300960384"/>
        <c:crosses val="autoZero"/>
        <c:auto val="1"/>
        <c:lblAlgn val="ctr"/>
        <c:lblOffset val="100"/>
        <c:tickLblSkip val="1"/>
        <c:tickMarkSkip val="1"/>
        <c:noMultiLvlLbl val="0"/>
      </c:catAx>
      <c:valAx>
        <c:axId val="30096038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75" b="1" i="0" u="none" strike="noStrike" baseline="0">
                <a:solidFill>
                  <a:srgbClr val="000000"/>
                </a:solidFill>
                <a:latin typeface="Arial"/>
                <a:ea typeface="Arial"/>
                <a:cs typeface="Arial"/>
              </a:defRPr>
            </a:pPr>
            <a:endParaRPr lang="en-US"/>
          </a:p>
        </c:txPr>
        <c:crossAx val="300958848"/>
        <c:crosses val="autoZero"/>
        <c:crossBetween val="between"/>
      </c:valAx>
      <c:spPr>
        <a:noFill/>
        <a:ln w="25400">
          <a:noFill/>
        </a:ln>
      </c:spPr>
    </c:plotArea>
    <c:legend>
      <c:legendPos val="r"/>
      <c:layout>
        <c:manualLayout>
          <c:xMode val="edge"/>
          <c:yMode val="edge"/>
          <c:x val="0.86715867158671589"/>
          <c:y val="0.38288288288288286"/>
          <c:w val="0.12546125461254612"/>
          <c:h val="0.38288288288288286"/>
        </c:manualLayout>
      </c:layout>
      <c:overlay val="0"/>
      <c:spPr>
        <a:noFill/>
        <a:ln w="3175">
          <a:solidFill>
            <a:srgbClr val="000000"/>
          </a:solidFill>
          <a:prstDash val="solid"/>
        </a:ln>
      </c:spPr>
      <c:txPr>
        <a:bodyPr/>
        <a:lstStyle/>
        <a:p>
          <a:pPr>
            <a:defRPr sz="895"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975" b="1" i="0" u="none" strike="noStrike" baseline="0">
          <a:solidFill>
            <a:srgbClr val="000000"/>
          </a:solidFill>
          <a:latin typeface="Arial"/>
          <a:ea typeface="Arial"/>
          <a:cs typeface="Arial"/>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Arial"/>
                <a:ea typeface="Arial"/>
                <a:cs typeface="Arial"/>
              </a:defRPr>
            </a:pPr>
            <a:r>
              <a:rPr lang="en-US"/>
              <a:t>Emisii de particule pe sectoare de activitate</a:t>
            </a:r>
          </a:p>
        </c:rich>
      </c:tx>
      <c:layout>
        <c:manualLayout>
          <c:xMode val="edge"/>
          <c:yMode val="edge"/>
          <c:x val="0.27598566308243727"/>
          <c:y val="2.100840336134454E-2"/>
        </c:manualLayout>
      </c:layout>
      <c:overlay val="0"/>
      <c:spPr>
        <a:noFill/>
        <a:ln w="25399">
          <a:noFill/>
        </a:ln>
      </c:spPr>
    </c:title>
    <c:autoTitleDeleted val="0"/>
    <c:view3D>
      <c:rotX val="15"/>
      <c:hPercent val="39"/>
      <c:rotY val="20"/>
      <c:depthPercent val="100"/>
      <c:rAngAx val="1"/>
    </c:view3D>
    <c:floor>
      <c:thickness val="0"/>
      <c:spPr>
        <a:solidFill>
          <a:srgbClr val="CCFFFF"/>
        </a:solidFill>
        <a:ln w="3175">
          <a:solidFill>
            <a:srgbClr val="000000"/>
          </a:solidFill>
          <a:prstDash val="solid"/>
        </a:ln>
      </c:spPr>
    </c:floor>
    <c:sideWall>
      <c:thickness val="0"/>
      <c:spPr>
        <a:solidFill>
          <a:srgbClr val="FFFFCC"/>
        </a:solidFill>
        <a:ln w="12700">
          <a:solidFill>
            <a:srgbClr val="808080"/>
          </a:solidFill>
          <a:prstDash val="solid"/>
        </a:ln>
      </c:spPr>
    </c:sideWall>
    <c:backWall>
      <c:thickness val="0"/>
      <c:spPr>
        <a:solidFill>
          <a:srgbClr val="FFFFCC"/>
        </a:solidFill>
        <a:ln w="12700">
          <a:solidFill>
            <a:srgbClr val="808080"/>
          </a:solidFill>
          <a:prstDash val="solid"/>
        </a:ln>
      </c:spPr>
    </c:backWall>
    <c:plotArea>
      <c:layout>
        <c:manualLayout>
          <c:layoutTarget val="inner"/>
          <c:xMode val="edge"/>
          <c:yMode val="edge"/>
          <c:x val="7.1684587813620068E-2"/>
          <c:y val="0.18487394957983194"/>
          <c:w val="0.81182795698924726"/>
          <c:h val="0.67226890756302526"/>
        </c:manualLayout>
      </c:layout>
      <c:bar3DChart>
        <c:barDir val="col"/>
        <c:grouping val="clustered"/>
        <c:varyColors val="0"/>
        <c:ser>
          <c:idx val="0"/>
          <c:order val="0"/>
          <c:tx>
            <c:strRef>
              <c:f>Sheet1!$A$2</c:f>
              <c:strCache>
                <c:ptCount val="1"/>
                <c:pt idx="0">
                  <c:v>PM10</c:v>
                </c:pt>
              </c:strCache>
            </c:strRef>
          </c:tx>
          <c:spPr>
            <a:solidFill>
              <a:srgbClr val="9999FF"/>
            </a:solidFill>
            <a:ln w="12699">
              <a:solidFill>
                <a:srgbClr val="000000"/>
              </a:solidFill>
              <a:prstDash val="solid"/>
            </a:ln>
          </c:spPr>
          <c:invertIfNegative val="0"/>
          <c:cat>
            <c:strRef>
              <c:f>Sheet1!$B$1:$E$1</c:f>
              <c:strCache>
                <c:ptCount val="4"/>
                <c:pt idx="0">
                  <c:v>Rezidential</c:v>
                </c:pt>
                <c:pt idx="1">
                  <c:v>Industrial</c:v>
                </c:pt>
                <c:pt idx="2">
                  <c:v>Agricultura</c:v>
                </c:pt>
                <c:pt idx="3">
                  <c:v>Trafic</c:v>
                </c:pt>
              </c:strCache>
            </c:strRef>
          </c:cat>
          <c:val>
            <c:numRef>
              <c:f>Sheet1!$B$2:$E$2</c:f>
              <c:numCache>
                <c:formatCode>General</c:formatCode>
                <c:ptCount val="4"/>
                <c:pt idx="0">
                  <c:v>1795.6</c:v>
                </c:pt>
                <c:pt idx="1">
                  <c:v>317.8</c:v>
                </c:pt>
                <c:pt idx="2">
                  <c:v>76.099999999999994</c:v>
                </c:pt>
                <c:pt idx="3">
                  <c:v>34.01</c:v>
                </c:pt>
              </c:numCache>
            </c:numRef>
          </c:val>
        </c:ser>
        <c:ser>
          <c:idx val="1"/>
          <c:order val="1"/>
          <c:tx>
            <c:strRef>
              <c:f>Sheet1!$A$3</c:f>
              <c:strCache>
                <c:ptCount val="1"/>
                <c:pt idx="0">
                  <c:v>PM2,5</c:v>
                </c:pt>
              </c:strCache>
            </c:strRef>
          </c:tx>
          <c:spPr>
            <a:solidFill>
              <a:srgbClr val="993366"/>
            </a:solidFill>
            <a:ln w="12699">
              <a:solidFill>
                <a:srgbClr val="000000"/>
              </a:solidFill>
              <a:prstDash val="solid"/>
            </a:ln>
          </c:spPr>
          <c:invertIfNegative val="0"/>
          <c:cat>
            <c:strRef>
              <c:f>Sheet1!$B$1:$E$1</c:f>
              <c:strCache>
                <c:ptCount val="4"/>
                <c:pt idx="0">
                  <c:v>Rezidential</c:v>
                </c:pt>
                <c:pt idx="1">
                  <c:v>Industrial</c:v>
                </c:pt>
                <c:pt idx="2">
                  <c:v>Agricultura</c:v>
                </c:pt>
                <c:pt idx="3">
                  <c:v>Trafic</c:v>
                </c:pt>
              </c:strCache>
            </c:strRef>
          </c:cat>
          <c:val>
            <c:numRef>
              <c:f>Sheet1!$B$3:$E$3</c:f>
              <c:numCache>
                <c:formatCode>General</c:formatCode>
                <c:ptCount val="4"/>
                <c:pt idx="0">
                  <c:v>175.6</c:v>
                </c:pt>
                <c:pt idx="1">
                  <c:v>74</c:v>
                </c:pt>
                <c:pt idx="2">
                  <c:v>10.4</c:v>
                </c:pt>
                <c:pt idx="3">
                  <c:v>29.58</c:v>
                </c:pt>
              </c:numCache>
            </c:numRef>
          </c:val>
        </c:ser>
        <c:dLbls>
          <c:showLegendKey val="0"/>
          <c:showVal val="0"/>
          <c:showCatName val="0"/>
          <c:showSerName val="0"/>
          <c:showPercent val="0"/>
          <c:showBubbleSize val="0"/>
        </c:dLbls>
        <c:gapWidth val="150"/>
        <c:gapDepth val="0"/>
        <c:shape val="box"/>
        <c:axId val="300994560"/>
        <c:axId val="300996096"/>
        <c:axId val="0"/>
      </c:bar3DChart>
      <c:catAx>
        <c:axId val="30099456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300996096"/>
        <c:crosses val="autoZero"/>
        <c:auto val="1"/>
        <c:lblAlgn val="ctr"/>
        <c:lblOffset val="100"/>
        <c:tickLblSkip val="1"/>
        <c:tickMarkSkip val="1"/>
        <c:noMultiLvlLbl val="0"/>
      </c:catAx>
      <c:valAx>
        <c:axId val="30099609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300994560"/>
        <c:crosses val="autoZero"/>
        <c:crossBetween val="between"/>
      </c:valAx>
      <c:spPr>
        <a:noFill/>
        <a:ln w="25399">
          <a:noFill/>
        </a:ln>
      </c:spPr>
    </c:plotArea>
    <c:legend>
      <c:legendPos val="r"/>
      <c:layout>
        <c:manualLayout>
          <c:xMode val="edge"/>
          <c:yMode val="edge"/>
          <c:x val="0.90322580645161288"/>
          <c:y val="0.48739495798319327"/>
          <c:w val="8.9605734767025089E-2"/>
          <c:h val="0.1638655462184874"/>
        </c:manualLayout>
      </c:layout>
      <c:overlay val="0"/>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050" b="1" i="0" u="none" strike="noStrike" baseline="0">
          <a:solidFill>
            <a:srgbClr val="000000"/>
          </a:solidFill>
          <a:latin typeface="Arial"/>
          <a:ea typeface="Arial"/>
          <a:cs typeface="Arial"/>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Arial"/>
                <a:ea typeface="Arial"/>
                <a:cs typeface="Arial"/>
              </a:defRPr>
            </a:pPr>
            <a:r>
              <a:rPr lang="en-US"/>
              <a:t>Emisii rezultate din producerea de energie electrica si termica, tone</a:t>
            </a:r>
          </a:p>
        </c:rich>
      </c:tx>
      <c:layout>
        <c:manualLayout>
          <c:xMode val="edge"/>
          <c:yMode val="edge"/>
          <c:x val="0.15412186379928317"/>
          <c:y val="2.197802197802198E-2"/>
        </c:manualLayout>
      </c:layout>
      <c:overlay val="0"/>
      <c:spPr>
        <a:noFill/>
        <a:ln w="25400">
          <a:noFill/>
        </a:ln>
      </c:spPr>
    </c:title>
    <c:autoTitleDeleted val="0"/>
    <c:view3D>
      <c:rotX val="15"/>
      <c:hPercent val="38"/>
      <c:rotY val="20"/>
      <c:depthPercent val="100"/>
      <c:rAngAx val="1"/>
    </c:view3D>
    <c:floor>
      <c:thickness val="0"/>
      <c:spPr>
        <a:solidFill>
          <a:srgbClr val="C0C0C0"/>
        </a:solidFill>
        <a:ln w="3175">
          <a:solidFill>
            <a:srgbClr val="000000"/>
          </a:solidFill>
          <a:prstDash val="solid"/>
        </a:ln>
      </c:spPr>
    </c:floor>
    <c:sideWall>
      <c:thickness val="0"/>
      <c:spPr>
        <a:solidFill>
          <a:srgbClr val="FFFFCC"/>
        </a:solidFill>
        <a:ln w="12700">
          <a:solidFill>
            <a:srgbClr val="808080"/>
          </a:solidFill>
          <a:prstDash val="solid"/>
        </a:ln>
      </c:spPr>
    </c:sideWall>
    <c:backWall>
      <c:thickness val="0"/>
      <c:spPr>
        <a:solidFill>
          <a:srgbClr val="FFFFCC"/>
        </a:solidFill>
        <a:ln w="12700">
          <a:solidFill>
            <a:srgbClr val="808080"/>
          </a:solidFill>
          <a:prstDash val="solid"/>
        </a:ln>
      </c:spPr>
    </c:backWall>
    <c:plotArea>
      <c:layout>
        <c:manualLayout>
          <c:layoutTarget val="inner"/>
          <c:xMode val="edge"/>
          <c:yMode val="edge"/>
          <c:x val="8.2437275985663083E-2"/>
          <c:y val="0.23626373626373626"/>
          <c:w val="0.56093189964157708"/>
          <c:h val="0.57692307692307687"/>
        </c:manualLayout>
      </c:layout>
      <c:bar3DChart>
        <c:barDir val="col"/>
        <c:grouping val="clustered"/>
        <c:varyColors val="0"/>
        <c:ser>
          <c:idx val="0"/>
          <c:order val="0"/>
          <c:tx>
            <c:strRef>
              <c:f>Sheet1!$A$2</c:f>
              <c:strCache>
                <c:ptCount val="1"/>
                <c:pt idx="0">
                  <c:v>Productie de energie electrica si termica</c:v>
                </c:pt>
              </c:strCache>
            </c:strRef>
          </c:tx>
          <c:spPr>
            <a:solidFill>
              <a:srgbClr val="9999FF"/>
            </a:solidFill>
            <a:ln w="12700">
              <a:solidFill>
                <a:srgbClr val="000000"/>
              </a:solidFill>
              <a:prstDash val="solid"/>
            </a:ln>
          </c:spPr>
          <c:invertIfNegative val="0"/>
          <c:cat>
            <c:strRef>
              <c:f>Sheet1!$B$1:$F$1</c:f>
              <c:strCache>
                <c:ptCount val="5"/>
                <c:pt idx="0">
                  <c:v>SO2</c:v>
                </c:pt>
                <c:pt idx="1">
                  <c:v>Nox</c:v>
                </c:pt>
                <c:pt idx="2">
                  <c:v>NMVOC</c:v>
                </c:pt>
                <c:pt idx="3">
                  <c:v>PM10</c:v>
                </c:pt>
                <c:pt idx="4">
                  <c:v>CO</c:v>
                </c:pt>
              </c:strCache>
            </c:strRef>
          </c:cat>
          <c:val>
            <c:numRef>
              <c:f>Sheet1!$B$2:$F$2</c:f>
              <c:numCache>
                <c:formatCode>General</c:formatCode>
                <c:ptCount val="5"/>
                <c:pt idx="0">
                  <c:v>24.11</c:v>
                </c:pt>
                <c:pt idx="1">
                  <c:v>153.44</c:v>
                </c:pt>
                <c:pt idx="2">
                  <c:v>2676.9</c:v>
                </c:pt>
                <c:pt idx="3">
                  <c:v>1795.6</c:v>
                </c:pt>
                <c:pt idx="4">
                  <c:v>13348</c:v>
                </c:pt>
              </c:numCache>
            </c:numRef>
          </c:val>
        </c:ser>
        <c:dLbls>
          <c:showLegendKey val="0"/>
          <c:showVal val="0"/>
          <c:showCatName val="0"/>
          <c:showSerName val="0"/>
          <c:showPercent val="0"/>
          <c:showBubbleSize val="0"/>
        </c:dLbls>
        <c:gapWidth val="150"/>
        <c:gapDepth val="0"/>
        <c:shape val="box"/>
        <c:axId val="301741952"/>
        <c:axId val="301743488"/>
        <c:axId val="0"/>
      </c:bar3DChart>
      <c:catAx>
        <c:axId val="30174195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301743488"/>
        <c:crosses val="autoZero"/>
        <c:auto val="1"/>
        <c:lblAlgn val="ctr"/>
        <c:lblOffset val="100"/>
        <c:tickLblSkip val="1"/>
        <c:tickMarkSkip val="1"/>
        <c:noMultiLvlLbl val="0"/>
      </c:catAx>
      <c:valAx>
        <c:axId val="30174348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301741952"/>
        <c:crosses val="autoZero"/>
        <c:crossBetween val="between"/>
      </c:valAx>
      <c:spPr>
        <a:noFill/>
        <a:ln w="25400">
          <a:noFill/>
        </a:ln>
      </c:spPr>
    </c:plotArea>
    <c:legend>
      <c:legendPos val="r"/>
      <c:layout>
        <c:manualLayout>
          <c:xMode val="edge"/>
          <c:yMode val="edge"/>
          <c:x val="0.6630824372759857"/>
          <c:y val="0.48901098901098899"/>
          <c:w val="0.32974910394265233"/>
          <c:h val="0.18681318681318682"/>
        </c:manualLayout>
      </c:layout>
      <c:overlay val="0"/>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800" b="1" i="0" u="none" strike="noStrike" baseline="0">
          <a:solidFill>
            <a:srgbClr val="000000"/>
          </a:solidFill>
          <a:latin typeface="Arial"/>
          <a:ea typeface="Arial"/>
          <a:cs typeface="Arial"/>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98" b="1" i="0" u="none" strike="noStrike" baseline="0">
                <a:solidFill>
                  <a:srgbClr val="000000"/>
                </a:solidFill>
                <a:latin typeface="Arial"/>
                <a:ea typeface="Arial"/>
                <a:cs typeface="Arial"/>
              </a:defRPr>
            </a:pPr>
            <a:r>
              <a:rPr lang="en-US"/>
              <a:t>Emisii rezultate din sectorul industrial, tone</a:t>
            </a:r>
          </a:p>
        </c:rich>
      </c:tx>
      <c:layout>
        <c:manualLayout>
          <c:xMode val="edge"/>
          <c:yMode val="edge"/>
          <c:x val="0.27777777777777779"/>
          <c:y val="1.8633540372670808E-2"/>
        </c:manualLayout>
      </c:layout>
      <c:overlay val="0"/>
      <c:spPr>
        <a:noFill/>
        <a:ln w="25355">
          <a:noFill/>
        </a:ln>
      </c:spPr>
    </c:title>
    <c:autoTitleDeleted val="0"/>
    <c:view3D>
      <c:rotX val="15"/>
      <c:hPercent val="61"/>
      <c:rotY val="20"/>
      <c:depthPercent val="100"/>
      <c:rAngAx val="1"/>
    </c:view3D>
    <c:floor>
      <c:thickness val="0"/>
      <c:spPr>
        <a:solidFill>
          <a:srgbClr val="C0C0C0"/>
        </a:solidFill>
        <a:ln w="3175">
          <a:solidFill>
            <a:srgbClr val="000000"/>
          </a:solidFill>
          <a:prstDash val="solid"/>
        </a:ln>
      </c:spPr>
    </c:floor>
    <c:sideWall>
      <c:thickness val="0"/>
      <c:spPr>
        <a:solidFill>
          <a:srgbClr val="FFFFCC"/>
        </a:solidFill>
        <a:ln w="12700">
          <a:solidFill>
            <a:srgbClr val="808080"/>
          </a:solidFill>
          <a:prstDash val="solid"/>
        </a:ln>
      </c:spPr>
    </c:sideWall>
    <c:backWall>
      <c:thickness val="0"/>
      <c:spPr>
        <a:solidFill>
          <a:srgbClr val="FFFFCC"/>
        </a:solidFill>
        <a:ln w="12700">
          <a:solidFill>
            <a:srgbClr val="808080"/>
          </a:solidFill>
          <a:prstDash val="solid"/>
        </a:ln>
      </c:spPr>
    </c:backWall>
    <c:plotArea>
      <c:layout>
        <c:manualLayout>
          <c:layoutTarget val="inner"/>
          <c:xMode val="edge"/>
          <c:yMode val="edge"/>
          <c:x val="9.6774193548387094E-2"/>
          <c:y val="0.15838509316770186"/>
          <c:w val="0.70967741935483875"/>
          <c:h val="0.71118012422360244"/>
        </c:manualLayout>
      </c:layout>
      <c:bar3DChart>
        <c:barDir val="col"/>
        <c:grouping val="clustered"/>
        <c:varyColors val="0"/>
        <c:ser>
          <c:idx val="0"/>
          <c:order val="0"/>
          <c:tx>
            <c:strRef>
              <c:f>Sheet1!$A$2</c:f>
              <c:strCache>
                <c:ptCount val="1"/>
                <c:pt idx="0">
                  <c:v>Industrie</c:v>
                </c:pt>
              </c:strCache>
            </c:strRef>
          </c:tx>
          <c:spPr>
            <a:solidFill>
              <a:srgbClr val="9999FF"/>
            </a:solidFill>
            <a:ln w="12678">
              <a:solidFill>
                <a:srgbClr val="000000"/>
              </a:solidFill>
              <a:prstDash val="solid"/>
            </a:ln>
          </c:spPr>
          <c:invertIfNegative val="0"/>
          <c:cat>
            <c:strRef>
              <c:f>Sheet1!$B$1:$F$1</c:f>
              <c:strCache>
                <c:ptCount val="5"/>
                <c:pt idx="0">
                  <c:v>SO2</c:v>
                </c:pt>
                <c:pt idx="1">
                  <c:v>Nox</c:v>
                </c:pt>
                <c:pt idx="2">
                  <c:v>NMVOC</c:v>
                </c:pt>
                <c:pt idx="3">
                  <c:v>PM10</c:v>
                </c:pt>
                <c:pt idx="4">
                  <c:v>CO</c:v>
                </c:pt>
              </c:strCache>
            </c:strRef>
          </c:cat>
          <c:val>
            <c:numRef>
              <c:f>Sheet1!$B$2:$F$2</c:f>
              <c:numCache>
                <c:formatCode>General</c:formatCode>
                <c:ptCount val="5"/>
                <c:pt idx="0">
                  <c:v>12.7</c:v>
                </c:pt>
                <c:pt idx="1">
                  <c:v>102</c:v>
                </c:pt>
                <c:pt idx="2">
                  <c:v>101.6</c:v>
                </c:pt>
                <c:pt idx="3">
                  <c:v>48.2</c:v>
                </c:pt>
                <c:pt idx="4">
                  <c:v>1192</c:v>
                </c:pt>
              </c:numCache>
            </c:numRef>
          </c:val>
        </c:ser>
        <c:dLbls>
          <c:showLegendKey val="0"/>
          <c:showVal val="0"/>
          <c:showCatName val="0"/>
          <c:showSerName val="0"/>
          <c:showPercent val="0"/>
          <c:showBubbleSize val="0"/>
        </c:dLbls>
        <c:gapWidth val="150"/>
        <c:gapDepth val="0"/>
        <c:shape val="box"/>
        <c:axId val="307363840"/>
        <c:axId val="307365376"/>
        <c:axId val="0"/>
      </c:bar3DChart>
      <c:catAx>
        <c:axId val="307363840"/>
        <c:scaling>
          <c:orientation val="minMax"/>
        </c:scaling>
        <c:delete val="0"/>
        <c:axPos val="b"/>
        <c:numFmt formatCode="General" sourceLinked="1"/>
        <c:majorTickMark val="out"/>
        <c:minorTickMark val="none"/>
        <c:tickLblPos val="low"/>
        <c:spPr>
          <a:ln w="3169">
            <a:solidFill>
              <a:srgbClr val="000000"/>
            </a:solidFill>
            <a:prstDash val="solid"/>
          </a:ln>
        </c:spPr>
        <c:txPr>
          <a:bodyPr rot="0" vert="horz"/>
          <a:lstStyle/>
          <a:p>
            <a:pPr>
              <a:defRPr sz="1198" b="1" i="0" u="none" strike="noStrike" baseline="0">
                <a:solidFill>
                  <a:srgbClr val="000000"/>
                </a:solidFill>
                <a:latin typeface="Arial"/>
                <a:ea typeface="Arial"/>
                <a:cs typeface="Arial"/>
              </a:defRPr>
            </a:pPr>
            <a:endParaRPr lang="en-US"/>
          </a:p>
        </c:txPr>
        <c:crossAx val="307365376"/>
        <c:crosses val="autoZero"/>
        <c:auto val="1"/>
        <c:lblAlgn val="ctr"/>
        <c:lblOffset val="100"/>
        <c:tickLblSkip val="1"/>
        <c:tickMarkSkip val="1"/>
        <c:noMultiLvlLbl val="0"/>
      </c:catAx>
      <c:valAx>
        <c:axId val="307365376"/>
        <c:scaling>
          <c:orientation val="minMax"/>
        </c:scaling>
        <c:delete val="0"/>
        <c:axPos val="l"/>
        <c:majorGridlines>
          <c:spPr>
            <a:ln w="3169">
              <a:solidFill>
                <a:srgbClr val="000000"/>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sz="1198" b="1" i="0" u="none" strike="noStrike" baseline="0">
                <a:solidFill>
                  <a:srgbClr val="000000"/>
                </a:solidFill>
                <a:latin typeface="Arial"/>
                <a:ea typeface="Arial"/>
                <a:cs typeface="Arial"/>
              </a:defRPr>
            </a:pPr>
            <a:endParaRPr lang="en-US"/>
          </a:p>
        </c:txPr>
        <c:crossAx val="307363840"/>
        <c:crosses val="autoZero"/>
        <c:crossBetween val="between"/>
      </c:valAx>
      <c:spPr>
        <a:noFill/>
        <a:ln w="25355">
          <a:noFill/>
        </a:ln>
      </c:spPr>
    </c:plotArea>
    <c:legend>
      <c:legendPos val="r"/>
      <c:layout>
        <c:manualLayout>
          <c:xMode val="edge"/>
          <c:yMode val="edge"/>
          <c:x val="0.8261648745519713"/>
          <c:y val="0.51552795031055898"/>
          <c:w val="0.16666666666666666"/>
          <c:h val="7.7639751552795025E-2"/>
        </c:manualLayout>
      </c:layout>
      <c:overlay val="0"/>
      <c:spPr>
        <a:noFill/>
        <a:ln w="3169">
          <a:solidFill>
            <a:srgbClr val="000000"/>
          </a:solidFill>
          <a:prstDash val="solid"/>
        </a:ln>
      </c:spPr>
      <c:txPr>
        <a:bodyPr/>
        <a:lstStyle/>
        <a:p>
          <a:pPr>
            <a:defRPr sz="1098"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423" b="1" i="0" u="none" strike="noStrike" baseline="0">
          <a:solidFill>
            <a:srgbClr val="000000"/>
          </a:solidFill>
          <a:latin typeface="Arial"/>
          <a:ea typeface="Arial"/>
          <a:cs typeface="Arial"/>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98" b="1" i="0" u="none" strike="noStrike" baseline="0">
                <a:solidFill>
                  <a:srgbClr val="000000"/>
                </a:solidFill>
                <a:latin typeface="Arial"/>
                <a:ea typeface="Arial"/>
                <a:cs typeface="Arial"/>
              </a:defRPr>
            </a:pPr>
            <a:r>
              <a:rPr lang="en-US"/>
              <a:t>Emisii de poluanti proveniti din trafic</a:t>
            </a:r>
          </a:p>
        </c:rich>
      </c:tx>
      <c:layout>
        <c:manualLayout>
          <c:xMode val="edge"/>
          <c:yMode val="edge"/>
          <c:x val="0.31347962382445144"/>
          <c:y val="1.8315018315018316E-2"/>
        </c:manualLayout>
      </c:layout>
      <c:overlay val="0"/>
      <c:spPr>
        <a:noFill/>
        <a:ln w="25361">
          <a:noFill/>
        </a:ln>
      </c:spPr>
    </c:title>
    <c:autoTitleDeleted val="0"/>
    <c:view3D>
      <c:rotX val="15"/>
      <c:hPercent val="46"/>
      <c:rotY val="20"/>
      <c:depthPercent val="100"/>
      <c:rAngAx val="1"/>
    </c:view3D>
    <c:floor>
      <c:thickness val="0"/>
      <c:spPr>
        <a:solidFill>
          <a:srgbClr val="C0C0C0"/>
        </a:solidFill>
        <a:ln w="3175">
          <a:solidFill>
            <a:srgbClr val="000000"/>
          </a:solidFill>
          <a:prstDash val="solid"/>
        </a:ln>
      </c:spPr>
    </c:floor>
    <c:sideWall>
      <c:thickness val="0"/>
      <c:spPr>
        <a:solidFill>
          <a:srgbClr val="CCCCFF"/>
        </a:solidFill>
        <a:ln w="12700">
          <a:solidFill>
            <a:srgbClr val="808080"/>
          </a:solidFill>
          <a:prstDash val="solid"/>
        </a:ln>
      </c:spPr>
    </c:sideWall>
    <c:backWall>
      <c:thickness val="0"/>
      <c:spPr>
        <a:solidFill>
          <a:srgbClr val="CCCCFF"/>
        </a:solidFill>
        <a:ln w="12700">
          <a:solidFill>
            <a:srgbClr val="808080"/>
          </a:solidFill>
          <a:prstDash val="solid"/>
        </a:ln>
      </c:spPr>
    </c:backWall>
    <c:plotArea>
      <c:layout>
        <c:manualLayout>
          <c:layoutTarget val="inner"/>
          <c:xMode val="edge"/>
          <c:yMode val="edge"/>
          <c:x val="8.4639498432601878E-2"/>
          <c:y val="0.20146520146520147"/>
          <c:w val="0.68338557993730409"/>
          <c:h val="0.64468864468864473"/>
        </c:manualLayout>
      </c:layout>
      <c:bar3DChart>
        <c:barDir val="col"/>
        <c:grouping val="clustered"/>
        <c:varyColors val="0"/>
        <c:ser>
          <c:idx val="0"/>
          <c:order val="0"/>
          <c:tx>
            <c:strRef>
              <c:f>Sheet1!$A$2</c:f>
              <c:strCache>
                <c:ptCount val="1"/>
                <c:pt idx="0">
                  <c:v>Nox</c:v>
                </c:pt>
              </c:strCache>
            </c:strRef>
          </c:tx>
          <c:spPr>
            <a:solidFill>
              <a:srgbClr val="9999FF"/>
            </a:solidFill>
            <a:ln w="12680">
              <a:solidFill>
                <a:srgbClr val="000000"/>
              </a:solidFill>
              <a:prstDash val="solid"/>
            </a:ln>
          </c:spPr>
          <c:invertIfNegative val="0"/>
          <c:cat>
            <c:numRef>
              <c:f>Sheet1!$B$1:$G$1</c:f>
              <c:numCache>
                <c:formatCode>General</c:formatCode>
                <c:ptCount val="6"/>
                <c:pt idx="0">
                  <c:v>2010</c:v>
                </c:pt>
                <c:pt idx="1">
                  <c:v>2011</c:v>
                </c:pt>
                <c:pt idx="2">
                  <c:v>2012</c:v>
                </c:pt>
                <c:pt idx="3">
                  <c:v>2013</c:v>
                </c:pt>
                <c:pt idx="4">
                  <c:v>2014</c:v>
                </c:pt>
                <c:pt idx="5">
                  <c:v>2015</c:v>
                </c:pt>
              </c:numCache>
            </c:numRef>
          </c:cat>
          <c:val>
            <c:numRef>
              <c:f>Sheet1!$B$2:$G$2</c:f>
              <c:numCache>
                <c:formatCode>General</c:formatCode>
                <c:ptCount val="6"/>
                <c:pt idx="0">
                  <c:v>1321</c:v>
                </c:pt>
                <c:pt idx="1">
                  <c:v>1388</c:v>
                </c:pt>
                <c:pt idx="2">
                  <c:v>1387.6</c:v>
                </c:pt>
                <c:pt idx="3">
                  <c:v>739.4</c:v>
                </c:pt>
                <c:pt idx="4">
                  <c:v>610.70000000000005</c:v>
                </c:pt>
                <c:pt idx="5">
                  <c:v>610</c:v>
                </c:pt>
              </c:numCache>
            </c:numRef>
          </c:val>
        </c:ser>
        <c:ser>
          <c:idx val="1"/>
          <c:order val="1"/>
          <c:tx>
            <c:strRef>
              <c:f>Sheet1!$A$3</c:f>
              <c:strCache>
                <c:ptCount val="1"/>
                <c:pt idx="0">
                  <c:v>CO</c:v>
                </c:pt>
              </c:strCache>
            </c:strRef>
          </c:tx>
          <c:spPr>
            <a:solidFill>
              <a:srgbClr val="993366"/>
            </a:solidFill>
            <a:ln w="12680">
              <a:solidFill>
                <a:srgbClr val="000000"/>
              </a:solidFill>
              <a:prstDash val="solid"/>
            </a:ln>
          </c:spPr>
          <c:invertIfNegative val="0"/>
          <c:cat>
            <c:numRef>
              <c:f>Sheet1!$B$1:$G$1</c:f>
              <c:numCache>
                <c:formatCode>General</c:formatCode>
                <c:ptCount val="6"/>
                <c:pt idx="0">
                  <c:v>2010</c:v>
                </c:pt>
                <c:pt idx="1">
                  <c:v>2011</c:v>
                </c:pt>
                <c:pt idx="2">
                  <c:v>2012</c:v>
                </c:pt>
                <c:pt idx="3">
                  <c:v>2013</c:v>
                </c:pt>
                <c:pt idx="4">
                  <c:v>2014</c:v>
                </c:pt>
                <c:pt idx="5">
                  <c:v>2015</c:v>
                </c:pt>
              </c:numCache>
            </c:numRef>
          </c:cat>
          <c:val>
            <c:numRef>
              <c:f>Sheet1!$B$3:$G$3</c:f>
              <c:numCache>
                <c:formatCode>General</c:formatCode>
                <c:ptCount val="6"/>
                <c:pt idx="0">
                  <c:v>3803.9</c:v>
                </c:pt>
                <c:pt idx="1">
                  <c:v>4254.8</c:v>
                </c:pt>
                <c:pt idx="2">
                  <c:v>4222.5</c:v>
                </c:pt>
                <c:pt idx="3">
                  <c:v>1484.4</c:v>
                </c:pt>
                <c:pt idx="4">
                  <c:v>1442.5</c:v>
                </c:pt>
                <c:pt idx="5">
                  <c:v>1443</c:v>
                </c:pt>
              </c:numCache>
            </c:numRef>
          </c:val>
        </c:ser>
        <c:ser>
          <c:idx val="2"/>
          <c:order val="2"/>
          <c:tx>
            <c:strRef>
              <c:f>Sheet1!$A$4</c:f>
              <c:strCache>
                <c:ptCount val="1"/>
                <c:pt idx="0">
                  <c:v>NH3</c:v>
                </c:pt>
              </c:strCache>
            </c:strRef>
          </c:tx>
          <c:spPr>
            <a:solidFill>
              <a:srgbClr val="FFFFCC"/>
            </a:solidFill>
            <a:ln w="12680">
              <a:solidFill>
                <a:srgbClr val="000000"/>
              </a:solidFill>
              <a:prstDash val="solid"/>
            </a:ln>
          </c:spPr>
          <c:invertIfNegative val="0"/>
          <c:cat>
            <c:numRef>
              <c:f>Sheet1!$B$1:$G$1</c:f>
              <c:numCache>
                <c:formatCode>General</c:formatCode>
                <c:ptCount val="6"/>
                <c:pt idx="0">
                  <c:v>2010</c:v>
                </c:pt>
                <c:pt idx="1">
                  <c:v>2011</c:v>
                </c:pt>
                <c:pt idx="2">
                  <c:v>2012</c:v>
                </c:pt>
                <c:pt idx="3">
                  <c:v>2013</c:v>
                </c:pt>
                <c:pt idx="4">
                  <c:v>2014</c:v>
                </c:pt>
                <c:pt idx="5">
                  <c:v>2015</c:v>
                </c:pt>
              </c:numCache>
            </c:numRef>
          </c:cat>
          <c:val>
            <c:numRef>
              <c:f>Sheet1!$B$4:$G$4</c:f>
              <c:numCache>
                <c:formatCode>General</c:formatCode>
                <c:ptCount val="6"/>
                <c:pt idx="0">
                  <c:v>9.9</c:v>
                </c:pt>
                <c:pt idx="1">
                  <c:v>10.199999999999999</c:v>
                </c:pt>
                <c:pt idx="2">
                  <c:v>16.8</c:v>
                </c:pt>
                <c:pt idx="3">
                  <c:v>5.09</c:v>
                </c:pt>
                <c:pt idx="4">
                  <c:v>5.28</c:v>
                </c:pt>
                <c:pt idx="5">
                  <c:v>6.75</c:v>
                </c:pt>
              </c:numCache>
            </c:numRef>
          </c:val>
        </c:ser>
        <c:ser>
          <c:idx val="3"/>
          <c:order val="3"/>
          <c:tx>
            <c:strRef>
              <c:f>Sheet1!$A$5</c:f>
              <c:strCache>
                <c:ptCount val="1"/>
                <c:pt idx="0">
                  <c:v>N2o</c:v>
                </c:pt>
              </c:strCache>
            </c:strRef>
          </c:tx>
          <c:spPr>
            <a:solidFill>
              <a:srgbClr val="CCFFFF"/>
            </a:solidFill>
            <a:ln w="12680">
              <a:solidFill>
                <a:srgbClr val="000000"/>
              </a:solidFill>
              <a:prstDash val="solid"/>
            </a:ln>
          </c:spPr>
          <c:invertIfNegative val="0"/>
          <c:cat>
            <c:numRef>
              <c:f>Sheet1!$B$1:$G$1</c:f>
              <c:numCache>
                <c:formatCode>General</c:formatCode>
                <c:ptCount val="6"/>
                <c:pt idx="0">
                  <c:v>2010</c:v>
                </c:pt>
                <c:pt idx="1">
                  <c:v>2011</c:v>
                </c:pt>
                <c:pt idx="2">
                  <c:v>2012</c:v>
                </c:pt>
                <c:pt idx="3">
                  <c:v>2013</c:v>
                </c:pt>
                <c:pt idx="4">
                  <c:v>2014</c:v>
                </c:pt>
                <c:pt idx="5">
                  <c:v>2015</c:v>
                </c:pt>
              </c:numCache>
            </c:numRef>
          </c:cat>
          <c:val>
            <c:numRef>
              <c:f>Sheet1!$B$5:$G$5</c:f>
              <c:numCache>
                <c:formatCode>General</c:formatCode>
                <c:ptCount val="6"/>
                <c:pt idx="0">
                  <c:v>5.6</c:v>
                </c:pt>
                <c:pt idx="1">
                  <c:v>5.9</c:v>
                </c:pt>
                <c:pt idx="2">
                  <c:v>6.9</c:v>
                </c:pt>
                <c:pt idx="3">
                  <c:v>2.7</c:v>
                </c:pt>
                <c:pt idx="4">
                  <c:v>3.12</c:v>
                </c:pt>
                <c:pt idx="5">
                  <c:v>3.12</c:v>
                </c:pt>
              </c:numCache>
            </c:numRef>
          </c:val>
        </c:ser>
        <c:ser>
          <c:idx val="4"/>
          <c:order val="4"/>
          <c:tx>
            <c:strRef>
              <c:f>Sheet1!$A$6</c:f>
              <c:strCache>
                <c:ptCount val="1"/>
                <c:pt idx="0">
                  <c:v>NMVOC</c:v>
                </c:pt>
              </c:strCache>
            </c:strRef>
          </c:tx>
          <c:spPr>
            <a:solidFill>
              <a:srgbClr val="660066"/>
            </a:solidFill>
            <a:ln w="12680">
              <a:solidFill>
                <a:srgbClr val="000000"/>
              </a:solidFill>
              <a:prstDash val="solid"/>
            </a:ln>
          </c:spPr>
          <c:invertIfNegative val="0"/>
          <c:cat>
            <c:numRef>
              <c:f>Sheet1!$B$1:$G$1</c:f>
              <c:numCache>
                <c:formatCode>General</c:formatCode>
                <c:ptCount val="6"/>
                <c:pt idx="0">
                  <c:v>2010</c:v>
                </c:pt>
                <c:pt idx="1">
                  <c:v>2011</c:v>
                </c:pt>
                <c:pt idx="2">
                  <c:v>2012</c:v>
                </c:pt>
                <c:pt idx="3">
                  <c:v>2013</c:v>
                </c:pt>
                <c:pt idx="4">
                  <c:v>2014</c:v>
                </c:pt>
                <c:pt idx="5">
                  <c:v>2015</c:v>
                </c:pt>
              </c:numCache>
            </c:numRef>
          </c:cat>
          <c:val>
            <c:numRef>
              <c:f>Sheet1!$B$6:$G$6</c:f>
              <c:numCache>
                <c:formatCode>General</c:formatCode>
                <c:ptCount val="6"/>
                <c:pt idx="0">
                  <c:v>617.70000000000005</c:v>
                </c:pt>
                <c:pt idx="1">
                  <c:v>694.1</c:v>
                </c:pt>
                <c:pt idx="2">
                  <c:v>587.6</c:v>
                </c:pt>
                <c:pt idx="3">
                  <c:v>189.8</c:v>
                </c:pt>
                <c:pt idx="4">
                  <c:v>179.6</c:v>
                </c:pt>
                <c:pt idx="5">
                  <c:v>179.53</c:v>
                </c:pt>
              </c:numCache>
            </c:numRef>
          </c:val>
        </c:ser>
        <c:ser>
          <c:idx val="5"/>
          <c:order val="5"/>
          <c:tx>
            <c:strRef>
              <c:f>Sheet1!$A$7</c:f>
              <c:strCache>
                <c:ptCount val="1"/>
                <c:pt idx="0">
                  <c:v>CH4</c:v>
                </c:pt>
              </c:strCache>
            </c:strRef>
          </c:tx>
          <c:spPr>
            <a:solidFill>
              <a:srgbClr val="FF8080"/>
            </a:solidFill>
            <a:ln w="12680">
              <a:solidFill>
                <a:srgbClr val="000000"/>
              </a:solidFill>
              <a:prstDash val="solid"/>
            </a:ln>
          </c:spPr>
          <c:invertIfNegative val="0"/>
          <c:cat>
            <c:numRef>
              <c:f>Sheet1!$B$1:$G$1</c:f>
              <c:numCache>
                <c:formatCode>General</c:formatCode>
                <c:ptCount val="6"/>
                <c:pt idx="0">
                  <c:v>2010</c:v>
                </c:pt>
                <c:pt idx="1">
                  <c:v>2011</c:v>
                </c:pt>
                <c:pt idx="2">
                  <c:v>2012</c:v>
                </c:pt>
                <c:pt idx="3">
                  <c:v>2013</c:v>
                </c:pt>
                <c:pt idx="4">
                  <c:v>2014</c:v>
                </c:pt>
                <c:pt idx="5">
                  <c:v>2015</c:v>
                </c:pt>
              </c:numCache>
            </c:numRef>
          </c:cat>
          <c:val>
            <c:numRef>
              <c:f>Sheet1!$B$7:$G$7</c:f>
              <c:numCache>
                <c:formatCode>General</c:formatCode>
                <c:ptCount val="6"/>
                <c:pt idx="0">
                  <c:v>27.9</c:v>
                </c:pt>
                <c:pt idx="1">
                  <c:v>28.5</c:v>
                </c:pt>
                <c:pt idx="2">
                  <c:v>36.6</c:v>
                </c:pt>
                <c:pt idx="3">
                  <c:v>20.6</c:v>
                </c:pt>
                <c:pt idx="4">
                  <c:v>15.8</c:v>
                </c:pt>
                <c:pt idx="5">
                  <c:v>15.4</c:v>
                </c:pt>
              </c:numCache>
            </c:numRef>
          </c:val>
        </c:ser>
        <c:ser>
          <c:idx val="6"/>
          <c:order val="6"/>
          <c:tx>
            <c:strRef>
              <c:f>Sheet1!$A$8</c:f>
              <c:strCache>
                <c:ptCount val="1"/>
                <c:pt idx="0">
                  <c:v>PM10</c:v>
                </c:pt>
              </c:strCache>
            </c:strRef>
          </c:tx>
          <c:spPr>
            <a:solidFill>
              <a:srgbClr val="0066CC"/>
            </a:solidFill>
            <a:ln w="12680">
              <a:solidFill>
                <a:srgbClr val="000000"/>
              </a:solidFill>
              <a:prstDash val="solid"/>
            </a:ln>
          </c:spPr>
          <c:invertIfNegative val="0"/>
          <c:cat>
            <c:numRef>
              <c:f>Sheet1!$B$1:$G$1</c:f>
              <c:numCache>
                <c:formatCode>General</c:formatCode>
                <c:ptCount val="6"/>
                <c:pt idx="0">
                  <c:v>2010</c:v>
                </c:pt>
                <c:pt idx="1">
                  <c:v>2011</c:v>
                </c:pt>
                <c:pt idx="2">
                  <c:v>2012</c:v>
                </c:pt>
                <c:pt idx="3">
                  <c:v>2013</c:v>
                </c:pt>
                <c:pt idx="4">
                  <c:v>2014</c:v>
                </c:pt>
                <c:pt idx="5">
                  <c:v>2015</c:v>
                </c:pt>
              </c:numCache>
            </c:numRef>
          </c:cat>
          <c:val>
            <c:numRef>
              <c:f>Sheet1!$B$8:$G$8</c:f>
              <c:numCache>
                <c:formatCode>General</c:formatCode>
                <c:ptCount val="6"/>
                <c:pt idx="0">
                  <c:v>49.7</c:v>
                </c:pt>
                <c:pt idx="1">
                  <c:v>54.8</c:v>
                </c:pt>
                <c:pt idx="2">
                  <c:v>48.1</c:v>
                </c:pt>
                <c:pt idx="3">
                  <c:v>28.1</c:v>
                </c:pt>
                <c:pt idx="4">
                  <c:v>34</c:v>
                </c:pt>
                <c:pt idx="5">
                  <c:v>34</c:v>
                </c:pt>
              </c:numCache>
            </c:numRef>
          </c:val>
        </c:ser>
        <c:ser>
          <c:idx val="7"/>
          <c:order val="7"/>
          <c:tx>
            <c:strRef>
              <c:f>Sheet1!$A$9</c:f>
              <c:strCache>
                <c:ptCount val="1"/>
                <c:pt idx="0">
                  <c:v>CO2 (mii tone)</c:v>
                </c:pt>
              </c:strCache>
            </c:strRef>
          </c:tx>
          <c:spPr>
            <a:solidFill>
              <a:srgbClr val="CCCCFF"/>
            </a:solidFill>
            <a:ln w="12680">
              <a:solidFill>
                <a:srgbClr val="000000"/>
              </a:solidFill>
              <a:prstDash val="solid"/>
            </a:ln>
          </c:spPr>
          <c:invertIfNegative val="0"/>
          <c:cat>
            <c:numRef>
              <c:f>Sheet1!$B$1:$G$1</c:f>
              <c:numCache>
                <c:formatCode>General</c:formatCode>
                <c:ptCount val="6"/>
                <c:pt idx="0">
                  <c:v>2010</c:v>
                </c:pt>
                <c:pt idx="1">
                  <c:v>2011</c:v>
                </c:pt>
                <c:pt idx="2">
                  <c:v>2012</c:v>
                </c:pt>
                <c:pt idx="3">
                  <c:v>2013</c:v>
                </c:pt>
                <c:pt idx="4">
                  <c:v>2014</c:v>
                </c:pt>
                <c:pt idx="5">
                  <c:v>2015</c:v>
                </c:pt>
              </c:numCache>
            </c:numRef>
          </c:cat>
          <c:val>
            <c:numRef>
              <c:f>Sheet1!$B$9:$G$9</c:f>
              <c:numCache>
                <c:formatCode>General</c:formatCode>
                <c:ptCount val="6"/>
                <c:pt idx="0">
                  <c:v>85.7</c:v>
                </c:pt>
                <c:pt idx="1">
                  <c:v>93.1</c:v>
                </c:pt>
                <c:pt idx="2">
                  <c:v>201.1</c:v>
                </c:pt>
                <c:pt idx="3">
                  <c:v>96.4</c:v>
                </c:pt>
                <c:pt idx="4">
                  <c:v>101.8</c:v>
                </c:pt>
                <c:pt idx="5">
                  <c:v>58.6</c:v>
                </c:pt>
              </c:numCache>
            </c:numRef>
          </c:val>
        </c:ser>
        <c:dLbls>
          <c:showLegendKey val="0"/>
          <c:showVal val="0"/>
          <c:showCatName val="0"/>
          <c:showSerName val="0"/>
          <c:showPercent val="0"/>
          <c:showBubbleSize val="0"/>
        </c:dLbls>
        <c:gapWidth val="150"/>
        <c:gapDepth val="0"/>
        <c:shape val="box"/>
        <c:axId val="307408256"/>
        <c:axId val="307418240"/>
        <c:axId val="0"/>
      </c:bar3DChart>
      <c:catAx>
        <c:axId val="307408256"/>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1198" b="1" i="0" u="none" strike="noStrike" baseline="0">
                <a:solidFill>
                  <a:srgbClr val="000000"/>
                </a:solidFill>
                <a:latin typeface="Arial"/>
                <a:ea typeface="Arial"/>
                <a:cs typeface="Arial"/>
              </a:defRPr>
            </a:pPr>
            <a:endParaRPr lang="en-US"/>
          </a:p>
        </c:txPr>
        <c:crossAx val="307418240"/>
        <c:crosses val="autoZero"/>
        <c:auto val="1"/>
        <c:lblAlgn val="ctr"/>
        <c:lblOffset val="100"/>
        <c:tickLblSkip val="1"/>
        <c:tickMarkSkip val="1"/>
        <c:noMultiLvlLbl val="0"/>
      </c:catAx>
      <c:valAx>
        <c:axId val="307418240"/>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1198" b="1" i="0" u="none" strike="noStrike" baseline="0">
                <a:solidFill>
                  <a:srgbClr val="000000"/>
                </a:solidFill>
                <a:latin typeface="Arial"/>
                <a:ea typeface="Arial"/>
                <a:cs typeface="Arial"/>
              </a:defRPr>
            </a:pPr>
            <a:endParaRPr lang="en-US"/>
          </a:p>
        </c:txPr>
        <c:crossAx val="307408256"/>
        <c:crosses val="autoZero"/>
        <c:crossBetween val="between"/>
      </c:valAx>
      <c:spPr>
        <a:noFill/>
        <a:ln w="25361">
          <a:noFill/>
        </a:ln>
      </c:spPr>
    </c:plotArea>
    <c:legend>
      <c:legendPos val="r"/>
      <c:layout>
        <c:manualLayout>
          <c:xMode val="edge"/>
          <c:yMode val="edge"/>
          <c:x val="0.78526645768025083"/>
          <c:y val="0.2087912087912088"/>
          <c:w val="0.20846394984326019"/>
          <c:h val="0.706959706959707"/>
        </c:manualLayout>
      </c:layout>
      <c:overlay val="0"/>
      <c:spPr>
        <a:noFill/>
        <a:ln w="3170">
          <a:solidFill>
            <a:srgbClr val="000000"/>
          </a:solidFill>
          <a:prstDash val="solid"/>
        </a:ln>
      </c:spPr>
      <c:txPr>
        <a:bodyPr/>
        <a:lstStyle/>
        <a:p>
          <a:pPr>
            <a:defRPr sz="1098"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198" b="1"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629558541266791E-2"/>
          <c:y val="9.7674418604651161E-2"/>
          <c:w val="0.73512476007677541"/>
          <c:h val="0.78139534883720929"/>
        </c:manualLayout>
      </c:layout>
      <c:lineChart>
        <c:grouping val="standard"/>
        <c:varyColors val="0"/>
        <c:ser>
          <c:idx val="0"/>
          <c:order val="0"/>
          <c:tx>
            <c:strRef>
              <c:f>Sheet1!$A$2</c:f>
              <c:strCache>
                <c:ptCount val="1"/>
                <c:pt idx="0">
                  <c:v>VS1</c:v>
                </c:pt>
              </c:strCache>
            </c:strRef>
          </c:tx>
          <c:spPr>
            <a:ln w="25399">
              <a:solidFill>
                <a:srgbClr val="FF6600"/>
              </a:solidFill>
              <a:prstDash val="solid"/>
            </a:ln>
          </c:spPr>
          <c:marker>
            <c:symbol val="x"/>
            <c:size val="4"/>
            <c:spPr>
              <a:solidFill>
                <a:srgbClr val="FF6600"/>
              </a:solidFill>
              <a:ln>
                <a:solidFill>
                  <a:srgbClr val="FF6600"/>
                </a:solidFill>
                <a:prstDash val="solid"/>
              </a:ln>
            </c:spPr>
          </c:marker>
          <c:cat>
            <c:numRef>
              <c:f>Sheet1!$B$1:$I$1</c:f>
              <c:numCache>
                <c:formatCode>General</c:formatCode>
                <c:ptCount val="8"/>
                <c:pt idx="0">
                  <c:v>2008</c:v>
                </c:pt>
                <c:pt idx="1">
                  <c:v>2009</c:v>
                </c:pt>
                <c:pt idx="2">
                  <c:v>2010</c:v>
                </c:pt>
                <c:pt idx="3">
                  <c:v>2011</c:v>
                </c:pt>
                <c:pt idx="4">
                  <c:v>2012</c:v>
                </c:pt>
                <c:pt idx="5">
                  <c:v>2013</c:v>
                </c:pt>
                <c:pt idx="6">
                  <c:v>2014</c:v>
                </c:pt>
                <c:pt idx="7">
                  <c:v>2015</c:v>
                </c:pt>
              </c:numCache>
            </c:numRef>
          </c:cat>
          <c:val>
            <c:numRef>
              <c:f>Sheet1!$B$2:$I$2</c:f>
              <c:numCache>
                <c:formatCode>General</c:formatCode>
                <c:ptCount val="8"/>
                <c:pt idx="0">
                  <c:v>3.86</c:v>
                </c:pt>
                <c:pt idx="1">
                  <c:v>6.24</c:v>
                </c:pt>
                <c:pt idx="2">
                  <c:v>5.08</c:v>
                </c:pt>
                <c:pt idx="3">
                  <c:v>5.17</c:v>
                </c:pt>
              </c:numCache>
            </c:numRef>
          </c:val>
          <c:smooth val="0"/>
        </c:ser>
        <c:ser>
          <c:idx val="1"/>
          <c:order val="1"/>
          <c:tx>
            <c:strRef>
              <c:f>Sheet1!$A$3</c:f>
              <c:strCache>
                <c:ptCount val="1"/>
                <c:pt idx="0">
                  <c:v>VS2</c:v>
                </c:pt>
              </c:strCache>
            </c:strRef>
          </c:tx>
          <c:spPr>
            <a:ln w="12700">
              <a:solidFill>
                <a:srgbClr val="0000FF"/>
              </a:solidFill>
              <a:prstDash val="solid"/>
            </a:ln>
          </c:spPr>
          <c:marker>
            <c:symbol val="square"/>
            <c:size val="4"/>
            <c:spPr>
              <a:solidFill>
                <a:srgbClr val="0000FF"/>
              </a:solidFill>
              <a:ln>
                <a:solidFill>
                  <a:srgbClr val="0000FF"/>
                </a:solidFill>
                <a:prstDash val="solid"/>
              </a:ln>
            </c:spPr>
          </c:marker>
          <c:dPt>
            <c:idx val="4"/>
            <c:bubble3D val="0"/>
            <c:spPr>
              <a:ln w="25399">
                <a:solidFill>
                  <a:srgbClr val="0000FF"/>
                </a:solidFill>
                <a:prstDash val="solid"/>
              </a:ln>
            </c:spPr>
          </c:dPt>
          <c:cat>
            <c:numRef>
              <c:f>Sheet1!$B$1:$I$1</c:f>
              <c:numCache>
                <c:formatCode>General</c:formatCode>
                <c:ptCount val="8"/>
                <c:pt idx="0">
                  <c:v>2008</c:v>
                </c:pt>
                <c:pt idx="1">
                  <c:v>2009</c:v>
                </c:pt>
                <c:pt idx="2">
                  <c:v>2010</c:v>
                </c:pt>
                <c:pt idx="3">
                  <c:v>2011</c:v>
                </c:pt>
                <c:pt idx="4">
                  <c:v>2012</c:v>
                </c:pt>
                <c:pt idx="5">
                  <c:v>2013</c:v>
                </c:pt>
                <c:pt idx="6">
                  <c:v>2014</c:v>
                </c:pt>
                <c:pt idx="7">
                  <c:v>2015</c:v>
                </c:pt>
              </c:numCache>
            </c:numRef>
          </c:cat>
          <c:val>
            <c:numRef>
              <c:f>Sheet1!$B$3:$I$3</c:f>
              <c:numCache>
                <c:formatCode>General</c:formatCode>
                <c:ptCount val="8"/>
                <c:pt idx="4">
                  <c:v>5.43</c:v>
                </c:pt>
              </c:numCache>
            </c:numRef>
          </c:val>
          <c:smooth val="0"/>
        </c:ser>
        <c:dLbls>
          <c:showLegendKey val="0"/>
          <c:showVal val="0"/>
          <c:showCatName val="0"/>
          <c:showSerName val="0"/>
          <c:showPercent val="0"/>
          <c:showBubbleSize val="0"/>
        </c:dLbls>
        <c:marker val="1"/>
        <c:smooth val="0"/>
        <c:axId val="293292288"/>
        <c:axId val="293294080"/>
      </c:lineChart>
      <c:catAx>
        <c:axId val="29329228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25" b="1" i="0" u="none" strike="noStrike" baseline="0">
                <a:solidFill>
                  <a:srgbClr val="000000"/>
                </a:solidFill>
                <a:latin typeface="Arial"/>
                <a:ea typeface="Arial"/>
                <a:cs typeface="Arial"/>
              </a:defRPr>
            </a:pPr>
            <a:endParaRPr lang="en-US"/>
          </a:p>
        </c:txPr>
        <c:crossAx val="293294080"/>
        <c:crosses val="autoZero"/>
        <c:auto val="1"/>
        <c:lblAlgn val="ctr"/>
        <c:lblOffset val="100"/>
        <c:tickLblSkip val="1"/>
        <c:tickMarkSkip val="1"/>
        <c:noMultiLvlLbl val="0"/>
      </c:catAx>
      <c:valAx>
        <c:axId val="29329408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25" b="1" i="0" u="none" strike="noStrike" baseline="0">
                <a:solidFill>
                  <a:srgbClr val="000000"/>
                </a:solidFill>
                <a:latin typeface="Arial"/>
                <a:ea typeface="Arial"/>
                <a:cs typeface="Arial"/>
              </a:defRPr>
            </a:pPr>
            <a:endParaRPr lang="en-US"/>
          </a:p>
        </c:txPr>
        <c:crossAx val="293292288"/>
        <c:crosses val="autoZero"/>
        <c:crossBetween val="between"/>
      </c:valAx>
      <c:spPr>
        <a:gradFill rotWithShape="0">
          <a:gsLst>
            <a:gs pos="0">
              <a:srgbClr xmlns:mc="http://schemas.openxmlformats.org/markup-compatibility/2006" xmlns:a14="http://schemas.microsoft.com/office/drawing/2010/main" val="FFCC99" mc:Ignorable="a14" a14:legacySpreadsheetColorIndex="47"/>
            </a:gs>
            <a:gs pos="50000">
              <a:srgbClr xmlns:mc="http://schemas.openxmlformats.org/markup-compatibility/2006" xmlns:a14="http://schemas.microsoft.com/office/drawing/2010/main" val="FFFFCC" mc:Ignorable="a14" a14:legacySpreadsheetColorIndex="26"/>
            </a:gs>
            <a:gs pos="100000">
              <a:srgbClr xmlns:mc="http://schemas.openxmlformats.org/markup-compatibility/2006" xmlns:a14="http://schemas.microsoft.com/office/drawing/2010/main" val="FFCC99" mc:Ignorable="a14" a14:legacySpreadsheetColorIndex="47"/>
            </a:gs>
          </a:gsLst>
          <a:lin ang="5400000" scaled="1"/>
        </a:gradFill>
        <a:ln w="12700">
          <a:solidFill>
            <a:srgbClr val="808080"/>
          </a:solidFill>
          <a:prstDash val="solid"/>
        </a:ln>
      </c:spPr>
    </c:plotArea>
    <c:legend>
      <c:legendPos val="r"/>
      <c:layout>
        <c:manualLayout>
          <c:xMode val="edge"/>
          <c:yMode val="edge"/>
          <c:x val="0.77927063339731284"/>
          <c:y val="0.16744186046511628"/>
          <c:w val="0.21497120921305182"/>
          <c:h val="0.43720930232558142"/>
        </c:manualLayout>
      </c:layout>
      <c:overlay val="0"/>
      <c:spPr>
        <a:noFill/>
        <a:ln w="3175">
          <a:solidFill>
            <a:srgbClr val="000000"/>
          </a:solidFill>
          <a:prstDash val="solid"/>
        </a:ln>
      </c:spPr>
      <c:txPr>
        <a:bodyPr/>
        <a:lstStyle/>
        <a:p>
          <a:pPr>
            <a:defRPr sz="780"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950" b="1" i="0" u="none" strike="noStrike" baseline="0">
          <a:solidFill>
            <a:srgbClr val="000000"/>
          </a:solidFill>
          <a:latin typeface="Arial"/>
          <a:ea typeface="Arial"/>
          <a:cs typeface="Arial"/>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Arial"/>
                <a:ea typeface="Arial"/>
                <a:cs typeface="Arial"/>
              </a:defRPr>
            </a:pPr>
            <a:r>
              <a:rPr lang="en-US"/>
              <a:t>Emisii rezultate din agricultura, tone</a:t>
            </a:r>
          </a:p>
        </c:rich>
      </c:tx>
      <c:layout>
        <c:manualLayout>
          <c:xMode val="edge"/>
          <c:yMode val="edge"/>
          <c:x val="0.31541218637992829"/>
          <c:y val="2.1645021645021644E-2"/>
        </c:manualLayout>
      </c:layout>
      <c:overlay val="0"/>
      <c:spPr>
        <a:noFill/>
        <a:ln w="25400">
          <a:noFill/>
        </a:ln>
      </c:spPr>
    </c:title>
    <c:autoTitleDeleted val="0"/>
    <c:view3D>
      <c:rotX val="15"/>
      <c:hPercent val="41"/>
      <c:rotY val="20"/>
      <c:depthPercent val="100"/>
      <c:rAngAx val="1"/>
    </c:view3D>
    <c:floor>
      <c:thickness val="0"/>
      <c:spPr>
        <a:solidFill>
          <a:srgbClr val="C0C0C0"/>
        </a:solidFill>
        <a:ln w="3175">
          <a:solidFill>
            <a:srgbClr val="000000"/>
          </a:solidFill>
          <a:prstDash val="solid"/>
        </a:ln>
      </c:spPr>
    </c:floor>
    <c:sideWall>
      <c:thickness val="0"/>
      <c:spPr>
        <a:solidFill>
          <a:srgbClr val="FFFFCC"/>
        </a:solidFill>
        <a:ln w="12700">
          <a:solidFill>
            <a:srgbClr val="808080"/>
          </a:solidFill>
          <a:prstDash val="solid"/>
        </a:ln>
      </c:spPr>
    </c:sideWall>
    <c:backWall>
      <c:thickness val="0"/>
      <c:spPr>
        <a:solidFill>
          <a:srgbClr val="FFFFCC"/>
        </a:solidFill>
        <a:ln w="12700">
          <a:solidFill>
            <a:srgbClr val="808080"/>
          </a:solidFill>
          <a:prstDash val="solid"/>
        </a:ln>
      </c:spPr>
    </c:backWall>
    <c:plotArea>
      <c:layout>
        <c:manualLayout>
          <c:layoutTarget val="inner"/>
          <c:xMode val="edge"/>
          <c:yMode val="edge"/>
          <c:x val="7.1684587813620068E-2"/>
          <c:y val="0.19480519480519481"/>
          <c:w val="0.72401433691756267"/>
          <c:h val="0.64502164502164505"/>
        </c:manualLayout>
      </c:layout>
      <c:bar3DChart>
        <c:barDir val="col"/>
        <c:grouping val="clustered"/>
        <c:varyColors val="0"/>
        <c:ser>
          <c:idx val="0"/>
          <c:order val="0"/>
          <c:tx>
            <c:strRef>
              <c:f>Sheet1!$A$2</c:f>
              <c:strCache>
                <c:ptCount val="1"/>
                <c:pt idx="0">
                  <c:v>Agricultura</c:v>
                </c:pt>
              </c:strCache>
            </c:strRef>
          </c:tx>
          <c:spPr>
            <a:solidFill>
              <a:srgbClr val="9999FF"/>
            </a:solidFill>
            <a:ln w="12700">
              <a:solidFill>
                <a:srgbClr val="000000"/>
              </a:solidFill>
              <a:prstDash val="solid"/>
            </a:ln>
          </c:spPr>
          <c:invertIfNegative val="0"/>
          <c:cat>
            <c:strRef>
              <c:f>Sheet1!$B$1:$F$1</c:f>
              <c:strCache>
                <c:ptCount val="5"/>
                <c:pt idx="0">
                  <c:v>SO2</c:v>
                </c:pt>
                <c:pt idx="1">
                  <c:v>Nox</c:v>
                </c:pt>
                <c:pt idx="2">
                  <c:v>NMVOC</c:v>
                </c:pt>
                <c:pt idx="3">
                  <c:v>PM10</c:v>
                </c:pt>
                <c:pt idx="4">
                  <c:v>CO</c:v>
                </c:pt>
              </c:strCache>
            </c:strRef>
          </c:cat>
          <c:val>
            <c:numRef>
              <c:f>Sheet1!$B$2:$F$2</c:f>
              <c:numCache>
                <c:formatCode>General</c:formatCode>
                <c:ptCount val="5"/>
                <c:pt idx="0">
                  <c:v>0</c:v>
                </c:pt>
                <c:pt idx="1">
                  <c:v>1.0999999999999999E-2</c:v>
                </c:pt>
                <c:pt idx="2">
                  <c:v>322</c:v>
                </c:pt>
                <c:pt idx="3">
                  <c:v>76</c:v>
                </c:pt>
                <c:pt idx="4">
                  <c:v>3.6</c:v>
                </c:pt>
              </c:numCache>
            </c:numRef>
          </c:val>
        </c:ser>
        <c:dLbls>
          <c:showLegendKey val="0"/>
          <c:showVal val="0"/>
          <c:showCatName val="0"/>
          <c:showSerName val="0"/>
          <c:showPercent val="0"/>
          <c:showBubbleSize val="0"/>
        </c:dLbls>
        <c:gapWidth val="150"/>
        <c:gapDepth val="0"/>
        <c:shape val="box"/>
        <c:axId val="308950528"/>
        <c:axId val="308952064"/>
        <c:axId val="0"/>
      </c:bar3DChart>
      <c:catAx>
        <c:axId val="30895052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25" b="1" i="0" u="none" strike="noStrike" baseline="0">
                <a:solidFill>
                  <a:srgbClr val="000000"/>
                </a:solidFill>
                <a:latin typeface="Arial"/>
                <a:ea typeface="Arial"/>
                <a:cs typeface="Arial"/>
              </a:defRPr>
            </a:pPr>
            <a:endParaRPr lang="en-US"/>
          </a:p>
        </c:txPr>
        <c:crossAx val="308952064"/>
        <c:crosses val="autoZero"/>
        <c:auto val="1"/>
        <c:lblAlgn val="ctr"/>
        <c:lblOffset val="100"/>
        <c:tickLblSkip val="1"/>
        <c:tickMarkSkip val="1"/>
        <c:noMultiLvlLbl val="0"/>
      </c:catAx>
      <c:valAx>
        <c:axId val="30895206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25" b="1" i="0" u="none" strike="noStrike" baseline="0">
                <a:solidFill>
                  <a:srgbClr val="000000"/>
                </a:solidFill>
                <a:latin typeface="Arial"/>
                <a:ea typeface="Arial"/>
                <a:cs typeface="Arial"/>
              </a:defRPr>
            </a:pPr>
            <a:endParaRPr lang="en-US"/>
          </a:p>
        </c:txPr>
        <c:crossAx val="308950528"/>
        <c:crosses val="autoZero"/>
        <c:crossBetween val="between"/>
      </c:valAx>
      <c:spPr>
        <a:noFill/>
        <a:ln w="25400">
          <a:noFill/>
        </a:ln>
      </c:spPr>
    </c:plotArea>
    <c:legend>
      <c:legendPos val="r"/>
      <c:layout>
        <c:manualLayout>
          <c:xMode val="edge"/>
          <c:yMode val="edge"/>
          <c:x val="0.81541218637992829"/>
          <c:y val="0.51948051948051943"/>
          <c:w val="0.17741935483870969"/>
          <c:h val="9.9567099567099568E-2"/>
        </c:manualLayout>
      </c:layout>
      <c:overlay val="0"/>
      <c:spPr>
        <a:noFill/>
        <a:ln w="3175">
          <a:solidFill>
            <a:srgbClr val="000000"/>
          </a:solidFill>
          <a:prstDash val="solid"/>
        </a:ln>
      </c:spPr>
      <c:txPr>
        <a:bodyPr/>
        <a:lstStyle/>
        <a:p>
          <a:pPr>
            <a:defRPr sz="940"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025" b="1" i="0" u="none" strike="noStrike" baseline="0">
          <a:solidFill>
            <a:srgbClr val="000000"/>
          </a:solidFill>
          <a:latin typeface="Arial"/>
          <a:ea typeface="Arial"/>
          <a:cs typeface="Arial"/>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2"/>
      <c:rotY val="20"/>
      <c:depthPercent val="100"/>
      <c:rAngAx val="1"/>
    </c:view3D>
    <c:floor>
      <c:thickness val="0"/>
      <c:spPr>
        <a:solidFill>
          <a:srgbClr val="CCFFCC"/>
        </a:solidFill>
        <a:ln w="3175">
          <a:solidFill>
            <a:srgbClr val="000000"/>
          </a:solidFill>
          <a:prstDash val="solid"/>
        </a:ln>
      </c:spPr>
    </c:floor>
    <c:sideWall>
      <c:thickness val="0"/>
      <c:spPr>
        <a:gradFill rotWithShape="0">
          <a:gsLst>
            <a:gs pos="0">
              <a:srgbClr xmlns:mc="http://schemas.openxmlformats.org/markup-compatibility/2006" xmlns:a14="http://schemas.microsoft.com/office/drawing/2010/main" val="FFFF99" mc:Ignorable="a14" a14:legacySpreadsheetColorIndex="43"/>
            </a:gs>
            <a:gs pos="100000">
              <a:srgbClr xmlns:mc="http://schemas.openxmlformats.org/markup-compatibility/2006" xmlns:a14="http://schemas.microsoft.com/office/drawing/2010/main" val="CCFFCC" mc:Ignorable="a14" a14:legacySpreadsheetColorIndex="42"/>
            </a:gs>
          </a:gsLst>
          <a:lin ang="5400000" scaled="1"/>
        </a:gradFill>
        <a:ln w="12700">
          <a:solidFill>
            <a:srgbClr val="808080"/>
          </a:solidFill>
          <a:prstDash val="solid"/>
        </a:ln>
      </c:spPr>
    </c:sideWall>
    <c:backWall>
      <c:thickness val="0"/>
      <c:spPr>
        <a:gradFill rotWithShape="0">
          <a:gsLst>
            <a:gs pos="0">
              <a:srgbClr xmlns:mc="http://schemas.openxmlformats.org/markup-compatibility/2006" xmlns:a14="http://schemas.microsoft.com/office/drawing/2010/main" val="FFFF99" mc:Ignorable="a14" a14:legacySpreadsheetColorIndex="43"/>
            </a:gs>
            <a:gs pos="100000">
              <a:srgbClr xmlns:mc="http://schemas.openxmlformats.org/markup-compatibility/2006" xmlns:a14="http://schemas.microsoft.com/office/drawing/2010/main" val="CCFFCC" mc:Ignorable="a14" a14:legacySpreadsheetColorIndex="42"/>
            </a:gs>
          </a:gsLst>
          <a:lin ang="5400000" scaled="1"/>
        </a:gradFill>
        <a:ln w="12700">
          <a:solidFill>
            <a:srgbClr val="808080"/>
          </a:solidFill>
          <a:prstDash val="solid"/>
        </a:ln>
      </c:spPr>
    </c:backWall>
    <c:plotArea>
      <c:layout>
        <c:manualLayout>
          <c:layoutTarget val="inner"/>
          <c:xMode val="edge"/>
          <c:yMode val="edge"/>
          <c:x val="9.6000000000000002E-2"/>
          <c:y val="0.03"/>
          <c:w val="0.90080000000000005"/>
          <c:h val="0.73939890710382516"/>
        </c:manualLayout>
      </c:layout>
      <c:bar3DChart>
        <c:barDir val="col"/>
        <c:grouping val="clustered"/>
        <c:varyColors val="0"/>
        <c:ser>
          <c:idx val="0"/>
          <c:order val="0"/>
          <c:tx>
            <c:strRef>
              <c:f>Sheet1!$A$2</c:f>
              <c:strCache>
                <c:ptCount val="1"/>
                <c:pt idx="0">
                  <c:v>Râuri interioare</c:v>
                </c:pt>
              </c:strCache>
            </c:strRef>
          </c:tx>
          <c:spPr>
            <a:solidFill>
              <a:srgbClr val="CCFFFF"/>
            </a:solidFill>
            <a:ln w="12680">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539000</c:v>
                </c:pt>
                <c:pt idx="1">
                  <c:v>539000</c:v>
                </c:pt>
                <c:pt idx="2">
                  <c:v>539000</c:v>
                </c:pt>
                <c:pt idx="3">
                  <c:v>539000</c:v>
                </c:pt>
                <c:pt idx="4">
                  <c:v>539000</c:v>
                </c:pt>
              </c:numCache>
            </c:numRef>
          </c:val>
        </c:ser>
        <c:ser>
          <c:idx val="1"/>
          <c:order val="1"/>
          <c:tx>
            <c:strRef>
              <c:f>Sheet1!$A$3</c:f>
              <c:strCache>
                <c:ptCount val="1"/>
                <c:pt idx="0">
                  <c:v>Ape subterane</c:v>
                </c:pt>
              </c:strCache>
            </c:strRef>
          </c:tx>
          <c:spPr>
            <a:solidFill>
              <a:srgbClr val="0066CC"/>
            </a:solidFill>
            <a:ln w="12680">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Sheet1!$B$3:$F$3</c:f>
              <c:numCache>
                <c:formatCode>General</c:formatCode>
                <c:ptCount val="5"/>
                <c:pt idx="0">
                  <c:v>60000</c:v>
                </c:pt>
                <c:pt idx="1">
                  <c:v>60000</c:v>
                </c:pt>
                <c:pt idx="2">
                  <c:v>60000</c:v>
                </c:pt>
                <c:pt idx="3">
                  <c:v>60000</c:v>
                </c:pt>
                <c:pt idx="4">
                  <c:v>60000</c:v>
                </c:pt>
              </c:numCache>
            </c:numRef>
          </c:val>
          <c:shape val="box"/>
        </c:ser>
        <c:ser>
          <c:idx val="2"/>
          <c:order val="2"/>
          <c:tx>
            <c:strRef>
              <c:f>Sheet1!$A$4</c:f>
              <c:strCache>
                <c:ptCount val="1"/>
                <c:pt idx="0">
                  <c:v>Total</c:v>
                </c:pt>
              </c:strCache>
            </c:strRef>
          </c:tx>
          <c:spPr>
            <a:solidFill>
              <a:srgbClr val="FF9900"/>
            </a:solidFill>
            <a:ln w="12680">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Sheet1!$B$4:$F$4</c:f>
              <c:numCache>
                <c:formatCode>General</c:formatCode>
                <c:ptCount val="5"/>
                <c:pt idx="0">
                  <c:v>599000</c:v>
                </c:pt>
                <c:pt idx="1">
                  <c:v>599000</c:v>
                </c:pt>
                <c:pt idx="2">
                  <c:v>599000</c:v>
                </c:pt>
                <c:pt idx="3">
                  <c:v>599000</c:v>
                </c:pt>
                <c:pt idx="4">
                  <c:v>599000</c:v>
                </c:pt>
              </c:numCache>
            </c:numRef>
          </c:val>
          <c:shape val="box"/>
        </c:ser>
        <c:dLbls>
          <c:showLegendKey val="0"/>
          <c:showVal val="0"/>
          <c:showCatName val="0"/>
          <c:showSerName val="0"/>
          <c:showPercent val="0"/>
          <c:showBubbleSize val="0"/>
        </c:dLbls>
        <c:gapWidth val="150"/>
        <c:gapDepth val="0"/>
        <c:shape val="cylinder"/>
        <c:axId val="308982912"/>
        <c:axId val="308984832"/>
        <c:axId val="0"/>
      </c:bar3DChart>
      <c:catAx>
        <c:axId val="308982912"/>
        <c:scaling>
          <c:orientation val="minMax"/>
        </c:scaling>
        <c:delete val="0"/>
        <c:axPos val="b"/>
        <c:title>
          <c:tx>
            <c:rich>
              <a:bodyPr/>
              <a:lstStyle/>
              <a:p>
                <a:pPr>
                  <a:defRPr sz="874" b="1" i="0" u="none" strike="noStrike" baseline="0">
                    <a:solidFill>
                      <a:srgbClr val="000000"/>
                    </a:solidFill>
                    <a:latin typeface="Arial"/>
                    <a:ea typeface="Arial"/>
                    <a:cs typeface="Arial"/>
                  </a:defRPr>
                </a:pPr>
                <a:r>
                  <a:rPr lang="en-US" sz="799" b="1" i="0" u="none" strike="noStrike" baseline="0">
                    <a:solidFill>
                      <a:srgbClr val="000000"/>
                    </a:solidFill>
                    <a:latin typeface="Calibri"/>
                  </a:rPr>
                  <a:t>                                                              Ani</a:t>
                </a:r>
              </a:p>
            </c:rich>
          </c:tx>
          <c:layout>
            <c:manualLayout>
              <c:xMode val="edge"/>
              <c:yMode val="edge"/>
              <c:x val="0.51680000000000004"/>
              <c:y val="0.58499999999999996"/>
            </c:manualLayout>
          </c:layout>
          <c:overlay val="0"/>
          <c:spPr>
            <a:noFill/>
            <a:ln w="25360">
              <a:noFill/>
            </a:ln>
          </c:spPr>
        </c:title>
        <c:numFmt formatCode="General" sourceLinked="1"/>
        <c:majorTickMark val="out"/>
        <c:minorTickMark val="none"/>
        <c:tickLblPos val="low"/>
        <c:spPr>
          <a:ln w="3170">
            <a:solidFill>
              <a:srgbClr val="000000"/>
            </a:solidFill>
            <a:prstDash val="solid"/>
          </a:ln>
        </c:spPr>
        <c:txPr>
          <a:bodyPr rot="-2700000" vert="horz"/>
          <a:lstStyle/>
          <a:p>
            <a:pPr>
              <a:defRPr sz="799" b="1" i="0" u="none" strike="noStrike" baseline="0">
                <a:solidFill>
                  <a:srgbClr val="000000"/>
                </a:solidFill>
                <a:latin typeface="Arial"/>
                <a:ea typeface="Arial"/>
                <a:cs typeface="Arial"/>
              </a:defRPr>
            </a:pPr>
            <a:endParaRPr lang="en-US"/>
          </a:p>
        </c:txPr>
        <c:crossAx val="308984832"/>
        <c:crosses val="autoZero"/>
        <c:auto val="1"/>
        <c:lblAlgn val="ctr"/>
        <c:lblOffset val="100"/>
        <c:tickLblSkip val="1"/>
        <c:tickMarkSkip val="1"/>
        <c:noMultiLvlLbl val="0"/>
      </c:catAx>
      <c:valAx>
        <c:axId val="308984832"/>
        <c:scaling>
          <c:orientation val="minMax"/>
        </c:scaling>
        <c:delete val="0"/>
        <c:axPos val="l"/>
        <c:majorGridlines>
          <c:spPr>
            <a:ln w="3170">
              <a:solidFill>
                <a:srgbClr val="000000"/>
              </a:solidFill>
              <a:prstDash val="solid"/>
            </a:ln>
          </c:spPr>
        </c:majorGridlines>
        <c:title>
          <c:tx>
            <c:rich>
              <a:bodyPr/>
              <a:lstStyle/>
              <a:p>
                <a:pPr>
                  <a:defRPr sz="524" b="1" i="0" u="none" strike="noStrike" baseline="0">
                    <a:solidFill>
                      <a:srgbClr val="000000"/>
                    </a:solidFill>
                    <a:latin typeface="Arial"/>
                    <a:ea typeface="Arial"/>
                    <a:cs typeface="Arial"/>
                  </a:defRPr>
                </a:pPr>
                <a:r>
                  <a:rPr lang="vi-VN"/>
                  <a:t>Resurse de apă (mii mc)</a:t>
                </a:r>
              </a:p>
            </c:rich>
          </c:tx>
          <c:layout>
            <c:manualLayout>
              <c:xMode val="edge"/>
              <c:yMode val="edge"/>
              <c:x val="0.1792"/>
              <c:y val="0.12"/>
            </c:manualLayout>
          </c:layout>
          <c:overlay val="0"/>
          <c:spPr>
            <a:noFill/>
            <a:ln w="25360">
              <a:noFill/>
            </a:ln>
          </c:spPr>
        </c:title>
        <c:numFmt formatCode="General" sourceLinked="1"/>
        <c:majorTickMark val="out"/>
        <c:minorTickMark val="none"/>
        <c:tickLblPos val="nextTo"/>
        <c:spPr>
          <a:ln w="3170">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en-US"/>
          </a:p>
        </c:txPr>
        <c:crossAx val="308982912"/>
        <c:crosses val="autoZero"/>
        <c:crossBetween val="between"/>
      </c:valAx>
      <c:dTable>
        <c:showHorzBorder val="1"/>
        <c:showVertBorder val="1"/>
        <c:showOutline val="1"/>
        <c:showKeys val="1"/>
        <c:spPr>
          <a:ln w="3170">
            <a:solidFill>
              <a:srgbClr val="000000"/>
            </a:solidFill>
            <a:prstDash val="solid"/>
          </a:ln>
        </c:spPr>
        <c:txPr>
          <a:bodyPr/>
          <a:lstStyle/>
          <a:p>
            <a:pPr rtl="0">
              <a:defRPr sz="600" b="0" i="0" u="none" strike="noStrike" baseline="0">
                <a:solidFill>
                  <a:srgbClr val="000000"/>
                </a:solidFill>
                <a:latin typeface="Arial"/>
                <a:ea typeface="Arial"/>
                <a:cs typeface="Arial"/>
              </a:defRPr>
            </a:pPr>
            <a:endParaRPr lang="en-US"/>
          </a:p>
        </c:txPr>
      </c:dTable>
      <c:spPr>
        <a:noFill/>
        <a:ln w="25360">
          <a:noFill/>
        </a:ln>
      </c:spPr>
    </c:plotArea>
    <c:plotVisOnly val="1"/>
    <c:dispBlanksAs val="gap"/>
    <c:showDLblsOverMax val="0"/>
  </c:chart>
  <c:spPr>
    <a:noFill/>
    <a:ln>
      <a:noFill/>
    </a:ln>
  </c:spPr>
  <c:txPr>
    <a:bodyPr/>
    <a:lstStyle/>
    <a:p>
      <a:pPr>
        <a:defRPr sz="874" b="1" i="0" u="none" strike="noStrike" baseline="0">
          <a:solidFill>
            <a:srgbClr val="000000"/>
          </a:solidFill>
          <a:latin typeface="Arial"/>
          <a:ea typeface="Arial"/>
          <a:cs typeface="Arial"/>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37908496732026"/>
          <c:y val="1.6877637130801686E-2"/>
          <c:w val="0.83496732026143794"/>
          <c:h val="0.45147679324894513"/>
        </c:manualLayout>
      </c:layout>
      <c:barChart>
        <c:barDir val="bar"/>
        <c:grouping val="clustered"/>
        <c:varyColors val="0"/>
        <c:ser>
          <c:idx val="0"/>
          <c:order val="0"/>
          <c:tx>
            <c:strRef>
              <c:f>Sheet1!$A$2</c:f>
              <c:strCache>
                <c:ptCount val="1"/>
                <c:pt idx="0">
                  <c:v>WEI</c:v>
                </c:pt>
              </c:strCache>
            </c:strRef>
          </c:tx>
          <c:spPr>
            <a:solidFill>
              <a:srgbClr val="99CCFF"/>
            </a:solidFill>
            <a:ln w="12680">
              <a:solidFill>
                <a:srgbClr val="000000"/>
              </a:solidFill>
              <a:prstDash val="solid"/>
            </a:ln>
          </c:spPr>
          <c:invertIfNegative val="0"/>
          <c:cat>
            <c:strRef>
              <c:f>Sheet1!$B$1:$F$1</c:f>
              <c:strCache>
                <c:ptCount val="5"/>
                <c:pt idx="0">
                  <c:v>2011</c:v>
                </c:pt>
                <c:pt idx="1">
                  <c:v>2012</c:v>
                </c:pt>
                <c:pt idx="2">
                  <c:v>2013</c:v>
                </c:pt>
                <c:pt idx="3">
                  <c:v>2014</c:v>
                </c:pt>
                <c:pt idx="4">
                  <c:v>2015*</c:v>
                </c:pt>
              </c:strCache>
            </c:strRef>
          </c:cat>
          <c:val>
            <c:numRef>
              <c:f>Sheet1!$B$2:$F$2</c:f>
              <c:numCache>
                <c:formatCode>General</c:formatCode>
                <c:ptCount val="5"/>
                <c:pt idx="0">
                  <c:v>29.24</c:v>
                </c:pt>
                <c:pt idx="1">
                  <c:v>24.73</c:v>
                </c:pt>
                <c:pt idx="2">
                  <c:v>28.94</c:v>
                </c:pt>
                <c:pt idx="3">
                  <c:v>33.090000000000003</c:v>
                </c:pt>
              </c:numCache>
            </c:numRef>
          </c:val>
        </c:ser>
        <c:dLbls>
          <c:showLegendKey val="0"/>
          <c:showVal val="0"/>
          <c:showCatName val="0"/>
          <c:showSerName val="0"/>
          <c:showPercent val="0"/>
          <c:showBubbleSize val="0"/>
        </c:dLbls>
        <c:gapWidth val="150"/>
        <c:axId val="309297536"/>
        <c:axId val="309299456"/>
      </c:barChart>
      <c:catAx>
        <c:axId val="309297536"/>
        <c:scaling>
          <c:orientation val="minMax"/>
        </c:scaling>
        <c:delete val="0"/>
        <c:axPos val="l"/>
        <c:title>
          <c:tx>
            <c:rich>
              <a:bodyPr/>
              <a:lstStyle/>
              <a:p>
                <a:pPr>
                  <a:defRPr sz="1198" b="1" i="0" u="none" strike="noStrike" baseline="0">
                    <a:solidFill>
                      <a:srgbClr val="000000"/>
                    </a:solidFill>
                    <a:latin typeface="Calibri"/>
                    <a:ea typeface="Calibri"/>
                    <a:cs typeface="Calibri"/>
                  </a:defRPr>
                </a:pPr>
                <a:r>
                  <a:rPr lang="en-US"/>
                  <a:t>Ani</a:t>
                </a:r>
              </a:p>
            </c:rich>
          </c:tx>
          <c:layout>
            <c:manualLayout>
              <c:xMode val="edge"/>
              <c:yMode val="edge"/>
              <c:x val="0"/>
              <c:y val="0.20675105485232068"/>
            </c:manualLayout>
          </c:layout>
          <c:overlay val="0"/>
          <c:spPr>
            <a:noFill/>
            <a:ln w="25360">
              <a:noFill/>
            </a:ln>
          </c:spPr>
        </c:title>
        <c:numFmt formatCode="General" sourceLinked="1"/>
        <c:majorTickMark val="out"/>
        <c:minorTickMark val="none"/>
        <c:tickLblPos val="nextTo"/>
        <c:spPr>
          <a:ln w="3170">
            <a:solidFill>
              <a:srgbClr val="000000"/>
            </a:solidFill>
            <a:prstDash val="solid"/>
          </a:ln>
        </c:spPr>
        <c:txPr>
          <a:bodyPr rot="0" vert="horz"/>
          <a:lstStyle/>
          <a:p>
            <a:pPr>
              <a:defRPr sz="1073" b="1" i="0" u="none" strike="noStrike" baseline="0">
                <a:solidFill>
                  <a:srgbClr val="000000"/>
                </a:solidFill>
                <a:latin typeface="Calibri"/>
                <a:ea typeface="Calibri"/>
                <a:cs typeface="Calibri"/>
              </a:defRPr>
            </a:pPr>
            <a:endParaRPr lang="en-US"/>
          </a:p>
        </c:txPr>
        <c:crossAx val="309299456"/>
        <c:crosses val="autoZero"/>
        <c:auto val="1"/>
        <c:lblAlgn val="ctr"/>
        <c:lblOffset val="100"/>
        <c:tickLblSkip val="2"/>
        <c:tickMarkSkip val="1"/>
        <c:noMultiLvlLbl val="0"/>
      </c:catAx>
      <c:valAx>
        <c:axId val="309299456"/>
        <c:scaling>
          <c:orientation val="minMax"/>
          <c:max val="40"/>
          <c:min val="0"/>
        </c:scaling>
        <c:delete val="0"/>
        <c:axPos val="b"/>
        <c:majorGridlines>
          <c:spPr>
            <a:ln w="3170">
              <a:solidFill>
                <a:srgbClr val="000000"/>
              </a:solidFill>
              <a:prstDash val="solid"/>
            </a:ln>
          </c:spPr>
        </c:majorGridlines>
        <c:title>
          <c:tx>
            <c:rich>
              <a:bodyPr/>
              <a:lstStyle/>
              <a:p>
                <a:pPr>
                  <a:defRPr sz="1073" b="1" i="0" u="none" strike="noStrike" baseline="0">
                    <a:solidFill>
                      <a:srgbClr val="000000"/>
                    </a:solidFill>
                    <a:latin typeface="Calibri"/>
                    <a:ea typeface="Calibri"/>
                    <a:cs typeface="Calibri"/>
                  </a:defRPr>
                </a:pPr>
                <a:r>
                  <a:rPr lang="en-US"/>
                  <a:t>   %</a:t>
                </a:r>
              </a:p>
            </c:rich>
          </c:tx>
          <c:layout>
            <c:manualLayout>
              <c:xMode val="edge"/>
              <c:yMode val="edge"/>
              <c:x val="0.9509803921568627"/>
              <c:y val="0.49367088607594939"/>
            </c:manualLayout>
          </c:layout>
          <c:overlay val="0"/>
          <c:spPr>
            <a:noFill/>
            <a:ln w="25360">
              <a:noFill/>
            </a:ln>
          </c:spPr>
        </c:title>
        <c:numFmt formatCode="General" sourceLinked="1"/>
        <c:majorTickMark val="out"/>
        <c:minorTickMark val="none"/>
        <c:tickLblPos val="nextTo"/>
        <c:spPr>
          <a:ln w="3170">
            <a:solidFill>
              <a:srgbClr val="000000"/>
            </a:solidFill>
            <a:prstDash val="solid"/>
          </a:ln>
        </c:spPr>
        <c:txPr>
          <a:bodyPr rot="0" vert="horz"/>
          <a:lstStyle/>
          <a:p>
            <a:pPr>
              <a:defRPr sz="1073" b="1" i="0" u="none" strike="noStrike" baseline="0">
                <a:solidFill>
                  <a:srgbClr val="000000"/>
                </a:solidFill>
                <a:latin typeface="Calibri"/>
                <a:ea typeface="Calibri"/>
                <a:cs typeface="Calibri"/>
              </a:defRPr>
            </a:pPr>
            <a:endParaRPr lang="en-US"/>
          </a:p>
        </c:txPr>
        <c:crossAx val="309297536"/>
        <c:crosses val="autoZero"/>
        <c:crossBetween val="between"/>
      </c:valAx>
      <c:dTable>
        <c:showHorzBorder val="1"/>
        <c:showVertBorder val="1"/>
        <c:showOutline val="1"/>
        <c:showKeys val="1"/>
        <c:spPr>
          <a:ln w="3170">
            <a:solidFill>
              <a:srgbClr val="000000"/>
            </a:solidFill>
            <a:prstDash val="solid"/>
          </a:ln>
        </c:spPr>
        <c:txPr>
          <a:bodyPr/>
          <a:lstStyle/>
          <a:p>
            <a:pPr rtl="0">
              <a:defRPr sz="1073" b="1" i="0" u="none" strike="noStrike" baseline="0">
                <a:solidFill>
                  <a:srgbClr val="000000"/>
                </a:solidFill>
                <a:latin typeface="Calibri"/>
                <a:ea typeface="Calibri"/>
                <a:cs typeface="Calibri"/>
              </a:defRPr>
            </a:pPr>
            <a:endParaRPr lang="en-US"/>
          </a:p>
        </c:txPr>
      </c:dTable>
      <c:spPr>
        <a:solidFill>
          <a:srgbClr val="FFFFCC"/>
        </a:solidFill>
        <a:ln w="12680">
          <a:solidFill>
            <a:srgbClr val="808080"/>
          </a:solidFill>
          <a:prstDash val="solid"/>
        </a:ln>
      </c:spPr>
    </c:plotArea>
    <c:plotVisOnly val="1"/>
    <c:dispBlanksAs val="gap"/>
    <c:showDLblsOverMax val="0"/>
  </c:chart>
  <c:spPr>
    <a:noFill/>
    <a:ln>
      <a:noFill/>
    </a:ln>
  </c:spPr>
  <c:txPr>
    <a:bodyPr/>
    <a:lstStyle/>
    <a:p>
      <a:pPr>
        <a:defRPr sz="1048" b="1" i="0" u="none" strike="noStrike" baseline="0">
          <a:solidFill>
            <a:srgbClr val="000000"/>
          </a:solidFill>
          <a:latin typeface="Calibri"/>
          <a:ea typeface="Calibri"/>
          <a:cs typeface="Calibri"/>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204213938411668"/>
          <c:y val="8.2508250825082508E-2"/>
          <c:w val="0.76337115072933548"/>
          <c:h val="0.56765676567656764"/>
        </c:manualLayout>
      </c:layout>
      <c:barChart>
        <c:barDir val="col"/>
        <c:grouping val="clustered"/>
        <c:varyColors val="0"/>
        <c:ser>
          <c:idx val="0"/>
          <c:order val="0"/>
          <c:tx>
            <c:strRef>
              <c:f>Sheet1!$A$2</c:f>
              <c:strCache>
                <c:ptCount val="1"/>
                <c:pt idx="0">
                  <c:v>Total prelevat</c:v>
                </c:pt>
              </c:strCache>
            </c:strRef>
          </c:tx>
          <c:spPr>
            <a:solidFill>
              <a:srgbClr val="00CCFF"/>
            </a:solidFill>
            <a:ln w="12680">
              <a:solidFill>
                <a:srgbClr val="000000"/>
              </a:solidFill>
              <a:prstDash val="solid"/>
            </a:ln>
          </c:spPr>
          <c:invertIfNegative val="0"/>
          <c:cat>
            <c:strRef>
              <c:f>Sheet1!$B$1:$F$1</c:f>
              <c:strCache>
                <c:ptCount val="5"/>
                <c:pt idx="0">
                  <c:v>2011</c:v>
                </c:pt>
                <c:pt idx="1">
                  <c:v>2012</c:v>
                </c:pt>
                <c:pt idx="2">
                  <c:v>2013</c:v>
                </c:pt>
                <c:pt idx="3">
                  <c:v>2014</c:v>
                </c:pt>
                <c:pt idx="4">
                  <c:v>2015*</c:v>
                </c:pt>
              </c:strCache>
            </c:strRef>
          </c:cat>
          <c:val>
            <c:numRef>
              <c:f>Sheet1!$B$2:$F$2</c:f>
              <c:numCache>
                <c:formatCode>General</c:formatCode>
                <c:ptCount val="5"/>
                <c:pt idx="0">
                  <c:v>48827</c:v>
                </c:pt>
                <c:pt idx="1">
                  <c:v>41307</c:v>
                </c:pt>
                <c:pt idx="2">
                  <c:v>48330</c:v>
                </c:pt>
                <c:pt idx="3">
                  <c:v>55275</c:v>
                </c:pt>
              </c:numCache>
            </c:numRef>
          </c:val>
        </c:ser>
        <c:ser>
          <c:idx val="1"/>
          <c:order val="1"/>
          <c:tx>
            <c:strRef>
              <c:f>Sheet1!$A$3</c:f>
              <c:strCache>
                <c:ptCount val="1"/>
                <c:pt idx="0">
                  <c:v>Total cerinţă</c:v>
                </c:pt>
              </c:strCache>
            </c:strRef>
          </c:tx>
          <c:spPr>
            <a:solidFill>
              <a:srgbClr val="FFCC00"/>
            </a:solidFill>
            <a:ln w="12680">
              <a:solidFill>
                <a:srgbClr val="000000"/>
              </a:solidFill>
              <a:prstDash val="solid"/>
            </a:ln>
          </c:spPr>
          <c:invertIfNegative val="0"/>
          <c:cat>
            <c:strRef>
              <c:f>Sheet1!$B$1:$F$1</c:f>
              <c:strCache>
                <c:ptCount val="5"/>
                <c:pt idx="0">
                  <c:v>2011</c:v>
                </c:pt>
                <c:pt idx="1">
                  <c:v>2012</c:v>
                </c:pt>
                <c:pt idx="2">
                  <c:v>2013</c:v>
                </c:pt>
                <c:pt idx="3">
                  <c:v>2014</c:v>
                </c:pt>
                <c:pt idx="4">
                  <c:v>2015*</c:v>
                </c:pt>
              </c:strCache>
            </c:strRef>
          </c:cat>
          <c:val>
            <c:numRef>
              <c:f>Sheet1!$B$3:$F$3</c:f>
              <c:numCache>
                <c:formatCode>General</c:formatCode>
                <c:ptCount val="5"/>
                <c:pt idx="0">
                  <c:v>56324</c:v>
                </c:pt>
                <c:pt idx="1">
                  <c:v>61004</c:v>
                </c:pt>
                <c:pt idx="2">
                  <c:v>66941</c:v>
                </c:pt>
                <c:pt idx="3">
                  <c:v>47171</c:v>
                </c:pt>
              </c:numCache>
            </c:numRef>
          </c:val>
        </c:ser>
        <c:dLbls>
          <c:showLegendKey val="0"/>
          <c:showVal val="0"/>
          <c:showCatName val="0"/>
          <c:showSerName val="0"/>
          <c:showPercent val="0"/>
          <c:showBubbleSize val="0"/>
        </c:dLbls>
        <c:gapWidth val="150"/>
        <c:axId val="309490048"/>
        <c:axId val="309491584"/>
      </c:barChart>
      <c:catAx>
        <c:axId val="309490048"/>
        <c:scaling>
          <c:orientation val="minMax"/>
        </c:scaling>
        <c:delete val="0"/>
        <c:axPos val="b"/>
        <c:numFmt formatCode="General" sourceLinked="1"/>
        <c:majorTickMark val="out"/>
        <c:minorTickMark val="none"/>
        <c:tickLblPos val="nextTo"/>
        <c:spPr>
          <a:ln w="3170">
            <a:solidFill>
              <a:srgbClr val="000000"/>
            </a:solidFill>
            <a:prstDash val="solid"/>
          </a:ln>
        </c:spPr>
        <c:txPr>
          <a:bodyPr rot="-2700000" vert="horz"/>
          <a:lstStyle/>
          <a:p>
            <a:pPr>
              <a:defRPr sz="1198" b="1" i="0" u="none" strike="noStrike" baseline="0">
                <a:solidFill>
                  <a:srgbClr val="000000"/>
                </a:solidFill>
                <a:latin typeface="Calibri"/>
                <a:ea typeface="Calibri"/>
                <a:cs typeface="Calibri"/>
              </a:defRPr>
            </a:pPr>
            <a:endParaRPr lang="en-US"/>
          </a:p>
        </c:txPr>
        <c:crossAx val="309491584"/>
        <c:crosses val="autoZero"/>
        <c:auto val="1"/>
        <c:lblAlgn val="ctr"/>
        <c:lblOffset val="100"/>
        <c:tickMarkSkip val="1"/>
        <c:noMultiLvlLbl val="0"/>
      </c:catAx>
      <c:valAx>
        <c:axId val="309491584"/>
        <c:scaling>
          <c:orientation val="minMax"/>
        </c:scaling>
        <c:delete val="0"/>
        <c:axPos val="l"/>
        <c:majorGridlines>
          <c:spPr>
            <a:ln w="3170">
              <a:solidFill>
                <a:srgbClr val="000000"/>
              </a:solidFill>
              <a:prstDash val="solid"/>
            </a:ln>
          </c:spPr>
        </c:majorGridlines>
        <c:title>
          <c:tx>
            <c:rich>
              <a:bodyPr/>
              <a:lstStyle/>
              <a:p>
                <a:pPr>
                  <a:defRPr sz="1173" b="1" i="0" u="none" strike="noStrike" baseline="0">
                    <a:solidFill>
                      <a:srgbClr val="000000"/>
                    </a:solidFill>
                    <a:latin typeface="Arial"/>
                    <a:ea typeface="Arial"/>
                    <a:cs typeface="Arial"/>
                  </a:defRPr>
                </a:pPr>
                <a:r>
                  <a:rPr lang="en-US" sz="799" b="1" i="0" u="none" strike="noStrike" baseline="0">
                    <a:solidFill>
                      <a:srgbClr val="000000"/>
                    </a:solidFill>
                    <a:latin typeface="Calibri"/>
                  </a:rPr>
                  <a:t>volum (miliarde m</a:t>
                </a:r>
                <a:r>
                  <a:rPr lang="en-US" sz="973" b="1" i="0" u="none" strike="noStrike" baseline="0">
                    <a:solidFill>
                      <a:srgbClr val="000000"/>
                    </a:solidFill>
                    <a:latin typeface="Calibri"/>
                  </a:rPr>
                  <a:t>3</a:t>
                </a:r>
                <a:r>
                  <a:rPr lang="en-US" sz="799" b="1" i="0" u="none" strike="noStrike" baseline="0">
                    <a:solidFill>
                      <a:srgbClr val="000000"/>
                    </a:solidFill>
                    <a:latin typeface="Calibri"/>
                  </a:rPr>
                  <a:t>)</a:t>
                </a:r>
              </a:p>
            </c:rich>
          </c:tx>
          <c:layout>
            <c:manualLayout>
              <c:xMode val="edge"/>
              <c:yMode val="edge"/>
              <c:x val="8.1037277147487846E-2"/>
              <c:y val="0.18151815181518152"/>
            </c:manualLayout>
          </c:layout>
          <c:overlay val="0"/>
          <c:spPr>
            <a:noFill/>
            <a:ln w="25359">
              <a:noFill/>
            </a:ln>
          </c:spPr>
        </c:title>
        <c:numFmt formatCode="General" sourceLinked="1"/>
        <c:majorTickMark val="out"/>
        <c:minorTickMark val="none"/>
        <c:tickLblPos val="nextTo"/>
        <c:spPr>
          <a:ln w="3170">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en-US"/>
          </a:p>
        </c:txPr>
        <c:crossAx val="309490048"/>
        <c:crosses val="autoZero"/>
        <c:crossBetween val="between"/>
      </c:valAx>
      <c:dTable>
        <c:showHorzBorder val="1"/>
        <c:showVertBorder val="1"/>
        <c:showOutline val="1"/>
        <c:showKeys val="1"/>
        <c:spPr>
          <a:ln w="3170">
            <a:solidFill>
              <a:srgbClr val="000000"/>
            </a:solidFill>
            <a:prstDash val="solid"/>
          </a:ln>
        </c:spPr>
        <c:txPr>
          <a:bodyPr/>
          <a:lstStyle/>
          <a:p>
            <a:pPr rtl="0">
              <a:defRPr sz="973" b="1" i="0" u="none" strike="noStrike" baseline="0">
                <a:solidFill>
                  <a:srgbClr val="000000"/>
                </a:solidFill>
                <a:latin typeface="Calibri"/>
                <a:ea typeface="Calibri"/>
                <a:cs typeface="Calibri"/>
              </a:defRPr>
            </a:pPr>
            <a:endParaRPr lang="en-US"/>
          </a:p>
        </c:txPr>
      </c:dTable>
      <c:spPr>
        <a:solidFill>
          <a:srgbClr val="CCCCFF"/>
        </a:solidFill>
        <a:ln w="12680">
          <a:solidFill>
            <a:srgbClr val="808080"/>
          </a:solidFill>
          <a:prstDash val="solid"/>
        </a:ln>
      </c:spPr>
    </c:plotArea>
    <c:plotVisOnly val="1"/>
    <c:dispBlanksAs val="gap"/>
    <c:showDLblsOverMax val="0"/>
  </c:chart>
  <c:spPr>
    <a:noFill/>
    <a:ln>
      <a:noFill/>
    </a:ln>
  </c:spPr>
  <c:txPr>
    <a:bodyPr/>
    <a:lstStyle/>
    <a:p>
      <a:pPr>
        <a:defRPr sz="1198" b="1" i="0" u="none" strike="noStrike" baseline="0">
          <a:solidFill>
            <a:srgbClr val="000000"/>
          </a:solidFill>
          <a:latin typeface="Calibri"/>
          <a:ea typeface="Calibri"/>
          <a:cs typeface="Calibri"/>
        </a:defRPr>
      </a:pPr>
      <a:endParaRPr lang="en-U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022653721682849"/>
          <c:y val="2.9484029484029485E-2"/>
          <c:w val="0.71521035598705507"/>
          <c:h val="0.67321867321867324"/>
        </c:manualLayout>
      </c:layout>
      <c:lineChart>
        <c:grouping val="standard"/>
        <c:varyColors val="0"/>
        <c:ser>
          <c:idx val="0"/>
          <c:order val="0"/>
          <c:tx>
            <c:strRef>
              <c:f>Sheet1!$A$2</c:f>
              <c:strCache>
                <c:ptCount val="1"/>
                <c:pt idx="0">
                  <c:v>Populaţie</c:v>
                </c:pt>
              </c:strCache>
            </c:strRef>
          </c:tx>
          <c:spPr>
            <a:ln w="12680">
              <a:solidFill>
                <a:srgbClr val="000080"/>
              </a:solidFill>
              <a:prstDash val="solid"/>
            </a:ln>
          </c:spPr>
          <c:marker>
            <c:symbol val="diamond"/>
            <c:size val="4"/>
            <c:spPr>
              <a:solidFill>
                <a:srgbClr val="000080"/>
              </a:solidFill>
              <a:ln>
                <a:solidFill>
                  <a:srgbClr val="000080"/>
                </a:solidFill>
                <a:prstDash val="solid"/>
              </a:ln>
            </c:spPr>
          </c:marker>
          <c:cat>
            <c:strRef>
              <c:f>Sheet1!$B$1:$F$1</c:f>
              <c:strCache>
                <c:ptCount val="5"/>
                <c:pt idx="0">
                  <c:v>2011</c:v>
                </c:pt>
                <c:pt idx="1">
                  <c:v>2012</c:v>
                </c:pt>
                <c:pt idx="2">
                  <c:v>2013</c:v>
                </c:pt>
                <c:pt idx="3">
                  <c:v>2014</c:v>
                </c:pt>
                <c:pt idx="4">
                  <c:v>2015*</c:v>
                </c:pt>
              </c:strCache>
            </c:strRef>
          </c:cat>
          <c:val>
            <c:numRef>
              <c:f>Sheet1!$B$2:$F$2</c:f>
              <c:numCache>
                <c:formatCode>General</c:formatCode>
                <c:ptCount val="5"/>
                <c:pt idx="0">
                  <c:v>8015</c:v>
                </c:pt>
                <c:pt idx="1">
                  <c:v>8352</c:v>
                </c:pt>
                <c:pt idx="2">
                  <c:v>8057</c:v>
                </c:pt>
                <c:pt idx="3">
                  <c:v>8653</c:v>
                </c:pt>
              </c:numCache>
            </c:numRef>
          </c:val>
          <c:smooth val="0"/>
        </c:ser>
        <c:ser>
          <c:idx val="1"/>
          <c:order val="1"/>
          <c:tx>
            <c:strRef>
              <c:f>Sheet1!$A$3</c:f>
              <c:strCache>
                <c:ptCount val="1"/>
                <c:pt idx="0">
                  <c:v>Industrie</c:v>
                </c:pt>
              </c:strCache>
            </c:strRef>
          </c:tx>
          <c:spPr>
            <a:ln w="12680">
              <a:solidFill>
                <a:srgbClr val="FF00FF"/>
              </a:solidFill>
              <a:prstDash val="solid"/>
            </a:ln>
          </c:spPr>
          <c:marker>
            <c:symbol val="square"/>
            <c:size val="4"/>
            <c:spPr>
              <a:solidFill>
                <a:srgbClr val="FF00FF"/>
              </a:solidFill>
              <a:ln>
                <a:solidFill>
                  <a:srgbClr val="FF00FF"/>
                </a:solidFill>
                <a:prstDash val="solid"/>
              </a:ln>
            </c:spPr>
          </c:marker>
          <c:cat>
            <c:strRef>
              <c:f>Sheet1!$B$1:$F$1</c:f>
              <c:strCache>
                <c:ptCount val="5"/>
                <c:pt idx="0">
                  <c:v>2011</c:v>
                </c:pt>
                <c:pt idx="1">
                  <c:v>2012</c:v>
                </c:pt>
                <c:pt idx="2">
                  <c:v>2013</c:v>
                </c:pt>
                <c:pt idx="3">
                  <c:v>2014</c:v>
                </c:pt>
                <c:pt idx="4">
                  <c:v>2015*</c:v>
                </c:pt>
              </c:strCache>
            </c:strRef>
          </c:cat>
          <c:val>
            <c:numRef>
              <c:f>Sheet1!$B$3:$F$3</c:f>
              <c:numCache>
                <c:formatCode>General</c:formatCode>
                <c:ptCount val="5"/>
                <c:pt idx="0">
                  <c:v>3608</c:v>
                </c:pt>
                <c:pt idx="1">
                  <c:v>3565</c:v>
                </c:pt>
                <c:pt idx="2">
                  <c:v>2908</c:v>
                </c:pt>
                <c:pt idx="3">
                  <c:v>2433</c:v>
                </c:pt>
              </c:numCache>
            </c:numRef>
          </c:val>
          <c:smooth val="0"/>
        </c:ser>
        <c:ser>
          <c:idx val="2"/>
          <c:order val="2"/>
          <c:tx>
            <c:strRef>
              <c:f>Sheet1!$A$4</c:f>
              <c:strCache>
                <c:ptCount val="1"/>
                <c:pt idx="0">
                  <c:v>Agricultură</c:v>
                </c:pt>
              </c:strCache>
            </c:strRef>
          </c:tx>
          <c:spPr>
            <a:ln w="12680">
              <a:solidFill>
                <a:srgbClr val="FFFF00"/>
              </a:solidFill>
              <a:prstDash val="solid"/>
            </a:ln>
          </c:spPr>
          <c:marker>
            <c:symbol val="triangle"/>
            <c:size val="4"/>
            <c:spPr>
              <a:solidFill>
                <a:srgbClr val="FFFF00"/>
              </a:solidFill>
              <a:ln>
                <a:solidFill>
                  <a:srgbClr val="FFFF00"/>
                </a:solidFill>
                <a:prstDash val="solid"/>
              </a:ln>
            </c:spPr>
          </c:marker>
          <c:cat>
            <c:strRef>
              <c:f>Sheet1!$B$1:$F$1</c:f>
              <c:strCache>
                <c:ptCount val="5"/>
                <c:pt idx="0">
                  <c:v>2011</c:v>
                </c:pt>
                <c:pt idx="1">
                  <c:v>2012</c:v>
                </c:pt>
                <c:pt idx="2">
                  <c:v>2013</c:v>
                </c:pt>
                <c:pt idx="3">
                  <c:v>2014</c:v>
                </c:pt>
                <c:pt idx="4">
                  <c:v>2015*</c:v>
                </c:pt>
              </c:strCache>
            </c:strRef>
          </c:cat>
          <c:val>
            <c:numRef>
              <c:f>Sheet1!$B$4:$F$4</c:f>
              <c:numCache>
                <c:formatCode>General</c:formatCode>
                <c:ptCount val="5"/>
                <c:pt idx="0">
                  <c:v>37203</c:v>
                </c:pt>
                <c:pt idx="1">
                  <c:v>29389</c:v>
                </c:pt>
                <c:pt idx="2">
                  <c:v>37364</c:v>
                </c:pt>
                <c:pt idx="3">
                  <c:v>44190</c:v>
                </c:pt>
              </c:numCache>
            </c:numRef>
          </c:val>
          <c:smooth val="0"/>
        </c:ser>
        <c:ser>
          <c:idx val="3"/>
          <c:order val="3"/>
          <c:tx>
            <c:strRef>
              <c:f>Sheet1!$A$5</c:f>
              <c:strCache>
                <c:ptCount val="1"/>
                <c:pt idx="0">
                  <c:v>Total</c:v>
                </c:pt>
              </c:strCache>
            </c:strRef>
          </c:tx>
          <c:spPr>
            <a:ln w="12680">
              <a:solidFill>
                <a:srgbClr val="00FFFF"/>
              </a:solidFill>
              <a:prstDash val="solid"/>
            </a:ln>
          </c:spPr>
          <c:marker>
            <c:symbol val="x"/>
            <c:size val="4"/>
            <c:spPr>
              <a:noFill/>
              <a:ln>
                <a:solidFill>
                  <a:srgbClr val="00FFFF"/>
                </a:solidFill>
                <a:prstDash val="solid"/>
              </a:ln>
            </c:spPr>
          </c:marker>
          <c:cat>
            <c:strRef>
              <c:f>Sheet1!$B$1:$F$1</c:f>
              <c:strCache>
                <c:ptCount val="5"/>
                <c:pt idx="0">
                  <c:v>2011</c:v>
                </c:pt>
                <c:pt idx="1">
                  <c:v>2012</c:v>
                </c:pt>
                <c:pt idx="2">
                  <c:v>2013</c:v>
                </c:pt>
                <c:pt idx="3">
                  <c:v>2014</c:v>
                </c:pt>
                <c:pt idx="4">
                  <c:v>2015*</c:v>
                </c:pt>
              </c:strCache>
            </c:strRef>
          </c:cat>
          <c:val>
            <c:numRef>
              <c:f>Sheet1!$B$5:$F$5</c:f>
              <c:numCache>
                <c:formatCode>General</c:formatCode>
                <c:ptCount val="5"/>
                <c:pt idx="0">
                  <c:v>48827</c:v>
                </c:pt>
                <c:pt idx="1">
                  <c:v>41307</c:v>
                </c:pt>
                <c:pt idx="2">
                  <c:v>48330</c:v>
                </c:pt>
                <c:pt idx="3">
                  <c:v>55275</c:v>
                </c:pt>
              </c:numCache>
            </c:numRef>
          </c:val>
          <c:smooth val="0"/>
        </c:ser>
        <c:dLbls>
          <c:showLegendKey val="0"/>
          <c:showVal val="0"/>
          <c:showCatName val="0"/>
          <c:showSerName val="0"/>
          <c:showPercent val="0"/>
          <c:showBubbleSize val="0"/>
        </c:dLbls>
        <c:marker val="1"/>
        <c:smooth val="0"/>
        <c:axId val="311387264"/>
        <c:axId val="311389184"/>
      </c:lineChart>
      <c:catAx>
        <c:axId val="311387264"/>
        <c:scaling>
          <c:orientation val="minMax"/>
        </c:scaling>
        <c:delete val="0"/>
        <c:axPos val="b"/>
        <c:numFmt formatCode="General" sourceLinked="1"/>
        <c:majorTickMark val="out"/>
        <c:minorTickMark val="none"/>
        <c:tickLblPos val="nextTo"/>
        <c:spPr>
          <a:ln w="3170">
            <a:solidFill>
              <a:srgbClr val="000000"/>
            </a:solidFill>
            <a:prstDash val="solid"/>
          </a:ln>
        </c:spPr>
        <c:txPr>
          <a:bodyPr rot="0" vert="horz"/>
          <a:lstStyle/>
          <a:p>
            <a:pPr>
              <a:defRPr sz="1747" b="1" i="0" u="none" strike="noStrike" baseline="0">
                <a:solidFill>
                  <a:srgbClr val="000000"/>
                </a:solidFill>
                <a:latin typeface="Calibri"/>
                <a:ea typeface="Calibri"/>
                <a:cs typeface="Calibri"/>
              </a:defRPr>
            </a:pPr>
            <a:endParaRPr lang="en-US"/>
          </a:p>
        </c:txPr>
        <c:crossAx val="311389184"/>
        <c:crosses val="autoZero"/>
        <c:auto val="1"/>
        <c:lblAlgn val="ctr"/>
        <c:lblOffset val="100"/>
        <c:tickMarkSkip val="1"/>
        <c:noMultiLvlLbl val="0"/>
      </c:catAx>
      <c:valAx>
        <c:axId val="311389184"/>
        <c:scaling>
          <c:orientation val="minMax"/>
        </c:scaling>
        <c:delete val="0"/>
        <c:axPos val="l"/>
        <c:majorGridlines>
          <c:spPr>
            <a:ln w="3170">
              <a:solidFill>
                <a:srgbClr val="000000"/>
              </a:solidFill>
              <a:prstDash val="solid"/>
            </a:ln>
          </c:spPr>
        </c:majorGridlines>
        <c:title>
          <c:tx>
            <c:rich>
              <a:bodyPr/>
              <a:lstStyle/>
              <a:p>
                <a:pPr>
                  <a:defRPr sz="924" b="1" i="0" u="none" strike="noStrike" baseline="0">
                    <a:solidFill>
                      <a:srgbClr val="000000"/>
                    </a:solidFill>
                    <a:latin typeface="Arial"/>
                    <a:ea typeface="Arial"/>
                    <a:cs typeface="Arial"/>
                  </a:defRPr>
                </a:pPr>
                <a:r>
                  <a:rPr lang="en-US" sz="799" b="1" i="0" u="none" strike="noStrike" baseline="0">
                    <a:solidFill>
                      <a:srgbClr val="000000"/>
                    </a:solidFill>
                    <a:latin typeface="Calibri"/>
                  </a:rPr>
                  <a:t>volum de apă prelevat (miliarde m</a:t>
                </a:r>
                <a:r>
                  <a:rPr lang="en-US" sz="973" b="1" i="0" u="none" strike="noStrike" baseline="0">
                    <a:solidFill>
                      <a:srgbClr val="000000"/>
                    </a:solidFill>
                    <a:latin typeface="Calibri"/>
                  </a:rPr>
                  <a:t>3</a:t>
                </a:r>
                <a:r>
                  <a:rPr lang="en-US" sz="799" b="1" i="0" u="none" strike="noStrike" baseline="0">
                    <a:solidFill>
                      <a:srgbClr val="000000"/>
                    </a:solidFill>
                    <a:latin typeface="Calibri"/>
                  </a:rPr>
                  <a:t>)</a:t>
                </a:r>
              </a:p>
            </c:rich>
          </c:tx>
          <c:layout>
            <c:manualLayout>
              <c:xMode val="edge"/>
              <c:yMode val="edge"/>
              <c:x val="0.13915857605177995"/>
              <c:y val="0.16707616707616707"/>
            </c:manualLayout>
          </c:layout>
          <c:overlay val="0"/>
          <c:spPr>
            <a:noFill/>
            <a:ln w="25360">
              <a:noFill/>
            </a:ln>
          </c:spPr>
        </c:title>
        <c:numFmt formatCode="General" sourceLinked="1"/>
        <c:majorTickMark val="out"/>
        <c:minorTickMark val="none"/>
        <c:tickLblPos val="nextTo"/>
        <c:spPr>
          <a:ln w="3170">
            <a:solidFill>
              <a:srgbClr val="000000"/>
            </a:solidFill>
            <a:prstDash val="solid"/>
          </a:ln>
        </c:spPr>
        <c:txPr>
          <a:bodyPr rot="0" vert="horz"/>
          <a:lstStyle/>
          <a:p>
            <a:pPr>
              <a:defRPr sz="998" b="1" i="0" u="none" strike="noStrike" baseline="0">
                <a:solidFill>
                  <a:srgbClr val="000000"/>
                </a:solidFill>
                <a:latin typeface="Arial"/>
                <a:ea typeface="Arial"/>
                <a:cs typeface="Arial"/>
              </a:defRPr>
            </a:pPr>
            <a:endParaRPr lang="en-US"/>
          </a:p>
        </c:txPr>
        <c:crossAx val="311387264"/>
        <c:crosses val="autoZero"/>
        <c:crossBetween val="between"/>
      </c:valAx>
      <c:dTable>
        <c:showHorzBorder val="1"/>
        <c:showVertBorder val="1"/>
        <c:showOutline val="1"/>
        <c:showKeys val="1"/>
        <c:spPr>
          <a:ln w="3170">
            <a:solidFill>
              <a:srgbClr val="000000"/>
            </a:solidFill>
            <a:prstDash val="solid"/>
          </a:ln>
        </c:spPr>
        <c:txPr>
          <a:bodyPr/>
          <a:lstStyle/>
          <a:p>
            <a:pPr rtl="0">
              <a:defRPr sz="948" b="1" i="0" u="none" strike="noStrike" baseline="0">
                <a:solidFill>
                  <a:srgbClr val="000000"/>
                </a:solidFill>
                <a:latin typeface="Arial"/>
                <a:ea typeface="Arial"/>
                <a:cs typeface="Arial"/>
              </a:defRPr>
            </a:pPr>
            <a:endParaRPr lang="en-US"/>
          </a:p>
        </c:txPr>
      </c:dTable>
      <c:spPr>
        <a:solidFill>
          <a:srgbClr val="FFCC99"/>
        </a:solidFill>
        <a:ln w="12680">
          <a:solidFill>
            <a:srgbClr val="808080"/>
          </a:solidFill>
          <a:prstDash val="solid"/>
        </a:ln>
      </c:spPr>
    </c:plotArea>
    <c:plotVisOnly val="1"/>
    <c:dispBlanksAs val="gap"/>
    <c:showDLblsOverMax val="0"/>
  </c:chart>
  <c:spPr>
    <a:noFill/>
    <a:ln>
      <a:noFill/>
    </a:ln>
  </c:spPr>
  <c:txPr>
    <a:bodyPr/>
    <a:lstStyle/>
    <a:p>
      <a:pPr>
        <a:defRPr sz="1772" b="1" i="0" u="none" strike="noStrike" baseline="0">
          <a:solidFill>
            <a:srgbClr val="000000"/>
          </a:solidFill>
          <a:latin typeface="Calibri"/>
          <a:ea typeface="Calibri"/>
          <a:cs typeface="Calibri"/>
        </a:defRPr>
      </a:pPr>
      <a:endParaRPr lang="en-U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99" b="1" i="0" u="none" strike="noStrike" kern="1200" cap="all" baseline="0">
                <a:solidFill>
                  <a:schemeClr val="tx1">
                    <a:lumMod val="65000"/>
                    <a:lumOff val="35000"/>
                  </a:schemeClr>
                </a:solidFill>
                <a:latin typeface="Arial" pitchFamily="34" charset="0"/>
                <a:ea typeface="+mn-ea"/>
                <a:cs typeface="Arial" pitchFamily="34" charset="0"/>
              </a:defRPr>
            </a:pPr>
            <a:r>
              <a:rPr lang="en-US" sz="999">
                <a:solidFill>
                  <a:sysClr val="windowText" lastClr="000000"/>
                </a:solidFill>
                <a:latin typeface="Arial" pitchFamily="34" charset="0"/>
                <a:cs typeface="Arial" pitchFamily="34" charset="0"/>
              </a:rPr>
              <a:t>Schimbarea estimată privind debitul mediu sezonier al râurilor din cadrul SGA </a:t>
            </a:r>
            <a:r>
              <a:rPr lang="ro-RO" sz="999">
                <a:solidFill>
                  <a:sysClr val="windowText" lastClr="000000"/>
                </a:solidFill>
                <a:latin typeface="Arial" pitchFamily="34" charset="0"/>
                <a:cs typeface="Arial" pitchFamily="34" charset="0"/>
              </a:rPr>
              <a:t>vaslui</a:t>
            </a:r>
            <a:endParaRPr lang="en-US" sz="1000">
              <a:solidFill>
                <a:sysClr val="windowText" lastClr="000000"/>
              </a:solidFill>
              <a:latin typeface="Arial" pitchFamily="34" charset="0"/>
              <a:cs typeface="Arial" pitchFamily="34" charset="0"/>
            </a:endParaRPr>
          </a:p>
        </c:rich>
      </c:tx>
      <c:overlay val="0"/>
      <c:spPr>
        <a:noFill/>
        <a:ln w="25380">
          <a:noFill/>
        </a:ln>
      </c:sp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Schimbarea estimată privind debitul mediu sezonier al râurilor din cadrul SGA Galați</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spPr>
              <a:noFill/>
              <a:ln w="25380">
                <a:noFill/>
              </a:ln>
            </c:spPr>
            <c:txPr>
              <a:bodyPr rot="0" spcFirstLastPara="1" vertOverflow="ellipsis" vert="horz" wrap="square" lIns="38100" tIns="19050" rIns="38100" bIns="19050" anchor="ctr" anchorCtr="1">
                <a:spAutoFit/>
              </a:bodyPr>
              <a:lstStyle/>
              <a:p>
                <a:pPr>
                  <a:defRPr sz="1049"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17" cap="flat" cmpd="sng" algn="ctr">
                  <a:solidFill>
                    <a:schemeClr val="tx1">
                      <a:lumMod val="35000"/>
                      <a:lumOff val="65000"/>
                    </a:schemeClr>
                  </a:solidFill>
                  <a:round/>
                </a:ln>
                <a:effectLst/>
              </c:spPr>
            </c:leaderLines>
          </c:dLbls>
          <c:cat>
            <c:strRef>
              <c:f>Sheet1!$A$2:$A$5</c:f>
              <c:strCache>
                <c:ptCount val="4"/>
                <c:pt idx="0">
                  <c:v>IARNĂ</c:v>
                </c:pt>
                <c:pt idx="1">
                  <c:v>PRIMĂVARĂ</c:v>
                </c:pt>
                <c:pt idx="2">
                  <c:v>VARĂ</c:v>
                </c:pt>
                <c:pt idx="3">
                  <c:v>TOAMNĂ</c:v>
                </c:pt>
              </c:strCache>
            </c:strRef>
          </c:cat>
          <c:val>
            <c:numRef>
              <c:f>Sheet1!$B$2:$B$5</c:f>
              <c:numCache>
                <c:formatCode>0.00%</c:formatCode>
                <c:ptCount val="4"/>
                <c:pt idx="0">
                  <c:v>0.2777</c:v>
                </c:pt>
                <c:pt idx="1">
                  <c:v>0.38619999999999999</c:v>
                </c:pt>
                <c:pt idx="2">
                  <c:v>0.1885</c:v>
                </c:pt>
                <c:pt idx="3">
                  <c:v>0.14729999999999999</c:v>
                </c:pt>
              </c:numCache>
            </c:numRef>
          </c:val>
        </c:ser>
        <c:dLbls>
          <c:showLegendKey val="0"/>
          <c:showVal val="0"/>
          <c:showCatName val="0"/>
          <c:showSerName val="0"/>
          <c:showPercent val="0"/>
          <c:showBubbleSize val="0"/>
          <c:showLeaderLines val="1"/>
        </c:dLbls>
      </c:pie3DChart>
      <c:spPr>
        <a:noFill/>
        <a:ln w="25380">
          <a:noFill/>
        </a:ln>
      </c:spPr>
    </c:plotArea>
    <c:plotVisOnly val="1"/>
    <c:dispBlanksAs val="zero"/>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996865203761757"/>
          <c:y val="9.6330275229357804E-2"/>
          <c:w val="0.6959247648902821"/>
          <c:h val="0.52752293577981646"/>
        </c:manualLayout>
      </c:layout>
      <c:barChart>
        <c:barDir val="col"/>
        <c:grouping val="clustered"/>
        <c:varyColors val="0"/>
        <c:ser>
          <c:idx val="0"/>
          <c:order val="0"/>
          <c:tx>
            <c:strRef>
              <c:f>Sheet1!$A$2</c:f>
              <c:strCache>
                <c:ptCount val="1"/>
                <c:pt idx="0">
                  <c:v>SE* inferioară stării bune (%)</c:v>
                </c:pt>
              </c:strCache>
            </c:strRef>
          </c:tx>
          <c:spPr>
            <a:solidFill>
              <a:srgbClr val="FFFF00"/>
            </a:solidFill>
            <a:ln w="12680">
              <a:solidFill>
                <a:srgbClr val="000000"/>
              </a:solidFill>
              <a:prstDash val="solid"/>
            </a:ln>
          </c:spPr>
          <c:invertIfNegative val="0"/>
          <c:dLbls>
            <c:delete val="1"/>
          </c:dLbls>
          <c:cat>
            <c:strRef>
              <c:f>Sheet1!$B$1:$F$1</c:f>
              <c:strCache>
                <c:ptCount val="5"/>
                <c:pt idx="0">
                  <c:v>2011</c:v>
                </c:pt>
                <c:pt idx="1">
                  <c:v>2012</c:v>
                </c:pt>
                <c:pt idx="2">
                  <c:v>2013</c:v>
                </c:pt>
                <c:pt idx="3">
                  <c:v>2014</c:v>
                </c:pt>
                <c:pt idx="4">
                  <c:v>2015*</c:v>
                </c:pt>
              </c:strCache>
            </c:strRef>
          </c:cat>
          <c:val>
            <c:numRef>
              <c:f>Sheet1!$B$2:$F$2</c:f>
              <c:numCache>
                <c:formatCode>General</c:formatCode>
                <c:ptCount val="5"/>
                <c:pt idx="0">
                  <c:v>72.78</c:v>
                </c:pt>
                <c:pt idx="1">
                  <c:v>100</c:v>
                </c:pt>
                <c:pt idx="2">
                  <c:v>64.36</c:v>
                </c:pt>
                <c:pt idx="3">
                  <c:v>64.36</c:v>
                </c:pt>
              </c:numCache>
            </c:numRef>
          </c:val>
        </c:ser>
        <c:dLbls>
          <c:showLegendKey val="0"/>
          <c:showVal val="0"/>
          <c:showCatName val="1"/>
          <c:showSerName val="0"/>
          <c:showPercent val="0"/>
          <c:showBubbleSize val="0"/>
        </c:dLbls>
        <c:gapWidth val="150"/>
        <c:axId val="309474048"/>
        <c:axId val="309475968"/>
      </c:barChart>
      <c:catAx>
        <c:axId val="309474048"/>
        <c:scaling>
          <c:orientation val="minMax"/>
        </c:scaling>
        <c:delete val="1"/>
        <c:axPos val="b"/>
        <c:title>
          <c:tx>
            <c:rich>
              <a:bodyPr/>
              <a:lstStyle/>
              <a:p>
                <a:pPr>
                  <a:defRPr sz="1198" b="1" i="0" u="none" strike="noStrike" baseline="0">
                    <a:solidFill>
                      <a:srgbClr val="000000"/>
                    </a:solidFill>
                    <a:latin typeface="Calibri"/>
                    <a:ea typeface="Calibri"/>
                    <a:cs typeface="Calibri"/>
                  </a:defRPr>
                </a:pPr>
                <a:r>
                  <a:rPr lang="en-US"/>
                  <a:t>%</a:t>
                </a:r>
              </a:p>
            </c:rich>
          </c:tx>
          <c:layout>
            <c:manualLayout>
              <c:xMode val="edge"/>
              <c:yMode val="edge"/>
              <c:x val="0.18495297805642633"/>
              <c:y val="4.5871559633027525E-2"/>
            </c:manualLayout>
          </c:layout>
          <c:overlay val="0"/>
          <c:spPr>
            <a:noFill/>
            <a:ln w="25360">
              <a:noFill/>
            </a:ln>
          </c:spPr>
        </c:title>
        <c:numFmt formatCode="General" sourceLinked="1"/>
        <c:majorTickMark val="out"/>
        <c:minorTickMark val="none"/>
        <c:tickLblPos val="nextTo"/>
        <c:crossAx val="309475968"/>
        <c:crosses val="autoZero"/>
        <c:auto val="1"/>
        <c:lblAlgn val="ctr"/>
        <c:lblOffset val="100"/>
        <c:noMultiLvlLbl val="0"/>
      </c:catAx>
      <c:valAx>
        <c:axId val="309475968"/>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en-US"/>
          </a:p>
        </c:txPr>
        <c:crossAx val="309474048"/>
        <c:crosses val="autoZero"/>
        <c:crossBetween val="between"/>
        <c:majorUnit val="20"/>
      </c:valAx>
      <c:dTable>
        <c:showHorzBorder val="1"/>
        <c:showVertBorder val="1"/>
        <c:showOutline val="1"/>
        <c:showKeys val="1"/>
        <c:spPr>
          <a:ln w="3170">
            <a:solidFill>
              <a:srgbClr val="000000"/>
            </a:solidFill>
            <a:prstDash val="solid"/>
          </a:ln>
        </c:spPr>
        <c:txPr>
          <a:bodyPr/>
          <a:lstStyle/>
          <a:p>
            <a:pPr rtl="0">
              <a:defRPr sz="799" b="1" i="0" u="none" strike="noStrike" baseline="0">
                <a:solidFill>
                  <a:srgbClr val="000000"/>
                </a:solidFill>
                <a:latin typeface="Arial"/>
                <a:ea typeface="Arial"/>
                <a:cs typeface="Arial"/>
              </a:defRPr>
            </a:pPr>
            <a:endParaRPr lang="en-US"/>
          </a:p>
        </c:txPr>
      </c:dTable>
      <c:spPr>
        <a:solidFill>
          <a:srgbClr val="99CC00"/>
        </a:solidFill>
        <a:ln w="12680">
          <a:solidFill>
            <a:srgbClr val="808080"/>
          </a:solidFill>
          <a:prstDash val="solid"/>
        </a:ln>
      </c:spPr>
    </c:plotArea>
    <c:plotVisOnly val="1"/>
    <c:dispBlanksAs val="gap"/>
    <c:showDLblsOverMax val="0"/>
  </c:chart>
  <c:spPr>
    <a:noFill/>
    <a:ln>
      <a:noFill/>
    </a:ln>
  </c:spPr>
  <c:txPr>
    <a:bodyPr/>
    <a:lstStyle/>
    <a:p>
      <a:pPr>
        <a:defRPr sz="949" b="1" i="0" u="none" strike="noStrike" baseline="0">
          <a:solidFill>
            <a:srgbClr val="000000"/>
          </a:solidFill>
          <a:latin typeface="Calibri"/>
          <a:ea typeface="Calibri"/>
          <a:cs typeface="Calibri"/>
        </a:defRPr>
      </a:pPr>
      <a:endParaRPr lang="en-U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651685393258425E-2"/>
          <c:y val="7.5342465753424653E-2"/>
          <c:w val="0.8346709470304976"/>
          <c:h val="0.69178082191780821"/>
        </c:manualLayout>
      </c:layout>
      <c:lineChart>
        <c:grouping val="standard"/>
        <c:varyColors val="0"/>
        <c:ser>
          <c:idx val="0"/>
          <c:order val="0"/>
          <c:tx>
            <c:strRef>
              <c:f>Sheet1!$A$2</c:f>
              <c:strCache>
                <c:ptCount val="1"/>
                <c:pt idx="0">
                  <c:v>Amoniu</c:v>
                </c:pt>
              </c:strCache>
            </c:strRef>
          </c:tx>
          <c:spPr>
            <a:ln w="12680">
              <a:solidFill>
                <a:srgbClr val="000080"/>
              </a:solidFill>
              <a:prstDash val="solid"/>
            </a:ln>
          </c:spPr>
          <c:marker>
            <c:symbol val="diamond"/>
            <c:size val="4"/>
            <c:spPr>
              <a:solidFill>
                <a:srgbClr val="000080"/>
              </a:solidFill>
              <a:ln>
                <a:solidFill>
                  <a:srgbClr val="000080"/>
                </a:solidFill>
                <a:prstDash val="solid"/>
              </a:ln>
            </c:spPr>
          </c:marker>
          <c:cat>
            <c:strRef>
              <c:f>Sheet1!$B$1:$F$1</c:f>
              <c:strCache>
                <c:ptCount val="5"/>
                <c:pt idx="0">
                  <c:v>2011</c:v>
                </c:pt>
                <c:pt idx="1">
                  <c:v>2012</c:v>
                </c:pt>
                <c:pt idx="2">
                  <c:v>2013</c:v>
                </c:pt>
                <c:pt idx="3">
                  <c:v>2014</c:v>
                </c:pt>
                <c:pt idx="4">
                  <c:v>2015*</c:v>
                </c:pt>
              </c:strCache>
            </c:strRef>
          </c:cat>
          <c:val>
            <c:numRef>
              <c:f>Sheet1!$B$2:$F$2</c:f>
              <c:numCache>
                <c:formatCode>General</c:formatCode>
                <c:ptCount val="5"/>
                <c:pt idx="0">
                  <c:v>20.399999999999999</c:v>
                </c:pt>
                <c:pt idx="1">
                  <c:v>27.4</c:v>
                </c:pt>
                <c:pt idx="2">
                  <c:v>30</c:v>
                </c:pt>
                <c:pt idx="3">
                  <c:v>20</c:v>
                </c:pt>
              </c:numCache>
            </c:numRef>
          </c:val>
          <c:smooth val="0"/>
        </c:ser>
        <c:dLbls>
          <c:showLegendKey val="0"/>
          <c:showVal val="0"/>
          <c:showCatName val="0"/>
          <c:showSerName val="0"/>
          <c:showPercent val="0"/>
          <c:showBubbleSize val="0"/>
        </c:dLbls>
        <c:marker val="1"/>
        <c:smooth val="0"/>
        <c:axId val="312001664"/>
        <c:axId val="312003584"/>
      </c:lineChart>
      <c:lineChart>
        <c:grouping val="standard"/>
        <c:varyColors val="0"/>
        <c:ser>
          <c:idx val="1"/>
          <c:order val="1"/>
          <c:tx>
            <c:strRef>
              <c:f>Sheet1!$A$3</c:f>
              <c:strCache>
                <c:ptCount val="1"/>
                <c:pt idx="0">
                  <c:v>Consum biochimic oxigen</c:v>
                </c:pt>
              </c:strCache>
            </c:strRef>
          </c:tx>
          <c:spPr>
            <a:ln w="12680">
              <a:solidFill>
                <a:srgbClr val="FF00FF"/>
              </a:solidFill>
              <a:prstDash val="solid"/>
            </a:ln>
          </c:spPr>
          <c:marker>
            <c:symbol val="square"/>
            <c:size val="4"/>
            <c:spPr>
              <a:solidFill>
                <a:srgbClr val="FF00FF"/>
              </a:solidFill>
              <a:ln>
                <a:solidFill>
                  <a:srgbClr val="FF00FF"/>
                </a:solidFill>
                <a:prstDash val="solid"/>
              </a:ln>
            </c:spPr>
          </c:marker>
          <c:cat>
            <c:strRef>
              <c:f>Sheet1!$B$1:$F$1</c:f>
              <c:strCache>
                <c:ptCount val="5"/>
                <c:pt idx="0">
                  <c:v>2011</c:v>
                </c:pt>
                <c:pt idx="1">
                  <c:v>2012</c:v>
                </c:pt>
                <c:pt idx="2">
                  <c:v>2013</c:v>
                </c:pt>
                <c:pt idx="3">
                  <c:v>2014</c:v>
                </c:pt>
                <c:pt idx="4">
                  <c:v>2015*</c:v>
                </c:pt>
              </c:strCache>
            </c:strRef>
          </c:cat>
          <c:val>
            <c:numRef>
              <c:f>Sheet1!$B$3:$F$3</c:f>
              <c:numCache>
                <c:formatCode>General</c:formatCode>
                <c:ptCount val="5"/>
                <c:pt idx="0">
                  <c:v>30.6</c:v>
                </c:pt>
                <c:pt idx="1">
                  <c:v>38.6</c:v>
                </c:pt>
                <c:pt idx="2">
                  <c:v>45</c:v>
                </c:pt>
                <c:pt idx="3">
                  <c:v>40</c:v>
                </c:pt>
              </c:numCache>
            </c:numRef>
          </c:val>
          <c:smooth val="0"/>
        </c:ser>
        <c:dLbls>
          <c:showLegendKey val="0"/>
          <c:showVal val="0"/>
          <c:showCatName val="0"/>
          <c:showSerName val="0"/>
          <c:showPercent val="0"/>
          <c:showBubbleSize val="0"/>
        </c:dLbls>
        <c:marker val="1"/>
        <c:smooth val="0"/>
        <c:axId val="312005760"/>
        <c:axId val="312007296"/>
      </c:lineChart>
      <c:catAx>
        <c:axId val="312001664"/>
        <c:scaling>
          <c:orientation val="minMax"/>
        </c:scaling>
        <c:delete val="0"/>
        <c:axPos val="b"/>
        <c:numFmt formatCode="General" sourceLinked="1"/>
        <c:majorTickMark val="out"/>
        <c:minorTickMark val="none"/>
        <c:tickLblPos val="nextTo"/>
        <c:spPr>
          <a:ln w="3170">
            <a:solidFill>
              <a:srgbClr val="000000"/>
            </a:solidFill>
            <a:prstDash val="solid"/>
          </a:ln>
        </c:spPr>
        <c:txPr>
          <a:bodyPr rot="0" vert="horz"/>
          <a:lstStyle/>
          <a:p>
            <a:pPr>
              <a:defRPr sz="424" b="1" i="0" u="none" strike="noStrike" baseline="0">
                <a:solidFill>
                  <a:srgbClr val="000000"/>
                </a:solidFill>
                <a:latin typeface="Arial"/>
                <a:ea typeface="Arial"/>
                <a:cs typeface="Arial"/>
              </a:defRPr>
            </a:pPr>
            <a:endParaRPr lang="en-US"/>
          </a:p>
        </c:txPr>
        <c:crossAx val="312003584"/>
        <c:crosses val="autoZero"/>
        <c:auto val="1"/>
        <c:lblAlgn val="ctr"/>
        <c:lblOffset val="100"/>
        <c:tickLblSkip val="1"/>
        <c:tickMarkSkip val="1"/>
        <c:noMultiLvlLbl val="0"/>
      </c:catAx>
      <c:valAx>
        <c:axId val="312003584"/>
        <c:scaling>
          <c:orientation val="minMax"/>
        </c:scaling>
        <c:delete val="0"/>
        <c:axPos val="l"/>
        <c:title>
          <c:tx>
            <c:rich>
              <a:bodyPr/>
              <a:lstStyle/>
              <a:p>
                <a:pPr>
                  <a:defRPr sz="424" b="1" i="0" u="none" strike="noStrike" baseline="0">
                    <a:solidFill>
                      <a:srgbClr val="000000"/>
                    </a:solidFill>
                    <a:latin typeface="Arial"/>
                    <a:ea typeface="Arial"/>
                    <a:cs typeface="Arial"/>
                  </a:defRPr>
                </a:pPr>
                <a:r>
                  <a:rPr lang="en-US"/>
                  <a:t>Concentraţii NH4+ ( µN/L)</a:t>
                </a:r>
              </a:p>
            </c:rich>
          </c:tx>
          <c:layout>
            <c:manualLayout>
              <c:xMode val="edge"/>
              <c:yMode val="edge"/>
              <c:x val="3.5313001605136438E-2"/>
              <c:y val="0.15753424657534246"/>
            </c:manualLayout>
          </c:layout>
          <c:overlay val="0"/>
          <c:spPr>
            <a:noFill/>
            <a:ln w="25360">
              <a:noFill/>
            </a:ln>
          </c:spPr>
        </c:title>
        <c:numFmt formatCode="General" sourceLinked="1"/>
        <c:majorTickMark val="out"/>
        <c:minorTickMark val="none"/>
        <c:tickLblPos val="nextTo"/>
        <c:spPr>
          <a:ln w="3170">
            <a:solidFill>
              <a:srgbClr val="000000"/>
            </a:solidFill>
            <a:prstDash val="solid"/>
          </a:ln>
        </c:spPr>
        <c:txPr>
          <a:bodyPr rot="0" vert="horz"/>
          <a:lstStyle/>
          <a:p>
            <a:pPr>
              <a:defRPr sz="424" b="1" i="0" u="none" strike="noStrike" baseline="0">
                <a:solidFill>
                  <a:srgbClr val="000000"/>
                </a:solidFill>
                <a:latin typeface="Arial"/>
                <a:ea typeface="Arial"/>
                <a:cs typeface="Arial"/>
              </a:defRPr>
            </a:pPr>
            <a:endParaRPr lang="en-US"/>
          </a:p>
        </c:txPr>
        <c:crossAx val="312001664"/>
        <c:crosses val="autoZero"/>
        <c:crossBetween val="between"/>
      </c:valAx>
      <c:catAx>
        <c:axId val="312005760"/>
        <c:scaling>
          <c:orientation val="minMax"/>
        </c:scaling>
        <c:delete val="1"/>
        <c:axPos val="b"/>
        <c:numFmt formatCode="General" sourceLinked="1"/>
        <c:majorTickMark val="out"/>
        <c:minorTickMark val="none"/>
        <c:tickLblPos val="nextTo"/>
        <c:crossAx val="312007296"/>
        <c:crosses val="autoZero"/>
        <c:auto val="1"/>
        <c:lblAlgn val="ctr"/>
        <c:lblOffset val="100"/>
        <c:noMultiLvlLbl val="0"/>
      </c:catAx>
      <c:valAx>
        <c:axId val="312007296"/>
        <c:scaling>
          <c:orientation val="minMax"/>
          <c:max val="100"/>
        </c:scaling>
        <c:delete val="0"/>
        <c:axPos val="r"/>
        <c:title>
          <c:tx>
            <c:rich>
              <a:bodyPr rot="5400000" vert="horz"/>
              <a:lstStyle/>
              <a:p>
                <a:pPr algn="ctr">
                  <a:defRPr sz="424" b="1" i="0" u="none" strike="noStrike" baseline="0">
                    <a:solidFill>
                      <a:srgbClr val="000000"/>
                    </a:solidFill>
                    <a:latin typeface="Arial"/>
                    <a:ea typeface="Arial"/>
                    <a:cs typeface="Arial"/>
                  </a:defRPr>
                </a:pPr>
                <a:r>
                  <a:rPr lang="en-US"/>
                  <a:t>Concentraţii de CBO5 (mg O2/L)</a:t>
                </a:r>
              </a:p>
            </c:rich>
          </c:tx>
          <c:layout>
            <c:manualLayout>
              <c:xMode val="edge"/>
              <c:yMode val="edge"/>
              <c:x val="0.9357945425361156"/>
              <c:y val="8.9041095890410954E-2"/>
            </c:manualLayout>
          </c:layout>
          <c:overlay val="0"/>
          <c:spPr>
            <a:noFill/>
            <a:ln w="25360">
              <a:noFill/>
            </a:ln>
          </c:spPr>
        </c:title>
        <c:numFmt formatCode="General" sourceLinked="1"/>
        <c:majorTickMark val="cross"/>
        <c:minorTickMark val="none"/>
        <c:tickLblPos val="nextTo"/>
        <c:spPr>
          <a:ln w="3170">
            <a:solidFill>
              <a:srgbClr val="000000"/>
            </a:solidFill>
            <a:prstDash val="solid"/>
          </a:ln>
        </c:spPr>
        <c:txPr>
          <a:bodyPr rot="0" vert="horz"/>
          <a:lstStyle/>
          <a:p>
            <a:pPr>
              <a:defRPr sz="424" b="1" i="0" u="none" strike="noStrike" baseline="0">
                <a:solidFill>
                  <a:srgbClr val="000000"/>
                </a:solidFill>
                <a:latin typeface="Arial"/>
                <a:ea typeface="Arial"/>
                <a:cs typeface="Arial"/>
              </a:defRPr>
            </a:pPr>
            <a:endParaRPr lang="en-US"/>
          </a:p>
        </c:txPr>
        <c:crossAx val="312005760"/>
        <c:crosses val="max"/>
        <c:crossBetween val="between"/>
      </c:valAx>
      <c:spPr>
        <a:solidFill>
          <a:srgbClr val="CCFFCC"/>
        </a:solidFill>
        <a:ln w="12680">
          <a:solidFill>
            <a:srgbClr val="808080"/>
          </a:solidFill>
          <a:prstDash val="solid"/>
        </a:ln>
      </c:spPr>
    </c:plotArea>
    <c:legend>
      <c:legendPos val="r"/>
      <c:layout>
        <c:manualLayout>
          <c:xMode val="edge"/>
          <c:yMode val="edge"/>
          <c:x val="0.13162118780096307"/>
          <c:y val="0.86301369863013699"/>
          <c:w val="0.7495987158908507"/>
          <c:h val="0.14383561643835616"/>
        </c:manualLayout>
      </c:layout>
      <c:overlay val="0"/>
      <c:spPr>
        <a:noFill/>
        <a:ln w="3170">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en-U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093701996927802E-2"/>
          <c:y val="5.3097345132743362E-2"/>
          <c:w val="0.81874039938556065"/>
          <c:h val="0.72123893805309736"/>
        </c:manualLayout>
      </c:layout>
      <c:lineChart>
        <c:grouping val="standard"/>
        <c:varyColors val="0"/>
        <c:ser>
          <c:idx val="0"/>
          <c:order val="0"/>
          <c:tx>
            <c:strRef>
              <c:f>Sheet1!$A$2</c:f>
              <c:strCache>
                <c:ptCount val="1"/>
                <c:pt idx="0">
                  <c:v>Azotaţi</c:v>
                </c:pt>
              </c:strCache>
            </c:strRef>
          </c:tx>
          <c:spPr>
            <a:ln w="12681">
              <a:solidFill>
                <a:srgbClr val="000080"/>
              </a:solidFill>
              <a:prstDash val="solid"/>
            </a:ln>
          </c:spPr>
          <c:marker>
            <c:symbol val="diamond"/>
            <c:size val="4"/>
            <c:spPr>
              <a:solidFill>
                <a:srgbClr val="000080"/>
              </a:solidFill>
              <a:ln>
                <a:solidFill>
                  <a:srgbClr val="000080"/>
                </a:solidFill>
                <a:prstDash val="solid"/>
              </a:ln>
            </c:spPr>
          </c:marker>
          <c:cat>
            <c:strRef>
              <c:f>Sheet1!$B$1:$F$1</c:f>
              <c:strCache>
                <c:ptCount val="5"/>
                <c:pt idx="0">
                  <c:v>2011</c:v>
                </c:pt>
                <c:pt idx="1">
                  <c:v>2012</c:v>
                </c:pt>
                <c:pt idx="2">
                  <c:v>2013</c:v>
                </c:pt>
                <c:pt idx="3">
                  <c:v>2014</c:v>
                </c:pt>
                <c:pt idx="4">
                  <c:v>2015*</c:v>
                </c:pt>
              </c:strCache>
            </c:strRef>
          </c:cat>
          <c:val>
            <c:numRef>
              <c:f>Sheet1!$B$2:$F$2</c:f>
              <c:numCache>
                <c:formatCode>General</c:formatCode>
                <c:ptCount val="5"/>
                <c:pt idx="0">
                  <c:v>7.63</c:v>
                </c:pt>
                <c:pt idx="1">
                  <c:v>6.32</c:v>
                </c:pt>
                <c:pt idx="2">
                  <c:v>8.3699999999999992</c:v>
                </c:pt>
                <c:pt idx="3">
                  <c:v>7.49</c:v>
                </c:pt>
              </c:numCache>
            </c:numRef>
          </c:val>
          <c:smooth val="0"/>
        </c:ser>
        <c:dLbls>
          <c:showLegendKey val="0"/>
          <c:showVal val="0"/>
          <c:showCatName val="0"/>
          <c:showSerName val="0"/>
          <c:showPercent val="0"/>
          <c:showBubbleSize val="0"/>
        </c:dLbls>
        <c:marker val="1"/>
        <c:smooth val="0"/>
        <c:axId val="312758656"/>
        <c:axId val="312760576"/>
      </c:lineChart>
      <c:lineChart>
        <c:grouping val="standard"/>
        <c:varyColors val="0"/>
        <c:ser>
          <c:idx val="1"/>
          <c:order val="1"/>
          <c:tx>
            <c:strRef>
              <c:f>Sheet1!$A$3</c:f>
              <c:strCache>
                <c:ptCount val="1"/>
                <c:pt idx="0">
                  <c:v>Ortofosfaţi solubili</c:v>
                </c:pt>
              </c:strCache>
            </c:strRef>
          </c:tx>
          <c:spPr>
            <a:ln w="12681">
              <a:solidFill>
                <a:srgbClr val="FF00FF"/>
              </a:solidFill>
              <a:prstDash val="solid"/>
            </a:ln>
          </c:spPr>
          <c:marker>
            <c:symbol val="square"/>
            <c:size val="4"/>
            <c:spPr>
              <a:solidFill>
                <a:srgbClr val="FF00FF"/>
              </a:solidFill>
              <a:ln>
                <a:solidFill>
                  <a:srgbClr val="FF00FF"/>
                </a:solidFill>
                <a:prstDash val="solid"/>
              </a:ln>
            </c:spPr>
          </c:marker>
          <c:cat>
            <c:strRef>
              <c:f>Sheet1!$B$1:$F$1</c:f>
              <c:strCache>
                <c:ptCount val="5"/>
                <c:pt idx="0">
                  <c:v>2011</c:v>
                </c:pt>
                <c:pt idx="1">
                  <c:v>2012</c:v>
                </c:pt>
                <c:pt idx="2">
                  <c:v>2013</c:v>
                </c:pt>
                <c:pt idx="3">
                  <c:v>2014</c:v>
                </c:pt>
                <c:pt idx="4">
                  <c:v>2015*</c:v>
                </c:pt>
              </c:strCache>
            </c:strRef>
          </c:cat>
          <c:val>
            <c:numRef>
              <c:f>Sheet1!$B$3:$F$3</c:f>
              <c:numCache>
                <c:formatCode>General</c:formatCode>
                <c:ptCount val="5"/>
                <c:pt idx="0">
                  <c:v>0.15379999999999999</c:v>
                </c:pt>
                <c:pt idx="1">
                  <c:v>0.27310000000000001</c:v>
                </c:pt>
                <c:pt idx="2">
                  <c:v>0.17910000000000001</c:v>
                </c:pt>
                <c:pt idx="3">
                  <c:v>0.17050000000000001</c:v>
                </c:pt>
              </c:numCache>
            </c:numRef>
          </c:val>
          <c:smooth val="0"/>
        </c:ser>
        <c:dLbls>
          <c:showLegendKey val="0"/>
          <c:showVal val="0"/>
          <c:showCatName val="0"/>
          <c:showSerName val="0"/>
          <c:showPercent val="0"/>
          <c:showBubbleSize val="0"/>
        </c:dLbls>
        <c:marker val="1"/>
        <c:smooth val="0"/>
        <c:axId val="312770944"/>
        <c:axId val="312772480"/>
      </c:lineChart>
      <c:catAx>
        <c:axId val="312758656"/>
        <c:scaling>
          <c:orientation val="minMax"/>
        </c:scaling>
        <c:delete val="0"/>
        <c:axPos val="b"/>
        <c:numFmt formatCode="General" sourceLinked="1"/>
        <c:majorTickMark val="out"/>
        <c:minorTickMark val="none"/>
        <c:tickLblPos val="nextTo"/>
        <c:spPr>
          <a:ln w="3170">
            <a:solidFill>
              <a:srgbClr val="000000"/>
            </a:solidFill>
            <a:prstDash val="solid"/>
          </a:ln>
        </c:spPr>
        <c:txPr>
          <a:bodyPr rot="0" vert="horz"/>
          <a:lstStyle/>
          <a:p>
            <a:pPr>
              <a:defRPr sz="998" b="1" i="0" u="none" strike="noStrike" baseline="0">
                <a:solidFill>
                  <a:srgbClr val="000000"/>
                </a:solidFill>
                <a:latin typeface="Calibri"/>
                <a:ea typeface="Calibri"/>
                <a:cs typeface="Calibri"/>
              </a:defRPr>
            </a:pPr>
            <a:endParaRPr lang="en-US"/>
          </a:p>
        </c:txPr>
        <c:crossAx val="312760576"/>
        <c:crosses val="autoZero"/>
        <c:auto val="1"/>
        <c:lblAlgn val="ctr"/>
        <c:lblOffset val="100"/>
        <c:tickLblSkip val="1"/>
        <c:tickMarkSkip val="1"/>
        <c:noMultiLvlLbl val="0"/>
      </c:catAx>
      <c:valAx>
        <c:axId val="312760576"/>
        <c:scaling>
          <c:orientation val="minMax"/>
          <c:max val="10"/>
        </c:scaling>
        <c:delete val="0"/>
        <c:axPos val="l"/>
        <c:majorGridlines>
          <c:spPr>
            <a:ln w="3170">
              <a:solidFill>
                <a:srgbClr val="000000"/>
              </a:solidFill>
              <a:prstDash val="solid"/>
            </a:ln>
          </c:spPr>
        </c:majorGridlines>
        <c:title>
          <c:tx>
            <c:rich>
              <a:bodyPr/>
              <a:lstStyle/>
              <a:p>
                <a:pPr>
                  <a:defRPr sz="824" b="1" i="0" u="none" strike="noStrike" baseline="0">
                    <a:solidFill>
                      <a:srgbClr val="000000"/>
                    </a:solidFill>
                    <a:latin typeface="Calibri"/>
                    <a:ea typeface="Calibri"/>
                    <a:cs typeface="Calibri"/>
                  </a:defRPr>
                </a:pPr>
                <a:r>
                  <a:rPr lang="en-US"/>
                  <a:t>Concentraţii azotaţi ( mg/L )</a:t>
                </a:r>
              </a:p>
            </c:rich>
          </c:tx>
          <c:layout>
            <c:manualLayout>
              <c:xMode val="edge"/>
              <c:yMode val="edge"/>
              <c:x val="1.5360983102918587E-2"/>
              <c:y val="0.11946902654867257"/>
            </c:manualLayout>
          </c:layout>
          <c:overlay val="0"/>
          <c:spPr>
            <a:noFill/>
            <a:ln w="25361">
              <a:noFill/>
            </a:ln>
          </c:spPr>
        </c:title>
        <c:numFmt formatCode="General" sourceLinked="1"/>
        <c:majorTickMark val="out"/>
        <c:minorTickMark val="none"/>
        <c:tickLblPos val="nextTo"/>
        <c:spPr>
          <a:ln w="3170">
            <a:solidFill>
              <a:srgbClr val="000000"/>
            </a:solidFill>
            <a:prstDash val="solid"/>
          </a:ln>
        </c:spPr>
        <c:txPr>
          <a:bodyPr rot="0" vert="horz"/>
          <a:lstStyle/>
          <a:p>
            <a:pPr>
              <a:defRPr sz="998" b="1" i="0" u="none" strike="noStrike" baseline="0">
                <a:solidFill>
                  <a:srgbClr val="000000"/>
                </a:solidFill>
                <a:latin typeface="Calibri"/>
                <a:ea typeface="Calibri"/>
                <a:cs typeface="Calibri"/>
              </a:defRPr>
            </a:pPr>
            <a:endParaRPr lang="en-US"/>
          </a:p>
        </c:txPr>
        <c:crossAx val="312758656"/>
        <c:crosses val="autoZero"/>
        <c:crossBetween val="between"/>
        <c:minorUnit val="0.2"/>
      </c:valAx>
      <c:catAx>
        <c:axId val="312770944"/>
        <c:scaling>
          <c:orientation val="minMax"/>
        </c:scaling>
        <c:delete val="1"/>
        <c:axPos val="b"/>
        <c:numFmt formatCode="General" sourceLinked="1"/>
        <c:majorTickMark val="out"/>
        <c:minorTickMark val="none"/>
        <c:tickLblPos val="nextTo"/>
        <c:crossAx val="312772480"/>
        <c:crossesAt val="0.1"/>
        <c:auto val="1"/>
        <c:lblAlgn val="ctr"/>
        <c:lblOffset val="100"/>
        <c:noMultiLvlLbl val="0"/>
      </c:catAx>
      <c:valAx>
        <c:axId val="312772480"/>
        <c:scaling>
          <c:orientation val="minMax"/>
          <c:max val="1"/>
          <c:min val="0.1"/>
        </c:scaling>
        <c:delete val="0"/>
        <c:axPos val="r"/>
        <c:title>
          <c:tx>
            <c:rich>
              <a:bodyPr rot="5400000" vert="horz"/>
              <a:lstStyle/>
              <a:p>
                <a:pPr algn="ctr">
                  <a:defRPr sz="824" b="1" i="0" u="none" strike="noStrike" baseline="0">
                    <a:solidFill>
                      <a:srgbClr val="000000"/>
                    </a:solidFill>
                    <a:latin typeface="Calibri"/>
                    <a:ea typeface="Calibri"/>
                    <a:cs typeface="Calibri"/>
                  </a:defRPr>
                </a:pPr>
                <a:r>
                  <a:rPr lang="en-US"/>
                  <a:t>Concentraţii ortofosfaţi (mg P/L)</a:t>
                </a:r>
              </a:p>
            </c:rich>
          </c:tx>
          <c:layout>
            <c:manualLayout>
              <c:xMode val="edge"/>
              <c:yMode val="edge"/>
              <c:x val="0.95084485407066055"/>
              <c:y val="7.0796460176991149E-2"/>
            </c:manualLayout>
          </c:layout>
          <c:overlay val="0"/>
          <c:spPr>
            <a:noFill/>
            <a:ln w="25361">
              <a:noFill/>
            </a:ln>
          </c:spPr>
        </c:title>
        <c:numFmt formatCode="General" sourceLinked="1"/>
        <c:majorTickMark val="cross"/>
        <c:minorTickMark val="none"/>
        <c:tickLblPos val="nextTo"/>
        <c:spPr>
          <a:ln w="3170">
            <a:solidFill>
              <a:srgbClr val="000000"/>
            </a:solidFill>
            <a:prstDash val="solid"/>
          </a:ln>
        </c:spPr>
        <c:txPr>
          <a:bodyPr rot="0" vert="horz"/>
          <a:lstStyle/>
          <a:p>
            <a:pPr>
              <a:defRPr sz="998" b="1" i="0" u="none" strike="noStrike" baseline="0">
                <a:solidFill>
                  <a:srgbClr val="000000"/>
                </a:solidFill>
                <a:latin typeface="Calibri"/>
                <a:ea typeface="Calibri"/>
                <a:cs typeface="Calibri"/>
              </a:defRPr>
            </a:pPr>
            <a:endParaRPr lang="en-US"/>
          </a:p>
        </c:txPr>
        <c:crossAx val="312770944"/>
        <c:crosses val="max"/>
        <c:crossBetween val="between"/>
        <c:majorUnit val="0.1"/>
        <c:minorUnit val="0.02"/>
      </c:valAx>
      <c:spPr>
        <a:solidFill>
          <a:srgbClr val="CCFFCC"/>
        </a:solidFill>
        <a:ln w="12681">
          <a:solidFill>
            <a:srgbClr val="808080"/>
          </a:solidFill>
          <a:prstDash val="solid"/>
        </a:ln>
      </c:spPr>
    </c:plotArea>
    <c:legend>
      <c:legendPos val="r"/>
      <c:layout>
        <c:manualLayout>
          <c:xMode val="edge"/>
          <c:yMode val="edge"/>
          <c:x val="0.14439324116743471"/>
          <c:y val="0.90707964601769908"/>
          <c:w val="0.71889400921658986"/>
          <c:h val="8.8495575221238937E-2"/>
        </c:manualLayout>
      </c:layout>
      <c:overlay val="0"/>
      <c:spPr>
        <a:noFill/>
        <a:ln w="3170">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998" b="1" i="0" u="none" strike="noStrike" baseline="0">
          <a:solidFill>
            <a:srgbClr val="000000"/>
          </a:solidFill>
          <a:latin typeface="Calibri"/>
          <a:ea typeface="Calibri"/>
          <a:cs typeface="Calibri"/>
        </a:defRPr>
      </a:pPr>
      <a:endParaRPr lang="en-U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077046548956663"/>
          <c:y val="5.0473186119873815E-2"/>
          <c:w val="0.6613162118780096"/>
          <c:h val="0.70662460567823349"/>
        </c:manualLayout>
      </c:layout>
      <c:lineChart>
        <c:grouping val="standard"/>
        <c:varyColors val="0"/>
        <c:ser>
          <c:idx val="1"/>
          <c:order val="1"/>
          <c:tx>
            <c:strRef>
              <c:f>Sheet1!$A$3</c:f>
              <c:strCache>
                <c:ptCount val="1"/>
                <c:pt idx="0">
                  <c:v>Fosfor total (mg P/L) </c:v>
                </c:pt>
              </c:strCache>
            </c:strRef>
          </c:tx>
          <c:spPr>
            <a:ln w="12680">
              <a:solidFill>
                <a:srgbClr val="FF00FF"/>
              </a:solidFill>
              <a:prstDash val="solid"/>
            </a:ln>
          </c:spPr>
          <c:marker>
            <c:symbol val="square"/>
            <c:size val="4"/>
            <c:spPr>
              <a:solidFill>
                <a:srgbClr val="FF00FF"/>
              </a:solidFill>
              <a:ln>
                <a:solidFill>
                  <a:srgbClr val="FF00FF"/>
                </a:solidFill>
                <a:prstDash val="solid"/>
              </a:ln>
            </c:spPr>
          </c:marker>
          <c:cat>
            <c:strRef>
              <c:f>Sheet1!$B$1:$F$1</c:f>
              <c:strCache>
                <c:ptCount val="5"/>
                <c:pt idx="0">
                  <c:v>2011</c:v>
                </c:pt>
                <c:pt idx="1">
                  <c:v>2012</c:v>
                </c:pt>
                <c:pt idx="2">
                  <c:v>2013</c:v>
                </c:pt>
                <c:pt idx="3">
                  <c:v>2014</c:v>
                </c:pt>
                <c:pt idx="4">
                  <c:v>2015*</c:v>
                </c:pt>
              </c:strCache>
            </c:strRef>
          </c:cat>
          <c:val>
            <c:numRef>
              <c:f>Sheet1!$B$3:$F$3</c:f>
              <c:numCache>
                <c:formatCode>General</c:formatCode>
                <c:ptCount val="5"/>
                <c:pt idx="0">
                  <c:v>0.23100000000000001</c:v>
                </c:pt>
                <c:pt idx="1">
                  <c:v>0.18099999999999999</c:v>
                </c:pt>
                <c:pt idx="2">
                  <c:v>0.13300000000000001</c:v>
                </c:pt>
                <c:pt idx="3">
                  <c:v>0.15</c:v>
                </c:pt>
              </c:numCache>
            </c:numRef>
          </c:val>
          <c:smooth val="0"/>
        </c:ser>
        <c:dLbls>
          <c:showLegendKey val="0"/>
          <c:showVal val="0"/>
          <c:showCatName val="0"/>
          <c:showSerName val="0"/>
          <c:showPercent val="0"/>
          <c:showBubbleSize val="0"/>
        </c:dLbls>
        <c:marker val="1"/>
        <c:smooth val="0"/>
        <c:axId val="312491392"/>
        <c:axId val="312813056"/>
      </c:lineChart>
      <c:lineChart>
        <c:grouping val="standard"/>
        <c:varyColors val="0"/>
        <c:ser>
          <c:idx val="0"/>
          <c:order val="0"/>
          <c:tx>
            <c:strRef>
              <c:f>Sheet1!$A$2</c:f>
              <c:strCache>
                <c:ptCount val="1"/>
                <c:pt idx="0">
                  <c:v>Azotaţi (mg NO3-/L) </c:v>
                </c:pt>
              </c:strCache>
            </c:strRef>
          </c:tx>
          <c:spPr>
            <a:ln w="12680">
              <a:solidFill>
                <a:srgbClr val="000080"/>
              </a:solidFill>
              <a:prstDash val="solid"/>
            </a:ln>
          </c:spPr>
          <c:marker>
            <c:symbol val="diamond"/>
            <c:size val="4"/>
            <c:spPr>
              <a:solidFill>
                <a:srgbClr val="000080"/>
              </a:solidFill>
              <a:ln>
                <a:solidFill>
                  <a:srgbClr val="000080"/>
                </a:solidFill>
                <a:prstDash val="solid"/>
              </a:ln>
            </c:spPr>
          </c:marker>
          <c:cat>
            <c:strRef>
              <c:f>Sheet1!$B$1:$F$1</c:f>
              <c:strCache>
                <c:ptCount val="5"/>
                <c:pt idx="0">
                  <c:v>2011</c:v>
                </c:pt>
                <c:pt idx="1">
                  <c:v>2012</c:v>
                </c:pt>
                <c:pt idx="2">
                  <c:v>2013</c:v>
                </c:pt>
                <c:pt idx="3">
                  <c:v>2014</c:v>
                </c:pt>
                <c:pt idx="4">
                  <c:v>2015*</c:v>
                </c:pt>
              </c:strCache>
            </c:strRef>
          </c:cat>
          <c:val>
            <c:numRef>
              <c:f>Sheet1!$B$2:$F$2</c:f>
              <c:numCache>
                <c:formatCode>General</c:formatCode>
                <c:ptCount val="5"/>
                <c:pt idx="0">
                  <c:v>0.56899999999999995</c:v>
                </c:pt>
                <c:pt idx="1">
                  <c:v>0.27600000000000002</c:v>
                </c:pt>
                <c:pt idx="2">
                  <c:v>0.59199999999999997</c:v>
                </c:pt>
                <c:pt idx="3">
                  <c:v>0.25700000000000001</c:v>
                </c:pt>
              </c:numCache>
            </c:numRef>
          </c:val>
          <c:smooth val="0"/>
        </c:ser>
        <c:dLbls>
          <c:showLegendKey val="0"/>
          <c:showVal val="0"/>
          <c:showCatName val="0"/>
          <c:showSerName val="0"/>
          <c:showPercent val="0"/>
          <c:showBubbleSize val="0"/>
        </c:dLbls>
        <c:marker val="1"/>
        <c:smooth val="0"/>
        <c:axId val="312814976"/>
        <c:axId val="312824960"/>
      </c:lineChart>
      <c:catAx>
        <c:axId val="312491392"/>
        <c:scaling>
          <c:orientation val="minMax"/>
        </c:scaling>
        <c:delete val="0"/>
        <c:axPos val="b"/>
        <c:numFmt formatCode="General" sourceLinked="1"/>
        <c:majorTickMark val="out"/>
        <c:minorTickMark val="none"/>
        <c:tickLblPos val="nextTo"/>
        <c:spPr>
          <a:ln w="3170">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en-US"/>
          </a:p>
        </c:txPr>
        <c:crossAx val="312813056"/>
        <c:crosses val="autoZero"/>
        <c:auto val="1"/>
        <c:lblAlgn val="ctr"/>
        <c:lblOffset val="100"/>
        <c:tickMarkSkip val="1"/>
        <c:noMultiLvlLbl val="0"/>
      </c:catAx>
      <c:valAx>
        <c:axId val="312813056"/>
        <c:scaling>
          <c:orientation val="minMax"/>
          <c:max val="0.6"/>
        </c:scaling>
        <c:delete val="0"/>
        <c:axPos val="l"/>
        <c:majorGridlines>
          <c:spPr>
            <a:ln w="3170">
              <a:solidFill>
                <a:srgbClr val="000000"/>
              </a:solidFill>
              <a:prstDash val="solid"/>
            </a:ln>
          </c:spPr>
        </c:majorGridlines>
        <c:title>
          <c:tx>
            <c:rich>
              <a:bodyPr/>
              <a:lstStyle/>
              <a:p>
                <a:pPr>
                  <a:defRPr sz="874" b="1" i="0" u="none" strike="noStrike" baseline="0">
                    <a:solidFill>
                      <a:srgbClr val="000000"/>
                    </a:solidFill>
                    <a:latin typeface="Calibri"/>
                    <a:ea typeface="Calibri"/>
                    <a:cs typeface="Calibri"/>
                  </a:defRPr>
                </a:pPr>
                <a:r>
                  <a:rPr lang="en-US"/>
                  <a:t>Concentraţii azotaţi (mg/L) </a:t>
                </a:r>
              </a:p>
            </c:rich>
          </c:tx>
          <c:layout>
            <c:manualLayout>
              <c:xMode val="edge"/>
              <c:yMode val="edge"/>
              <c:x val="0.15569823434991975"/>
              <c:y val="0.16403785488958991"/>
            </c:manualLayout>
          </c:layout>
          <c:overlay val="0"/>
          <c:spPr>
            <a:noFill/>
            <a:ln w="25360">
              <a:noFill/>
            </a:ln>
          </c:spPr>
        </c:title>
        <c:numFmt formatCode="General" sourceLinked="1"/>
        <c:majorTickMark val="out"/>
        <c:minorTickMark val="none"/>
        <c:tickLblPos val="nextTo"/>
        <c:spPr>
          <a:ln w="3170">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en-US"/>
          </a:p>
        </c:txPr>
        <c:crossAx val="312491392"/>
        <c:crosses val="autoZero"/>
        <c:crossBetween val="between"/>
      </c:valAx>
      <c:catAx>
        <c:axId val="312814976"/>
        <c:scaling>
          <c:orientation val="minMax"/>
        </c:scaling>
        <c:delete val="1"/>
        <c:axPos val="b"/>
        <c:numFmt formatCode="General" sourceLinked="1"/>
        <c:majorTickMark val="out"/>
        <c:minorTickMark val="none"/>
        <c:tickLblPos val="nextTo"/>
        <c:crossAx val="312824960"/>
        <c:crosses val="autoZero"/>
        <c:auto val="1"/>
        <c:lblAlgn val="ctr"/>
        <c:lblOffset val="100"/>
        <c:noMultiLvlLbl val="0"/>
      </c:catAx>
      <c:valAx>
        <c:axId val="312824960"/>
        <c:scaling>
          <c:orientation val="minMax"/>
          <c:max val="5"/>
        </c:scaling>
        <c:delete val="0"/>
        <c:axPos val="r"/>
        <c:title>
          <c:tx>
            <c:rich>
              <a:bodyPr rot="5400000" vert="horz"/>
              <a:lstStyle/>
              <a:p>
                <a:pPr algn="ctr">
                  <a:defRPr sz="874" b="1" i="0" u="none" strike="noStrike" baseline="0">
                    <a:solidFill>
                      <a:srgbClr val="000000"/>
                    </a:solidFill>
                    <a:latin typeface="Calibri"/>
                    <a:ea typeface="Calibri"/>
                    <a:cs typeface="Calibri"/>
                  </a:defRPr>
                </a:pPr>
                <a:r>
                  <a:rPr lang="en-US"/>
                  <a:t>Concentraţii fosfor total (mg/L)</a:t>
                </a:r>
              </a:p>
            </c:rich>
          </c:tx>
          <c:layout>
            <c:manualLayout>
              <c:xMode val="edge"/>
              <c:yMode val="edge"/>
              <c:x val="0.9261637239165329"/>
              <c:y val="0.15141955835962145"/>
            </c:manualLayout>
          </c:layout>
          <c:overlay val="0"/>
          <c:spPr>
            <a:noFill/>
            <a:ln w="25360">
              <a:noFill/>
            </a:ln>
          </c:spPr>
        </c:title>
        <c:numFmt formatCode="General" sourceLinked="1"/>
        <c:majorTickMark val="cross"/>
        <c:minorTickMark val="none"/>
        <c:tickLblPos val="nextTo"/>
        <c:spPr>
          <a:ln w="3170">
            <a:solidFill>
              <a:srgbClr val="000000"/>
            </a:solidFill>
            <a:prstDash val="solid"/>
          </a:ln>
        </c:spPr>
        <c:txPr>
          <a:bodyPr rot="0" vert="horz"/>
          <a:lstStyle/>
          <a:p>
            <a:pPr>
              <a:defRPr sz="849" b="1" i="0" u="none" strike="noStrike" baseline="0">
                <a:solidFill>
                  <a:srgbClr val="000000"/>
                </a:solidFill>
                <a:latin typeface="Calibri"/>
                <a:ea typeface="Calibri"/>
                <a:cs typeface="Calibri"/>
              </a:defRPr>
            </a:pPr>
            <a:endParaRPr lang="en-US"/>
          </a:p>
        </c:txPr>
        <c:crossAx val="312814976"/>
        <c:crosses val="max"/>
        <c:crossBetween val="between"/>
        <c:majorUnit val="1"/>
      </c:valAx>
      <c:dTable>
        <c:showHorzBorder val="1"/>
        <c:showVertBorder val="1"/>
        <c:showOutline val="1"/>
        <c:showKeys val="1"/>
        <c:spPr>
          <a:ln w="3170">
            <a:solidFill>
              <a:srgbClr val="000000"/>
            </a:solidFill>
            <a:prstDash val="solid"/>
          </a:ln>
        </c:spPr>
        <c:txPr>
          <a:bodyPr/>
          <a:lstStyle/>
          <a:p>
            <a:pPr rtl="0">
              <a:defRPr sz="849" b="1" i="0" u="none" strike="noStrike" baseline="0">
                <a:solidFill>
                  <a:srgbClr val="000000"/>
                </a:solidFill>
                <a:latin typeface="Calibri"/>
                <a:ea typeface="Calibri"/>
                <a:cs typeface="Calibri"/>
              </a:defRPr>
            </a:pPr>
            <a:endParaRPr lang="en-US"/>
          </a:p>
        </c:txPr>
      </c:dTable>
      <c:spPr>
        <a:solidFill>
          <a:srgbClr val="CCFFFF"/>
        </a:solidFill>
        <a:ln w="12680">
          <a:solidFill>
            <a:srgbClr val="808080"/>
          </a:solidFill>
          <a:prstDash val="solid"/>
        </a:ln>
      </c:spPr>
    </c:plotArea>
    <c:plotVisOnly val="1"/>
    <c:dispBlanksAs val="gap"/>
    <c:showDLblsOverMax val="0"/>
  </c:chart>
  <c:spPr>
    <a:noFill/>
    <a:ln>
      <a:noFill/>
    </a:ln>
  </c:spPr>
  <c:txPr>
    <a:bodyPr/>
    <a:lstStyle/>
    <a:p>
      <a:pPr>
        <a:defRPr sz="1198" b="1" i="0" u="none" strike="noStrike" baseline="0">
          <a:solidFill>
            <a:srgbClr val="000000"/>
          </a:solidFill>
          <a:latin typeface="Calibri"/>
          <a:ea typeface="Calibri"/>
          <a:cs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315992292870907E-2"/>
          <c:y val="0.11229946524064172"/>
          <c:w val="0.7225433526011561"/>
          <c:h val="0.74866310160427807"/>
        </c:manualLayout>
      </c:layout>
      <c:lineChart>
        <c:grouping val="standard"/>
        <c:varyColors val="0"/>
        <c:ser>
          <c:idx val="0"/>
          <c:order val="0"/>
          <c:tx>
            <c:strRef>
              <c:f>Sheet1!$A$2</c:f>
              <c:strCache>
                <c:ptCount val="1"/>
                <c:pt idx="0">
                  <c:v>VS1</c:v>
                </c:pt>
              </c:strCache>
            </c:strRef>
          </c:tx>
          <c:spPr>
            <a:ln w="25352">
              <a:solidFill>
                <a:srgbClr val="FF6600"/>
              </a:solidFill>
              <a:prstDash val="solid"/>
            </a:ln>
          </c:spPr>
          <c:marker>
            <c:symbol val="x"/>
            <c:size val="4"/>
            <c:spPr>
              <a:solidFill>
                <a:srgbClr val="FF6600"/>
              </a:solidFill>
              <a:ln>
                <a:solidFill>
                  <a:srgbClr val="FF6600"/>
                </a:solidFill>
                <a:prstDash val="solid"/>
              </a:ln>
            </c:spPr>
          </c:marker>
          <c:cat>
            <c:numRef>
              <c:f>Sheet1!$B$1:$I$1</c:f>
              <c:numCache>
                <c:formatCode>General</c:formatCode>
                <c:ptCount val="8"/>
                <c:pt idx="0">
                  <c:v>2008</c:v>
                </c:pt>
                <c:pt idx="1">
                  <c:v>2009</c:v>
                </c:pt>
                <c:pt idx="2">
                  <c:v>2010</c:v>
                </c:pt>
                <c:pt idx="3">
                  <c:v>2011</c:v>
                </c:pt>
                <c:pt idx="4">
                  <c:v>2012</c:v>
                </c:pt>
                <c:pt idx="5">
                  <c:v>2013</c:v>
                </c:pt>
                <c:pt idx="6">
                  <c:v>2014</c:v>
                </c:pt>
                <c:pt idx="7">
                  <c:v>2015</c:v>
                </c:pt>
              </c:numCache>
            </c:numRef>
          </c:cat>
          <c:val>
            <c:numRef>
              <c:f>Sheet1!$B$2:$I$2</c:f>
              <c:numCache>
                <c:formatCode>General</c:formatCode>
                <c:ptCount val="8"/>
                <c:pt idx="0">
                  <c:v>19</c:v>
                </c:pt>
                <c:pt idx="1">
                  <c:v>19</c:v>
                </c:pt>
                <c:pt idx="2">
                  <c:v>22.25</c:v>
                </c:pt>
                <c:pt idx="3">
                  <c:v>17.399999999999999</c:v>
                </c:pt>
              </c:numCache>
            </c:numRef>
          </c:val>
          <c:smooth val="0"/>
        </c:ser>
        <c:ser>
          <c:idx val="1"/>
          <c:order val="1"/>
          <c:tx>
            <c:strRef>
              <c:f>Sheet1!$A$3</c:f>
              <c:strCache>
                <c:ptCount val="1"/>
                <c:pt idx="0">
                  <c:v>VS2</c:v>
                </c:pt>
              </c:strCache>
            </c:strRef>
          </c:tx>
          <c:spPr>
            <a:ln w="12676">
              <a:solidFill>
                <a:srgbClr val="0000FF"/>
              </a:solidFill>
              <a:prstDash val="solid"/>
            </a:ln>
          </c:spPr>
          <c:marker>
            <c:symbol val="square"/>
            <c:size val="4"/>
            <c:spPr>
              <a:solidFill>
                <a:srgbClr val="0000FF"/>
              </a:solidFill>
              <a:ln>
                <a:solidFill>
                  <a:srgbClr val="0000FF"/>
                </a:solidFill>
                <a:prstDash val="solid"/>
              </a:ln>
            </c:spPr>
          </c:marker>
          <c:dPt>
            <c:idx val="4"/>
            <c:bubble3D val="0"/>
            <c:spPr>
              <a:ln w="25352">
                <a:solidFill>
                  <a:srgbClr val="0000FF"/>
                </a:solidFill>
                <a:prstDash val="solid"/>
              </a:ln>
            </c:spPr>
          </c:dPt>
          <c:cat>
            <c:numRef>
              <c:f>Sheet1!$B$1:$I$1</c:f>
              <c:numCache>
                <c:formatCode>General</c:formatCode>
                <c:ptCount val="8"/>
                <c:pt idx="0">
                  <c:v>2008</c:v>
                </c:pt>
                <c:pt idx="1">
                  <c:v>2009</c:v>
                </c:pt>
                <c:pt idx="2">
                  <c:v>2010</c:v>
                </c:pt>
                <c:pt idx="3">
                  <c:v>2011</c:v>
                </c:pt>
                <c:pt idx="4">
                  <c:v>2012</c:v>
                </c:pt>
                <c:pt idx="5">
                  <c:v>2013</c:v>
                </c:pt>
                <c:pt idx="6">
                  <c:v>2014</c:v>
                </c:pt>
                <c:pt idx="7">
                  <c:v>2015</c:v>
                </c:pt>
              </c:numCache>
            </c:numRef>
          </c:cat>
          <c:val>
            <c:numRef>
              <c:f>Sheet1!$B$3:$I$3</c:f>
              <c:numCache>
                <c:formatCode>General</c:formatCode>
                <c:ptCount val="8"/>
                <c:pt idx="4">
                  <c:v>26.27</c:v>
                </c:pt>
                <c:pt idx="5">
                  <c:v>24.42</c:v>
                </c:pt>
                <c:pt idx="6">
                  <c:v>25.68</c:v>
                </c:pt>
                <c:pt idx="7">
                  <c:v>26.3</c:v>
                </c:pt>
              </c:numCache>
            </c:numRef>
          </c:val>
          <c:smooth val="0"/>
        </c:ser>
        <c:ser>
          <c:idx val="2"/>
          <c:order val="2"/>
          <c:tx>
            <c:strRef>
              <c:f>Sheet1!$A$4</c:f>
              <c:strCache>
                <c:ptCount val="1"/>
                <c:pt idx="0">
                  <c:v>Valoare limita orara</c:v>
                </c:pt>
              </c:strCache>
            </c:strRef>
          </c:tx>
          <c:spPr>
            <a:ln w="25352">
              <a:solidFill>
                <a:srgbClr val="800080"/>
              </a:solidFill>
              <a:prstDash val="solid"/>
            </a:ln>
          </c:spPr>
          <c:marker>
            <c:symbol val="triangle"/>
            <c:size val="4"/>
            <c:spPr>
              <a:solidFill>
                <a:srgbClr val="800080"/>
              </a:solidFill>
              <a:ln>
                <a:solidFill>
                  <a:srgbClr val="800080"/>
                </a:solidFill>
                <a:prstDash val="solid"/>
              </a:ln>
            </c:spPr>
          </c:marker>
          <c:cat>
            <c:numRef>
              <c:f>Sheet1!$B$1:$I$1</c:f>
              <c:numCache>
                <c:formatCode>General</c:formatCode>
                <c:ptCount val="8"/>
                <c:pt idx="0">
                  <c:v>2008</c:v>
                </c:pt>
                <c:pt idx="1">
                  <c:v>2009</c:v>
                </c:pt>
                <c:pt idx="2">
                  <c:v>2010</c:v>
                </c:pt>
                <c:pt idx="3">
                  <c:v>2011</c:v>
                </c:pt>
                <c:pt idx="4">
                  <c:v>2012</c:v>
                </c:pt>
                <c:pt idx="5">
                  <c:v>2013</c:v>
                </c:pt>
                <c:pt idx="6">
                  <c:v>2014</c:v>
                </c:pt>
                <c:pt idx="7">
                  <c:v>2015</c:v>
                </c:pt>
              </c:numCache>
            </c:numRef>
          </c:cat>
          <c:val>
            <c:numRef>
              <c:f>Sheet1!$B$4:$I$4</c:f>
              <c:numCache>
                <c:formatCode>General</c:formatCode>
                <c:ptCount val="8"/>
                <c:pt idx="0">
                  <c:v>40</c:v>
                </c:pt>
                <c:pt idx="1">
                  <c:v>40</c:v>
                </c:pt>
                <c:pt idx="2">
                  <c:v>40</c:v>
                </c:pt>
                <c:pt idx="3">
                  <c:v>40</c:v>
                </c:pt>
                <c:pt idx="4">
                  <c:v>40</c:v>
                </c:pt>
                <c:pt idx="5">
                  <c:v>40</c:v>
                </c:pt>
                <c:pt idx="6">
                  <c:v>40</c:v>
                </c:pt>
                <c:pt idx="7">
                  <c:v>40</c:v>
                </c:pt>
              </c:numCache>
            </c:numRef>
          </c:val>
          <c:smooth val="0"/>
        </c:ser>
        <c:dLbls>
          <c:showLegendKey val="0"/>
          <c:showVal val="0"/>
          <c:showCatName val="0"/>
          <c:showSerName val="0"/>
          <c:showPercent val="0"/>
          <c:showBubbleSize val="0"/>
        </c:dLbls>
        <c:marker val="1"/>
        <c:smooth val="0"/>
        <c:axId val="293319808"/>
        <c:axId val="293321728"/>
      </c:lineChart>
      <c:catAx>
        <c:axId val="293319808"/>
        <c:scaling>
          <c:orientation val="minMax"/>
        </c:scaling>
        <c:delete val="0"/>
        <c:axPos val="b"/>
        <c:numFmt formatCode="General" sourceLinked="1"/>
        <c:majorTickMark val="out"/>
        <c:minorTickMark val="none"/>
        <c:tickLblPos val="nextTo"/>
        <c:spPr>
          <a:ln w="3169">
            <a:solidFill>
              <a:srgbClr val="000000"/>
            </a:solidFill>
            <a:prstDash val="solid"/>
          </a:ln>
        </c:spPr>
        <c:txPr>
          <a:bodyPr rot="0" vert="horz"/>
          <a:lstStyle/>
          <a:p>
            <a:pPr>
              <a:defRPr sz="823" b="1" i="0" u="none" strike="noStrike" baseline="0">
                <a:solidFill>
                  <a:srgbClr val="000000"/>
                </a:solidFill>
                <a:latin typeface="Arial"/>
                <a:ea typeface="Arial"/>
                <a:cs typeface="Arial"/>
              </a:defRPr>
            </a:pPr>
            <a:endParaRPr lang="en-US"/>
          </a:p>
        </c:txPr>
        <c:crossAx val="293321728"/>
        <c:crosses val="autoZero"/>
        <c:auto val="1"/>
        <c:lblAlgn val="ctr"/>
        <c:lblOffset val="100"/>
        <c:tickLblSkip val="1"/>
        <c:tickMarkSkip val="1"/>
        <c:noMultiLvlLbl val="0"/>
      </c:catAx>
      <c:valAx>
        <c:axId val="293321728"/>
        <c:scaling>
          <c:orientation val="minMax"/>
        </c:scaling>
        <c:delete val="0"/>
        <c:axPos val="l"/>
        <c:majorGridlines>
          <c:spPr>
            <a:ln w="3169">
              <a:solidFill>
                <a:srgbClr val="000000"/>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sz="823" b="1" i="0" u="none" strike="noStrike" baseline="0">
                <a:solidFill>
                  <a:srgbClr val="000000"/>
                </a:solidFill>
                <a:latin typeface="Arial"/>
                <a:ea typeface="Arial"/>
                <a:cs typeface="Arial"/>
              </a:defRPr>
            </a:pPr>
            <a:endParaRPr lang="en-US"/>
          </a:p>
        </c:txPr>
        <c:crossAx val="293319808"/>
        <c:crosses val="autoZero"/>
        <c:crossBetween val="between"/>
      </c:valAx>
      <c:spPr>
        <a:gradFill rotWithShape="0">
          <a:gsLst>
            <a:gs pos="0">
              <a:srgbClr xmlns:mc="http://schemas.openxmlformats.org/markup-compatibility/2006" xmlns:a14="http://schemas.microsoft.com/office/drawing/2010/main" val="FFCC99" mc:Ignorable="a14" a14:legacySpreadsheetColorIndex="47"/>
            </a:gs>
            <a:gs pos="50000">
              <a:srgbClr xmlns:mc="http://schemas.openxmlformats.org/markup-compatibility/2006" xmlns:a14="http://schemas.microsoft.com/office/drawing/2010/main" val="FFFFCC" mc:Ignorable="a14" a14:legacySpreadsheetColorIndex="26"/>
            </a:gs>
            <a:gs pos="100000">
              <a:srgbClr xmlns:mc="http://schemas.openxmlformats.org/markup-compatibility/2006" xmlns:a14="http://schemas.microsoft.com/office/drawing/2010/main" val="FFCC99" mc:Ignorable="a14" a14:legacySpreadsheetColorIndex="47"/>
            </a:gs>
          </a:gsLst>
          <a:lin ang="5400000" scaled="1"/>
        </a:gradFill>
        <a:ln w="12676">
          <a:solidFill>
            <a:srgbClr val="808080"/>
          </a:solidFill>
          <a:prstDash val="solid"/>
        </a:ln>
      </c:spPr>
    </c:plotArea>
    <c:legend>
      <c:legendPos val="r"/>
      <c:layout>
        <c:manualLayout>
          <c:xMode val="edge"/>
          <c:yMode val="edge"/>
          <c:x val="0.77842003853564545"/>
          <c:y val="0.13903743315508021"/>
          <c:w val="0.21579961464354527"/>
          <c:h val="0.50267379679144386"/>
        </c:manualLayout>
      </c:layout>
      <c:overlay val="0"/>
      <c:spPr>
        <a:noFill/>
        <a:ln w="3169">
          <a:solidFill>
            <a:srgbClr val="000000"/>
          </a:solidFill>
          <a:prstDash val="solid"/>
        </a:ln>
      </c:spPr>
      <c:txPr>
        <a:bodyPr/>
        <a:lstStyle/>
        <a:p>
          <a:pPr>
            <a:defRPr sz="779"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823" b="1" i="0" u="none" strike="noStrike" baseline="0">
          <a:solidFill>
            <a:srgbClr val="000000"/>
          </a:solidFill>
          <a:latin typeface="Arial"/>
          <a:ea typeface="Arial"/>
          <a:cs typeface="Arial"/>
        </a:defRPr>
      </a:pPr>
      <a:endParaRPr lang="en-US"/>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379905808477235"/>
          <c:y val="0.1038961038961039"/>
          <c:w val="0.64207221350078492"/>
          <c:h val="0.5757575757575758"/>
        </c:manualLayout>
      </c:layout>
      <c:lineChart>
        <c:grouping val="standard"/>
        <c:varyColors val="0"/>
        <c:ser>
          <c:idx val="0"/>
          <c:order val="0"/>
          <c:tx>
            <c:strRef>
              <c:f>Sheet1!$A$2</c:f>
              <c:strCache>
                <c:ptCount val="1"/>
                <c:pt idx="0">
                  <c:v>Concentraţii medii anuale</c:v>
                </c:pt>
              </c:strCache>
            </c:strRef>
          </c:tx>
          <c:spPr>
            <a:ln w="25400">
              <a:solidFill>
                <a:srgbClr val="000080"/>
              </a:solidFill>
              <a:prstDash val="solid"/>
            </a:ln>
          </c:spPr>
          <c:marker>
            <c:symbol val="none"/>
          </c:marker>
          <c:cat>
            <c:strRef>
              <c:f>Sheet1!$B$1:$F$1</c:f>
              <c:strCache>
                <c:ptCount val="5"/>
                <c:pt idx="0">
                  <c:v>2011</c:v>
                </c:pt>
                <c:pt idx="1">
                  <c:v>2012</c:v>
                </c:pt>
                <c:pt idx="2">
                  <c:v>2013</c:v>
                </c:pt>
                <c:pt idx="3">
                  <c:v>2014</c:v>
                </c:pt>
                <c:pt idx="4">
                  <c:v>2015*</c:v>
                </c:pt>
              </c:strCache>
            </c:strRef>
          </c:cat>
          <c:val>
            <c:numRef>
              <c:f>Sheet1!$B$2:$F$2</c:f>
              <c:numCache>
                <c:formatCode>General</c:formatCode>
                <c:ptCount val="5"/>
                <c:pt idx="0">
                  <c:v>63.81</c:v>
                </c:pt>
                <c:pt idx="1">
                  <c:v>124.25</c:v>
                </c:pt>
                <c:pt idx="2">
                  <c:v>76.69</c:v>
                </c:pt>
                <c:pt idx="3">
                  <c:v>146.36000000000001</c:v>
                </c:pt>
              </c:numCache>
            </c:numRef>
          </c:val>
          <c:smooth val="1"/>
        </c:ser>
        <c:ser>
          <c:idx val="1"/>
          <c:order val="1"/>
          <c:tx>
            <c:strRef>
              <c:f>Sheet1!$A$3</c:f>
              <c:strCache>
                <c:ptCount val="1"/>
                <c:pt idx="0">
                  <c:v>Valoare de prag</c:v>
                </c:pt>
              </c:strCache>
            </c:strRef>
          </c:tx>
          <c:spPr>
            <a:ln w="25400">
              <a:solidFill>
                <a:srgbClr val="FF00FF"/>
              </a:solidFill>
              <a:prstDash val="solid"/>
            </a:ln>
          </c:spPr>
          <c:marker>
            <c:symbol val="none"/>
          </c:marker>
          <c:cat>
            <c:strRef>
              <c:f>Sheet1!$B$1:$F$1</c:f>
              <c:strCache>
                <c:ptCount val="5"/>
                <c:pt idx="0">
                  <c:v>2011</c:v>
                </c:pt>
                <c:pt idx="1">
                  <c:v>2012</c:v>
                </c:pt>
                <c:pt idx="2">
                  <c:v>2013</c:v>
                </c:pt>
                <c:pt idx="3">
                  <c:v>2014</c:v>
                </c:pt>
                <c:pt idx="4">
                  <c:v>2015*</c:v>
                </c:pt>
              </c:strCache>
            </c:strRef>
          </c:cat>
          <c:val>
            <c:numRef>
              <c:f>Sheet1!$B$3:$F$3</c:f>
              <c:numCache>
                <c:formatCode>General</c:formatCode>
                <c:ptCount val="5"/>
                <c:pt idx="0">
                  <c:v>50</c:v>
                </c:pt>
                <c:pt idx="1">
                  <c:v>50</c:v>
                </c:pt>
                <c:pt idx="2">
                  <c:v>50</c:v>
                </c:pt>
                <c:pt idx="3">
                  <c:v>50</c:v>
                </c:pt>
                <c:pt idx="4">
                  <c:v>50</c:v>
                </c:pt>
              </c:numCache>
            </c:numRef>
          </c:val>
          <c:smooth val="1"/>
        </c:ser>
        <c:dLbls>
          <c:showLegendKey val="0"/>
          <c:showVal val="0"/>
          <c:showCatName val="0"/>
          <c:showSerName val="0"/>
          <c:showPercent val="0"/>
          <c:showBubbleSize val="0"/>
        </c:dLbls>
        <c:marker val="1"/>
        <c:smooth val="0"/>
        <c:axId val="312785920"/>
        <c:axId val="313074432"/>
      </c:lineChart>
      <c:catAx>
        <c:axId val="312785920"/>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en-US"/>
          </a:p>
        </c:txPr>
        <c:crossAx val="313074432"/>
        <c:crosses val="autoZero"/>
        <c:auto val="0"/>
        <c:lblAlgn val="ctr"/>
        <c:lblOffset val="100"/>
        <c:tickMarkSkip val="1"/>
        <c:noMultiLvlLbl val="0"/>
      </c:catAx>
      <c:valAx>
        <c:axId val="313074432"/>
        <c:scaling>
          <c:orientation val="minMax"/>
          <c:max val="150"/>
        </c:scaling>
        <c:delete val="0"/>
        <c:axPos val="l"/>
        <c:majorGridlines>
          <c:spPr>
            <a:ln w="3175">
              <a:solidFill>
                <a:srgbClr val="000000"/>
              </a:solidFill>
              <a:prstDash val="solid"/>
            </a:ln>
          </c:spPr>
        </c:majorGridlines>
        <c:title>
          <c:tx>
            <c:rich>
              <a:bodyPr/>
              <a:lstStyle/>
              <a:p>
                <a:pPr>
                  <a:defRPr sz="900" b="1" i="0" u="none" strike="noStrike" baseline="0">
                    <a:solidFill>
                      <a:srgbClr val="000000"/>
                    </a:solidFill>
                    <a:latin typeface="Arial"/>
                    <a:ea typeface="Arial"/>
                    <a:cs typeface="Arial"/>
                  </a:defRPr>
                </a:pPr>
                <a:r>
                  <a:rPr lang="en-US"/>
                  <a:t>Concentraţii azotaţi (mg/L)</a:t>
                </a:r>
              </a:p>
            </c:rich>
          </c:tx>
          <c:layout>
            <c:manualLayout>
              <c:xMode val="edge"/>
              <c:yMode val="edge"/>
              <c:x val="0.23233908948194662"/>
              <c:y val="6.0606060606060608E-2"/>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en-US"/>
          </a:p>
        </c:txPr>
        <c:crossAx val="312785920"/>
        <c:crosses val="autoZero"/>
        <c:crossBetween val="midCat"/>
      </c:valAx>
      <c:dTable>
        <c:showHorzBorder val="1"/>
        <c:showVertBorder val="1"/>
        <c:showOutline val="1"/>
        <c:showKeys val="1"/>
        <c:spPr>
          <a:ln w="3175">
            <a:solidFill>
              <a:srgbClr val="000000"/>
            </a:solidFill>
            <a:prstDash val="solid"/>
          </a:ln>
        </c:spPr>
        <c:txPr>
          <a:bodyPr/>
          <a:lstStyle/>
          <a:p>
            <a:pPr rtl="0">
              <a:defRPr sz="900" b="1" i="0" u="none" strike="noStrike" baseline="0">
                <a:solidFill>
                  <a:srgbClr val="000000"/>
                </a:solidFill>
                <a:latin typeface="Arial"/>
                <a:ea typeface="Arial"/>
                <a:cs typeface="Arial"/>
              </a:defRPr>
            </a:pPr>
            <a:endParaRPr lang="en-US"/>
          </a:p>
        </c:txPr>
      </c:dTable>
      <c:spPr>
        <a:solidFill>
          <a:srgbClr val="FFFF99"/>
        </a:solidFill>
        <a:ln w="12700">
          <a:solidFill>
            <a:srgbClr val="808080"/>
          </a:solidFill>
          <a:prstDash val="solid"/>
        </a:ln>
      </c:spPr>
    </c:plotArea>
    <c:plotVisOnly val="1"/>
    <c:dispBlanksAs val="gap"/>
    <c:showDLblsOverMax val="0"/>
  </c:chart>
  <c:spPr>
    <a:noFill/>
    <a:ln>
      <a:noFill/>
    </a:ln>
  </c:spPr>
  <c:txPr>
    <a:bodyPr/>
    <a:lstStyle/>
    <a:p>
      <a:pPr>
        <a:defRPr sz="1025" b="1" i="0" u="none" strike="noStrike" baseline="0">
          <a:solidFill>
            <a:srgbClr val="000000"/>
          </a:solidFill>
          <a:latin typeface="Calibri"/>
          <a:ea typeface="Calibri"/>
          <a:cs typeface="Calibri"/>
        </a:defRPr>
      </a:pPr>
      <a:endParaRPr lang="en-US"/>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528662420382164"/>
          <c:y val="6.3694267515923567E-2"/>
          <c:w val="0.56210191082802552"/>
          <c:h val="0.51910828025477707"/>
        </c:manualLayout>
      </c:layout>
      <c:lineChart>
        <c:grouping val="standard"/>
        <c:varyColors val="0"/>
        <c:ser>
          <c:idx val="1"/>
          <c:order val="1"/>
          <c:tx>
            <c:strRef>
              <c:f>Sheet1!$A$3</c:f>
              <c:strCache>
                <c:ptCount val="1"/>
                <c:pt idx="0">
                  <c:v>Azotaţi în lacuri</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cat>
            <c:strRef>
              <c:f>Sheet1!$B$1:$F$1</c:f>
              <c:strCache>
                <c:ptCount val="5"/>
                <c:pt idx="0">
                  <c:v>2011</c:v>
                </c:pt>
                <c:pt idx="1">
                  <c:v>2012</c:v>
                </c:pt>
                <c:pt idx="2">
                  <c:v>2013</c:v>
                </c:pt>
                <c:pt idx="3">
                  <c:v>2014</c:v>
                </c:pt>
                <c:pt idx="4">
                  <c:v>2015*</c:v>
                </c:pt>
              </c:strCache>
            </c:strRef>
          </c:cat>
          <c:val>
            <c:numRef>
              <c:f>Sheet1!$B$3:$F$3</c:f>
              <c:numCache>
                <c:formatCode>General</c:formatCode>
                <c:ptCount val="5"/>
                <c:pt idx="0">
                  <c:v>0.56899999999999995</c:v>
                </c:pt>
                <c:pt idx="1">
                  <c:v>0.27600000000000002</c:v>
                </c:pt>
                <c:pt idx="2">
                  <c:v>0.59199999999999997</c:v>
                </c:pt>
                <c:pt idx="3">
                  <c:v>0.25700000000000001</c:v>
                </c:pt>
              </c:numCache>
            </c:numRef>
          </c:val>
          <c:smooth val="0"/>
        </c:ser>
        <c:ser>
          <c:idx val="2"/>
          <c:order val="2"/>
          <c:tx>
            <c:strRef>
              <c:f>Sheet1!$A$4</c:f>
              <c:strCache>
                <c:ptCount val="1"/>
                <c:pt idx="0">
                  <c:v>Azotaţi în ape subterane</c:v>
                </c:pt>
              </c:strCache>
            </c:strRef>
          </c:tx>
          <c:spPr>
            <a:ln w="25400">
              <a:solidFill>
                <a:srgbClr val="FFFF00"/>
              </a:solidFill>
              <a:prstDash val="solid"/>
            </a:ln>
          </c:spPr>
          <c:marker>
            <c:symbol val="triangle"/>
            <c:size val="7"/>
            <c:spPr>
              <a:solidFill>
                <a:srgbClr val="FFFF00"/>
              </a:solidFill>
              <a:ln>
                <a:solidFill>
                  <a:srgbClr val="FFFF00"/>
                </a:solidFill>
                <a:prstDash val="solid"/>
              </a:ln>
            </c:spPr>
          </c:marker>
          <c:cat>
            <c:strRef>
              <c:f>Sheet1!$B$1:$F$1</c:f>
              <c:strCache>
                <c:ptCount val="5"/>
                <c:pt idx="0">
                  <c:v>2011</c:v>
                </c:pt>
                <c:pt idx="1">
                  <c:v>2012</c:v>
                </c:pt>
                <c:pt idx="2">
                  <c:v>2013</c:v>
                </c:pt>
                <c:pt idx="3">
                  <c:v>2014</c:v>
                </c:pt>
                <c:pt idx="4">
                  <c:v>2015*</c:v>
                </c:pt>
              </c:strCache>
            </c:strRef>
          </c:cat>
          <c:val>
            <c:numRef>
              <c:f>Sheet1!$B$4:$F$4</c:f>
              <c:numCache>
                <c:formatCode>General</c:formatCode>
                <c:ptCount val="5"/>
                <c:pt idx="0">
                  <c:v>63.81</c:v>
                </c:pt>
                <c:pt idx="1">
                  <c:v>124.25</c:v>
                </c:pt>
                <c:pt idx="2">
                  <c:v>76.69</c:v>
                </c:pt>
                <c:pt idx="3">
                  <c:v>146.36000000000001</c:v>
                </c:pt>
              </c:numCache>
            </c:numRef>
          </c:val>
          <c:smooth val="0"/>
        </c:ser>
        <c:ser>
          <c:idx val="3"/>
          <c:order val="3"/>
          <c:tx>
            <c:strRef>
              <c:f>Sheet1!$A$5</c:f>
              <c:strCache>
                <c:ptCount val="1"/>
                <c:pt idx="0">
                  <c:v>Ortofosfaţi solubili în râuri</c:v>
                </c:pt>
              </c:strCache>
            </c:strRef>
          </c:tx>
          <c:spPr>
            <a:ln w="12700">
              <a:solidFill>
                <a:srgbClr val="00FFFF"/>
              </a:solidFill>
              <a:prstDash val="solid"/>
            </a:ln>
          </c:spPr>
          <c:marker>
            <c:symbol val="x"/>
            <c:size val="5"/>
            <c:spPr>
              <a:noFill/>
              <a:ln>
                <a:solidFill>
                  <a:srgbClr val="00FFFF"/>
                </a:solidFill>
                <a:prstDash val="solid"/>
              </a:ln>
            </c:spPr>
          </c:marker>
          <c:cat>
            <c:strRef>
              <c:f>Sheet1!$B$1:$F$1</c:f>
              <c:strCache>
                <c:ptCount val="5"/>
                <c:pt idx="0">
                  <c:v>2011</c:v>
                </c:pt>
                <c:pt idx="1">
                  <c:v>2012</c:v>
                </c:pt>
                <c:pt idx="2">
                  <c:v>2013</c:v>
                </c:pt>
                <c:pt idx="3">
                  <c:v>2014</c:v>
                </c:pt>
                <c:pt idx="4">
                  <c:v>2015*</c:v>
                </c:pt>
              </c:strCache>
            </c:strRef>
          </c:cat>
          <c:val>
            <c:numRef>
              <c:f>Sheet1!$B$5:$F$5</c:f>
              <c:numCache>
                <c:formatCode>General</c:formatCode>
                <c:ptCount val="5"/>
                <c:pt idx="0">
                  <c:v>0.15379999999999999</c:v>
                </c:pt>
                <c:pt idx="1">
                  <c:v>0.27310000000000001</c:v>
                </c:pt>
                <c:pt idx="2">
                  <c:v>0.17910000000000001</c:v>
                </c:pt>
                <c:pt idx="3">
                  <c:v>0.17050000000000001</c:v>
                </c:pt>
              </c:numCache>
            </c:numRef>
          </c:val>
          <c:smooth val="0"/>
        </c:ser>
        <c:ser>
          <c:idx val="4"/>
          <c:order val="4"/>
          <c:tx>
            <c:strRef>
              <c:f>Sheet1!$A$6</c:f>
              <c:strCache>
                <c:ptCount val="1"/>
                <c:pt idx="0">
                  <c:v>Fosfor total în lacuri</c:v>
                </c:pt>
              </c:strCache>
            </c:strRef>
          </c:tx>
          <c:spPr>
            <a:ln w="12700">
              <a:solidFill>
                <a:srgbClr val="800080"/>
              </a:solidFill>
              <a:prstDash val="solid"/>
            </a:ln>
          </c:spPr>
          <c:marker>
            <c:symbol val="star"/>
            <c:size val="5"/>
            <c:spPr>
              <a:noFill/>
              <a:ln>
                <a:solidFill>
                  <a:srgbClr val="800080"/>
                </a:solidFill>
                <a:prstDash val="solid"/>
              </a:ln>
            </c:spPr>
          </c:marker>
          <c:cat>
            <c:strRef>
              <c:f>Sheet1!$B$1:$F$1</c:f>
              <c:strCache>
                <c:ptCount val="5"/>
                <c:pt idx="0">
                  <c:v>2011</c:v>
                </c:pt>
                <c:pt idx="1">
                  <c:v>2012</c:v>
                </c:pt>
                <c:pt idx="2">
                  <c:v>2013</c:v>
                </c:pt>
                <c:pt idx="3">
                  <c:v>2014</c:v>
                </c:pt>
                <c:pt idx="4">
                  <c:v>2015*</c:v>
                </c:pt>
              </c:strCache>
            </c:strRef>
          </c:cat>
          <c:val>
            <c:numRef>
              <c:f>Sheet1!$B$6:$F$6</c:f>
              <c:numCache>
                <c:formatCode>General</c:formatCode>
                <c:ptCount val="5"/>
                <c:pt idx="0">
                  <c:v>0.23100000000000001</c:v>
                </c:pt>
                <c:pt idx="1">
                  <c:v>0.18099999999999999</c:v>
                </c:pt>
                <c:pt idx="2">
                  <c:v>0.13300000000000001</c:v>
                </c:pt>
                <c:pt idx="3">
                  <c:v>0.15</c:v>
                </c:pt>
              </c:numCache>
            </c:numRef>
          </c:val>
          <c:smooth val="0"/>
        </c:ser>
        <c:dLbls>
          <c:showLegendKey val="0"/>
          <c:showVal val="0"/>
          <c:showCatName val="0"/>
          <c:showSerName val="0"/>
          <c:showPercent val="0"/>
          <c:showBubbleSize val="0"/>
        </c:dLbls>
        <c:marker val="1"/>
        <c:smooth val="0"/>
        <c:axId val="313264000"/>
        <c:axId val="313278464"/>
      </c:lineChart>
      <c:lineChart>
        <c:grouping val="standard"/>
        <c:varyColors val="0"/>
        <c:ser>
          <c:idx val="0"/>
          <c:order val="0"/>
          <c:tx>
            <c:strRef>
              <c:f>Sheet1!$A$2</c:f>
              <c:strCache>
                <c:ptCount val="1"/>
                <c:pt idx="0">
                  <c:v>Azotaţi în râuri</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strRef>
              <c:f>Sheet1!$B$1:$F$1</c:f>
              <c:strCache>
                <c:ptCount val="5"/>
                <c:pt idx="0">
                  <c:v>2011</c:v>
                </c:pt>
                <c:pt idx="1">
                  <c:v>2012</c:v>
                </c:pt>
                <c:pt idx="2">
                  <c:v>2013</c:v>
                </c:pt>
                <c:pt idx="3">
                  <c:v>2014</c:v>
                </c:pt>
                <c:pt idx="4">
                  <c:v>2015*</c:v>
                </c:pt>
              </c:strCache>
            </c:strRef>
          </c:cat>
          <c:val>
            <c:numRef>
              <c:f>Sheet1!$B$2:$F$2</c:f>
              <c:numCache>
                <c:formatCode>General</c:formatCode>
                <c:ptCount val="5"/>
                <c:pt idx="0">
                  <c:v>7.63</c:v>
                </c:pt>
                <c:pt idx="1">
                  <c:v>6.32</c:v>
                </c:pt>
                <c:pt idx="2">
                  <c:v>8.3699999999999992</c:v>
                </c:pt>
                <c:pt idx="3">
                  <c:v>7.49</c:v>
                </c:pt>
              </c:numCache>
            </c:numRef>
          </c:val>
          <c:smooth val="0"/>
        </c:ser>
        <c:dLbls>
          <c:showLegendKey val="0"/>
          <c:showVal val="0"/>
          <c:showCatName val="0"/>
          <c:showSerName val="0"/>
          <c:showPercent val="0"/>
          <c:showBubbleSize val="0"/>
        </c:dLbls>
        <c:marker val="1"/>
        <c:smooth val="0"/>
        <c:axId val="313280384"/>
        <c:axId val="313281920"/>
      </c:lineChart>
      <c:catAx>
        <c:axId val="31326400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en-US"/>
          </a:p>
        </c:txPr>
        <c:crossAx val="313278464"/>
        <c:crosses val="autoZero"/>
        <c:auto val="1"/>
        <c:lblAlgn val="ctr"/>
        <c:lblOffset val="100"/>
        <c:tickMarkSkip val="1"/>
        <c:noMultiLvlLbl val="0"/>
      </c:catAx>
      <c:valAx>
        <c:axId val="313278464"/>
        <c:scaling>
          <c:orientation val="minMax"/>
          <c:max val="160"/>
        </c:scaling>
        <c:delete val="0"/>
        <c:axPos val="l"/>
        <c:majorGridlines>
          <c:spPr>
            <a:ln w="3175">
              <a:solidFill>
                <a:srgbClr val="000000"/>
              </a:solidFill>
              <a:prstDash val="solid"/>
            </a:ln>
          </c:spPr>
        </c:majorGridlines>
        <c:title>
          <c:tx>
            <c:rich>
              <a:bodyPr/>
              <a:lstStyle/>
              <a:p>
                <a:pPr>
                  <a:defRPr sz="1075" b="1" i="0" u="none" strike="noStrike" baseline="0">
                    <a:solidFill>
                      <a:srgbClr val="000000"/>
                    </a:solidFill>
                    <a:latin typeface="Calibri"/>
                    <a:ea typeface="Calibri"/>
                    <a:cs typeface="Calibri"/>
                  </a:defRPr>
                </a:pPr>
                <a:r>
                  <a:rPr lang="en-US"/>
                  <a:t>Concentraţii azotaţi (mg NO3-/L) </a:t>
                </a:r>
              </a:p>
            </c:rich>
          </c:tx>
          <c:layout>
            <c:manualLayout>
              <c:xMode val="edge"/>
              <c:yMode val="edge"/>
              <c:x val="0.23248407643312102"/>
              <c:y val="1.2738853503184714E-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en-US"/>
          </a:p>
        </c:txPr>
        <c:crossAx val="313264000"/>
        <c:crosses val="autoZero"/>
        <c:crossBetween val="between"/>
      </c:valAx>
      <c:catAx>
        <c:axId val="313280384"/>
        <c:scaling>
          <c:orientation val="minMax"/>
        </c:scaling>
        <c:delete val="1"/>
        <c:axPos val="b"/>
        <c:numFmt formatCode="General" sourceLinked="1"/>
        <c:majorTickMark val="out"/>
        <c:minorTickMark val="none"/>
        <c:tickLblPos val="nextTo"/>
        <c:crossAx val="313281920"/>
        <c:crosses val="autoZero"/>
        <c:auto val="1"/>
        <c:lblAlgn val="ctr"/>
        <c:lblOffset val="100"/>
        <c:noMultiLvlLbl val="0"/>
      </c:catAx>
      <c:valAx>
        <c:axId val="313281920"/>
        <c:scaling>
          <c:orientation val="minMax"/>
          <c:max val="10"/>
        </c:scaling>
        <c:delete val="0"/>
        <c:axPos val="r"/>
        <c:title>
          <c:tx>
            <c:rich>
              <a:bodyPr rot="5400000" vert="horz"/>
              <a:lstStyle/>
              <a:p>
                <a:pPr algn="ctr">
                  <a:defRPr sz="850" b="1" i="0" u="none" strike="noStrike" baseline="0">
                    <a:solidFill>
                      <a:srgbClr val="000000"/>
                    </a:solidFill>
                    <a:latin typeface="Calibri"/>
                    <a:ea typeface="Calibri"/>
                    <a:cs typeface="Calibri"/>
                  </a:defRPr>
                </a:pPr>
                <a:r>
                  <a:rPr lang="en-US"/>
                  <a:t>Concentraţii Fosfor total şi ortofosfaţi solubili (mg P/L)</a:t>
                </a:r>
              </a:p>
            </c:rich>
          </c:tx>
          <c:layout>
            <c:manualLayout>
              <c:xMode val="edge"/>
              <c:yMode val="edge"/>
              <c:x val="0.91560509554140124"/>
              <c:y val="1.9108280254777069E-2"/>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en-US"/>
          </a:p>
        </c:txPr>
        <c:crossAx val="313280384"/>
        <c:crosses val="max"/>
        <c:crossBetween val="between"/>
        <c:majorUnit val="1"/>
        <c:minorUnit val="0.02"/>
      </c:valAx>
      <c:dTable>
        <c:showHorzBorder val="1"/>
        <c:showVertBorder val="1"/>
        <c:showOutline val="1"/>
        <c:showKeys val="1"/>
        <c:spPr>
          <a:ln w="3175">
            <a:solidFill>
              <a:srgbClr val="000000"/>
            </a:solidFill>
            <a:prstDash val="solid"/>
          </a:ln>
        </c:spPr>
        <c:txPr>
          <a:bodyPr/>
          <a:lstStyle/>
          <a:p>
            <a:pPr rtl="0">
              <a:defRPr sz="800" b="1" i="0" u="none" strike="noStrike" baseline="0">
                <a:solidFill>
                  <a:srgbClr val="000000"/>
                </a:solidFill>
                <a:latin typeface="Calibri"/>
                <a:ea typeface="Calibri"/>
                <a:cs typeface="Calibri"/>
              </a:defRPr>
            </a:pPr>
            <a:endParaRPr lang="en-US"/>
          </a:p>
        </c:txPr>
      </c:dTable>
      <c:spPr>
        <a:solidFill>
          <a:srgbClr val="CCCCFF"/>
        </a:solidFill>
        <a:ln w="12700">
          <a:solidFill>
            <a:srgbClr val="808080"/>
          </a:solidFill>
          <a:prstDash val="solid"/>
        </a:ln>
      </c:spPr>
    </c:plotArea>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en-US"/>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7014446227929439"/>
          <c:y val="0.2558139534883721"/>
          <c:w val="0.65008025682183268"/>
          <c:h val="0.74883720930232567"/>
        </c:manualLayout>
      </c:layout>
      <c:pie3DChart>
        <c:varyColors val="1"/>
        <c:ser>
          <c:idx val="0"/>
          <c:order val="0"/>
          <c:tx>
            <c:strRef>
              <c:f>Sheet1!$A$2</c:f>
              <c:strCache>
                <c:ptCount val="1"/>
                <c:pt idx="0">
                  <c:v>2015</c:v>
                </c:pt>
              </c:strCache>
            </c:strRef>
          </c:tx>
          <c:spPr>
            <a:solidFill>
              <a:srgbClr val="9999FF"/>
            </a:solidFill>
            <a:ln w="12700">
              <a:solidFill>
                <a:srgbClr val="000000"/>
              </a:solidFill>
              <a:prstDash val="solid"/>
            </a:ln>
          </c:spPr>
          <c:dPt>
            <c:idx val="0"/>
            <c:bubble3D val="0"/>
            <c:spPr>
              <a:solidFill>
                <a:srgbClr val="FF0000"/>
              </a:solidFill>
              <a:ln w="12700">
                <a:solidFill>
                  <a:srgbClr val="000000"/>
                </a:solidFill>
                <a:prstDash val="solid"/>
              </a:ln>
            </c:spPr>
          </c:dPt>
          <c:dPt>
            <c:idx val="1"/>
            <c:bubble3D val="0"/>
            <c:spPr>
              <a:solidFill>
                <a:srgbClr val="FF00FF"/>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00FF00"/>
              </a:solidFill>
              <a:ln w="12700">
                <a:solidFill>
                  <a:srgbClr val="000000"/>
                </a:solidFill>
                <a:prstDash val="solid"/>
              </a:ln>
            </c:spPr>
          </c:dPt>
          <c:dLbls>
            <c:dLbl>
              <c:idx val="0"/>
              <c:layout>
                <c:manualLayout>
                  <c:x val="-0.12902016887379997"/>
                  <c:y val="-0.35886359166344756"/>
                </c:manualLayout>
              </c:layout>
              <c:dLblPos val="bestFit"/>
              <c:showLegendKey val="0"/>
              <c:showVal val="1"/>
              <c:showCatName val="0"/>
              <c:showSerName val="0"/>
              <c:showPercent val="0"/>
              <c:showBubbleSize val="0"/>
            </c:dLbl>
            <c:dLbl>
              <c:idx val="1"/>
              <c:layout>
                <c:manualLayout>
                  <c:x val="0.15017698430701645"/>
                  <c:y val="-3.0265410622121814E-3"/>
                </c:manualLayout>
              </c:layout>
              <c:dLblPos val="bestFit"/>
              <c:showLegendKey val="0"/>
              <c:showVal val="1"/>
              <c:showCatName val="0"/>
              <c:showSerName val="0"/>
              <c:showPercent val="0"/>
              <c:showBubbleSize val="0"/>
            </c:dLbl>
            <c:dLbl>
              <c:idx val="2"/>
              <c:layout>
                <c:manualLayout>
                  <c:x val="4.0988572045939323E-2"/>
                  <c:y val="3.6790787198111956E-2"/>
                </c:manualLayout>
              </c:layout>
              <c:dLblPos val="bestFit"/>
              <c:showLegendKey val="0"/>
              <c:showVal val="1"/>
              <c:showCatName val="0"/>
              <c:showSerName val="0"/>
              <c:showPercent val="0"/>
              <c:showBubbleSize val="0"/>
            </c:dLbl>
            <c:dLbl>
              <c:idx val="3"/>
              <c:layout>
                <c:manualLayout>
                  <c:x val="3.1214547779482849E-2"/>
                  <c:y val="3.4779672695951905E-2"/>
                </c:manualLayout>
              </c:layout>
              <c:dLblPos val="bestFit"/>
              <c:showLegendKey val="0"/>
              <c:showVal val="1"/>
              <c:showCatName val="0"/>
              <c:showSerName val="0"/>
              <c:showPercent val="0"/>
              <c:showBubbleSize val="0"/>
            </c:dLbl>
            <c:dLbl>
              <c:idx val="4"/>
              <c:layout>
                <c:manualLayout>
                  <c:x val="9.3403482453824731E-3"/>
                  <c:y val="-2.5685443583118205E-2"/>
                </c:manualLayout>
              </c:layout>
              <c:dLblPos val="bestFit"/>
              <c:showLegendKey val="0"/>
              <c:showVal val="1"/>
              <c:showCatName val="0"/>
              <c:showSerName val="0"/>
              <c:showPercent val="0"/>
              <c:showBubbleSize val="0"/>
            </c:dLbl>
            <c:spPr>
              <a:noFill/>
              <a:ln w="25400">
                <a:noFill/>
              </a:ln>
            </c:spPr>
            <c:txPr>
              <a:bodyPr/>
              <a:lstStyle/>
              <a:p>
                <a:pPr>
                  <a:defRPr sz="9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1"/>
          </c:dLbls>
          <c:cat>
            <c:strRef>
              <c:f>Sheet1!$B$1:$F$1</c:f>
              <c:strCache>
                <c:ptCount val="5"/>
                <c:pt idx="0">
                  <c:v>Arabil</c:v>
                </c:pt>
                <c:pt idx="1">
                  <c:v>Păşuni</c:v>
                </c:pt>
                <c:pt idx="2">
                  <c:v>Fâneţe şi pajişti naturale</c:v>
                </c:pt>
                <c:pt idx="3">
                  <c:v>Vii</c:v>
                </c:pt>
                <c:pt idx="4">
                  <c:v>Livezi</c:v>
                </c:pt>
              </c:strCache>
            </c:strRef>
          </c:cat>
          <c:val>
            <c:numRef>
              <c:f>Sheet1!$B$2:$F$2</c:f>
              <c:numCache>
                <c:formatCode>General</c:formatCode>
                <c:ptCount val="5"/>
                <c:pt idx="0">
                  <c:v>72.89</c:v>
                </c:pt>
                <c:pt idx="1">
                  <c:v>21.5</c:v>
                </c:pt>
                <c:pt idx="2">
                  <c:v>1.970000000000002</c:v>
                </c:pt>
                <c:pt idx="3">
                  <c:v>2.96</c:v>
                </c:pt>
                <c:pt idx="4">
                  <c:v>0.6800000000000016</c:v>
                </c:pt>
              </c:numCache>
            </c:numRef>
          </c:val>
        </c:ser>
        <c:dLbls>
          <c:showLegendKey val="0"/>
          <c:showVal val="1"/>
          <c:showCatName val="0"/>
          <c:showSerName val="0"/>
          <c:showPercent val="0"/>
          <c:showBubbleSize val="0"/>
          <c:showLeaderLines val="1"/>
        </c:dLbls>
      </c:pie3DChart>
      <c:spPr>
        <a:solidFill>
          <a:srgbClr val="C0C0C0"/>
        </a:solidFill>
        <a:ln w="12700">
          <a:solidFill>
            <a:srgbClr val="808080"/>
          </a:solidFill>
          <a:prstDash val="solid"/>
        </a:ln>
      </c:spPr>
    </c:plotArea>
    <c:legend>
      <c:legendPos val="t"/>
      <c:layout>
        <c:manualLayout>
          <c:xMode val="edge"/>
          <c:yMode val="edge"/>
          <c:x val="9.4703049759230204E-2"/>
          <c:y val="5.5813953488372106E-2"/>
          <c:w val="0.80256821829855562"/>
          <c:h val="0.13023255813953488"/>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en-US"/>
        </a:p>
      </c:txPr>
    </c:legend>
    <c:plotVisOnly val="1"/>
    <c:dispBlanksAs val="zero"/>
    <c:showDLblsOverMax val="0"/>
  </c:chart>
  <c:spPr>
    <a:noFill/>
    <a:ln>
      <a:noFill/>
    </a:ln>
  </c:spPr>
  <c:txPr>
    <a:bodyPr/>
    <a:lstStyle/>
    <a:p>
      <a:pPr>
        <a:defRPr sz="950" b="1" i="0" u="none" strike="noStrike" baseline="0">
          <a:solidFill>
            <a:srgbClr val="000000"/>
          </a:solidFill>
          <a:latin typeface="Calibri"/>
          <a:ea typeface="Calibri"/>
          <a:cs typeface="Calibri"/>
        </a:defRPr>
      </a:pPr>
      <a:endParaRPr lang="en-US"/>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23" b="1" i="0" u="none" strike="noStrike" baseline="0">
                <a:solidFill>
                  <a:srgbClr val="000000"/>
                </a:solidFill>
                <a:latin typeface="Calibri"/>
                <a:ea typeface="Calibri"/>
                <a:cs typeface="Calibri"/>
              </a:defRPr>
            </a:pPr>
            <a:r>
              <a:rPr lang="en-US"/>
              <a:t>Evoluţia terenurilor agricole pe tipuri de folosinţe</a:t>
            </a:r>
          </a:p>
        </c:rich>
      </c:tx>
      <c:layout>
        <c:manualLayout>
          <c:xMode val="edge"/>
          <c:yMode val="edge"/>
          <c:x val="0.20090634441087704"/>
          <c:y val="3.0769230769230852E-3"/>
        </c:manualLayout>
      </c:layout>
      <c:overlay val="0"/>
      <c:spPr>
        <a:noFill/>
        <a:ln w="25362">
          <a:noFill/>
        </a:ln>
      </c:spPr>
    </c:title>
    <c:autoTitleDeleted val="0"/>
    <c:view3D>
      <c:rotX val="15"/>
      <c:hPercent val="45"/>
      <c:rotY val="20"/>
      <c:depthPercent val="100"/>
      <c:rAngAx val="1"/>
    </c:view3D>
    <c:floor>
      <c:thickness val="0"/>
      <c:spPr>
        <a:solidFill>
          <a:srgbClr val="C0C0C0"/>
        </a:solidFill>
        <a:ln w="3175">
          <a:solidFill>
            <a:srgbClr val="000000"/>
          </a:solidFill>
          <a:prstDash val="solid"/>
        </a:ln>
      </c:spPr>
    </c:floor>
    <c:sideWall>
      <c:thickness val="0"/>
      <c:spPr>
        <a:solidFill>
          <a:srgbClr val="CCFFFF"/>
        </a:solidFill>
        <a:ln w="12700">
          <a:solidFill>
            <a:srgbClr val="808080"/>
          </a:solidFill>
          <a:prstDash val="solid"/>
        </a:ln>
      </c:spPr>
    </c:sideWall>
    <c:backWall>
      <c:thickness val="0"/>
      <c:spPr>
        <a:solidFill>
          <a:srgbClr val="CCFFFF"/>
        </a:solidFill>
        <a:ln w="12700">
          <a:solidFill>
            <a:srgbClr val="808080"/>
          </a:solidFill>
          <a:prstDash val="solid"/>
        </a:ln>
      </c:spPr>
    </c:backWall>
    <c:plotArea>
      <c:layout>
        <c:manualLayout>
          <c:layoutTarget val="inner"/>
          <c:xMode val="edge"/>
          <c:yMode val="edge"/>
          <c:x val="0.19486404833836871"/>
          <c:y val="9.2307692307692882E-2"/>
          <c:w val="0.79003021148036268"/>
          <c:h val="0.53538461538461535"/>
        </c:manualLayout>
      </c:layout>
      <c:bar3DChart>
        <c:barDir val="col"/>
        <c:grouping val="clustered"/>
        <c:varyColors val="0"/>
        <c:ser>
          <c:idx val="0"/>
          <c:order val="0"/>
          <c:tx>
            <c:strRef>
              <c:f>Sheet1!$A$2</c:f>
              <c:strCache>
                <c:ptCount val="1"/>
                <c:pt idx="0">
                  <c:v>Arabil</c:v>
                </c:pt>
              </c:strCache>
            </c:strRef>
          </c:tx>
          <c:spPr>
            <a:solidFill>
              <a:srgbClr val="FF0000"/>
            </a:solidFill>
            <a:ln w="12681">
              <a:solidFill>
                <a:srgbClr val="000000"/>
              </a:solidFill>
              <a:prstDash val="solid"/>
            </a:ln>
          </c:spPr>
          <c:invertIfNegative val="0"/>
          <c:cat>
            <c:numRef>
              <c:f>Sheet1!$B$1:$F$1</c:f>
              <c:numCache>
                <c:formatCode>General</c:formatCode>
                <c:ptCount val="5"/>
                <c:pt idx="0">
                  <c:v>2011</c:v>
                </c:pt>
                <c:pt idx="1">
                  <c:v>2012</c:v>
                </c:pt>
                <c:pt idx="2">
                  <c:v>2012</c:v>
                </c:pt>
                <c:pt idx="3">
                  <c:v>2014</c:v>
                </c:pt>
                <c:pt idx="4">
                  <c:v>2015</c:v>
                </c:pt>
              </c:numCache>
            </c:numRef>
          </c:cat>
          <c:val>
            <c:numRef>
              <c:f>Sheet1!$B$2:$F$2</c:f>
              <c:numCache>
                <c:formatCode>General</c:formatCode>
                <c:ptCount val="5"/>
                <c:pt idx="0">
                  <c:v>291696</c:v>
                </c:pt>
                <c:pt idx="1">
                  <c:v>291728</c:v>
                </c:pt>
                <c:pt idx="2">
                  <c:v>291711</c:v>
                </c:pt>
                <c:pt idx="3">
                  <c:v>291711</c:v>
                </c:pt>
                <c:pt idx="4">
                  <c:v>292458</c:v>
                </c:pt>
              </c:numCache>
            </c:numRef>
          </c:val>
        </c:ser>
        <c:ser>
          <c:idx val="1"/>
          <c:order val="1"/>
          <c:tx>
            <c:strRef>
              <c:f>Sheet1!$A$3</c:f>
              <c:strCache>
                <c:ptCount val="1"/>
                <c:pt idx="0">
                  <c:v>Păşuni</c:v>
                </c:pt>
              </c:strCache>
            </c:strRef>
          </c:tx>
          <c:spPr>
            <a:solidFill>
              <a:srgbClr val="0000FF"/>
            </a:solidFill>
            <a:ln w="12681">
              <a:solidFill>
                <a:srgbClr val="000000"/>
              </a:solidFill>
              <a:prstDash val="solid"/>
            </a:ln>
          </c:spPr>
          <c:invertIfNegative val="0"/>
          <c:cat>
            <c:numRef>
              <c:f>Sheet1!$B$1:$F$1</c:f>
              <c:numCache>
                <c:formatCode>General</c:formatCode>
                <c:ptCount val="5"/>
                <c:pt idx="0">
                  <c:v>2011</c:v>
                </c:pt>
                <c:pt idx="1">
                  <c:v>2012</c:v>
                </c:pt>
                <c:pt idx="2">
                  <c:v>2012</c:v>
                </c:pt>
                <c:pt idx="3">
                  <c:v>2014</c:v>
                </c:pt>
                <c:pt idx="4">
                  <c:v>2015</c:v>
                </c:pt>
              </c:numCache>
            </c:numRef>
          </c:cat>
          <c:val>
            <c:numRef>
              <c:f>Sheet1!$B$3:$F$3</c:f>
              <c:numCache>
                <c:formatCode>General</c:formatCode>
                <c:ptCount val="5"/>
                <c:pt idx="0">
                  <c:v>873640</c:v>
                </c:pt>
                <c:pt idx="1">
                  <c:v>87574</c:v>
                </c:pt>
                <c:pt idx="2">
                  <c:v>87282</c:v>
                </c:pt>
                <c:pt idx="3">
                  <c:v>87282</c:v>
                </c:pt>
                <c:pt idx="4">
                  <c:v>86287</c:v>
                </c:pt>
              </c:numCache>
            </c:numRef>
          </c:val>
        </c:ser>
        <c:ser>
          <c:idx val="2"/>
          <c:order val="2"/>
          <c:tx>
            <c:strRef>
              <c:f>Sheet1!$A$4</c:f>
              <c:strCache>
                <c:ptCount val="1"/>
                <c:pt idx="0">
                  <c:v>Fâneţe şi pajişti naturale</c:v>
                </c:pt>
              </c:strCache>
            </c:strRef>
          </c:tx>
          <c:spPr>
            <a:solidFill>
              <a:srgbClr val="FFFF00"/>
            </a:solidFill>
            <a:ln w="12681">
              <a:solidFill>
                <a:srgbClr val="000000"/>
              </a:solidFill>
              <a:prstDash val="solid"/>
            </a:ln>
          </c:spPr>
          <c:invertIfNegative val="0"/>
          <c:cat>
            <c:numRef>
              <c:f>Sheet1!$B$1:$F$1</c:f>
              <c:numCache>
                <c:formatCode>General</c:formatCode>
                <c:ptCount val="5"/>
                <c:pt idx="0">
                  <c:v>2011</c:v>
                </c:pt>
                <c:pt idx="1">
                  <c:v>2012</c:v>
                </c:pt>
                <c:pt idx="2">
                  <c:v>2012</c:v>
                </c:pt>
                <c:pt idx="3">
                  <c:v>2014</c:v>
                </c:pt>
                <c:pt idx="4">
                  <c:v>2015</c:v>
                </c:pt>
              </c:numCache>
            </c:numRef>
          </c:cat>
          <c:val>
            <c:numRef>
              <c:f>Sheet1!$B$4:$F$4</c:f>
              <c:numCache>
                <c:formatCode>General</c:formatCode>
                <c:ptCount val="5"/>
                <c:pt idx="0">
                  <c:v>7923</c:v>
                </c:pt>
                <c:pt idx="1">
                  <c:v>7921</c:v>
                </c:pt>
                <c:pt idx="2">
                  <c:v>7918</c:v>
                </c:pt>
                <c:pt idx="3">
                  <c:v>7918</c:v>
                </c:pt>
                <c:pt idx="4">
                  <c:v>7898</c:v>
                </c:pt>
              </c:numCache>
            </c:numRef>
          </c:val>
        </c:ser>
        <c:ser>
          <c:idx val="3"/>
          <c:order val="3"/>
          <c:tx>
            <c:strRef>
              <c:f>Sheet1!$A$5</c:f>
              <c:strCache>
                <c:ptCount val="1"/>
                <c:pt idx="0">
                  <c:v>Vii</c:v>
                </c:pt>
              </c:strCache>
            </c:strRef>
          </c:tx>
          <c:spPr>
            <a:solidFill>
              <a:srgbClr val="FF6600"/>
            </a:solidFill>
            <a:ln w="12681">
              <a:solidFill>
                <a:srgbClr val="000000"/>
              </a:solidFill>
              <a:prstDash val="solid"/>
            </a:ln>
          </c:spPr>
          <c:invertIfNegative val="0"/>
          <c:cat>
            <c:numRef>
              <c:f>Sheet1!$B$1:$F$1</c:f>
              <c:numCache>
                <c:formatCode>General</c:formatCode>
                <c:ptCount val="5"/>
                <c:pt idx="0">
                  <c:v>2011</c:v>
                </c:pt>
                <c:pt idx="1">
                  <c:v>2012</c:v>
                </c:pt>
                <c:pt idx="2">
                  <c:v>2012</c:v>
                </c:pt>
                <c:pt idx="3">
                  <c:v>2014</c:v>
                </c:pt>
                <c:pt idx="4">
                  <c:v>2015</c:v>
                </c:pt>
              </c:numCache>
            </c:numRef>
          </c:cat>
          <c:val>
            <c:numRef>
              <c:f>Sheet1!$B$5:$F$5</c:f>
              <c:numCache>
                <c:formatCode>General</c:formatCode>
                <c:ptCount val="5"/>
                <c:pt idx="0">
                  <c:v>11401</c:v>
                </c:pt>
                <c:pt idx="1">
                  <c:v>11401</c:v>
                </c:pt>
                <c:pt idx="2">
                  <c:v>11401</c:v>
                </c:pt>
                <c:pt idx="3">
                  <c:v>11401</c:v>
                </c:pt>
                <c:pt idx="4">
                  <c:v>11846</c:v>
                </c:pt>
              </c:numCache>
            </c:numRef>
          </c:val>
        </c:ser>
        <c:ser>
          <c:idx val="4"/>
          <c:order val="4"/>
          <c:tx>
            <c:strRef>
              <c:f>Sheet1!$A$6</c:f>
              <c:strCache>
                <c:ptCount val="1"/>
                <c:pt idx="0">
                  <c:v>Livezi</c:v>
                </c:pt>
              </c:strCache>
            </c:strRef>
          </c:tx>
          <c:spPr>
            <a:solidFill>
              <a:srgbClr val="008000"/>
            </a:solidFill>
            <a:ln w="12681">
              <a:solidFill>
                <a:srgbClr val="000000"/>
              </a:solidFill>
              <a:prstDash val="solid"/>
            </a:ln>
          </c:spPr>
          <c:invertIfNegative val="0"/>
          <c:cat>
            <c:numRef>
              <c:f>Sheet1!$B$1:$F$1</c:f>
              <c:numCache>
                <c:formatCode>General</c:formatCode>
                <c:ptCount val="5"/>
                <c:pt idx="0">
                  <c:v>2011</c:v>
                </c:pt>
                <c:pt idx="1">
                  <c:v>2012</c:v>
                </c:pt>
                <c:pt idx="2">
                  <c:v>2012</c:v>
                </c:pt>
                <c:pt idx="3">
                  <c:v>2014</c:v>
                </c:pt>
                <c:pt idx="4">
                  <c:v>2015</c:v>
                </c:pt>
              </c:numCache>
            </c:numRef>
          </c:cat>
          <c:val>
            <c:numRef>
              <c:f>Sheet1!$B$6:$F$6</c:f>
              <c:numCache>
                <c:formatCode>General</c:formatCode>
                <c:ptCount val="5"/>
                <c:pt idx="0">
                  <c:v>2379</c:v>
                </c:pt>
                <c:pt idx="1">
                  <c:v>2409</c:v>
                </c:pt>
                <c:pt idx="2">
                  <c:v>2409</c:v>
                </c:pt>
                <c:pt idx="3">
                  <c:v>2409</c:v>
                </c:pt>
                <c:pt idx="4">
                  <c:v>2761</c:v>
                </c:pt>
              </c:numCache>
            </c:numRef>
          </c:val>
        </c:ser>
        <c:dLbls>
          <c:showLegendKey val="0"/>
          <c:showVal val="0"/>
          <c:showCatName val="0"/>
          <c:showSerName val="0"/>
          <c:showPercent val="0"/>
          <c:showBubbleSize val="0"/>
        </c:dLbls>
        <c:gapWidth val="150"/>
        <c:gapDepth val="0"/>
        <c:shape val="box"/>
        <c:axId val="313115392"/>
        <c:axId val="313116928"/>
        <c:axId val="0"/>
      </c:bar3DChart>
      <c:catAx>
        <c:axId val="313115392"/>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en-US"/>
          </a:p>
        </c:txPr>
        <c:crossAx val="313116928"/>
        <c:crosses val="autoZero"/>
        <c:auto val="1"/>
        <c:lblAlgn val="ctr"/>
        <c:lblOffset val="100"/>
        <c:tickLblSkip val="1"/>
        <c:tickMarkSkip val="1"/>
        <c:noMultiLvlLbl val="0"/>
      </c:catAx>
      <c:valAx>
        <c:axId val="313116928"/>
        <c:scaling>
          <c:orientation val="minMax"/>
        </c:scaling>
        <c:delete val="0"/>
        <c:axPos val="l"/>
        <c:majorGridlines>
          <c:spPr>
            <a:ln w="3170">
              <a:solidFill>
                <a:srgbClr val="000000"/>
              </a:solidFill>
              <a:prstDash val="solid"/>
            </a:ln>
          </c:spPr>
        </c:majorGridlines>
        <c:title>
          <c:tx>
            <c:rich>
              <a:bodyPr/>
              <a:lstStyle/>
              <a:p>
                <a:pPr>
                  <a:defRPr sz="999" b="1" i="0" u="none" strike="noStrike" baseline="0">
                    <a:solidFill>
                      <a:srgbClr val="000000"/>
                    </a:solidFill>
                    <a:latin typeface="Calibri"/>
                    <a:ea typeface="Calibri"/>
                    <a:cs typeface="Calibri"/>
                  </a:defRPr>
                </a:pPr>
                <a:r>
                  <a:rPr lang="en-US"/>
                  <a:t>Suprafaţa (ha)</a:t>
                </a:r>
              </a:p>
            </c:rich>
          </c:tx>
          <c:layout>
            <c:manualLayout>
              <c:xMode val="edge"/>
              <c:yMode val="edge"/>
              <c:x val="0.19939577039274925"/>
              <c:y val="0.24000000000000021"/>
            </c:manualLayout>
          </c:layout>
          <c:overlay val="0"/>
          <c:spPr>
            <a:noFill/>
            <a:ln w="25362">
              <a:noFill/>
            </a:ln>
          </c:spPr>
        </c:title>
        <c:numFmt formatCode="General" sourceLinked="1"/>
        <c:majorTickMark val="out"/>
        <c:minorTickMark val="none"/>
        <c:tickLblPos val="nextTo"/>
        <c:spPr>
          <a:ln w="3170">
            <a:solidFill>
              <a:srgbClr val="000000"/>
            </a:solidFill>
            <a:prstDash val="solid"/>
          </a:ln>
        </c:spPr>
        <c:txPr>
          <a:bodyPr rot="-2580000" vert="horz"/>
          <a:lstStyle/>
          <a:p>
            <a:pPr>
              <a:defRPr sz="799" b="1" i="0" u="none" strike="noStrike" baseline="0">
                <a:solidFill>
                  <a:srgbClr val="000000"/>
                </a:solidFill>
                <a:latin typeface="Calibri"/>
                <a:ea typeface="Calibri"/>
                <a:cs typeface="Calibri"/>
              </a:defRPr>
            </a:pPr>
            <a:endParaRPr lang="en-US"/>
          </a:p>
        </c:txPr>
        <c:crossAx val="313115392"/>
        <c:crosses val="autoZero"/>
        <c:crossBetween val="between"/>
      </c:valAx>
      <c:dTable>
        <c:showHorzBorder val="1"/>
        <c:showVertBorder val="1"/>
        <c:showOutline val="1"/>
        <c:showKeys val="1"/>
        <c:spPr>
          <a:ln w="3170">
            <a:solidFill>
              <a:srgbClr val="000000"/>
            </a:solidFill>
            <a:prstDash val="solid"/>
          </a:ln>
        </c:spPr>
        <c:txPr>
          <a:bodyPr/>
          <a:lstStyle/>
          <a:p>
            <a:pPr rtl="0">
              <a:defRPr sz="799" b="1" i="0" u="none" strike="noStrike" baseline="0">
                <a:solidFill>
                  <a:srgbClr val="000000"/>
                </a:solidFill>
                <a:latin typeface="Calibri"/>
                <a:ea typeface="Calibri"/>
                <a:cs typeface="Calibri"/>
              </a:defRPr>
            </a:pPr>
            <a:endParaRPr lang="en-US"/>
          </a:p>
        </c:txPr>
      </c:dTable>
      <c:spPr>
        <a:noFill/>
        <a:ln w="25362">
          <a:noFill/>
        </a:ln>
      </c:spPr>
    </c:plotArea>
    <c:plotVisOnly val="1"/>
    <c:dispBlanksAs val="gap"/>
    <c:showDLblsOverMax val="0"/>
  </c:chart>
  <c:spPr>
    <a:noFill/>
    <a:ln w="6350" cap="flat" cmpd="sng" algn="ctr">
      <a:solidFill>
        <a:srgbClr val="000000"/>
      </a:solidFill>
      <a:prstDash val="solid"/>
      <a:miter lim="800000"/>
      <a:headEnd type="none" w="med" len="med"/>
      <a:tailEnd type="none" w="med" len="med"/>
    </a:ln>
  </c:spPr>
  <c:txPr>
    <a:bodyPr/>
    <a:lstStyle/>
    <a:p>
      <a:pPr>
        <a:defRPr sz="1423" b="1" i="0" u="none" strike="noStrike" baseline="0">
          <a:solidFill>
            <a:srgbClr val="000000"/>
          </a:solidFill>
          <a:latin typeface="Calibri"/>
          <a:ea typeface="Calibri"/>
          <a:cs typeface="Calibri"/>
        </a:defRPr>
      </a:pPr>
      <a:endParaRPr lang="en-US"/>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Calibri"/>
                <a:ea typeface="Calibri"/>
                <a:cs typeface="Calibri"/>
              </a:defRPr>
            </a:pPr>
            <a:r>
              <a:rPr lang="en-US"/>
              <a:t>Încadrarea solurilor pe clase de calitate</a:t>
            </a:r>
          </a:p>
        </c:rich>
      </c:tx>
      <c:layout>
        <c:manualLayout>
          <c:xMode val="edge"/>
          <c:yMode val="edge"/>
          <c:x val="0.33774834437086315"/>
          <c:y val="2.100840336134454E-2"/>
        </c:manualLayout>
      </c:layout>
      <c:overlay val="0"/>
      <c:spPr>
        <a:noFill/>
        <a:ln w="25400">
          <a:noFill/>
        </a:ln>
      </c:spPr>
    </c:title>
    <c:autoTitleDeleted val="0"/>
    <c:view3D>
      <c:rotX val="22"/>
      <c:hPercent val="38"/>
      <c:rotY val="0"/>
      <c:depthPercent val="100"/>
      <c:rAngAx val="1"/>
    </c:view3D>
    <c:floor>
      <c:thickness val="0"/>
      <c:spPr>
        <a:solidFill>
          <a:srgbClr val="C0C0C0"/>
        </a:solidFill>
        <a:ln w="3175">
          <a:solidFill>
            <a:srgbClr val="000000"/>
          </a:solidFill>
          <a:prstDash val="solid"/>
        </a:ln>
      </c:spPr>
    </c:floor>
    <c:sideWall>
      <c:thickness val="0"/>
      <c:spPr>
        <a:solidFill>
          <a:srgbClr val="CCFFFF"/>
        </a:solidFill>
        <a:ln w="12700">
          <a:solidFill>
            <a:srgbClr val="808080"/>
          </a:solidFill>
          <a:prstDash val="solid"/>
        </a:ln>
      </c:spPr>
    </c:sideWall>
    <c:backWall>
      <c:thickness val="0"/>
      <c:spPr>
        <a:solidFill>
          <a:srgbClr val="CCFFFF"/>
        </a:solidFill>
        <a:ln w="12700">
          <a:solidFill>
            <a:srgbClr val="808080"/>
          </a:solidFill>
          <a:prstDash val="solid"/>
        </a:ln>
      </c:spPr>
    </c:backWall>
    <c:plotArea>
      <c:layout>
        <c:manualLayout>
          <c:layoutTarget val="inner"/>
          <c:xMode val="edge"/>
          <c:yMode val="edge"/>
          <c:x val="0.12913907284768211"/>
          <c:y val="0.1134453781512605"/>
          <c:w val="0.77649006622516881"/>
          <c:h val="0.68907563025210439"/>
        </c:manualLayout>
      </c:layout>
      <c:bar3DChart>
        <c:barDir val="col"/>
        <c:grouping val="clustered"/>
        <c:varyColors val="0"/>
        <c:ser>
          <c:idx val="0"/>
          <c:order val="0"/>
          <c:tx>
            <c:strRef>
              <c:f>Sheet1!$A$2</c:f>
              <c:strCache>
                <c:ptCount val="1"/>
                <c:pt idx="0">
                  <c:v>Arabil</c:v>
                </c:pt>
              </c:strCache>
            </c:strRef>
          </c:tx>
          <c:spPr>
            <a:solidFill>
              <a:srgbClr val="FF0000"/>
            </a:solidFill>
            <a:ln w="12700">
              <a:solidFill>
                <a:srgbClr val="000000"/>
              </a:solidFill>
              <a:prstDash val="solid"/>
            </a:ln>
          </c:spPr>
          <c:invertIfNegative val="0"/>
          <c:cat>
            <c:strRef>
              <c:f>Sheet1!$B$1:$F$1</c:f>
              <c:strCache>
                <c:ptCount val="5"/>
                <c:pt idx="0">
                  <c:v>Clasa I</c:v>
                </c:pt>
                <c:pt idx="1">
                  <c:v>Clasa II</c:v>
                </c:pt>
                <c:pt idx="2">
                  <c:v>Clasa III</c:v>
                </c:pt>
                <c:pt idx="3">
                  <c:v>Clasa IV</c:v>
                </c:pt>
                <c:pt idx="4">
                  <c:v>Clasa V</c:v>
                </c:pt>
              </c:strCache>
            </c:strRef>
          </c:cat>
          <c:val>
            <c:numRef>
              <c:f>Sheet1!$B$2:$F$2</c:f>
              <c:numCache>
                <c:formatCode>General</c:formatCode>
                <c:ptCount val="5"/>
                <c:pt idx="0">
                  <c:v>5659</c:v>
                </c:pt>
                <c:pt idx="1">
                  <c:v>86253</c:v>
                </c:pt>
                <c:pt idx="2">
                  <c:v>122645</c:v>
                </c:pt>
                <c:pt idx="3">
                  <c:v>58288</c:v>
                </c:pt>
                <c:pt idx="4">
                  <c:v>19613</c:v>
                </c:pt>
              </c:numCache>
            </c:numRef>
          </c:val>
        </c:ser>
        <c:ser>
          <c:idx val="1"/>
          <c:order val="1"/>
          <c:tx>
            <c:strRef>
              <c:f>Sheet1!$A$3</c:f>
              <c:strCache>
                <c:ptCount val="1"/>
                <c:pt idx="0">
                  <c:v>Păşuni</c:v>
                </c:pt>
              </c:strCache>
            </c:strRef>
          </c:tx>
          <c:spPr>
            <a:solidFill>
              <a:srgbClr val="0000FF"/>
            </a:solidFill>
            <a:ln w="12700">
              <a:solidFill>
                <a:srgbClr val="000000"/>
              </a:solidFill>
              <a:prstDash val="solid"/>
            </a:ln>
          </c:spPr>
          <c:invertIfNegative val="0"/>
          <c:cat>
            <c:strRef>
              <c:f>Sheet1!$B$1:$F$1</c:f>
              <c:strCache>
                <c:ptCount val="5"/>
                <c:pt idx="0">
                  <c:v>Clasa I</c:v>
                </c:pt>
                <c:pt idx="1">
                  <c:v>Clasa II</c:v>
                </c:pt>
                <c:pt idx="2">
                  <c:v>Clasa III</c:v>
                </c:pt>
                <c:pt idx="3">
                  <c:v>Clasa IV</c:v>
                </c:pt>
                <c:pt idx="4">
                  <c:v>Clasa V</c:v>
                </c:pt>
              </c:strCache>
            </c:strRef>
          </c:cat>
          <c:val>
            <c:numRef>
              <c:f>Sheet1!$B$3:$F$3</c:f>
              <c:numCache>
                <c:formatCode>General</c:formatCode>
                <c:ptCount val="5"/>
                <c:pt idx="0">
                  <c:v>175</c:v>
                </c:pt>
                <c:pt idx="1">
                  <c:v>4488</c:v>
                </c:pt>
                <c:pt idx="2">
                  <c:v>26421</c:v>
                </c:pt>
                <c:pt idx="3">
                  <c:v>39771</c:v>
                </c:pt>
                <c:pt idx="4">
                  <c:v>15432</c:v>
                </c:pt>
              </c:numCache>
            </c:numRef>
          </c:val>
        </c:ser>
        <c:ser>
          <c:idx val="2"/>
          <c:order val="2"/>
          <c:tx>
            <c:strRef>
              <c:f>Sheet1!$A$4</c:f>
              <c:strCache>
                <c:ptCount val="1"/>
                <c:pt idx="0">
                  <c:v>Fâneţe</c:v>
                </c:pt>
              </c:strCache>
            </c:strRef>
          </c:tx>
          <c:spPr>
            <a:solidFill>
              <a:srgbClr val="FFFF00"/>
            </a:solidFill>
            <a:ln w="12700">
              <a:solidFill>
                <a:srgbClr val="000000"/>
              </a:solidFill>
              <a:prstDash val="solid"/>
            </a:ln>
          </c:spPr>
          <c:invertIfNegative val="0"/>
          <c:cat>
            <c:strRef>
              <c:f>Sheet1!$B$1:$F$1</c:f>
              <c:strCache>
                <c:ptCount val="5"/>
                <c:pt idx="0">
                  <c:v>Clasa I</c:v>
                </c:pt>
                <c:pt idx="1">
                  <c:v>Clasa II</c:v>
                </c:pt>
                <c:pt idx="2">
                  <c:v>Clasa III</c:v>
                </c:pt>
                <c:pt idx="3">
                  <c:v>Clasa IV</c:v>
                </c:pt>
                <c:pt idx="4">
                  <c:v>Clasa V</c:v>
                </c:pt>
              </c:strCache>
            </c:strRef>
          </c:cat>
          <c:val>
            <c:numRef>
              <c:f>Sheet1!$B$4:$F$4</c:f>
              <c:numCache>
                <c:formatCode>General</c:formatCode>
                <c:ptCount val="5"/>
                <c:pt idx="1">
                  <c:v>470</c:v>
                </c:pt>
                <c:pt idx="2">
                  <c:v>3155</c:v>
                </c:pt>
                <c:pt idx="3">
                  <c:v>2879</c:v>
                </c:pt>
                <c:pt idx="4">
                  <c:v>1394</c:v>
                </c:pt>
              </c:numCache>
            </c:numRef>
          </c:val>
        </c:ser>
        <c:ser>
          <c:idx val="3"/>
          <c:order val="3"/>
          <c:tx>
            <c:strRef>
              <c:f>Sheet1!$A$5</c:f>
              <c:strCache>
                <c:ptCount val="1"/>
                <c:pt idx="0">
                  <c:v>Vii</c:v>
                </c:pt>
              </c:strCache>
            </c:strRef>
          </c:tx>
          <c:spPr>
            <a:solidFill>
              <a:srgbClr val="FF6600"/>
            </a:solidFill>
            <a:ln w="12700">
              <a:solidFill>
                <a:srgbClr val="000000"/>
              </a:solidFill>
              <a:prstDash val="solid"/>
            </a:ln>
          </c:spPr>
          <c:invertIfNegative val="0"/>
          <c:cat>
            <c:strRef>
              <c:f>Sheet1!$B$1:$F$1</c:f>
              <c:strCache>
                <c:ptCount val="5"/>
                <c:pt idx="0">
                  <c:v>Clasa I</c:v>
                </c:pt>
                <c:pt idx="1">
                  <c:v>Clasa II</c:v>
                </c:pt>
                <c:pt idx="2">
                  <c:v>Clasa III</c:v>
                </c:pt>
                <c:pt idx="3">
                  <c:v>Clasa IV</c:v>
                </c:pt>
                <c:pt idx="4">
                  <c:v>Clasa V</c:v>
                </c:pt>
              </c:strCache>
            </c:strRef>
          </c:cat>
          <c:val>
            <c:numRef>
              <c:f>Sheet1!$B$5:$F$5</c:f>
              <c:numCache>
                <c:formatCode>General</c:formatCode>
                <c:ptCount val="5"/>
                <c:pt idx="1">
                  <c:v>1654</c:v>
                </c:pt>
                <c:pt idx="2">
                  <c:v>4758</c:v>
                </c:pt>
                <c:pt idx="3">
                  <c:v>4015</c:v>
                </c:pt>
                <c:pt idx="4">
                  <c:v>1419</c:v>
                </c:pt>
              </c:numCache>
            </c:numRef>
          </c:val>
        </c:ser>
        <c:ser>
          <c:idx val="4"/>
          <c:order val="4"/>
          <c:tx>
            <c:strRef>
              <c:f>Sheet1!$A$6</c:f>
              <c:strCache>
                <c:ptCount val="1"/>
                <c:pt idx="0">
                  <c:v>Livezi</c:v>
                </c:pt>
              </c:strCache>
            </c:strRef>
          </c:tx>
          <c:spPr>
            <a:solidFill>
              <a:srgbClr val="008000"/>
            </a:solidFill>
            <a:ln w="12700">
              <a:solidFill>
                <a:srgbClr val="000000"/>
              </a:solidFill>
              <a:prstDash val="solid"/>
            </a:ln>
          </c:spPr>
          <c:invertIfNegative val="0"/>
          <c:cat>
            <c:strRef>
              <c:f>Sheet1!$B$1:$F$1</c:f>
              <c:strCache>
                <c:ptCount val="5"/>
                <c:pt idx="0">
                  <c:v>Clasa I</c:v>
                </c:pt>
                <c:pt idx="1">
                  <c:v>Clasa II</c:v>
                </c:pt>
                <c:pt idx="2">
                  <c:v>Clasa III</c:v>
                </c:pt>
                <c:pt idx="3">
                  <c:v>Clasa IV</c:v>
                </c:pt>
                <c:pt idx="4">
                  <c:v>Clasa V</c:v>
                </c:pt>
              </c:strCache>
            </c:strRef>
          </c:cat>
          <c:val>
            <c:numRef>
              <c:f>Sheet1!$B$6:$F$6</c:f>
              <c:numCache>
                <c:formatCode>General</c:formatCode>
                <c:ptCount val="5"/>
                <c:pt idx="1">
                  <c:v>243</c:v>
                </c:pt>
                <c:pt idx="2">
                  <c:v>1195</c:v>
                </c:pt>
                <c:pt idx="3">
                  <c:v>939</c:v>
                </c:pt>
                <c:pt idx="4">
                  <c:v>384</c:v>
                </c:pt>
              </c:numCache>
            </c:numRef>
          </c:val>
        </c:ser>
        <c:dLbls>
          <c:showLegendKey val="0"/>
          <c:showVal val="0"/>
          <c:showCatName val="0"/>
          <c:showSerName val="0"/>
          <c:showPercent val="0"/>
          <c:showBubbleSize val="0"/>
        </c:dLbls>
        <c:gapWidth val="150"/>
        <c:gapDepth val="0"/>
        <c:shape val="box"/>
        <c:axId val="313957760"/>
        <c:axId val="313963648"/>
        <c:axId val="0"/>
      </c:bar3DChart>
      <c:catAx>
        <c:axId val="31395776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50" b="1" i="0" u="none" strike="noStrike" baseline="0">
                <a:solidFill>
                  <a:srgbClr val="000000"/>
                </a:solidFill>
                <a:latin typeface="Calibri"/>
                <a:ea typeface="Calibri"/>
                <a:cs typeface="Calibri"/>
              </a:defRPr>
            </a:pPr>
            <a:endParaRPr lang="en-US"/>
          </a:p>
        </c:txPr>
        <c:crossAx val="313963648"/>
        <c:crosses val="autoZero"/>
        <c:auto val="1"/>
        <c:lblAlgn val="ctr"/>
        <c:lblOffset val="100"/>
        <c:tickLblSkip val="1"/>
        <c:tickMarkSkip val="1"/>
        <c:noMultiLvlLbl val="0"/>
      </c:catAx>
      <c:valAx>
        <c:axId val="313963648"/>
        <c:scaling>
          <c:orientation val="minMax"/>
        </c:scaling>
        <c:delete val="0"/>
        <c:axPos val="l"/>
        <c:majorGridlines>
          <c:spPr>
            <a:ln w="3175">
              <a:solidFill>
                <a:srgbClr val="000000"/>
              </a:solidFill>
              <a:prstDash val="solid"/>
            </a:ln>
          </c:spPr>
        </c:majorGridlines>
        <c:title>
          <c:tx>
            <c:rich>
              <a:bodyPr/>
              <a:lstStyle/>
              <a:p>
                <a:pPr>
                  <a:defRPr sz="1050" b="1" i="0" u="none" strike="noStrike" baseline="0">
                    <a:solidFill>
                      <a:srgbClr val="000000"/>
                    </a:solidFill>
                    <a:latin typeface="Calibri"/>
                    <a:ea typeface="Calibri"/>
                    <a:cs typeface="Calibri"/>
                  </a:defRPr>
                </a:pPr>
                <a:r>
                  <a:rPr lang="en-US"/>
                  <a:t>Suprafaţa (ha)</a:t>
                </a:r>
              </a:p>
            </c:rich>
          </c:tx>
          <c:layout>
            <c:manualLayout>
              <c:xMode val="edge"/>
              <c:yMode val="edge"/>
              <c:x val="4.8013245033112592E-2"/>
              <c:y val="0.2815126050420185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2640000" vert="horz"/>
          <a:lstStyle/>
          <a:p>
            <a:pPr>
              <a:defRPr sz="950" b="1" i="0" u="none" strike="noStrike" baseline="0">
                <a:solidFill>
                  <a:srgbClr val="000000"/>
                </a:solidFill>
                <a:latin typeface="Calibri"/>
                <a:ea typeface="Calibri"/>
                <a:cs typeface="Calibri"/>
              </a:defRPr>
            </a:pPr>
            <a:endParaRPr lang="en-US"/>
          </a:p>
        </c:txPr>
        <c:crossAx val="313957760"/>
        <c:crosses val="autoZero"/>
        <c:crossBetween val="between"/>
      </c:valAx>
      <c:spPr>
        <a:noFill/>
        <a:ln w="25400">
          <a:noFill/>
        </a:ln>
      </c:spPr>
    </c:plotArea>
    <c:legend>
      <c:legendPos val="r"/>
      <c:layout>
        <c:manualLayout>
          <c:xMode val="edge"/>
          <c:yMode val="edge"/>
          <c:x val="0.90728476821191739"/>
          <c:y val="0.57983193277311296"/>
          <c:w val="8.9403973509933732E-2"/>
          <c:h val="0.42436974789916188"/>
        </c:manualLayout>
      </c:layout>
      <c:overlay val="0"/>
      <c:spPr>
        <a:noFill/>
        <a:ln w="3175">
          <a:solidFill>
            <a:srgbClr val="000000"/>
          </a:solidFill>
          <a:prstDash val="solid"/>
        </a:ln>
      </c:spPr>
      <c:txPr>
        <a:bodyPr/>
        <a:lstStyle/>
        <a:p>
          <a:pPr>
            <a:defRPr sz="825"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w="6350" cap="flat" cmpd="sng" algn="ctr">
      <a:solidFill>
        <a:srgbClr val="000000"/>
      </a:solidFill>
      <a:prstDash val="solid"/>
      <a:miter lim="800000"/>
      <a:headEnd type="none" w="med" len="med"/>
      <a:tailEnd type="none" w="med" len="med"/>
    </a:ln>
  </c:spPr>
  <c:txPr>
    <a:bodyPr/>
    <a:lstStyle/>
    <a:p>
      <a:pPr>
        <a:defRPr sz="1050" b="1" i="0" u="none" strike="noStrike" baseline="0">
          <a:solidFill>
            <a:srgbClr val="000000"/>
          </a:solidFill>
          <a:latin typeface="Calibri"/>
          <a:ea typeface="Calibri"/>
          <a:cs typeface="Calibri"/>
        </a:defRPr>
      </a:pPr>
      <a:endParaRPr lang="en-US"/>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3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1564625850340172"/>
          <c:y val="3.6585365853658611E-2"/>
          <c:w val="0.765306122448982"/>
          <c:h val="0.83736205388119589"/>
        </c:manualLayout>
      </c:layout>
      <c:bar3DChart>
        <c:barDir val="col"/>
        <c:grouping val="clustered"/>
        <c:varyColors val="0"/>
        <c:ser>
          <c:idx val="1"/>
          <c:order val="0"/>
          <c:tx>
            <c:strRef>
              <c:f>Sheet1!$A$2</c:f>
              <c:strCache>
                <c:ptCount val="1"/>
                <c:pt idx="0">
                  <c:v>Azotoase</c:v>
                </c:pt>
              </c:strCache>
            </c:strRef>
          </c:tx>
          <c:spPr>
            <a:solidFill>
              <a:srgbClr val="993366"/>
            </a:solidFill>
            <a:ln w="12700">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8938</c:v>
                </c:pt>
                <c:pt idx="1">
                  <c:v>8921</c:v>
                </c:pt>
                <c:pt idx="2">
                  <c:v>10600</c:v>
                </c:pt>
                <c:pt idx="3">
                  <c:v>8606</c:v>
                </c:pt>
                <c:pt idx="4">
                  <c:v>10415</c:v>
                </c:pt>
              </c:numCache>
            </c:numRef>
          </c:val>
        </c:ser>
        <c:ser>
          <c:idx val="2"/>
          <c:order val="1"/>
          <c:tx>
            <c:strRef>
              <c:f>Sheet1!$A$3</c:f>
              <c:strCache>
                <c:ptCount val="1"/>
                <c:pt idx="0">
                  <c:v>Fosfatice</c:v>
                </c:pt>
              </c:strCache>
            </c:strRef>
          </c:tx>
          <c:spPr>
            <a:solidFill>
              <a:srgbClr val="FFFFCC"/>
            </a:solidFill>
            <a:ln w="12700">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Sheet1!$B$3:$F$3</c:f>
              <c:numCache>
                <c:formatCode>General</c:formatCode>
                <c:ptCount val="5"/>
                <c:pt idx="0">
                  <c:v>3136</c:v>
                </c:pt>
                <c:pt idx="1">
                  <c:v>3240</c:v>
                </c:pt>
                <c:pt idx="2">
                  <c:v>6675</c:v>
                </c:pt>
                <c:pt idx="3">
                  <c:v>6624</c:v>
                </c:pt>
                <c:pt idx="4">
                  <c:v>3472</c:v>
                </c:pt>
              </c:numCache>
            </c:numRef>
          </c:val>
        </c:ser>
        <c:ser>
          <c:idx val="3"/>
          <c:order val="2"/>
          <c:tx>
            <c:strRef>
              <c:f>Sheet1!$A$4</c:f>
              <c:strCache>
                <c:ptCount val="1"/>
                <c:pt idx="0">
                  <c:v>Potasice</c:v>
                </c:pt>
              </c:strCache>
            </c:strRef>
          </c:tx>
          <c:spPr>
            <a:solidFill>
              <a:srgbClr val="CCFFFF"/>
            </a:solidFill>
            <a:ln w="12700">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Sheet1!$B$4:$F$4</c:f>
              <c:numCache>
                <c:formatCode>General</c:formatCode>
                <c:ptCount val="5"/>
                <c:pt idx="0">
                  <c:v>575</c:v>
                </c:pt>
                <c:pt idx="1">
                  <c:v>798</c:v>
                </c:pt>
                <c:pt idx="2">
                  <c:v>567</c:v>
                </c:pt>
                <c:pt idx="3">
                  <c:v>857</c:v>
                </c:pt>
                <c:pt idx="4">
                  <c:v>1657</c:v>
                </c:pt>
              </c:numCache>
            </c:numRef>
          </c:val>
        </c:ser>
        <c:ser>
          <c:idx val="4"/>
          <c:order val="3"/>
          <c:tx>
            <c:strRef>
              <c:f>Sheet1!$A$5</c:f>
              <c:strCache>
                <c:ptCount val="1"/>
                <c:pt idx="0">
                  <c:v>Naturale</c:v>
                </c:pt>
              </c:strCache>
            </c:strRef>
          </c:tx>
          <c:spPr>
            <a:solidFill>
              <a:srgbClr val="660066"/>
            </a:solidFill>
            <a:ln w="12700">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Sheet1!$B$5:$F$5</c:f>
              <c:numCache>
                <c:formatCode>General</c:formatCode>
                <c:ptCount val="5"/>
                <c:pt idx="0">
                  <c:v>81692</c:v>
                </c:pt>
                <c:pt idx="1">
                  <c:v>96013</c:v>
                </c:pt>
                <c:pt idx="2">
                  <c:v>105915</c:v>
                </c:pt>
                <c:pt idx="3">
                  <c:v>104230</c:v>
                </c:pt>
                <c:pt idx="4">
                  <c:v>114205</c:v>
                </c:pt>
              </c:numCache>
            </c:numRef>
          </c:val>
        </c:ser>
        <c:dLbls>
          <c:showLegendKey val="0"/>
          <c:showVal val="0"/>
          <c:showCatName val="0"/>
          <c:showSerName val="0"/>
          <c:showPercent val="0"/>
          <c:showBubbleSize val="0"/>
        </c:dLbls>
        <c:gapWidth val="150"/>
        <c:gapDepth val="0"/>
        <c:shape val="cylinder"/>
        <c:axId val="313819520"/>
        <c:axId val="313821056"/>
        <c:axId val="0"/>
      </c:bar3DChart>
      <c:catAx>
        <c:axId val="31381952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313821056"/>
        <c:crosses val="autoZero"/>
        <c:auto val="1"/>
        <c:lblAlgn val="ctr"/>
        <c:lblOffset val="100"/>
        <c:tickLblSkip val="1"/>
        <c:tickMarkSkip val="1"/>
        <c:noMultiLvlLbl val="0"/>
      </c:catAx>
      <c:valAx>
        <c:axId val="313821056"/>
        <c:scaling>
          <c:orientation val="minMax"/>
        </c:scaling>
        <c:delete val="0"/>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Calibri"/>
                    <a:ea typeface="Calibri"/>
                    <a:cs typeface="Calibri"/>
                  </a:defRPr>
                </a:pPr>
                <a:r>
                  <a:rPr lang="vi-VN"/>
                  <a:t>tone substanţă activă</a:t>
                </a:r>
              </a:p>
            </c:rich>
          </c:tx>
          <c:layout>
            <c:manualLayout>
              <c:xMode val="edge"/>
              <c:yMode val="edge"/>
              <c:x val="4.1572871952878822E-2"/>
              <c:y val="7.3171026035538794E-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313819520"/>
        <c:crosses val="autoZero"/>
        <c:crossBetween val="between"/>
        <c:majorUnit val="10000"/>
        <c:minorUnit val="500"/>
      </c:valAx>
      <c:spPr>
        <a:solidFill>
          <a:srgbClr val="FFFFFF"/>
        </a:solidFill>
        <a:ln w="12700">
          <a:solidFill>
            <a:srgbClr val="808080"/>
          </a:solidFill>
          <a:prstDash val="solid"/>
        </a:ln>
      </c:spPr>
    </c:plotArea>
    <c:legend>
      <c:legendPos val="r"/>
      <c:layout>
        <c:manualLayout>
          <c:xMode val="edge"/>
          <c:yMode val="edge"/>
          <c:x val="0.89795918367346961"/>
          <c:y val="0.53658536585365435"/>
          <c:w val="0.10204081632653061"/>
          <c:h val="0.46951219512195291"/>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en-US"/>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4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3793103448275937"/>
          <c:y val="7.0175438596491224E-2"/>
          <c:w val="0.71551724137931039"/>
          <c:h val="0.77192982456140902"/>
        </c:manualLayout>
      </c:layout>
      <c:bar3DChart>
        <c:barDir val="col"/>
        <c:grouping val="clustered"/>
        <c:varyColors val="0"/>
        <c:ser>
          <c:idx val="1"/>
          <c:order val="0"/>
          <c:tx>
            <c:strRef>
              <c:f>Sheet1!$A$2</c:f>
              <c:strCache>
                <c:ptCount val="1"/>
                <c:pt idx="0">
                  <c:v>Azotoase</c:v>
                </c:pt>
              </c:strCache>
            </c:strRef>
          </c:tx>
          <c:spPr>
            <a:solidFill>
              <a:srgbClr val="993366"/>
            </a:solidFill>
            <a:ln w="12700">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173740</c:v>
                </c:pt>
                <c:pt idx="1">
                  <c:v>143458</c:v>
                </c:pt>
                <c:pt idx="2">
                  <c:v>142490</c:v>
                </c:pt>
                <c:pt idx="3">
                  <c:v>164347</c:v>
                </c:pt>
                <c:pt idx="4">
                  <c:v>165789</c:v>
                </c:pt>
              </c:numCache>
            </c:numRef>
          </c:val>
        </c:ser>
        <c:ser>
          <c:idx val="2"/>
          <c:order val="1"/>
          <c:tx>
            <c:strRef>
              <c:f>Sheet1!$A$3</c:f>
              <c:strCache>
                <c:ptCount val="1"/>
                <c:pt idx="0">
                  <c:v>Fosfatice</c:v>
                </c:pt>
              </c:strCache>
            </c:strRef>
          </c:tx>
          <c:spPr>
            <a:solidFill>
              <a:srgbClr val="FFFFCC"/>
            </a:solidFill>
            <a:ln w="12700">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Sheet1!$B$3:$F$3</c:f>
              <c:numCache>
                <c:formatCode>General</c:formatCode>
                <c:ptCount val="5"/>
                <c:pt idx="0">
                  <c:v>68905</c:v>
                </c:pt>
                <c:pt idx="1">
                  <c:v>64807</c:v>
                </c:pt>
                <c:pt idx="2">
                  <c:v>92088</c:v>
                </c:pt>
                <c:pt idx="3">
                  <c:v>93389</c:v>
                </c:pt>
                <c:pt idx="4">
                  <c:v>63333</c:v>
                </c:pt>
              </c:numCache>
            </c:numRef>
          </c:val>
        </c:ser>
        <c:ser>
          <c:idx val="3"/>
          <c:order val="2"/>
          <c:tx>
            <c:strRef>
              <c:f>Sheet1!$A$4</c:f>
              <c:strCache>
                <c:ptCount val="1"/>
                <c:pt idx="0">
                  <c:v>Potasice</c:v>
                </c:pt>
              </c:strCache>
            </c:strRef>
          </c:tx>
          <c:spPr>
            <a:solidFill>
              <a:srgbClr val="CCFFFF"/>
            </a:solidFill>
            <a:ln w="12700">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Sheet1!$B$4:$F$4</c:f>
              <c:numCache>
                <c:formatCode>General</c:formatCode>
                <c:ptCount val="5"/>
                <c:pt idx="0">
                  <c:v>18424</c:v>
                </c:pt>
                <c:pt idx="1">
                  <c:v>18980</c:v>
                </c:pt>
                <c:pt idx="2">
                  <c:v>16770</c:v>
                </c:pt>
                <c:pt idx="3">
                  <c:v>21164</c:v>
                </c:pt>
                <c:pt idx="4">
                  <c:v>45693</c:v>
                </c:pt>
              </c:numCache>
            </c:numRef>
          </c:val>
        </c:ser>
        <c:ser>
          <c:idx val="4"/>
          <c:order val="3"/>
          <c:tx>
            <c:strRef>
              <c:f>Sheet1!$A$5</c:f>
              <c:strCache>
                <c:ptCount val="1"/>
                <c:pt idx="0">
                  <c:v>Naturale</c:v>
                </c:pt>
              </c:strCache>
            </c:strRef>
          </c:tx>
          <c:spPr>
            <a:solidFill>
              <a:srgbClr val="660066"/>
            </a:solidFill>
            <a:ln w="12700">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Sheet1!$B$5:$F$5</c:f>
              <c:numCache>
                <c:formatCode>General</c:formatCode>
                <c:ptCount val="5"/>
                <c:pt idx="0">
                  <c:v>3925</c:v>
                </c:pt>
                <c:pt idx="1">
                  <c:v>4616</c:v>
                </c:pt>
                <c:pt idx="2">
                  <c:v>4087</c:v>
                </c:pt>
                <c:pt idx="3">
                  <c:v>8143</c:v>
                </c:pt>
                <c:pt idx="4">
                  <c:v>7583</c:v>
                </c:pt>
              </c:numCache>
            </c:numRef>
          </c:val>
        </c:ser>
        <c:dLbls>
          <c:showLegendKey val="0"/>
          <c:showVal val="0"/>
          <c:showCatName val="0"/>
          <c:showSerName val="0"/>
          <c:showPercent val="0"/>
          <c:showBubbleSize val="0"/>
        </c:dLbls>
        <c:gapWidth val="150"/>
        <c:gapDepth val="0"/>
        <c:shape val="box"/>
        <c:axId val="292025088"/>
        <c:axId val="292026624"/>
        <c:axId val="0"/>
      </c:bar3DChart>
      <c:catAx>
        <c:axId val="29202508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en-US"/>
          </a:p>
        </c:txPr>
        <c:crossAx val="292026624"/>
        <c:crosses val="autoZero"/>
        <c:auto val="1"/>
        <c:lblAlgn val="ctr"/>
        <c:lblOffset val="100"/>
        <c:tickLblSkip val="1"/>
        <c:tickMarkSkip val="1"/>
        <c:noMultiLvlLbl val="0"/>
      </c:catAx>
      <c:valAx>
        <c:axId val="292026624"/>
        <c:scaling>
          <c:orientation val="minMax"/>
        </c:scaling>
        <c:delete val="0"/>
        <c:axPos val="l"/>
        <c:majorGridlines>
          <c:spPr>
            <a:ln w="3175">
              <a:solidFill>
                <a:srgbClr val="000000"/>
              </a:solidFill>
              <a:prstDash val="solid"/>
            </a:ln>
          </c:spPr>
        </c:majorGridlines>
        <c:title>
          <c:tx>
            <c:rich>
              <a:bodyPr rot="0" vert="horz"/>
              <a:lstStyle/>
              <a:p>
                <a:pPr algn="ctr">
                  <a:defRPr sz="1025" b="1" i="0" u="none" strike="noStrike" baseline="0">
                    <a:solidFill>
                      <a:srgbClr val="000000"/>
                    </a:solidFill>
                    <a:latin typeface="Calibri"/>
                    <a:ea typeface="Calibri"/>
                    <a:cs typeface="Calibri"/>
                  </a:defRPr>
                </a:pPr>
                <a:r>
                  <a:rPr lang="en-US"/>
                  <a:t>ha</a:t>
                </a:r>
              </a:p>
            </c:rich>
          </c:tx>
          <c:layout>
            <c:manualLayout>
              <c:xMode val="edge"/>
              <c:yMode val="edge"/>
              <c:x val="2.2413793103448276E-2"/>
              <c:y val="4.8245614035087717E-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en-US"/>
          </a:p>
        </c:txPr>
        <c:crossAx val="292025088"/>
        <c:crosses val="autoZero"/>
        <c:crossBetween val="between"/>
      </c:valAx>
      <c:spPr>
        <a:noFill/>
        <a:ln w="25400">
          <a:noFill/>
        </a:ln>
      </c:spPr>
    </c:plotArea>
    <c:legend>
      <c:legendPos val="r"/>
      <c:layout>
        <c:manualLayout>
          <c:xMode val="edge"/>
          <c:yMode val="edge"/>
          <c:x val="0.87241379310344824"/>
          <c:y val="0.31140350877192985"/>
          <c:w val="0.12068965517241392"/>
          <c:h val="0.37280701754386147"/>
        </c:manualLayout>
      </c:layout>
      <c:overlay val="0"/>
      <c:spPr>
        <a:no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000" b="1" i="0" u="none" strike="noStrike" baseline="0">
          <a:solidFill>
            <a:srgbClr val="000000"/>
          </a:solidFill>
          <a:latin typeface="Calibri"/>
          <a:ea typeface="Calibri"/>
          <a:cs typeface="Calibri"/>
        </a:defRPr>
      </a:pPr>
      <a:endParaRPr lang="en-US"/>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5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9661016949152563E-2"/>
          <c:y val="9.3750000000000725E-3"/>
          <c:w val="0.90338983050847921"/>
          <c:h val="0.79375000000000062"/>
        </c:manualLayout>
      </c:layout>
      <c:bar3DChart>
        <c:barDir val="col"/>
        <c:grouping val="clustered"/>
        <c:varyColors val="0"/>
        <c:ser>
          <c:idx val="0"/>
          <c:order val="0"/>
          <c:tx>
            <c:strRef>
              <c:f>Sheet1!$A$2</c:f>
              <c:strCache>
                <c:ptCount val="1"/>
                <c:pt idx="0">
                  <c:v>%</c:v>
                </c:pt>
              </c:strCache>
            </c:strRef>
          </c:tx>
          <c:spPr>
            <a:solidFill>
              <a:srgbClr val="9999FF"/>
            </a:solidFill>
            <a:ln w="12679">
              <a:solidFill>
                <a:srgbClr val="000000"/>
              </a:solidFill>
              <a:prstDash val="solid"/>
            </a:ln>
          </c:spPr>
          <c:invertIfNegative val="0"/>
          <c:dLbls>
            <c:spPr>
              <a:noFill/>
              <a:ln w="25357">
                <a:noFill/>
              </a:ln>
            </c:spPr>
            <c:txPr>
              <a:bodyPr/>
              <a:lstStyle/>
              <a:p>
                <a:pPr>
                  <a:defRPr sz="998"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dLbls>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1.34</c:v>
                </c:pt>
                <c:pt idx="1">
                  <c:v>1.58</c:v>
                </c:pt>
                <c:pt idx="2">
                  <c:v>1.4</c:v>
                </c:pt>
                <c:pt idx="3">
                  <c:v>2.79</c:v>
                </c:pt>
                <c:pt idx="4">
                  <c:v>2.59</c:v>
                </c:pt>
              </c:numCache>
            </c:numRef>
          </c:val>
        </c:ser>
        <c:dLbls>
          <c:showLegendKey val="0"/>
          <c:showVal val="1"/>
          <c:showCatName val="0"/>
          <c:showSerName val="0"/>
          <c:showPercent val="0"/>
          <c:showBubbleSize val="0"/>
        </c:dLbls>
        <c:gapWidth val="150"/>
        <c:gapDepth val="0"/>
        <c:shape val="box"/>
        <c:axId val="292169600"/>
        <c:axId val="292201600"/>
        <c:axId val="0"/>
      </c:bar3DChart>
      <c:catAx>
        <c:axId val="292169600"/>
        <c:scaling>
          <c:orientation val="minMax"/>
        </c:scaling>
        <c:delete val="0"/>
        <c:axPos val="b"/>
        <c:title>
          <c:tx>
            <c:rich>
              <a:bodyPr/>
              <a:lstStyle/>
              <a:p>
                <a:pPr>
                  <a:defRPr sz="998" b="1" i="0" u="none" strike="noStrike" baseline="0">
                    <a:solidFill>
                      <a:srgbClr val="000000"/>
                    </a:solidFill>
                    <a:latin typeface="Calibri"/>
                    <a:ea typeface="Calibri"/>
                    <a:cs typeface="Calibri"/>
                  </a:defRPr>
                </a:pPr>
                <a:r>
                  <a:rPr lang="en-US"/>
                  <a:t>An</a:t>
                </a:r>
              </a:p>
            </c:rich>
          </c:tx>
          <c:layout>
            <c:manualLayout>
              <c:xMode val="edge"/>
              <c:yMode val="edge"/>
              <c:x val="0.8728813559322034"/>
              <c:y val="0.85000000000000064"/>
            </c:manualLayout>
          </c:layout>
          <c:overlay val="0"/>
          <c:spPr>
            <a:noFill/>
            <a:ln w="25357">
              <a:noFill/>
            </a:ln>
          </c:spPr>
        </c:title>
        <c:numFmt formatCode="General" sourceLinked="1"/>
        <c:majorTickMark val="out"/>
        <c:minorTickMark val="none"/>
        <c:tickLblPos val="low"/>
        <c:spPr>
          <a:ln w="3170">
            <a:solidFill>
              <a:srgbClr val="000000"/>
            </a:solidFill>
            <a:prstDash val="solid"/>
          </a:ln>
        </c:spPr>
        <c:txPr>
          <a:bodyPr rot="0" vert="horz"/>
          <a:lstStyle/>
          <a:p>
            <a:pPr>
              <a:defRPr sz="998" b="1" i="0" u="none" strike="noStrike" baseline="0">
                <a:solidFill>
                  <a:srgbClr val="000000"/>
                </a:solidFill>
                <a:latin typeface="Calibri"/>
                <a:ea typeface="Calibri"/>
                <a:cs typeface="Calibri"/>
              </a:defRPr>
            </a:pPr>
            <a:endParaRPr lang="en-US"/>
          </a:p>
        </c:txPr>
        <c:crossAx val="292201600"/>
        <c:crosses val="autoZero"/>
        <c:auto val="1"/>
        <c:lblAlgn val="ctr"/>
        <c:lblOffset val="100"/>
        <c:tickLblSkip val="1"/>
        <c:tickMarkSkip val="1"/>
        <c:noMultiLvlLbl val="0"/>
      </c:catAx>
      <c:valAx>
        <c:axId val="292201600"/>
        <c:scaling>
          <c:orientation val="minMax"/>
        </c:scaling>
        <c:delete val="0"/>
        <c:axPos val="l"/>
        <c:majorGridlines>
          <c:spPr>
            <a:ln w="3170">
              <a:solidFill>
                <a:srgbClr val="000000"/>
              </a:solidFill>
              <a:prstDash val="solid"/>
            </a:ln>
          </c:spPr>
        </c:majorGridlines>
        <c:title>
          <c:tx>
            <c:rich>
              <a:bodyPr rot="0" vert="horz"/>
              <a:lstStyle/>
              <a:p>
                <a:pPr algn="ctr">
                  <a:defRPr sz="998" b="1" i="0" u="none" strike="noStrike" baseline="0">
                    <a:solidFill>
                      <a:srgbClr val="000000"/>
                    </a:solidFill>
                    <a:latin typeface="Calibri"/>
                    <a:ea typeface="Calibri"/>
                    <a:cs typeface="Calibri"/>
                  </a:defRPr>
                </a:pPr>
                <a:r>
                  <a:rPr lang="en-US"/>
                  <a:t>%</a:t>
                </a:r>
              </a:p>
            </c:rich>
          </c:tx>
          <c:layout>
            <c:manualLayout>
              <c:xMode val="edge"/>
              <c:yMode val="edge"/>
              <c:x val="6.6101694915254319E-2"/>
              <c:y val="7.5000000000000011E-2"/>
            </c:manualLayout>
          </c:layout>
          <c:overlay val="0"/>
          <c:spPr>
            <a:noFill/>
            <a:ln w="25357">
              <a:noFill/>
            </a:ln>
          </c:spPr>
        </c:title>
        <c:numFmt formatCode="General" sourceLinked="1"/>
        <c:majorTickMark val="out"/>
        <c:minorTickMark val="none"/>
        <c:tickLblPos val="nextTo"/>
        <c:spPr>
          <a:ln w="3170">
            <a:solidFill>
              <a:srgbClr val="000000"/>
            </a:solidFill>
            <a:prstDash val="solid"/>
          </a:ln>
        </c:spPr>
        <c:txPr>
          <a:bodyPr rot="0" vert="horz"/>
          <a:lstStyle/>
          <a:p>
            <a:pPr>
              <a:defRPr sz="998" b="1" i="0" u="none" strike="noStrike" baseline="0">
                <a:solidFill>
                  <a:srgbClr val="000000"/>
                </a:solidFill>
                <a:latin typeface="Calibri"/>
                <a:ea typeface="Calibri"/>
                <a:cs typeface="Calibri"/>
              </a:defRPr>
            </a:pPr>
            <a:endParaRPr lang="en-US"/>
          </a:p>
        </c:txPr>
        <c:crossAx val="292169600"/>
        <c:crosses val="autoZero"/>
        <c:crossBetween val="between"/>
      </c:valAx>
      <c:spPr>
        <a:noFill/>
        <a:ln w="25357">
          <a:noFill/>
        </a:ln>
      </c:spPr>
    </c:plotArea>
    <c:plotVisOnly val="1"/>
    <c:dispBlanksAs val="gap"/>
    <c:showDLblsOverMax val="0"/>
  </c:chart>
  <c:spPr>
    <a:noFill/>
    <a:ln>
      <a:noFill/>
    </a:ln>
  </c:spPr>
  <c:txPr>
    <a:bodyPr/>
    <a:lstStyle/>
    <a:p>
      <a:pPr>
        <a:defRPr sz="998" b="1" i="0" u="none" strike="noStrike" baseline="0">
          <a:solidFill>
            <a:srgbClr val="000000"/>
          </a:solidFill>
          <a:latin typeface="Calibri"/>
          <a:ea typeface="Calibri"/>
          <a:cs typeface="Calibri"/>
        </a:defRPr>
      </a:pPr>
      <a:endParaRPr lang="en-US"/>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74461028192397"/>
          <c:y val="5.1903114186851222E-2"/>
          <c:w val="0.83084577114427993"/>
          <c:h val="0.71626297577854658"/>
        </c:manualLayout>
      </c:layout>
      <c:lineChart>
        <c:grouping val="stacked"/>
        <c:varyColors val="0"/>
        <c:ser>
          <c:idx val="0"/>
          <c:order val="0"/>
          <c:tx>
            <c:strRef>
              <c:f>Sheet1!$A$2</c:f>
              <c:strCache>
                <c:ptCount val="1"/>
                <c:pt idx="0">
                  <c:v>Substanţă activă</c:v>
                </c:pt>
              </c:strCache>
            </c:strRef>
          </c:tx>
          <c:spPr>
            <a:ln w="12679">
              <a:solidFill>
                <a:srgbClr val="00FFFF"/>
              </a:solidFill>
              <a:prstDash val="solid"/>
            </a:ln>
          </c:spPr>
          <c:marker>
            <c:symbol val="diamond"/>
            <c:size val="4"/>
            <c:spPr>
              <a:solidFill>
                <a:srgbClr val="000080"/>
              </a:solidFill>
              <a:ln>
                <a:solidFill>
                  <a:srgbClr val="000080"/>
                </a:solidFill>
                <a:prstDash val="solid"/>
              </a:ln>
            </c:spPr>
          </c:marker>
          <c:dLbls>
            <c:spPr>
              <a:noFill/>
              <a:ln w="25358">
                <a:noFill/>
              </a:ln>
            </c:spPr>
            <c:txPr>
              <a:bodyPr/>
              <a:lstStyle/>
              <a:p>
                <a:pPr>
                  <a:defRPr sz="1198"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dLbls>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1.86</c:v>
                </c:pt>
                <c:pt idx="1">
                  <c:v>2.06</c:v>
                </c:pt>
                <c:pt idx="2">
                  <c:v>1.8800000000000001</c:v>
                </c:pt>
                <c:pt idx="3">
                  <c:v>0.82000000000000028</c:v>
                </c:pt>
                <c:pt idx="4">
                  <c:v>1.01</c:v>
                </c:pt>
              </c:numCache>
            </c:numRef>
          </c:val>
          <c:smooth val="0"/>
        </c:ser>
        <c:dLbls>
          <c:showLegendKey val="0"/>
          <c:showVal val="0"/>
          <c:showCatName val="0"/>
          <c:showSerName val="0"/>
          <c:showPercent val="0"/>
          <c:showBubbleSize val="0"/>
        </c:dLbls>
        <c:marker val="1"/>
        <c:smooth val="0"/>
        <c:axId val="292955264"/>
        <c:axId val="292956800"/>
      </c:lineChart>
      <c:catAx>
        <c:axId val="292955264"/>
        <c:scaling>
          <c:orientation val="minMax"/>
        </c:scaling>
        <c:delete val="0"/>
        <c:axPos val="b"/>
        <c:numFmt formatCode="General" sourceLinked="1"/>
        <c:majorTickMark val="out"/>
        <c:minorTickMark val="none"/>
        <c:tickLblPos val="nextTo"/>
        <c:spPr>
          <a:ln w="3170">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en-US"/>
          </a:p>
        </c:txPr>
        <c:crossAx val="292956800"/>
        <c:crosses val="autoZero"/>
        <c:auto val="1"/>
        <c:lblAlgn val="ctr"/>
        <c:lblOffset val="100"/>
        <c:tickLblSkip val="1"/>
        <c:tickMarkSkip val="1"/>
        <c:noMultiLvlLbl val="0"/>
      </c:catAx>
      <c:valAx>
        <c:axId val="292956800"/>
        <c:scaling>
          <c:orientation val="minMax"/>
          <c:max val="10"/>
        </c:scaling>
        <c:delete val="0"/>
        <c:axPos val="l"/>
        <c:majorGridlines>
          <c:spPr>
            <a:ln w="3170">
              <a:solidFill>
                <a:srgbClr val="000000"/>
              </a:solidFill>
              <a:prstDash val="solid"/>
            </a:ln>
          </c:spPr>
        </c:majorGridlines>
        <c:title>
          <c:tx>
            <c:rich>
              <a:bodyPr/>
              <a:lstStyle/>
              <a:p>
                <a:pPr>
                  <a:defRPr sz="1198" b="1" i="0" u="none" strike="noStrike" baseline="0">
                    <a:solidFill>
                      <a:srgbClr val="000000"/>
                    </a:solidFill>
                    <a:latin typeface="Calibri"/>
                    <a:ea typeface="Calibri"/>
                    <a:cs typeface="Calibri"/>
                  </a:defRPr>
                </a:pPr>
                <a:r>
                  <a:rPr lang="en-US"/>
                  <a:t>kg/ha</a:t>
                </a:r>
              </a:p>
            </c:rich>
          </c:tx>
          <c:layout>
            <c:manualLayout>
              <c:xMode val="edge"/>
              <c:yMode val="edge"/>
              <c:x val="1.8242122719734698E-2"/>
              <c:y val="0.32871972318339132"/>
            </c:manualLayout>
          </c:layout>
          <c:overlay val="0"/>
          <c:spPr>
            <a:noFill/>
            <a:ln w="25358">
              <a:noFill/>
            </a:ln>
          </c:spPr>
        </c:title>
        <c:numFmt formatCode="General" sourceLinked="1"/>
        <c:majorTickMark val="out"/>
        <c:minorTickMark val="none"/>
        <c:tickLblPos val="nextTo"/>
        <c:spPr>
          <a:ln w="3170">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en-US"/>
          </a:p>
        </c:txPr>
        <c:crossAx val="292955264"/>
        <c:crosses val="autoZero"/>
        <c:crossBetween val="between"/>
      </c:valAx>
      <c:spPr>
        <a:solidFill>
          <a:srgbClr val="FFFFFF"/>
        </a:solidFill>
        <a:ln w="12679">
          <a:solidFill>
            <a:srgbClr val="808080"/>
          </a:solidFill>
          <a:prstDash val="solid"/>
        </a:ln>
      </c:spPr>
    </c:plotArea>
    <c:legend>
      <c:legendPos val="b"/>
      <c:layout>
        <c:manualLayout>
          <c:xMode val="edge"/>
          <c:yMode val="edge"/>
          <c:x val="0.35820895522388135"/>
          <c:y val="0.91003460207612463"/>
          <c:w val="0.25704809286898839"/>
          <c:h val="8.6505190311418748E-2"/>
        </c:manualLayout>
      </c:layout>
      <c:overlay val="0"/>
      <c:spPr>
        <a:noFill/>
        <a:ln w="3170">
          <a:solidFill>
            <a:srgbClr val="000000"/>
          </a:solidFill>
          <a:prstDash val="solid"/>
        </a:ln>
      </c:spPr>
      <c:txPr>
        <a:bodyPr/>
        <a:lstStyle/>
        <a:p>
          <a:pPr>
            <a:defRPr sz="1098" b="1" i="0" u="none" strike="noStrike" baseline="0">
              <a:solidFill>
                <a:srgbClr val="000000"/>
              </a:solidFill>
              <a:latin typeface="Calibri"/>
              <a:ea typeface="Calibri"/>
              <a:cs typeface="Calibri"/>
            </a:defRPr>
          </a:pPr>
          <a:endParaRPr lang="en-US"/>
        </a:p>
      </c:txPr>
    </c:legend>
    <c:plotVisOnly val="1"/>
    <c:dispBlanksAs val="zero"/>
    <c:showDLblsOverMax val="0"/>
  </c:chart>
  <c:spPr>
    <a:noFill/>
    <a:ln>
      <a:noFill/>
    </a:ln>
  </c:spPr>
  <c:txPr>
    <a:bodyPr/>
    <a:lstStyle/>
    <a:p>
      <a:pPr>
        <a:defRPr sz="1198" b="1" i="0" u="none" strike="noStrike" baseline="0">
          <a:solidFill>
            <a:srgbClr val="000000"/>
          </a:solidFill>
          <a:latin typeface="Calibri"/>
          <a:ea typeface="Calibri"/>
          <a:cs typeface="Calibri"/>
        </a:defRPr>
      </a:pPr>
      <a:endParaRPr lang="en-US"/>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42372881355834"/>
          <c:y val="0.15750915750915825"/>
          <c:w val="0.83220338983050846"/>
          <c:h val="0.65567765567765834"/>
        </c:manualLayout>
      </c:layout>
      <c:lineChart>
        <c:grouping val="stacked"/>
        <c:varyColors val="0"/>
        <c:ser>
          <c:idx val="0"/>
          <c:order val="0"/>
          <c:tx>
            <c:strRef>
              <c:f>Sheet1!$A$2</c:f>
              <c:strCache>
                <c:ptCount val="1"/>
                <c:pt idx="0">
                  <c:v>Insecticide</c:v>
                </c:pt>
              </c:strCache>
            </c:strRef>
          </c:tx>
          <c:spPr>
            <a:ln w="12679">
              <a:solidFill>
                <a:srgbClr val="000080"/>
              </a:solidFill>
              <a:prstDash val="solid"/>
            </a:ln>
          </c:spPr>
          <c:marker>
            <c:symbol val="diamond"/>
            <c:size val="4"/>
            <c:spPr>
              <a:solidFill>
                <a:srgbClr val="000080"/>
              </a:solidFill>
              <a:ln>
                <a:solidFill>
                  <a:srgbClr val="000080"/>
                </a:solidFill>
                <a:prstDash val="solid"/>
              </a:ln>
            </c:spPr>
          </c:marker>
          <c:dLbls>
            <c:spPr>
              <a:noFill/>
              <a:ln w="25357">
                <a:noFill/>
              </a:ln>
            </c:spPr>
            <c:txPr>
              <a:bodyPr/>
              <a:lstStyle/>
              <a:p>
                <a:pPr>
                  <a:defRPr sz="1198"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dLbls>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2.3899999999999997</c:v>
                </c:pt>
                <c:pt idx="1">
                  <c:v>2.3899999999999997</c:v>
                </c:pt>
                <c:pt idx="2">
                  <c:v>2.29</c:v>
                </c:pt>
                <c:pt idx="3">
                  <c:v>0.34</c:v>
                </c:pt>
                <c:pt idx="4">
                  <c:v>0.4</c:v>
                </c:pt>
              </c:numCache>
            </c:numRef>
          </c:val>
          <c:smooth val="0"/>
        </c:ser>
        <c:ser>
          <c:idx val="1"/>
          <c:order val="1"/>
          <c:tx>
            <c:strRef>
              <c:f>Sheet1!$A$3</c:f>
              <c:strCache>
                <c:ptCount val="1"/>
                <c:pt idx="0">
                  <c:v>Fungicide</c:v>
                </c:pt>
              </c:strCache>
            </c:strRef>
          </c:tx>
          <c:spPr>
            <a:ln w="12679">
              <a:solidFill>
                <a:srgbClr val="FF00FF"/>
              </a:solidFill>
              <a:prstDash val="solid"/>
            </a:ln>
          </c:spPr>
          <c:marker>
            <c:symbol val="square"/>
            <c:size val="4"/>
            <c:spPr>
              <a:solidFill>
                <a:srgbClr val="FF00FF"/>
              </a:solidFill>
              <a:ln>
                <a:solidFill>
                  <a:srgbClr val="FF00FF"/>
                </a:solidFill>
                <a:prstDash val="solid"/>
              </a:ln>
            </c:spPr>
          </c:marker>
          <c:dLbls>
            <c:spPr>
              <a:noFill/>
              <a:ln w="25357">
                <a:noFill/>
              </a:ln>
            </c:spPr>
            <c:txPr>
              <a:bodyPr/>
              <a:lstStyle/>
              <a:p>
                <a:pPr>
                  <a:defRPr sz="1198"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dLbls>
          <c:cat>
            <c:numRef>
              <c:f>Sheet1!$B$1:$F$1</c:f>
              <c:numCache>
                <c:formatCode>General</c:formatCode>
                <c:ptCount val="5"/>
                <c:pt idx="0">
                  <c:v>2011</c:v>
                </c:pt>
                <c:pt idx="1">
                  <c:v>2012</c:v>
                </c:pt>
                <c:pt idx="2">
                  <c:v>2013</c:v>
                </c:pt>
                <c:pt idx="3">
                  <c:v>2014</c:v>
                </c:pt>
                <c:pt idx="4">
                  <c:v>2015</c:v>
                </c:pt>
              </c:numCache>
            </c:numRef>
          </c:cat>
          <c:val>
            <c:numRef>
              <c:f>Sheet1!$B$3:$F$3</c:f>
              <c:numCache>
                <c:formatCode>General</c:formatCode>
                <c:ptCount val="5"/>
                <c:pt idx="0">
                  <c:v>2.5299999999999998</c:v>
                </c:pt>
                <c:pt idx="1">
                  <c:v>2.5299999999999998</c:v>
                </c:pt>
                <c:pt idx="2">
                  <c:v>2.5</c:v>
                </c:pt>
                <c:pt idx="3">
                  <c:v>1.1200000000000001</c:v>
                </c:pt>
                <c:pt idx="4">
                  <c:v>1.45</c:v>
                </c:pt>
              </c:numCache>
            </c:numRef>
          </c:val>
          <c:smooth val="0"/>
        </c:ser>
        <c:ser>
          <c:idx val="2"/>
          <c:order val="2"/>
          <c:tx>
            <c:strRef>
              <c:f>Sheet1!$A$4</c:f>
              <c:strCache>
                <c:ptCount val="1"/>
                <c:pt idx="0">
                  <c:v>Erbicide</c:v>
                </c:pt>
              </c:strCache>
            </c:strRef>
          </c:tx>
          <c:spPr>
            <a:ln w="12679">
              <a:solidFill>
                <a:srgbClr val="FFFF00"/>
              </a:solidFill>
              <a:prstDash val="solid"/>
            </a:ln>
          </c:spPr>
          <c:marker>
            <c:symbol val="triangle"/>
            <c:size val="4"/>
            <c:spPr>
              <a:solidFill>
                <a:srgbClr val="FFFF00"/>
              </a:solidFill>
              <a:ln>
                <a:solidFill>
                  <a:srgbClr val="FFFF00"/>
                </a:solidFill>
                <a:prstDash val="solid"/>
              </a:ln>
            </c:spPr>
          </c:marker>
          <c:dLbls>
            <c:spPr>
              <a:noFill/>
              <a:ln w="25357">
                <a:noFill/>
              </a:ln>
            </c:spPr>
            <c:txPr>
              <a:bodyPr/>
              <a:lstStyle/>
              <a:p>
                <a:pPr>
                  <a:defRPr sz="1198"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dLbls>
          <c:cat>
            <c:numRef>
              <c:f>Sheet1!$B$1:$F$1</c:f>
              <c:numCache>
                <c:formatCode>General</c:formatCode>
                <c:ptCount val="5"/>
                <c:pt idx="0">
                  <c:v>2011</c:v>
                </c:pt>
                <c:pt idx="1">
                  <c:v>2012</c:v>
                </c:pt>
                <c:pt idx="2">
                  <c:v>2013</c:v>
                </c:pt>
                <c:pt idx="3">
                  <c:v>2014</c:v>
                </c:pt>
                <c:pt idx="4">
                  <c:v>2015</c:v>
                </c:pt>
              </c:numCache>
            </c:numRef>
          </c:cat>
          <c:val>
            <c:numRef>
              <c:f>Sheet1!$B$4:$F$4</c:f>
              <c:numCache>
                <c:formatCode>General</c:formatCode>
                <c:ptCount val="5"/>
                <c:pt idx="0">
                  <c:v>1.1100000000000001</c:v>
                </c:pt>
                <c:pt idx="1">
                  <c:v>1.71</c:v>
                </c:pt>
                <c:pt idx="2">
                  <c:v>1.29</c:v>
                </c:pt>
                <c:pt idx="3">
                  <c:v>0.93</c:v>
                </c:pt>
                <c:pt idx="4">
                  <c:v>1.1000000000000001</c:v>
                </c:pt>
              </c:numCache>
            </c:numRef>
          </c:val>
          <c:smooth val="0"/>
        </c:ser>
        <c:dLbls>
          <c:showLegendKey val="0"/>
          <c:showVal val="1"/>
          <c:showCatName val="0"/>
          <c:showSerName val="0"/>
          <c:showPercent val="0"/>
          <c:showBubbleSize val="0"/>
        </c:dLbls>
        <c:marker val="1"/>
        <c:smooth val="0"/>
        <c:axId val="295409152"/>
        <c:axId val="295411072"/>
      </c:lineChart>
      <c:catAx>
        <c:axId val="295409152"/>
        <c:scaling>
          <c:orientation val="minMax"/>
        </c:scaling>
        <c:delete val="0"/>
        <c:axPos val="b"/>
        <c:title>
          <c:tx>
            <c:rich>
              <a:bodyPr/>
              <a:lstStyle/>
              <a:p>
                <a:pPr>
                  <a:defRPr sz="1023" b="1" i="0" u="none" strike="noStrike" baseline="0">
                    <a:solidFill>
                      <a:srgbClr val="000000"/>
                    </a:solidFill>
                    <a:latin typeface="Calibri"/>
                    <a:ea typeface="Calibri"/>
                    <a:cs typeface="Calibri"/>
                  </a:defRPr>
                </a:pPr>
                <a:r>
                  <a:rPr lang="en-US"/>
                  <a:t>An</a:t>
                </a:r>
              </a:p>
            </c:rich>
          </c:tx>
          <c:layout>
            <c:manualLayout>
              <c:xMode val="edge"/>
              <c:yMode val="edge"/>
              <c:x val="0.52203389830508473"/>
              <c:y val="0.90109890109890112"/>
            </c:manualLayout>
          </c:layout>
          <c:overlay val="0"/>
          <c:spPr>
            <a:noFill/>
            <a:ln w="25357">
              <a:noFill/>
            </a:ln>
          </c:spPr>
        </c:title>
        <c:numFmt formatCode="General" sourceLinked="1"/>
        <c:majorTickMark val="out"/>
        <c:minorTickMark val="none"/>
        <c:tickLblPos val="nextTo"/>
        <c:spPr>
          <a:ln w="3170">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en-US"/>
          </a:p>
        </c:txPr>
        <c:crossAx val="295411072"/>
        <c:crosses val="autoZero"/>
        <c:auto val="1"/>
        <c:lblAlgn val="ctr"/>
        <c:lblOffset val="100"/>
        <c:tickLblSkip val="1"/>
        <c:tickMarkSkip val="1"/>
        <c:noMultiLvlLbl val="0"/>
      </c:catAx>
      <c:valAx>
        <c:axId val="295411072"/>
        <c:scaling>
          <c:orientation val="minMax"/>
        </c:scaling>
        <c:delete val="0"/>
        <c:axPos val="l"/>
        <c:majorGridlines>
          <c:spPr>
            <a:ln w="3170">
              <a:solidFill>
                <a:srgbClr val="000000"/>
              </a:solidFill>
              <a:prstDash val="solid"/>
            </a:ln>
          </c:spPr>
        </c:majorGridlines>
        <c:title>
          <c:tx>
            <c:rich>
              <a:bodyPr rot="0" vert="horz"/>
              <a:lstStyle/>
              <a:p>
                <a:pPr algn="ctr">
                  <a:defRPr sz="1173" b="1" i="0" u="none" strike="noStrike" baseline="0">
                    <a:solidFill>
                      <a:srgbClr val="000000"/>
                    </a:solidFill>
                    <a:latin typeface="Calibri"/>
                    <a:ea typeface="Calibri"/>
                    <a:cs typeface="Calibri"/>
                  </a:defRPr>
                </a:pPr>
                <a:r>
                  <a:rPr lang="en-US"/>
                  <a:t>kg/ha</a:t>
                </a:r>
              </a:p>
            </c:rich>
          </c:tx>
          <c:layout>
            <c:manualLayout>
              <c:xMode val="edge"/>
              <c:yMode val="edge"/>
              <c:x val="0"/>
              <c:y val="0.40293040293040416"/>
            </c:manualLayout>
          </c:layout>
          <c:overlay val="0"/>
          <c:spPr>
            <a:noFill/>
            <a:ln w="25357">
              <a:noFill/>
            </a:ln>
          </c:spPr>
        </c:title>
        <c:numFmt formatCode="General" sourceLinked="1"/>
        <c:majorTickMark val="out"/>
        <c:minorTickMark val="none"/>
        <c:tickLblPos val="nextTo"/>
        <c:spPr>
          <a:ln w="3170">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en-US"/>
          </a:p>
        </c:txPr>
        <c:crossAx val="295409152"/>
        <c:crosses val="autoZero"/>
        <c:crossBetween val="between"/>
      </c:valAx>
      <c:spPr>
        <a:solidFill>
          <a:srgbClr val="FFFFFF"/>
        </a:solidFill>
        <a:ln w="12679">
          <a:solidFill>
            <a:srgbClr val="808080"/>
          </a:solidFill>
          <a:prstDash val="solid"/>
        </a:ln>
      </c:spPr>
    </c:plotArea>
    <c:legend>
      <c:legendPos val="t"/>
      <c:layout>
        <c:manualLayout>
          <c:xMode val="edge"/>
          <c:yMode val="edge"/>
          <c:x val="9.3220338983051695E-2"/>
          <c:y val="1.0989010989010993E-2"/>
          <c:w val="0.86610169491525424"/>
          <c:h val="9.1575091575092207E-2"/>
        </c:manualLayout>
      </c:layout>
      <c:overlay val="0"/>
      <c:spPr>
        <a:noFill/>
        <a:ln w="3170">
          <a:solidFill>
            <a:srgbClr val="000000"/>
          </a:solidFill>
          <a:prstDash val="solid"/>
        </a:ln>
      </c:spPr>
      <c:txPr>
        <a:bodyPr/>
        <a:lstStyle/>
        <a:p>
          <a:pPr>
            <a:defRPr sz="754" b="1" i="0" u="none" strike="noStrike" baseline="0">
              <a:solidFill>
                <a:srgbClr val="000000"/>
              </a:solidFill>
              <a:latin typeface="Calibri"/>
              <a:ea typeface="Calibri"/>
              <a:cs typeface="Calibri"/>
            </a:defRPr>
          </a:pPr>
          <a:endParaRPr lang="en-US"/>
        </a:p>
      </c:txPr>
    </c:legend>
    <c:plotVisOnly val="1"/>
    <c:dispBlanksAs val="zero"/>
    <c:showDLblsOverMax val="0"/>
  </c:chart>
  <c:spPr>
    <a:noFill/>
    <a:ln>
      <a:noFill/>
    </a:ln>
  </c:spPr>
  <c:txPr>
    <a:bodyPr/>
    <a:lstStyle/>
    <a:p>
      <a:pPr>
        <a:defRPr sz="1198" b="1" i="0" u="none" strike="noStrike" baseline="0">
          <a:solidFill>
            <a:srgbClr val="000000"/>
          </a:solidFill>
          <a:latin typeface="Calibri"/>
          <a:ea typeface="Calibri"/>
          <a:cs typeface="Calibri"/>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98" b="1" i="0" u="none" strike="noStrike" baseline="0">
                <a:solidFill>
                  <a:srgbClr val="000000"/>
                </a:solidFill>
                <a:latin typeface="Arial"/>
                <a:ea typeface="Arial"/>
                <a:cs typeface="Arial"/>
              </a:defRPr>
            </a:pPr>
            <a:r>
              <a:rPr lang="en-US"/>
              <a:t>Evolu</a:t>
            </a:r>
            <a:r>
              <a:rPr lang="ro-RO"/>
              <a:t>ţ</a:t>
            </a:r>
            <a:r>
              <a:rPr lang="en-US"/>
              <a:t>ia anual</a:t>
            </a:r>
            <a:r>
              <a:rPr lang="ro-RO"/>
              <a:t>ă</a:t>
            </a:r>
            <a:r>
              <a:rPr lang="en-US"/>
              <a:t> a concentra</a:t>
            </a:r>
            <a:r>
              <a:rPr lang="ro-RO"/>
              <a:t>ţ</a:t>
            </a:r>
            <a:r>
              <a:rPr lang="en-US"/>
              <a:t>iei de CO</a:t>
            </a:r>
          </a:p>
        </c:rich>
      </c:tx>
      <c:layout>
        <c:manualLayout>
          <c:xMode val="edge"/>
          <c:yMode val="edge"/>
          <c:x val="0.29423076923076924"/>
          <c:y val="2.2598870056497175E-2"/>
        </c:manualLayout>
      </c:layout>
      <c:overlay val="0"/>
      <c:spPr>
        <a:noFill/>
        <a:ln w="25353">
          <a:noFill/>
        </a:ln>
      </c:spPr>
    </c:title>
    <c:autoTitleDeleted val="0"/>
    <c:plotArea>
      <c:layout>
        <c:manualLayout>
          <c:layoutTarget val="inner"/>
          <c:xMode val="edge"/>
          <c:yMode val="edge"/>
          <c:x val="0.05"/>
          <c:y val="0.2824858757062147"/>
          <c:w val="0.71730769230769231"/>
          <c:h val="0.57062146892655363"/>
        </c:manualLayout>
      </c:layout>
      <c:lineChart>
        <c:grouping val="standard"/>
        <c:varyColors val="0"/>
        <c:ser>
          <c:idx val="0"/>
          <c:order val="0"/>
          <c:tx>
            <c:strRef>
              <c:f>Sheet1!$A$2</c:f>
              <c:strCache>
                <c:ptCount val="1"/>
                <c:pt idx="0">
                  <c:v>VS1</c:v>
                </c:pt>
              </c:strCache>
            </c:strRef>
          </c:tx>
          <c:spPr>
            <a:ln w="25353">
              <a:solidFill>
                <a:srgbClr val="FF6600"/>
              </a:solidFill>
              <a:prstDash val="solid"/>
            </a:ln>
          </c:spPr>
          <c:marker>
            <c:symbol val="x"/>
            <c:size val="4"/>
            <c:spPr>
              <a:solidFill>
                <a:srgbClr val="FF6600"/>
              </a:solidFill>
              <a:ln>
                <a:solidFill>
                  <a:srgbClr val="FF6600"/>
                </a:solidFill>
                <a:prstDash val="solid"/>
              </a:ln>
            </c:spPr>
          </c:marker>
          <c:cat>
            <c:numRef>
              <c:f>Sheet1!$B$1:$I$1</c:f>
              <c:numCache>
                <c:formatCode>General</c:formatCode>
                <c:ptCount val="8"/>
                <c:pt idx="0">
                  <c:v>2008</c:v>
                </c:pt>
                <c:pt idx="1">
                  <c:v>2009</c:v>
                </c:pt>
                <c:pt idx="2">
                  <c:v>2010</c:v>
                </c:pt>
                <c:pt idx="3">
                  <c:v>2011</c:v>
                </c:pt>
                <c:pt idx="4">
                  <c:v>2012</c:v>
                </c:pt>
                <c:pt idx="5">
                  <c:v>2013</c:v>
                </c:pt>
                <c:pt idx="6">
                  <c:v>2014</c:v>
                </c:pt>
                <c:pt idx="7">
                  <c:v>2015</c:v>
                </c:pt>
              </c:numCache>
            </c:numRef>
          </c:cat>
          <c:val>
            <c:numRef>
              <c:f>Sheet1!$B$2:$I$2</c:f>
              <c:numCache>
                <c:formatCode>General</c:formatCode>
                <c:ptCount val="8"/>
                <c:pt idx="0">
                  <c:v>0.28999999999999998</c:v>
                </c:pt>
                <c:pt idx="1">
                  <c:v>0.17</c:v>
                </c:pt>
                <c:pt idx="2">
                  <c:v>0.19</c:v>
                </c:pt>
                <c:pt idx="3">
                  <c:v>0.28000000000000003</c:v>
                </c:pt>
                <c:pt idx="5">
                  <c:v>0.14000000000000001</c:v>
                </c:pt>
                <c:pt idx="6">
                  <c:v>0.13</c:v>
                </c:pt>
              </c:numCache>
            </c:numRef>
          </c:val>
          <c:smooth val="0"/>
        </c:ser>
        <c:ser>
          <c:idx val="1"/>
          <c:order val="1"/>
          <c:tx>
            <c:strRef>
              <c:f>Sheet1!$A$3</c:f>
              <c:strCache>
                <c:ptCount val="1"/>
                <c:pt idx="0">
                  <c:v>VS2</c:v>
                </c:pt>
              </c:strCache>
            </c:strRef>
          </c:tx>
          <c:spPr>
            <a:ln w="12676">
              <a:solidFill>
                <a:srgbClr val="0000FF"/>
              </a:solidFill>
              <a:prstDash val="solid"/>
            </a:ln>
          </c:spPr>
          <c:marker>
            <c:symbol val="square"/>
            <c:size val="4"/>
            <c:spPr>
              <a:solidFill>
                <a:srgbClr val="0000FF"/>
              </a:solidFill>
              <a:ln>
                <a:solidFill>
                  <a:srgbClr val="0000FF"/>
                </a:solidFill>
                <a:prstDash val="solid"/>
              </a:ln>
            </c:spPr>
          </c:marker>
          <c:dPt>
            <c:idx val="4"/>
            <c:bubble3D val="0"/>
            <c:spPr>
              <a:ln w="25353">
                <a:solidFill>
                  <a:srgbClr val="0000FF"/>
                </a:solidFill>
                <a:prstDash val="solid"/>
              </a:ln>
            </c:spPr>
          </c:dPt>
          <c:cat>
            <c:numRef>
              <c:f>Sheet1!$B$1:$I$1</c:f>
              <c:numCache>
                <c:formatCode>General</c:formatCode>
                <c:ptCount val="8"/>
                <c:pt idx="0">
                  <c:v>2008</c:v>
                </c:pt>
                <c:pt idx="1">
                  <c:v>2009</c:v>
                </c:pt>
                <c:pt idx="2">
                  <c:v>2010</c:v>
                </c:pt>
                <c:pt idx="3">
                  <c:v>2011</c:v>
                </c:pt>
                <c:pt idx="4">
                  <c:v>2012</c:v>
                </c:pt>
                <c:pt idx="5">
                  <c:v>2013</c:v>
                </c:pt>
                <c:pt idx="6">
                  <c:v>2014</c:v>
                </c:pt>
                <c:pt idx="7">
                  <c:v>2015</c:v>
                </c:pt>
              </c:numCache>
            </c:numRef>
          </c:cat>
          <c:val>
            <c:numRef>
              <c:f>Sheet1!$B$3:$I$3</c:f>
              <c:numCache>
                <c:formatCode>General</c:formatCode>
                <c:ptCount val="8"/>
                <c:pt idx="4">
                  <c:v>0.87</c:v>
                </c:pt>
              </c:numCache>
            </c:numRef>
          </c:val>
          <c:smooth val="0"/>
        </c:ser>
        <c:dLbls>
          <c:showLegendKey val="0"/>
          <c:showVal val="0"/>
          <c:showCatName val="0"/>
          <c:showSerName val="0"/>
          <c:showPercent val="0"/>
          <c:showBubbleSize val="0"/>
        </c:dLbls>
        <c:marker val="1"/>
        <c:smooth val="0"/>
        <c:axId val="294514688"/>
        <c:axId val="294516224"/>
      </c:lineChart>
      <c:catAx>
        <c:axId val="294514688"/>
        <c:scaling>
          <c:orientation val="minMax"/>
        </c:scaling>
        <c:delete val="0"/>
        <c:axPos val="b"/>
        <c:numFmt formatCode="General" sourceLinked="1"/>
        <c:majorTickMark val="out"/>
        <c:minorTickMark val="none"/>
        <c:tickLblPos val="nextTo"/>
        <c:spPr>
          <a:ln w="3169">
            <a:solidFill>
              <a:srgbClr val="000000"/>
            </a:solidFill>
            <a:prstDash val="solid"/>
          </a:ln>
        </c:spPr>
        <c:txPr>
          <a:bodyPr rot="0" vert="horz"/>
          <a:lstStyle/>
          <a:p>
            <a:pPr>
              <a:defRPr sz="823" b="1" i="0" u="none" strike="noStrike" baseline="0">
                <a:solidFill>
                  <a:srgbClr val="000000"/>
                </a:solidFill>
                <a:latin typeface="Arial"/>
                <a:ea typeface="Arial"/>
                <a:cs typeface="Arial"/>
              </a:defRPr>
            </a:pPr>
            <a:endParaRPr lang="en-US"/>
          </a:p>
        </c:txPr>
        <c:crossAx val="294516224"/>
        <c:crosses val="autoZero"/>
        <c:auto val="1"/>
        <c:lblAlgn val="ctr"/>
        <c:lblOffset val="100"/>
        <c:tickLblSkip val="1"/>
        <c:tickMarkSkip val="1"/>
        <c:noMultiLvlLbl val="0"/>
      </c:catAx>
      <c:valAx>
        <c:axId val="294516224"/>
        <c:scaling>
          <c:orientation val="minMax"/>
        </c:scaling>
        <c:delete val="0"/>
        <c:axPos val="l"/>
        <c:majorGridlines>
          <c:spPr>
            <a:ln w="3169">
              <a:solidFill>
                <a:srgbClr val="000000"/>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sz="823" b="1" i="0" u="none" strike="noStrike" baseline="0">
                <a:solidFill>
                  <a:srgbClr val="000000"/>
                </a:solidFill>
                <a:latin typeface="Arial"/>
                <a:ea typeface="Arial"/>
                <a:cs typeface="Arial"/>
              </a:defRPr>
            </a:pPr>
            <a:endParaRPr lang="en-US"/>
          </a:p>
        </c:txPr>
        <c:crossAx val="294514688"/>
        <c:crosses val="autoZero"/>
        <c:crossBetween val="between"/>
      </c:valAx>
      <c:spPr>
        <a:gradFill rotWithShape="0">
          <a:gsLst>
            <a:gs pos="0">
              <a:srgbClr xmlns:mc="http://schemas.openxmlformats.org/markup-compatibility/2006" xmlns:a14="http://schemas.microsoft.com/office/drawing/2010/main" val="FFCC99" mc:Ignorable="a14" a14:legacySpreadsheetColorIndex="47"/>
            </a:gs>
            <a:gs pos="50000">
              <a:srgbClr xmlns:mc="http://schemas.openxmlformats.org/markup-compatibility/2006" xmlns:a14="http://schemas.microsoft.com/office/drawing/2010/main" val="FFFFCC" mc:Ignorable="a14" a14:legacySpreadsheetColorIndex="26"/>
            </a:gs>
            <a:gs pos="100000">
              <a:srgbClr xmlns:mc="http://schemas.openxmlformats.org/markup-compatibility/2006" xmlns:a14="http://schemas.microsoft.com/office/drawing/2010/main" val="FFCC99" mc:Ignorable="a14" a14:legacySpreadsheetColorIndex="47"/>
            </a:gs>
          </a:gsLst>
          <a:lin ang="5400000" scaled="1"/>
        </a:gradFill>
        <a:ln w="12676">
          <a:solidFill>
            <a:srgbClr val="808080"/>
          </a:solidFill>
          <a:prstDash val="solid"/>
        </a:ln>
      </c:spPr>
    </c:plotArea>
    <c:legend>
      <c:legendPos val="r"/>
      <c:layout>
        <c:manualLayout>
          <c:xMode val="edge"/>
          <c:yMode val="edge"/>
          <c:x val="0.77884615384615385"/>
          <c:y val="0.23163841807909605"/>
          <c:w val="0.2153846153846154"/>
          <c:h val="0.53107344632768361"/>
        </c:manualLayout>
      </c:layout>
      <c:overlay val="0"/>
      <c:spPr>
        <a:noFill/>
        <a:ln w="3169">
          <a:solidFill>
            <a:srgbClr val="000000"/>
          </a:solidFill>
          <a:prstDash val="solid"/>
        </a:ln>
      </c:spPr>
      <c:txPr>
        <a:bodyPr/>
        <a:lstStyle/>
        <a:p>
          <a:pPr>
            <a:defRPr sz="779"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799" b="1" i="0" u="none" strike="noStrike" baseline="0">
          <a:solidFill>
            <a:srgbClr val="000000"/>
          </a:solidFill>
          <a:latin typeface="Arial"/>
          <a:ea typeface="Arial"/>
          <a:cs typeface="Arial"/>
        </a:defRPr>
      </a:pPr>
      <a:endParaRPr lang="en-US"/>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5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520064205457465"/>
          <c:y val="7.7586206896552004E-2"/>
          <c:w val="0.5232744783306581"/>
          <c:h val="0.75000000000000255"/>
        </c:manualLayout>
      </c:layout>
      <c:bar3DChart>
        <c:barDir val="col"/>
        <c:grouping val="clustered"/>
        <c:varyColors val="0"/>
        <c:ser>
          <c:idx val="0"/>
          <c:order val="0"/>
          <c:tx>
            <c:strRef>
              <c:f>Sheet1!$A$2</c:f>
              <c:strCache>
                <c:ptCount val="1"/>
                <c:pt idx="0">
                  <c:v>Suprafaţa amenajată pentru irigaţii (ha)</c:v>
                </c:pt>
              </c:strCache>
            </c:strRef>
          </c:tx>
          <c:spPr>
            <a:solidFill>
              <a:srgbClr val="9999FF"/>
            </a:solidFill>
            <a:ln w="12680">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29926</c:v>
                </c:pt>
                <c:pt idx="1">
                  <c:v>29926</c:v>
                </c:pt>
                <c:pt idx="2">
                  <c:v>29926</c:v>
                </c:pt>
                <c:pt idx="3">
                  <c:v>29926</c:v>
                </c:pt>
                <c:pt idx="4">
                  <c:v>29926</c:v>
                </c:pt>
              </c:numCache>
            </c:numRef>
          </c:val>
        </c:ser>
        <c:ser>
          <c:idx val="1"/>
          <c:order val="1"/>
          <c:tx>
            <c:strRef>
              <c:f>Sheet1!$A$3</c:f>
              <c:strCache>
                <c:ptCount val="1"/>
                <c:pt idx="0">
                  <c:v>Suprafaţa amenajată lucrări de desecare-drenaj (ha)</c:v>
                </c:pt>
              </c:strCache>
            </c:strRef>
          </c:tx>
          <c:spPr>
            <a:solidFill>
              <a:srgbClr val="993366"/>
            </a:solidFill>
            <a:ln w="12680">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Sheet1!$B$3:$F$3</c:f>
              <c:numCache>
                <c:formatCode>General</c:formatCode>
                <c:ptCount val="5"/>
                <c:pt idx="0">
                  <c:v>41653</c:v>
                </c:pt>
                <c:pt idx="1">
                  <c:v>41653</c:v>
                </c:pt>
                <c:pt idx="2">
                  <c:v>41653</c:v>
                </c:pt>
                <c:pt idx="3">
                  <c:v>41653</c:v>
                </c:pt>
                <c:pt idx="4">
                  <c:v>41653</c:v>
                </c:pt>
              </c:numCache>
            </c:numRef>
          </c:val>
        </c:ser>
        <c:ser>
          <c:idx val="2"/>
          <c:order val="2"/>
          <c:tx>
            <c:strRef>
              <c:f>Sheet1!$A$4</c:f>
              <c:strCache>
                <c:ptCount val="1"/>
                <c:pt idx="0">
                  <c:v>Suprafaţa amenajată lucrări de combatere a solului (ha)</c:v>
                </c:pt>
              </c:strCache>
            </c:strRef>
          </c:tx>
          <c:spPr>
            <a:solidFill>
              <a:srgbClr val="FFFFCC"/>
            </a:solidFill>
            <a:ln w="12680">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Sheet1!$B$4:$F$4</c:f>
              <c:numCache>
                <c:formatCode>General</c:formatCode>
                <c:ptCount val="5"/>
                <c:pt idx="0">
                  <c:v>195600</c:v>
                </c:pt>
                <c:pt idx="1">
                  <c:v>195600</c:v>
                </c:pt>
                <c:pt idx="2">
                  <c:v>195600</c:v>
                </c:pt>
                <c:pt idx="3">
                  <c:v>195600</c:v>
                </c:pt>
                <c:pt idx="4">
                  <c:v>195600</c:v>
                </c:pt>
              </c:numCache>
            </c:numRef>
          </c:val>
        </c:ser>
        <c:dLbls>
          <c:showLegendKey val="0"/>
          <c:showVal val="0"/>
          <c:showCatName val="0"/>
          <c:showSerName val="0"/>
          <c:showPercent val="0"/>
          <c:showBubbleSize val="0"/>
        </c:dLbls>
        <c:gapWidth val="150"/>
        <c:gapDepth val="0"/>
        <c:shape val="box"/>
        <c:axId val="293033472"/>
        <c:axId val="293035008"/>
        <c:axId val="0"/>
      </c:bar3DChart>
      <c:catAx>
        <c:axId val="293033472"/>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1023" b="1" i="0" u="none" strike="noStrike" baseline="0">
                <a:solidFill>
                  <a:srgbClr val="000000"/>
                </a:solidFill>
                <a:latin typeface="Calibri"/>
                <a:ea typeface="Calibri"/>
                <a:cs typeface="Calibri"/>
              </a:defRPr>
            </a:pPr>
            <a:endParaRPr lang="en-US"/>
          </a:p>
        </c:txPr>
        <c:crossAx val="293035008"/>
        <c:crosses val="autoZero"/>
        <c:auto val="1"/>
        <c:lblAlgn val="ctr"/>
        <c:lblOffset val="100"/>
        <c:tickLblSkip val="1"/>
        <c:tickMarkSkip val="1"/>
        <c:noMultiLvlLbl val="0"/>
      </c:catAx>
      <c:valAx>
        <c:axId val="293035008"/>
        <c:scaling>
          <c:orientation val="minMax"/>
        </c:scaling>
        <c:delete val="0"/>
        <c:axPos val="l"/>
        <c:majorGridlines>
          <c:spPr>
            <a:ln w="3170">
              <a:solidFill>
                <a:srgbClr val="000000"/>
              </a:solidFill>
              <a:prstDash val="solid"/>
            </a:ln>
          </c:spPr>
        </c:majorGridlines>
        <c:title>
          <c:tx>
            <c:rich>
              <a:bodyPr rot="0" vert="horz"/>
              <a:lstStyle/>
              <a:p>
                <a:pPr algn="ctr">
                  <a:defRPr sz="998" b="1" i="0" u="none" strike="noStrike" baseline="0">
                    <a:solidFill>
                      <a:srgbClr val="000000"/>
                    </a:solidFill>
                    <a:latin typeface="Calibri"/>
                    <a:ea typeface="Calibri"/>
                    <a:cs typeface="Calibri"/>
                  </a:defRPr>
                </a:pPr>
                <a:r>
                  <a:rPr lang="en-US"/>
                  <a:t>ha</a:t>
                </a:r>
              </a:p>
            </c:rich>
          </c:tx>
          <c:layout>
            <c:manualLayout>
              <c:xMode val="edge"/>
              <c:yMode val="edge"/>
              <c:x val="2.5682182985553918E-2"/>
              <c:y val="3.8793103448275891E-2"/>
            </c:manualLayout>
          </c:layout>
          <c:overlay val="0"/>
          <c:spPr>
            <a:noFill/>
            <a:ln w="25360">
              <a:noFill/>
            </a:ln>
          </c:spPr>
        </c:title>
        <c:numFmt formatCode="General" sourceLinked="1"/>
        <c:majorTickMark val="out"/>
        <c:minorTickMark val="none"/>
        <c:tickLblPos val="nextTo"/>
        <c:spPr>
          <a:ln w="3170">
            <a:solidFill>
              <a:srgbClr val="000000"/>
            </a:solidFill>
            <a:prstDash val="solid"/>
          </a:ln>
        </c:spPr>
        <c:txPr>
          <a:bodyPr rot="0" vert="horz"/>
          <a:lstStyle/>
          <a:p>
            <a:pPr>
              <a:defRPr sz="1023" b="1" i="0" u="none" strike="noStrike" baseline="0">
                <a:solidFill>
                  <a:srgbClr val="000000"/>
                </a:solidFill>
                <a:latin typeface="Calibri"/>
                <a:ea typeface="Calibri"/>
                <a:cs typeface="Calibri"/>
              </a:defRPr>
            </a:pPr>
            <a:endParaRPr lang="en-US"/>
          </a:p>
        </c:txPr>
        <c:crossAx val="293033472"/>
        <c:crosses val="autoZero"/>
        <c:crossBetween val="between"/>
      </c:valAx>
      <c:spPr>
        <a:noFill/>
        <a:ln w="25360">
          <a:noFill/>
        </a:ln>
      </c:spPr>
    </c:plotArea>
    <c:legend>
      <c:legendPos val="r"/>
      <c:layout>
        <c:manualLayout>
          <c:xMode val="edge"/>
          <c:yMode val="edge"/>
          <c:x val="0.66613162118780378"/>
          <c:y val="0.25"/>
          <c:w val="0.32744783306581277"/>
          <c:h val="0.50862068965517548"/>
        </c:manualLayout>
      </c:layout>
      <c:overlay val="0"/>
      <c:spPr>
        <a:noFill/>
        <a:ln w="3170">
          <a:solidFill>
            <a:srgbClr val="000000"/>
          </a:solidFill>
          <a:prstDash val="solid"/>
        </a:ln>
      </c:spPr>
      <c:txPr>
        <a:bodyPr/>
        <a:lstStyle/>
        <a:p>
          <a:pPr>
            <a:defRPr sz="939"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023" b="1" i="0" u="none" strike="noStrike" baseline="0">
          <a:solidFill>
            <a:srgbClr val="000000"/>
          </a:solidFill>
          <a:latin typeface="Calibri"/>
          <a:ea typeface="Calibri"/>
          <a:cs typeface="Calibri"/>
        </a:defRPr>
      </a:pPr>
      <a:endParaRPr lang="en-US"/>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0"/>
      <c:rAngAx val="0"/>
      <c:perspective val="0"/>
    </c:view3D>
    <c:floor>
      <c:thickness val="0"/>
    </c:floor>
    <c:sideWall>
      <c:thickness val="0"/>
    </c:sideWall>
    <c:backWall>
      <c:thickness val="0"/>
    </c:backWall>
    <c:plotArea>
      <c:layout>
        <c:manualLayout>
          <c:layoutTarget val="inner"/>
          <c:xMode val="edge"/>
          <c:yMode val="edge"/>
          <c:x val="8.1377151799687006E-2"/>
          <c:y val="5.5865921787709534E-3"/>
          <c:w val="0.54833948997116033"/>
          <c:h val="0.99441347609326558"/>
        </c:manualLayout>
      </c:layout>
      <c:pie3DChart>
        <c:varyColors val="1"/>
        <c:ser>
          <c:idx val="0"/>
          <c:order val="0"/>
          <c:tx>
            <c:strRef>
              <c:f>Sheet1!$A$2</c:f>
              <c:strCache>
                <c:ptCount val="1"/>
                <c:pt idx="0">
                  <c:v>Tere</c:v>
                </c:pt>
              </c:strCache>
            </c:strRef>
          </c:tx>
          <c:spPr>
            <a:solidFill>
              <a:srgbClr val="9999FF"/>
            </a:solidFill>
            <a:ln w="12680">
              <a:solidFill>
                <a:srgbClr val="000000"/>
              </a:solidFill>
              <a:prstDash val="solid"/>
            </a:ln>
          </c:spPr>
          <c:dPt>
            <c:idx val="1"/>
            <c:bubble3D val="0"/>
            <c:spPr>
              <a:solidFill>
                <a:srgbClr val="993366"/>
              </a:solidFill>
              <a:ln w="12680">
                <a:solidFill>
                  <a:srgbClr val="000000"/>
                </a:solidFill>
                <a:prstDash val="solid"/>
              </a:ln>
            </c:spPr>
          </c:dPt>
          <c:dPt>
            <c:idx val="2"/>
            <c:bubble3D val="0"/>
            <c:spPr>
              <a:solidFill>
                <a:srgbClr val="FFFFCC"/>
              </a:solidFill>
              <a:ln w="12680">
                <a:solidFill>
                  <a:srgbClr val="000000"/>
                </a:solidFill>
                <a:prstDash val="solid"/>
              </a:ln>
            </c:spPr>
          </c:dPt>
          <c:dPt>
            <c:idx val="3"/>
            <c:bubble3D val="0"/>
            <c:spPr>
              <a:solidFill>
                <a:srgbClr val="CCFFFF"/>
              </a:solidFill>
              <a:ln w="12680">
                <a:solidFill>
                  <a:srgbClr val="000000"/>
                </a:solidFill>
                <a:prstDash val="solid"/>
              </a:ln>
            </c:spPr>
          </c:dPt>
          <c:dPt>
            <c:idx val="4"/>
            <c:bubble3D val="0"/>
            <c:spPr>
              <a:solidFill>
                <a:srgbClr val="660066"/>
              </a:solidFill>
              <a:ln w="12680">
                <a:solidFill>
                  <a:srgbClr val="000000"/>
                </a:solidFill>
                <a:prstDash val="solid"/>
              </a:ln>
            </c:spPr>
          </c:dPt>
          <c:dPt>
            <c:idx val="5"/>
            <c:bubble3D val="0"/>
            <c:spPr>
              <a:solidFill>
                <a:srgbClr val="FF8080"/>
              </a:solidFill>
              <a:ln w="12680">
                <a:solidFill>
                  <a:srgbClr val="000000"/>
                </a:solidFill>
                <a:prstDash val="solid"/>
              </a:ln>
            </c:spPr>
          </c:dPt>
          <c:dPt>
            <c:idx val="6"/>
            <c:bubble3D val="0"/>
            <c:spPr>
              <a:solidFill>
                <a:srgbClr val="0066CC"/>
              </a:solidFill>
              <a:ln w="12680">
                <a:solidFill>
                  <a:srgbClr val="000000"/>
                </a:solidFill>
                <a:prstDash val="solid"/>
              </a:ln>
            </c:spPr>
          </c:dPt>
          <c:dPt>
            <c:idx val="7"/>
            <c:bubble3D val="0"/>
            <c:spPr>
              <a:solidFill>
                <a:srgbClr val="CCCCFF"/>
              </a:solidFill>
              <a:ln w="12680">
                <a:solidFill>
                  <a:srgbClr val="000000"/>
                </a:solidFill>
                <a:prstDash val="solid"/>
              </a:ln>
            </c:spPr>
          </c:dPt>
          <c:dPt>
            <c:idx val="8"/>
            <c:bubble3D val="0"/>
            <c:spPr>
              <a:solidFill>
                <a:srgbClr val="FFFF00"/>
              </a:solidFill>
              <a:ln w="12680">
                <a:solidFill>
                  <a:srgbClr val="000000"/>
                </a:solidFill>
                <a:prstDash val="solid"/>
              </a:ln>
            </c:spPr>
          </c:dPt>
          <c:dPt>
            <c:idx val="9"/>
            <c:bubble3D val="0"/>
            <c:spPr>
              <a:solidFill>
                <a:srgbClr val="FF00FF"/>
              </a:solidFill>
              <a:ln w="12680">
                <a:solidFill>
                  <a:srgbClr val="000000"/>
                </a:solidFill>
                <a:prstDash val="solid"/>
              </a:ln>
            </c:spPr>
          </c:dPt>
          <c:dLbls>
            <c:dLbl>
              <c:idx val="0"/>
              <c:layout>
                <c:manualLayout>
                  <c:x val="-5.451754596142365E-2"/>
                  <c:y val="-3.3530973122462863E-3"/>
                </c:manualLayout>
              </c:layout>
              <c:dLblPos val="bestFit"/>
              <c:showLegendKey val="0"/>
              <c:showVal val="1"/>
              <c:showCatName val="0"/>
              <c:showSerName val="0"/>
              <c:showPercent val="0"/>
              <c:showBubbleSize val="0"/>
            </c:dLbl>
            <c:dLbl>
              <c:idx val="1"/>
              <c:layout>
                <c:manualLayout>
                  <c:x val="-3.2102592222920563E-2"/>
                  <c:y val="-0.15024082262839444"/>
                </c:manualLayout>
              </c:layout>
              <c:dLblPos val="bestFit"/>
              <c:showLegendKey val="0"/>
              <c:showVal val="1"/>
              <c:showCatName val="0"/>
              <c:showSerName val="0"/>
              <c:showPercent val="0"/>
              <c:showBubbleSize val="0"/>
            </c:dLbl>
            <c:dLbl>
              <c:idx val="3"/>
              <c:layout>
                <c:manualLayout>
                  <c:x val="-2.0036319142945178E-3"/>
                  <c:y val="-0.15024082262839444"/>
                </c:manualLayout>
              </c:layout>
              <c:dLblPos val="bestFit"/>
              <c:showLegendKey val="0"/>
              <c:showVal val="1"/>
              <c:showCatName val="0"/>
              <c:showSerName val="0"/>
              <c:showPercent val="0"/>
              <c:showBubbleSize val="0"/>
            </c:dLbl>
            <c:dLbl>
              <c:idx val="4"/>
              <c:layout>
                <c:manualLayout>
                  <c:x val="6.5694360583643851E-3"/>
                  <c:y val="-6.0855347768059023E-2"/>
                </c:manualLayout>
              </c:layout>
              <c:dLblPos val="bestFit"/>
              <c:showLegendKey val="0"/>
              <c:showVal val="1"/>
              <c:showCatName val="0"/>
              <c:showSerName val="0"/>
              <c:showPercent val="0"/>
              <c:showBubbleSize val="0"/>
            </c:dLbl>
            <c:dLbl>
              <c:idx val="5"/>
              <c:layout>
                <c:manualLayout>
                  <c:x val="6.514475857445301E-2"/>
                  <c:y val="-0.20635897545705606"/>
                </c:manualLayout>
              </c:layout>
              <c:dLblPos val="bestFit"/>
              <c:showLegendKey val="0"/>
              <c:showVal val="1"/>
              <c:showCatName val="0"/>
              <c:showSerName val="0"/>
              <c:showPercent val="0"/>
              <c:showBubbleSize val="0"/>
            </c:dLbl>
            <c:dLbl>
              <c:idx val="6"/>
              <c:layout>
                <c:manualLayout>
                  <c:x val="4.9067143863146555E-2"/>
                  <c:y val="-4.9840728319884937E-3"/>
                </c:manualLayout>
              </c:layout>
              <c:dLblPos val="bestFit"/>
              <c:showLegendKey val="0"/>
              <c:showVal val="1"/>
              <c:showCatName val="0"/>
              <c:showSerName val="0"/>
              <c:showPercent val="0"/>
              <c:showBubbleSize val="0"/>
            </c:dLbl>
            <c:dLbl>
              <c:idx val="7"/>
              <c:layout>
                <c:manualLayout>
                  <c:x val="4.2682500498600964E-2"/>
                  <c:y val="3.844794385183542E-2"/>
                </c:manualLayout>
              </c:layout>
              <c:dLblPos val="bestFit"/>
              <c:showLegendKey val="0"/>
              <c:showVal val="1"/>
              <c:showCatName val="0"/>
              <c:showSerName val="0"/>
              <c:showPercent val="0"/>
              <c:showBubbleSize val="0"/>
            </c:dLbl>
            <c:dLbl>
              <c:idx val="8"/>
              <c:layout>
                <c:manualLayout>
                  <c:x val="3.6149814867299172E-2"/>
                  <c:y val="5.0279329608938557E-2"/>
                </c:manualLayout>
              </c:layout>
              <c:dLblPos val="bestFit"/>
              <c:showLegendKey val="0"/>
              <c:showVal val="1"/>
              <c:showCatName val="0"/>
              <c:showSerName val="0"/>
              <c:showPercent val="0"/>
              <c:showBubbleSize val="0"/>
            </c:dLbl>
            <c:dLbl>
              <c:idx val="9"/>
              <c:layout>
                <c:manualLayout>
                  <c:x val="1.5441981789313374E-2"/>
                  <c:y val="5.5865921787709534E-3"/>
                </c:manualLayout>
              </c:layout>
              <c:dLblPos val="bestFit"/>
              <c:showLegendKey val="0"/>
              <c:showVal val="1"/>
              <c:showCatName val="0"/>
              <c:showSerName val="0"/>
              <c:showPercent val="0"/>
              <c:showBubbleSize val="0"/>
            </c:dLbl>
            <c:spPr>
              <a:noFill/>
              <a:ln w="25361">
                <a:noFill/>
              </a:ln>
            </c:spPr>
            <c:txPr>
              <a:bodyPr/>
              <a:lstStyle/>
              <a:p>
                <a:pPr>
                  <a:defRPr sz="799"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1"/>
          </c:dLbls>
          <c:cat>
            <c:strRef>
              <c:f>Sheet1!$B$1:$F$1</c:f>
              <c:strCache>
                <c:ptCount val="5"/>
                <c:pt idx="0">
                  <c:v>Teren arabil</c:v>
                </c:pt>
                <c:pt idx="1">
                  <c:v>Păşuni</c:v>
                </c:pt>
                <c:pt idx="2">
                  <c:v>Fâneţe</c:v>
                </c:pt>
                <c:pt idx="3">
                  <c:v>Vii şi pepiniere viticole</c:v>
                </c:pt>
                <c:pt idx="4">
                  <c:v>Livezi şi pepeniere pomicole</c:v>
                </c:pt>
              </c:strCache>
            </c:strRef>
          </c:cat>
          <c:val>
            <c:numRef>
              <c:f>Sheet1!$B$2:$F$2</c:f>
              <c:numCache>
                <c:formatCode>General</c:formatCode>
                <c:ptCount val="5"/>
                <c:pt idx="0">
                  <c:v>72.89</c:v>
                </c:pt>
                <c:pt idx="1">
                  <c:v>21.5</c:v>
                </c:pt>
                <c:pt idx="2">
                  <c:v>1.9700000000000002</c:v>
                </c:pt>
                <c:pt idx="3">
                  <c:v>2.96</c:v>
                </c:pt>
                <c:pt idx="4">
                  <c:v>0.68</c:v>
                </c:pt>
              </c:numCache>
            </c:numRef>
          </c:val>
        </c:ser>
        <c:dLbls>
          <c:showLegendKey val="0"/>
          <c:showVal val="1"/>
          <c:showCatName val="0"/>
          <c:showSerName val="0"/>
          <c:showPercent val="0"/>
          <c:showBubbleSize val="0"/>
          <c:showLeaderLines val="1"/>
        </c:dLbls>
      </c:pie3DChart>
      <c:spPr>
        <a:solidFill>
          <a:srgbClr val="C0C0C0"/>
        </a:solidFill>
        <a:ln w="12680">
          <a:solidFill>
            <a:srgbClr val="808080"/>
          </a:solidFill>
          <a:prstDash val="solid"/>
        </a:ln>
      </c:spPr>
    </c:plotArea>
    <c:legend>
      <c:legendPos val="r"/>
      <c:overlay val="0"/>
      <c:spPr>
        <a:noFill/>
        <a:ln w="3170">
          <a:solidFill>
            <a:srgbClr val="000000"/>
          </a:solidFill>
          <a:prstDash val="solid"/>
        </a:ln>
      </c:spPr>
      <c:txPr>
        <a:bodyPr/>
        <a:lstStyle/>
        <a:p>
          <a:pPr>
            <a:defRPr sz="824" b="1" i="0" u="none" strike="noStrike" baseline="0">
              <a:solidFill>
                <a:srgbClr val="000000"/>
              </a:solidFill>
              <a:latin typeface="Calibri"/>
              <a:ea typeface="Calibri"/>
              <a:cs typeface="Calibri"/>
            </a:defRPr>
          </a:pPr>
          <a:endParaRPr lang="en-US"/>
        </a:p>
      </c:txPr>
    </c:legend>
    <c:plotVisOnly val="1"/>
    <c:dispBlanksAs val="zero"/>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en-US"/>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Arial" pitchFamily="34" charset="0"/>
                <a:cs typeface="Arial" pitchFamily="34" charset="0"/>
              </a:defRPr>
            </a:pPr>
            <a:r>
              <a:rPr lang="ro-RO" sz="1000">
                <a:latin typeface="Arial" pitchFamily="34" charset="0"/>
                <a:cs typeface="Arial" pitchFamily="34" charset="0"/>
              </a:rPr>
              <a:t>Evoluţia densităţii</a:t>
            </a:r>
            <a:r>
              <a:rPr lang="ro-RO" sz="1000" baseline="0">
                <a:latin typeface="Arial" pitchFamily="34" charset="0"/>
                <a:cs typeface="Arial" pitchFamily="34" charset="0"/>
              </a:rPr>
              <a:t> populaţiei în judeţul Vaslui, în perioada 2011-2015</a:t>
            </a:r>
            <a:endParaRPr lang="en-US" sz="1000">
              <a:latin typeface="Arial" pitchFamily="34" charset="0"/>
              <a:cs typeface="Arial" pitchFamily="34" charset="0"/>
            </a:endParaRPr>
          </a:p>
        </c:rich>
      </c:tx>
      <c:overlay val="0"/>
      <c:spPr>
        <a:solidFill>
          <a:schemeClr val="bg1"/>
        </a:solidFill>
      </c:spPr>
    </c:title>
    <c:autoTitleDeleted val="0"/>
    <c:plotArea>
      <c:layout>
        <c:manualLayout>
          <c:layoutTarget val="inner"/>
          <c:xMode val="edge"/>
          <c:yMode val="edge"/>
          <c:x val="5.3655956048972137E-2"/>
          <c:y val="0.17744881889763781"/>
          <c:w val="0.7163548034756525"/>
          <c:h val="0.70946577831617197"/>
        </c:manualLayout>
      </c:layout>
      <c:barChart>
        <c:barDir val="col"/>
        <c:grouping val="clustered"/>
        <c:varyColors val="0"/>
        <c:ser>
          <c:idx val="0"/>
          <c:order val="0"/>
          <c:tx>
            <c:strRef>
              <c:f>Sheet1!$B$1</c:f>
              <c:strCache>
                <c:ptCount val="1"/>
                <c:pt idx="0">
                  <c:v>Densitate loc./km2</c:v>
                </c:pt>
              </c:strCache>
            </c:strRef>
          </c:tx>
          <c:invertIfNegative val="0"/>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84.5</c:v>
                </c:pt>
                <c:pt idx="1">
                  <c:v>84.2</c:v>
                </c:pt>
                <c:pt idx="2">
                  <c:v>83.7</c:v>
                </c:pt>
                <c:pt idx="3">
                  <c:v>88.21</c:v>
                </c:pt>
                <c:pt idx="4">
                  <c:v>89.6</c:v>
                </c:pt>
              </c:numCache>
            </c:numRef>
          </c:val>
        </c:ser>
        <c:dLbls>
          <c:showLegendKey val="0"/>
          <c:showVal val="0"/>
          <c:showCatName val="0"/>
          <c:showSerName val="0"/>
          <c:showPercent val="0"/>
          <c:showBubbleSize val="0"/>
        </c:dLbls>
        <c:gapWidth val="150"/>
        <c:axId val="293627008"/>
        <c:axId val="293628544"/>
      </c:barChart>
      <c:catAx>
        <c:axId val="293627008"/>
        <c:scaling>
          <c:orientation val="minMax"/>
        </c:scaling>
        <c:delete val="0"/>
        <c:axPos val="b"/>
        <c:numFmt formatCode="General" sourceLinked="1"/>
        <c:majorTickMark val="out"/>
        <c:minorTickMark val="none"/>
        <c:tickLblPos val="nextTo"/>
        <c:crossAx val="293628544"/>
        <c:crosses val="autoZero"/>
        <c:auto val="1"/>
        <c:lblAlgn val="ctr"/>
        <c:lblOffset val="100"/>
        <c:noMultiLvlLbl val="0"/>
      </c:catAx>
      <c:valAx>
        <c:axId val="293628544"/>
        <c:scaling>
          <c:orientation val="minMax"/>
        </c:scaling>
        <c:delete val="0"/>
        <c:axPos val="l"/>
        <c:majorGridlines/>
        <c:numFmt formatCode="General" sourceLinked="1"/>
        <c:majorTickMark val="out"/>
        <c:minorTickMark val="none"/>
        <c:tickLblPos val="nextTo"/>
        <c:crossAx val="293627008"/>
        <c:crosses val="autoZero"/>
        <c:crossBetween val="between"/>
      </c:valAx>
    </c:plotArea>
    <c:legend>
      <c:legendPos val="r"/>
      <c:overlay val="0"/>
    </c:legend>
    <c:plotVisOnly val="1"/>
    <c:dispBlanksAs val="gap"/>
    <c:showDLblsOverMax val="0"/>
  </c:chart>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1304347826086969"/>
          <c:y val="7.8534031413612745E-2"/>
          <c:w val="0.76956521739130612"/>
          <c:h val="0.73298429319371938"/>
        </c:manualLayout>
      </c:layout>
      <c:pie3DChart>
        <c:varyColors val="1"/>
        <c:ser>
          <c:idx val="0"/>
          <c:order val="0"/>
          <c:tx>
            <c:strRef>
              <c:f>Sheet1!$A$2</c:f>
              <c:strCache>
                <c:ptCount val="1"/>
                <c:pt idx="0">
                  <c:v>East</c:v>
                </c:pt>
              </c:strCache>
            </c:strRef>
          </c:tx>
          <c:spPr>
            <a:solidFill>
              <a:srgbClr val="9999FF"/>
            </a:solidFill>
            <a:ln w="12673">
              <a:solidFill>
                <a:srgbClr val="000000"/>
              </a:solidFill>
              <a:prstDash val="solid"/>
            </a:ln>
          </c:spPr>
          <c:dPt>
            <c:idx val="1"/>
            <c:bubble3D val="0"/>
            <c:spPr>
              <a:solidFill>
                <a:srgbClr val="993366"/>
              </a:solidFill>
              <a:ln w="12673">
                <a:solidFill>
                  <a:srgbClr val="000000"/>
                </a:solidFill>
                <a:prstDash val="solid"/>
              </a:ln>
            </c:spPr>
          </c:dPt>
          <c:dPt>
            <c:idx val="2"/>
            <c:bubble3D val="0"/>
            <c:spPr>
              <a:solidFill>
                <a:srgbClr val="FFFFCC"/>
              </a:solidFill>
              <a:ln w="12673">
                <a:solidFill>
                  <a:srgbClr val="000000"/>
                </a:solidFill>
                <a:prstDash val="solid"/>
              </a:ln>
            </c:spPr>
          </c:dPt>
          <c:dLbls>
            <c:dLbl>
              <c:idx val="0"/>
              <c:layout>
                <c:manualLayout>
                  <c:x val="-0.10642974543821269"/>
                  <c:y val="-0.3595090576169187"/>
                </c:manualLayout>
              </c:layout>
              <c:dLblPos val="bestFit"/>
              <c:showLegendKey val="0"/>
              <c:showVal val="1"/>
              <c:showCatName val="0"/>
              <c:showSerName val="0"/>
              <c:showPercent val="0"/>
              <c:showBubbleSize val="0"/>
            </c:dLbl>
            <c:dLbl>
              <c:idx val="1"/>
              <c:layout>
                <c:manualLayout>
                  <c:x val="0.10580361750692922"/>
                  <c:y val="-1.7939276696453475E-2"/>
                </c:manualLayout>
              </c:layout>
              <c:dLblPos val="bestFit"/>
              <c:showLegendKey val="0"/>
              <c:showVal val="1"/>
              <c:showCatName val="0"/>
              <c:showSerName val="0"/>
              <c:showPercent val="0"/>
              <c:showBubbleSize val="0"/>
            </c:dLbl>
            <c:dLbl>
              <c:idx val="2"/>
              <c:layout>
                <c:manualLayout>
                  <c:x val="0.13187569756246442"/>
                  <c:y val="7.4093035393315715E-2"/>
                </c:manualLayout>
              </c:layout>
              <c:dLblPos val="bestFit"/>
              <c:showLegendKey val="0"/>
              <c:showVal val="1"/>
              <c:showCatName val="0"/>
              <c:showSerName val="0"/>
              <c:showPercent val="0"/>
              <c:showBubbleSize val="0"/>
            </c:dLbl>
            <c:spPr>
              <a:noFill/>
              <a:ln w="25346">
                <a:noFill/>
              </a:ln>
            </c:spPr>
            <c:txPr>
              <a:bodyPr/>
              <a:lstStyle/>
              <a:p>
                <a:pPr>
                  <a:defRPr sz="998"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1"/>
          </c:dLbls>
          <c:cat>
            <c:strRef>
              <c:f>Sheet1!$B$1:$D$1</c:f>
              <c:strCache>
                <c:ptCount val="3"/>
                <c:pt idx="0">
                  <c:v>Habitate de ape dulci</c:v>
                </c:pt>
                <c:pt idx="1">
                  <c:v>Habitate de pajişti şi tufărişuri</c:v>
                </c:pt>
                <c:pt idx="2">
                  <c:v>Habitate de pădure</c:v>
                </c:pt>
              </c:strCache>
            </c:strRef>
          </c:cat>
          <c:val>
            <c:numRef>
              <c:f>Sheet1!$B$2:$D$2</c:f>
              <c:numCache>
                <c:formatCode>0%</c:formatCode>
                <c:ptCount val="3"/>
                <c:pt idx="0">
                  <c:v>0.79</c:v>
                </c:pt>
                <c:pt idx="1">
                  <c:v>6.0000000000000116E-2</c:v>
                </c:pt>
                <c:pt idx="2">
                  <c:v>0.15000000000000024</c:v>
                </c:pt>
              </c:numCache>
            </c:numRef>
          </c:val>
        </c:ser>
        <c:dLbls>
          <c:showLegendKey val="0"/>
          <c:showVal val="1"/>
          <c:showCatName val="0"/>
          <c:showSerName val="0"/>
          <c:showPercent val="0"/>
          <c:showBubbleSize val="0"/>
          <c:showLeaderLines val="1"/>
        </c:dLbls>
      </c:pie3DChart>
      <c:spPr>
        <a:solidFill>
          <a:srgbClr val="C0C0C0"/>
        </a:solidFill>
        <a:ln w="12673">
          <a:solidFill>
            <a:srgbClr val="808080"/>
          </a:solidFill>
          <a:prstDash val="solid"/>
        </a:ln>
      </c:spPr>
    </c:plotArea>
    <c:legend>
      <c:legendPos val="b"/>
      <c:layout>
        <c:manualLayout>
          <c:xMode val="edge"/>
          <c:yMode val="edge"/>
          <c:x val="7.6086956521739232E-2"/>
          <c:y val="0.8534031413612545"/>
          <c:w val="0.85869565217391752"/>
          <c:h val="0.1256544502617801"/>
        </c:manualLayout>
      </c:layout>
      <c:overlay val="0"/>
      <c:spPr>
        <a:noFill/>
        <a:ln w="3168">
          <a:solidFill>
            <a:srgbClr val="000000"/>
          </a:solidFill>
          <a:prstDash val="solid"/>
        </a:ln>
      </c:spPr>
      <c:txPr>
        <a:bodyPr/>
        <a:lstStyle/>
        <a:p>
          <a:pPr>
            <a:defRPr sz="753" b="1" i="0" u="none" strike="noStrike" baseline="0">
              <a:solidFill>
                <a:srgbClr val="000000"/>
              </a:solidFill>
              <a:latin typeface="Calibri"/>
              <a:ea typeface="Calibri"/>
              <a:cs typeface="Calibri"/>
            </a:defRPr>
          </a:pPr>
          <a:endParaRPr lang="en-US"/>
        </a:p>
      </c:txPr>
    </c:legend>
    <c:plotVisOnly val="1"/>
    <c:dispBlanksAs val="zero"/>
    <c:showDLblsOverMax val="0"/>
  </c:chart>
  <c:spPr>
    <a:noFill/>
    <a:ln>
      <a:noFill/>
    </a:ln>
  </c:spPr>
  <c:txPr>
    <a:bodyPr/>
    <a:lstStyle/>
    <a:p>
      <a:pPr>
        <a:defRPr sz="848" b="1" i="0" u="none" strike="noStrike" baseline="0">
          <a:solidFill>
            <a:srgbClr val="000000"/>
          </a:solidFill>
          <a:latin typeface="Calibri"/>
          <a:ea typeface="Calibri"/>
          <a:cs typeface="Calibri"/>
        </a:defRPr>
      </a:pPr>
      <a:endParaRPr lang="en-US"/>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6358604212934924E-2"/>
          <c:y val="0.10966292849757417"/>
          <c:w val="0.81874039938556065"/>
          <c:h val="0.66995670412993247"/>
        </c:manualLayout>
      </c:layout>
      <c:lineChart>
        <c:grouping val="standard"/>
        <c:varyColors val="0"/>
        <c:ser>
          <c:idx val="0"/>
          <c:order val="0"/>
          <c:tx>
            <c:strRef>
              <c:f>Sheet1!$A$2</c:f>
              <c:strCache>
                <c:ptCount val="1"/>
                <c:pt idx="0">
                  <c:v>Azotaţi</c:v>
                </c:pt>
              </c:strCache>
            </c:strRef>
          </c:tx>
          <c:spPr>
            <a:ln w="12681">
              <a:solidFill>
                <a:srgbClr val="000080"/>
              </a:solidFill>
              <a:prstDash val="solid"/>
            </a:ln>
          </c:spPr>
          <c:marker>
            <c:symbol val="diamond"/>
            <c:size val="4"/>
            <c:spPr>
              <a:solidFill>
                <a:srgbClr val="000080"/>
              </a:solidFill>
              <a:ln>
                <a:solidFill>
                  <a:srgbClr val="000080"/>
                </a:solidFill>
                <a:prstDash val="solid"/>
              </a:ln>
            </c:spPr>
          </c:marker>
          <c:cat>
            <c:strRef>
              <c:f>Sheet1!$B$1:$F$1</c:f>
              <c:strCache>
                <c:ptCount val="5"/>
                <c:pt idx="0">
                  <c:v>2011</c:v>
                </c:pt>
                <c:pt idx="1">
                  <c:v>2012</c:v>
                </c:pt>
                <c:pt idx="2">
                  <c:v>2013</c:v>
                </c:pt>
                <c:pt idx="3">
                  <c:v>2014</c:v>
                </c:pt>
                <c:pt idx="4">
                  <c:v>2015*</c:v>
                </c:pt>
              </c:strCache>
            </c:strRef>
          </c:cat>
          <c:val>
            <c:numRef>
              <c:f>Sheet1!$B$2:$F$2</c:f>
              <c:numCache>
                <c:formatCode>General</c:formatCode>
                <c:ptCount val="5"/>
                <c:pt idx="0">
                  <c:v>7.63</c:v>
                </c:pt>
                <c:pt idx="1">
                  <c:v>6.32</c:v>
                </c:pt>
                <c:pt idx="2">
                  <c:v>8.3699999999999992</c:v>
                </c:pt>
                <c:pt idx="3">
                  <c:v>7.49</c:v>
                </c:pt>
              </c:numCache>
            </c:numRef>
          </c:val>
          <c:smooth val="0"/>
        </c:ser>
        <c:dLbls>
          <c:showLegendKey val="0"/>
          <c:showVal val="0"/>
          <c:showCatName val="0"/>
          <c:showSerName val="0"/>
          <c:showPercent val="0"/>
          <c:showBubbleSize val="0"/>
        </c:dLbls>
        <c:marker val="1"/>
        <c:smooth val="0"/>
        <c:axId val="290794880"/>
        <c:axId val="290797056"/>
      </c:lineChart>
      <c:lineChart>
        <c:grouping val="standard"/>
        <c:varyColors val="0"/>
        <c:ser>
          <c:idx val="1"/>
          <c:order val="1"/>
          <c:tx>
            <c:strRef>
              <c:f>Sheet1!$A$3</c:f>
              <c:strCache>
                <c:ptCount val="1"/>
                <c:pt idx="0">
                  <c:v>Ortofosfaţi solubili</c:v>
                </c:pt>
              </c:strCache>
            </c:strRef>
          </c:tx>
          <c:spPr>
            <a:ln w="12681">
              <a:solidFill>
                <a:srgbClr val="FF00FF"/>
              </a:solidFill>
              <a:prstDash val="solid"/>
            </a:ln>
          </c:spPr>
          <c:marker>
            <c:symbol val="square"/>
            <c:size val="4"/>
            <c:spPr>
              <a:solidFill>
                <a:srgbClr val="FF00FF"/>
              </a:solidFill>
              <a:ln>
                <a:solidFill>
                  <a:srgbClr val="FF00FF"/>
                </a:solidFill>
                <a:prstDash val="solid"/>
              </a:ln>
            </c:spPr>
          </c:marker>
          <c:cat>
            <c:strRef>
              <c:f>Sheet1!$B$1:$F$1</c:f>
              <c:strCache>
                <c:ptCount val="5"/>
                <c:pt idx="0">
                  <c:v>2011</c:v>
                </c:pt>
                <c:pt idx="1">
                  <c:v>2012</c:v>
                </c:pt>
                <c:pt idx="2">
                  <c:v>2013</c:v>
                </c:pt>
                <c:pt idx="3">
                  <c:v>2014</c:v>
                </c:pt>
                <c:pt idx="4">
                  <c:v>2015*</c:v>
                </c:pt>
              </c:strCache>
            </c:strRef>
          </c:cat>
          <c:val>
            <c:numRef>
              <c:f>Sheet1!$B$3:$F$3</c:f>
              <c:numCache>
                <c:formatCode>General</c:formatCode>
                <c:ptCount val="5"/>
                <c:pt idx="0">
                  <c:v>0.15379999999999999</c:v>
                </c:pt>
                <c:pt idx="1">
                  <c:v>0.27310000000000001</c:v>
                </c:pt>
                <c:pt idx="2">
                  <c:v>0.17910000000000001</c:v>
                </c:pt>
                <c:pt idx="3">
                  <c:v>0.17050000000000001</c:v>
                </c:pt>
              </c:numCache>
            </c:numRef>
          </c:val>
          <c:smooth val="0"/>
        </c:ser>
        <c:dLbls>
          <c:showLegendKey val="0"/>
          <c:showVal val="0"/>
          <c:showCatName val="0"/>
          <c:showSerName val="0"/>
          <c:showPercent val="0"/>
          <c:showBubbleSize val="0"/>
        </c:dLbls>
        <c:marker val="1"/>
        <c:smooth val="0"/>
        <c:axId val="290798976"/>
        <c:axId val="290813056"/>
      </c:lineChart>
      <c:catAx>
        <c:axId val="290794880"/>
        <c:scaling>
          <c:orientation val="minMax"/>
        </c:scaling>
        <c:delete val="0"/>
        <c:axPos val="b"/>
        <c:numFmt formatCode="General" sourceLinked="1"/>
        <c:majorTickMark val="out"/>
        <c:minorTickMark val="none"/>
        <c:tickLblPos val="nextTo"/>
        <c:spPr>
          <a:ln w="3170">
            <a:solidFill>
              <a:srgbClr val="000000"/>
            </a:solidFill>
            <a:prstDash val="solid"/>
          </a:ln>
        </c:spPr>
        <c:txPr>
          <a:bodyPr rot="0" vert="horz"/>
          <a:lstStyle/>
          <a:p>
            <a:pPr>
              <a:defRPr sz="998" b="1" i="0" u="none" strike="noStrike" baseline="0">
                <a:solidFill>
                  <a:srgbClr val="000000"/>
                </a:solidFill>
                <a:latin typeface="Calibri"/>
                <a:ea typeface="Calibri"/>
                <a:cs typeface="Calibri"/>
              </a:defRPr>
            </a:pPr>
            <a:endParaRPr lang="en-US"/>
          </a:p>
        </c:txPr>
        <c:crossAx val="290797056"/>
        <c:crosses val="autoZero"/>
        <c:auto val="1"/>
        <c:lblAlgn val="ctr"/>
        <c:lblOffset val="100"/>
        <c:tickLblSkip val="1"/>
        <c:tickMarkSkip val="1"/>
        <c:noMultiLvlLbl val="0"/>
      </c:catAx>
      <c:valAx>
        <c:axId val="290797056"/>
        <c:scaling>
          <c:orientation val="minMax"/>
          <c:max val="10"/>
        </c:scaling>
        <c:delete val="0"/>
        <c:axPos val="l"/>
        <c:majorGridlines>
          <c:spPr>
            <a:ln w="3170">
              <a:solidFill>
                <a:srgbClr val="000000"/>
              </a:solidFill>
              <a:prstDash val="solid"/>
            </a:ln>
          </c:spPr>
        </c:majorGridlines>
        <c:title>
          <c:tx>
            <c:rich>
              <a:bodyPr/>
              <a:lstStyle/>
              <a:p>
                <a:pPr>
                  <a:defRPr sz="824" b="1" i="0" u="none" strike="noStrike" baseline="0">
                    <a:solidFill>
                      <a:srgbClr val="000000"/>
                    </a:solidFill>
                    <a:latin typeface="Calibri"/>
                    <a:ea typeface="Calibri"/>
                    <a:cs typeface="Calibri"/>
                  </a:defRPr>
                </a:pPr>
                <a:r>
                  <a:rPr lang="en-US"/>
                  <a:t>Concentraţii azotaţi ( mg/L )</a:t>
                </a:r>
              </a:p>
            </c:rich>
          </c:tx>
          <c:layout>
            <c:manualLayout>
              <c:xMode val="edge"/>
              <c:yMode val="edge"/>
              <c:x val="1.5360983102918587E-2"/>
              <c:y val="0.11946902654867257"/>
            </c:manualLayout>
          </c:layout>
          <c:overlay val="0"/>
          <c:spPr>
            <a:noFill/>
            <a:ln w="25361">
              <a:noFill/>
            </a:ln>
          </c:spPr>
        </c:title>
        <c:numFmt formatCode="General" sourceLinked="1"/>
        <c:majorTickMark val="out"/>
        <c:minorTickMark val="none"/>
        <c:tickLblPos val="nextTo"/>
        <c:spPr>
          <a:ln w="3170">
            <a:solidFill>
              <a:srgbClr val="000000"/>
            </a:solidFill>
            <a:prstDash val="solid"/>
          </a:ln>
        </c:spPr>
        <c:txPr>
          <a:bodyPr rot="0" vert="horz"/>
          <a:lstStyle/>
          <a:p>
            <a:pPr>
              <a:defRPr sz="998" b="1" i="0" u="none" strike="noStrike" baseline="0">
                <a:solidFill>
                  <a:srgbClr val="000000"/>
                </a:solidFill>
                <a:latin typeface="Calibri"/>
                <a:ea typeface="Calibri"/>
                <a:cs typeface="Calibri"/>
              </a:defRPr>
            </a:pPr>
            <a:endParaRPr lang="en-US"/>
          </a:p>
        </c:txPr>
        <c:crossAx val="290794880"/>
        <c:crosses val="autoZero"/>
        <c:crossBetween val="between"/>
        <c:minorUnit val="0.2"/>
      </c:valAx>
      <c:catAx>
        <c:axId val="290798976"/>
        <c:scaling>
          <c:orientation val="minMax"/>
        </c:scaling>
        <c:delete val="1"/>
        <c:axPos val="b"/>
        <c:numFmt formatCode="General" sourceLinked="1"/>
        <c:majorTickMark val="out"/>
        <c:minorTickMark val="none"/>
        <c:tickLblPos val="nextTo"/>
        <c:crossAx val="290813056"/>
        <c:crossesAt val="0.1"/>
        <c:auto val="1"/>
        <c:lblAlgn val="ctr"/>
        <c:lblOffset val="100"/>
        <c:noMultiLvlLbl val="0"/>
      </c:catAx>
      <c:valAx>
        <c:axId val="290813056"/>
        <c:scaling>
          <c:orientation val="minMax"/>
          <c:max val="1"/>
          <c:min val="0.1"/>
        </c:scaling>
        <c:delete val="0"/>
        <c:axPos val="r"/>
        <c:title>
          <c:tx>
            <c:rich>
              <a:bodyPr rot="5400000" vert="horz"/>
              <a:lstStyle/>
              <a:p>
                <a:pPr algn="ctr">
                  <a:defRPr sz="824" b="1" i="0" u="none" strike="noStrike" baseline="0">
                    <a:solidFill>
                      <a:srgbClr val="000000"/>
                    </a:solidFill>
                    <a:latin typeface="Calibri"/>
                    <a:ea typeface="Calibri"/>
                    <a:cs typeface="Calibri"/>
                  </a:defRPr>
                </a:pPr>
                <a:r>
                  <a:rPr lang="en-US"/>
                  <a:t>Concentraţii ortofosfaţi (mg P/L)</a:t>
                </a:r>
              </a:p>
            </c:rich>
          </c:tx>
          <c:layout>
            <c:manualLayout>
              <c:xMode val="edge"/>
              <c:yMode val="edge"/>
              <c:x val="0.95084485407066055"/>
              <c:y val="7.0796460176991149E-2"/>
            </c:manualLayout>
          </c:layout>
          <c:overlay val="0"/>
          <c:spPr>
            <a:noFill/>
            <a:ln w="25361">
              <a:noFill/>
            </a:ln>
          </c:spPr>
        </c:title>
        <c:numFmt formatCode="General" sourceLinked="1"/>
        <c:majorTickMark val="cross"/>
        <c:minorTickMark val="none"/>
        <c:tickLblPos val="nextTo"/>
        <c:spPr>
          <a:ln w="3170">
            <a:solidFill>
              <a:srgbClr val="000000"/>
            </a:solidFill>
            <a:prstDash val="solid"/>
          </a:ln>
        </c:spPr>
        <c:txPr>
          <a:bodyPr rot="0" vert="horz"/>
          <a:lstStyle/>
          <a:p>
            <a:pPr>
              <a:defRPr sz="998" b="1" i="0" u="none" strike="noStrike" baseline="0">
                <a:solidFill>
                  <a:srgbClr val="000000"/>
                </a:solidFill>
                <a:latin typeface="Calibri"/>
                <a:ea typeface="Calibri"/>
                <a:cs typeface="Calibri"/>
              </a:defRPr>
            </a:pPr>
            <a:endParaRPr lang="en-US"/>
          </a:p>
        </c:txPr>
        <c:crossAx val="290798976"/>
        <c:crosses val="max"/>
        <c:crossBetween val="between"/>
        <c:majorUnit val="0.1"/>
        <c:minorUnit val="0.02"/>
      </c:valAx>
      <c:spPr>
        <a:solidFill>
          <a:srgbClr val="CCFFCC"/>
        </a:solidFill>
        <a:ln w="12681">
          <a:solidFill>
            <a:srgbClr val="808080"/>
          </a:solidFill>
          <a:prstDash val="solid"/>
        </a:ln>
      </c:spPr>
    </c:plotArea>
    <c:legend>
      <c:legendPos val="r"/>
      <c:layout>
        <c:manualLayout>
          <c:xMode val="edge"/>
          <c:yMode val="edge"/>
          <c:x val="0.14439324116743471"/>
          <c:y val="0.90707964601769908"/>
          <c:w val="0.71889400921658986"/>
          <c:h val="8.8495575221238937E-2"/>
        </c:manualLayout>
      </c:layout>
      <c:overlay val="0"/>
      <c:spPr>
        <a:noFill/>
        <a:ln w="3170">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998" b="1" i="0" u="none" strike="noStrike" baseline="0">
          <a:solidFill>
            <a:srgbClr val="000000"/>
          </a:solidFill>
          <a:latin typeface="Calibri"/>
          <a:ea typeface="Calibri"/>
          <a:cs typeface="Calibri"/>
        </a:defRPr>
      </a:pPr>
      <a:endParaRPr lang="en-US"/>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077046548956663"/>
          <c:y val="5.0473186119873815E-2"/>
          <c:w val="0.6613162118780096"/>
          <c:h val="0.70662460567823349"/>
        </c:manualLayout>
      </c:layout>
      <c:lineChart>
        <c:grouping val="standard"/>
        <c:varyColors val="0"/>
        <c:ser>
          <c:idx val="1"/>
          <c:order val="1"/>
          <c:tx>
            <c:strRef>
              <c:f>Sheet1!$A$3</c:f>
              <c:strCache>
                <c:ptCount val="1"/>
                <c:pt idx="0">
                  <c:v>Fosfor total (mg P/L) </c:v>
                </c:pt>
              </c:strCache>
            </c:strRef>
          </c:tx>
          <c:spPr>
            <a:ln w="12680">
              <a:solidFill>
                <a:srgbClr val="FF00FF"/>
              </a:solidFill>
              <a:prstDash val="solid"/>
            </a:ln>
          </c:spPr>
          <c:marker>
            <c:symbol val="square"/>
            <c:size val="4"/>
            <c:spPr>
              <a:solidFill>
                <a:srgbClr val="FF00FF"/>
              </a:solidFill>
              <a:ln>
                <a:solidFill>
                  <a:srgbClr val="FF00FF"/>
                </a:solidFill>
                <a:prstDash val="solid"/>
              </a:ln>
            </c:spPr>
          </c:marker>
          <c:cat>
            <c:strRef>
              <c:f>Sheet1!$B$1:$F$1</c:f>
              <c:strCache>
                <c:ptCount val="5"/>
                <c:pt idx="0">
                  <c:v>2011</c:v>
                </c:pt>
                <c:pt idx="1">
                  <c:v>2012</c:v>
                </c:pt>
                <c:pt idx="2">
                  <c:v>2013</c:v>
                </c:pt>
                <c:pt idx="3">
                  <c:v>2014</c:v>
                </c:pt>
                <c:pt idx="4">
                  <c:v>2015*</c:v>
                </c:pt>
              </c:strCache>
            </c:strRef>
          </c:cat>
          <c:val>
            <c:numRef>
              <c:f>Sheet1!$B$3:$F$3</c:f>
              <c:numCache>
                <c:formatCode>General</c:formatCode>
                <c:ptCount val="5"/>
                <c:pt idx="0">
                  <c:v>0.23100000000000001</c:v>
                </c:pt>
                <c:pt idx="1">
                  <c:v>0.18099999999999999</c:v>
                </c:pt>
                <c:pt idx="2">
                  <c:v>0.13300000000000001</c:v>
                </c:pt>
                <c:pt idx="3">
                  <c:v>0.15</c:v>
                </c:pt>
              </c:numCache>
            </c:numRef>
          </c:val>
          <c:smooth val="0"/>
        </c:ser>
        <c:dLbls>
          <c:showLegendKey val="0"/>
          <c:showVal val="0"/>
          <c:showCatName val="0"/>
          <c:showSerName val="0"/>
          <c:showPercent val="0"/>
          <c:showBubbleSize val="0"/>
        </c:dLbls>
        <c:marker val="1"/>
        <c:smooth val="0"/>
        <c:axId val="294939264"/>
        <c:axId val="295441152"/>
      </c:lineChart>
      <c:lineChart>
        <c:grouping val="standard"/>
        <c:varyColors val="0"/>
        <c:ser>
          <c:idx val="0"/>
          <c:order val="0"/>
          <c:tx>
            <c:strRef>
              <c:f>Sheet1!$A$2</c:f>
              <c:strCache>
                <c:ptCount val="1"/>
                <c:pt idx="0">
                  <c:v>Azotaţi (mg NO3-/L) </c:v>
                </c:pt>
              </c:strCache>
            </c:strRef>
          </c:tx>
          <c:spPr>
            <a:ln w="12680">
              <a:solidFill>
                <a:srgbClr val="000080"/>
              </a:solidFill>
              <a:prstDash val="solid"/>
            </a:ln>
          </c:spPr>
          <c:marker>
            <c:symbol val="diamond"/>
            <c:size val="4"/>
            <c:spPr>
              <a:solidFill>
                <a:srgbClr val="000080"/>
              </a:solidFill>
              <a:ln>
                <a:solidFill>
                  <a:srgbClr val="000080"/>
                </a:solidFill>
                <a:prstDash val="solid"/>
              </a:ln>
            </c:spPr>
          </c:marker>
          <c:cat>
            <c:strRef>
              <c:f>Sheet1!$B$1:$F$1</c:f>
              <c:strCache>
                <c:ptCount val="5"/>
                <c:pt idx="0">
                  <c:v>2011</c:v>
                </c:pt>
                <c:pt idx="1">
                  <c:v>2012</c:v>
                </c:pt>
                <c:pt idx="2">
                  <c:v>2013</c:v>
                </c:pt>
                <c:pt idx="3">
                  <c:v>2014</c:v>
                </c:pt>
                <c:pt idx="4">
                  <c:v>2015*</c:v>
                </c:pt>
              </c:strCache>
            </c:strRef>
          </c:cat>
          <c:val>
            <c:numRef>
              <c:f>Sheet1!$B$2:$F$2</c:f>
              <c:numCache>
                <c:formatCode>General</c:formatCode>
                <c:ptCount val="5"/>
                <c:pt idx="0">
                  <c:v>0.56899999999999995</c:v>
                </c:pt>
                <c:pt idx="1">
                  <c:v>0.27600000000000002</c:v>
                </c:pt>
                <c:pt idx="2">
                  <c:v>0.59199999999999997</c:v>
                </c:pt>
                <c:pt idx="3">
                  <c:v>0.25700000000000001</c:v>
                </c:pt>
              </c:numCache>
            </c:numRef>
          </c:val>
          <c:smooth val="0"/>
        </c:ser>
        <c:dLbls>
          <c:showLegendKey val="0"/>
          <c:showVal val="0"/>
          <c:showCatName val="0"/>
          <c:showSerName val="0"/>
          <c:showPercent val="0"/>
          <c:showBubbleSize val="0"/>
        </c:dLbls>
        <c:marker val="1"/>
        <c:smooth val="0"/>
        <c:axId val="295443072"/>
        <c:axId val="295444864"/>
      </c:lineChart>
      <c:catAx>
        <c:axId val="294939264"/>
        <c:scaling>
          <c:orientation val="minMax"/>
        </c:scaling>
        <c:delete val="0"/>
        <c:axPos val="b"/>
        <c:numFmt formatCode="General" sourceLinked="1"/>
        <c:majorTickMark val="out"/>
        <c:minorTickMark val="none"/>
        <c:tickLblPos val="nextTo"/>
        <c:spPr>
          <a:ln w="3170">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en-US"/>
          </a:p>
        </c:txPr>
        <c:crossAx val="295441152"/>
        <c:crosses val="autoZero"/>
        <c:auto val="1"/>
        <c:lblAlgn val="ctr"/>
        <c:lblOffset val="100"/>
        <c:tickMarkSkip val="1"/>
        <c:noMultiLvlLbl val="0"/>
      </c:catAx>
      <c:valAx>
        <c:axId val="295441152"/>
        <c:scaling>
          <c:orientation val="minMax"/>
          <c:max val="0.6"/>
        </c:scaling>
        <c:delete val="0"/>
        <c:axPos val="l"/>
        <c:majorGridlines>
          <c:spPr>
            <a:ln w="3170">
              <a:solidFill>
                <a:srgbClr val="000000"/>
              </a:solidFill>
              <a:prstDash val="solid"/>
            </a:ln>
          </c:spPr>
        </c:majorGridlines>
        <c:title>
          <c:tx>
            <c:rich>
              <a:bodyPr/>
              <a:lstStyle/>
              <a:p>
                <a:pPr>
                  <a:defRPr sz="874" b="1" i="0" u="none" strike="noStrike" baseline="0">
                    <a:solidFill>
                      <a:srgbClr val="000000"/>
                    </a:solidFill>
                    <a:latin typeface="Calibri"/>
                    <a:ea typeface="Calibri"/>
                    <a:cs typeface="Calibri"/>
                  </a:defRPr>
                </a:pPr>
                <a:r>
                  <a:rPr lang="en-US"/>
                  <a:t>Concentraţii azotaţi (mg/L) </a:t>
                </a:r>
              </a:p>
            </c:rich>
          </c:tx>
          <c:layout>
            <c:manualLayout>
              <c:xMode val="edge"/>
              <c:yMode val="edge"/>
              <c:x val="0.15569823434991975"/>
              <c:y val="0.16403785488958991"/>
            </c:manualLayout>
          </c:layout>
          <c:overlay val="0"/>
          <c:spPr>
            <a:noFill/>
            <a:ln w="25360">
              <a:noFill/>
            </a:ln>
          </c:spPr>
        </c:title>
        <c:numFmt formatCode="General" sourceLinked="1"/>
        <c:majorTickMark val="out"/>
        <c:minorTickMark val="none"/>
        <c:tickLblPos val="nextTo"/>
        <c:spPr>
          <a:ln w="3170">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en-US"/>
          </a:p>
        </c:txPr>
        <c:crossAx val="294939264"/>
        <c:crosses val="autoZero"/>
        <c:crossBetween val="between"/>
      </c:valAx>
      <c:catAx>
        <c:axId val="295443072"/>
        <c:scaling>
          <c:orientation val="minMax"/>
        </c:scaling>
        <c:delete val="1"/>
        <c:axPos val="b"/>
        <c:numFmt formatCode="General" sourceLinked="1"/>
        <c:majorTickMark val="out"/>
        <c:minorTickMark val="none"/>
        <c:tickLblPos val="nextTo"/>
        <c:crossAx val="295444864"/>
        <c:crosses val="autoZero"/>
        <c:auto val="1"/>
        <c:lblAlgn val="ctr"/>
        <c:lblOffset val="100"/>
        <c:noMultiLvlLbl val="0"/>
      </c:catAx>
      <c:valAx>
        <c:axId val="295444864"/>
        <c:scaling>
          <c:orientation val="minMax"/>
          <c:max val="5"/>
        </c:scaling>
        <c:delete val="0"/>
        <c:axPos val="r"/>
        <c:title>
          <c:tx>
            <c:rich>
              <a:bodyPr rot="5400000" vert="horz"/>
              <a:lstStyle/>
              <a:p>
                <a:pPr algn="ctr">
                  <a:defRPr sz="874" b="1" i="0" u="none" strike="noStrike" baseline="0">
                    <a:solidFill>
                      <a:srgbClr val="000000"/>
                    </a:solidFill>
                    <a:latin typeface="Calibri"/>
                    <a:ea typeface="Calibri"/>
                    <a:cs typeface="Calibri"/>
                  </a:defRPr>
                </a:pPr>
                <a:r>
                  <a:rPr lang="en-US"/>
                  <a:t>Concentraţii fosfor total (mg/L)</a:t>
                </a:r>
              </a:p>
            </c:rich>
          </c:tx>
          <c:layout>
            <c:manualLayout>
              <c:xMode val="edge"/>
              <c:yMode val="edge"/>
              <c:x val="0.9261637239165329"/>
              <c:y val="0.15141955835962145"/>
            </c:manualLayout>
          </c:layout>
          <c:overlay val="0"/>
          <c:spPr>
            <a:noFill/>
            <a:ln w="25360">
              <a:noFill/>
            </a:ln>
          </c:spPr>
        </c:title>
        <c:numFmt formatCode="General" sourceLinked="1"/>
        <c:majorTickMark val="cross"/>
        <c:minorTickMark val="none"/>
        <c:tickLblPos val="nextTo"/>
        <c:spPr>
          <a:ln w="3170">
            <a:solidFill>
              <a:srgbClr val="000000"/>
            </a:solidFill>
            <a:prstDash val="solid"/>
          </a:ln>
        </c:spPr>
        <c:txPr>
          <a:bodyPr rot="0" vert="horz"/>
          <a:lstStyle/>
          <a:p>
            <a:pPr>
              <a:defRPr sz="849" b="1" i="0" u="none" strike="noStrike" baseline="0">
                <a:solidFill>
                  <a:srgbClr val="000000"/>
                </a:solidFill>
                <a:latin typeface="Calibri"/>
                <a:ea typeface="Calibri"/>
                <a:cs typeface="Calibri"/>
              </a:defRPr>
            </a:pPr>
            <a:endParaRPr lang="en-US"/>
          </a:p>
        </c:txPr>
        <c:crossAx val="295443072"/>
        <c:crosses val="max"/>
        <c:crossBetween val="between"/>
        <c:majorUnit val="1"/>
      </c:valAx>
      <c:dTable>
        <c:showHorzBorder val="1"/>
        <c:showVertBorder val="1"/>
        <c:showOutline val="1"/>
        <c:showKeys val="1"/>
        <c:spPr>
          <a:ln w="3170">
            <a:solidFill>
              <a:srgbClr val="000000"/>
            </a:solidFill>
            <a:prstDash val="solid"/>
          </a:ln>
        </c:spPr>
        <c:txPr>
          <a:bodyPr/>
          <a:lstStyle/>
          <a:p>
            <a:pPr rtl="0">
              <a:defRPr sz="849" b="1" i="0" u="none" strike="noStrike" baseline="0">
                <a:solidFill>
                  <a:srgbClr val="000000"/>
                </a:solidFill>
                <a:latin typeface="Calibri"/>
                <a:ea typeface="Calibri"/>
                <a:cs typeface="Calibri"/>
              </a:defRPr>
            </a:pPr>
            <a:endParaRPr lang="en-US"/>
          </a:p>
        </c:txPr>
      </c:dTable>
      <c:spPr>
        <a:solidFill>
          <a:srgbClr val="CCFFFF"/>
        </a:solidFill>
        <a:ln w="12680">
          <a:solidFill>
            <a:srgbClr val="808080"/>
          </a:solidFill>
          <a:prstDash val="solid"/>
        </a:ln>
      </c:spPr>
    </c:plotArea>
    <c:plotVisOnly val="1"/>
    <c:dispBlanksAs val="gap"/>
    <c:showDLblsOverMax val="0"/>
  </c:chart>
  <c:spPr>
    <a:noFill/>
    <a:ln>
      <a:noFill/>
    </a:ln>
  </c:spPr>
  <c:txPr>
    <a:bodyPr/>
    <a:lstStyle/>
    <a:p>
      <a:pPr>
        <a:defRPr sz="1198" b="1" i="0" u="none" strike="noStrike" baseline="0">
          <a:solidFill>
            <a:srgbClr val="000000"/>
          </a:solidFill>
          <a:latin typeface="Calibri"/>
          <a:ea typeface="Calibri"/>
          <a:cs typeface="Calibri"/>
        </a:defRPr>
      </a:pPr>
      <a:endParaRPr lang="en-US"/>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379905808477235"/>
          <c:y val="0.1038961038961039"/>
          <c:w val="0.64207221350078492"/>
          <c:h val="0.5757575757575758"/>
        </c:manualLayout>
      </c:layout>
      <c:lineChart>
        <c:grouping val="standard"/>
        <c:varyColors val="0"/>
        <c:ser>
          <c:idx val="0"/>
          <c:order val="0"/>
          <c:tx>
            <c:strRef>
              <c:f>Sheet1!$A$2</c:f>
              <c:strCache>
                <c:ptCount val="1"/>
                <c:pt idx="0">
                  <c:v>Concentraţii medii anuale</c:v>
                </c:pt>
              </c:strCache>
            </c:strRef>
          </c:tx>
          <c:spPr>
            <a:ln w="25400">
              <a:solidFill>
                <a:srgbClr val="000080"/>
              </a:solidFill>
              <a:prstDash val="solid"/>
            </a:ln>
          </c:spPr>
          <c:marker>
            <c:symbol val="none"/>
          </c:marker>
          <c:cat>
            <c:strRef>
              <c:f>Sheet1!$B$1:$F$1</c:f>
              <c:strCache>
                <c:ptCount val="5"/>
                <c:pt idx="0">
                  <c:v>2011</c:v>
                </c:pt>
                <c:pt idx="1">
                  <c:v>2012</c:v>
                </c:pt>
                <c:pt idx="2">
                  <c:v>2013</c:v>
                </c:pt>
                <c:pt idx="3">
                  <c:v>2014</c:v>
                </c:pt>
                <c:pt idx="4">
                  <c:v>2015*</c:v>
                </c:pt>
              </c:strCache>
            </c:strRef>
          </c:cat>
          <c:val>
            <c:numRef>
              <c:f>Sheet1!$B$2:$F$2</c:f>
              <c:numCache>
                <c:formatCode>General</c:formatCode>
                <c:ptCount val="5"/>
                <c:pt idx="0">
                  <c:v>63.81</c:v>
                </c:pt>
                <c:pt idx="1">
                  <c:v>124.25</c:v>
                </c:pt>
                <c:pt idx="2">
                  <c:v>76.69</c:v>
                </c:pt>
                <c:pt idx="3">
                  <c:v>146.36000000000001</c:v>
                </c:pt>
              </c:numCache>
            </c:numRef>
          </c:val>
          <c:smooth val="1"/>
        </c:ser>
        <c:ser>
          <c:idx val="1"/>
          <c:order val="1"/>
          <c:tx>
            <c:strRef>
              <c:f>Sheet1!$A$3</c:f>
              <c:strCache>
                <c:ptCount val="1"/>
                <c:pt idx="0">
                  <c:v>Valoare de prag</c:v>
                </c:pt>
              </c:strCache>
            </c:strRef>
          </c:tx>
          <c:spPr>
            <a:ln w="25400">
              <a:solidFill>
                <a:srgbClr val="FF00FF"/>
              </a:solidFill>
              <a:prstDash val="solid"/>
            </a:ln>
          </c:spPr>
          <c:marker>
            <c:symbol val="none"/>
          </c:marker>
          <c:cat>
            <c:strRef>
              <c:f>Sheet1!$B$1:$F$1</c:f>
              <c:strCache>
                <c:ptCount val="5"/>
                <c:pt idx="0">
                  <c:v>2011</c:v>
                </c:pt>
                <c:pt idx="1">
                  <c:v>2012</c:v>
                </c:pt>
                <c:pt idx="2">
                  <c:v>2013</c:v>
                </c:pt>
                <c:pt idx="3">
                  <c:v>2014</c:v>
                </c:pt>
                <c:pt idx="4">
                  <c:v>2015*</c:v>
                </c:pt>
              </c:strCache>
            </c:strRef>
          </c:cat>
          <c:val>
            <c:numRef>
              <c:f>Sheet1!$B$3:$F$3</c:f>
              <c:numCache>
                <c:formatCode>General</c:formatCode>
                <c:ptCount val="5"/>
                <c:pt idx="0">
                  <c:v>50</c:v>
                </c:pt>
                <c:pt idx="1">
                  <c:v>50</c:v>
                </c:pt>
                <c:pt idx="2">
                  <c:v>50</c:v>
                </c:pt>
                <c:pt idx="3">
                  <c:v>50</c:v>
                </c:pt>
                <c:pt idx="4">
                  <c:v>50</c:v>
                </c:pt>
              </c:numCache>
            </c:numRef>
          </c:val>
          <c:smooth val="1"/>
        </c:ser>
        <c:dLbls>
          <c:showLegendKey val="0"/>
          <c:showVal val="0"/>
          <c:showCatName val="0"/>
          <c:showSerName val="0"/>
          <c:showPercent val="0"/>
          <c:showBubbleSize val="0"/>
        </c:dLbls>
        <c:marker val="1"/>
        <c:smooth val="0"/>
        <c:axId val="294955264"/>
        <c:axId val="295567360"/>
      </c:lineChart>
      <c:catAx>
        <c:axId val="294955264"/>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en-US"/>
          </a:p>
        </c:txPr>
        <c:crossAx val="295567360"/>
        <c:crosses val="autoZero"/>
        <c:auto val="0"/>
        <c:lblAlgn val="ctr"/>
        <c:lblOffset val="100"/>
        <c:tickMarkSkip val="1"/>
        <c:noMultiLvlLbl val="0"/>
      </c:catAx>
      <c:valAx>
        <c:axId val="295567360"/>
        <c:scaling>
          <c:orientation val="minMax"/>
          <c:max val="150"/>
        </c:scaling>
        <c:delete val="0"/>
        <c:axPos val="l"/>
        <c:majorGridlines>
          <c:spPr>
            <a:ln w="3175">
              <a:solidFill>
                <a:srgbClr val="000000"/>
              </a:solidFill>
              <a:prstDash val="solid"/>
            </a:ln>
          </c:spPr>
        </c:majorGridlines>
        <c:title>
          <c:tx>
            <c:rich>
              <a:bodyPr/>
              <a:lstStyle/>
              <a:p>
                <a:pPr>
                  <a:defRPr sz="900" b="1" i="0" u="none" strike="noStrike" baseline="0">
                    <a:solidFill>
                      <a:srgbClr val="000000"/>
                    </a:solidFill>
                    <a:latin typeface="Arial"/>
                    <a:ea typeface="Arial"/>
                    <a:cs typeface="Arial"/>
                  </a:defRPr>
                </a:pPr>
                <a:r>
                  <a:rPr lang="en-US"/>
                  <a:t>Concentraţii azotaţi (mg/L)</a:t>
                </a:r>
              </a:p>
            </c:rich>
          </c:tx>
          <c:layout>
            <c:manualLayout>
              <c:xMode val="edge"/>
              <c:yMode val="edge"/>
              <c:x val="0.23233908948194662"/>
              <c:y val="6.0606060606060608E-2"/>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en-US"/>
          </a:p>
        </c:txPr>
        <c:crossAx val="294955264"/>
        <c:crosses val="autoZero"/>
        <c:crossBetween val="midCat"/>
      </c:valAx>
      <c:dTable>
        <c:showHorzBorder val="1"/>
        <c:showVertBorder val="1"/>
        <c:showOutline val="1"/>
        <c:showKeys val="1"/>
        <c:spPr>
          <a:ln w="3175">
            <a:solidFill>
              <a:srgbClr val="000000"/>
            </a:solidFill>
            <a:prstDash val="solid"/>
          </a:ln>
        </c:spPr>
        <c:txPr>
          <a:bodyPr/>
          <a:lstStyle/>
          <a:p>
            <a:pPr rtl="0">
              <a:defRPr sz="900" b="1" i="0" u="none" strike="noStrike" baseline="0">
                <a:solidFill>
                  <a:srgbClr val="000000"/>
                </a:solidFill>
                <a:latin typeface="Arial"/>
                <a:ea typeface="Arial"/>
                <a:cs typeface="Arial"/>
              </a:defRPr>
            </a:pPr>
            <a:endParaRPr lang="en-US"/>
          </a:p>
        </c:txPr>
      </c:dTable>
      <c:spPr>
        <a:solidFill>
          <a:srgbClr val="FFFF99"/>
        </a:solidFill>
        <a:ln w="12700">
          <a:solidFill>
            <a:srgbClr val="808080"/>
          </a:solidFill>
          <a:prstDash val="solid"/>
        </a:ln>
      </c:spPr>
    </c:plotArea>
    <c:plotVisOnly val="1"/>
    <c:dispBlanksAs val="gap"/>
    <c:showDLblsOverMax val="0"/>
  </c:chart>
  <c:spPr>
    <a:noFill/>
    <a:ln>
      <a:noFill/>
    </a:ln>
  </c:spPr>
  <c:txPr>
    <a:bodyPr/>
    <a:lstStyle/>
    <a:p>
      <a:pPr>
        <a:defRPr sz="1025" b="1" i="0" u="none" strike="noStrike" baseline="0">
          <a:solidFill>
            <a:srgbClr val="000000"/>
          </a:solidFill>
          <a:latin typeface="Calibri"/>
          <a:ea typeface="Calibri"/>
          <a:cs typeface="Calibri"/>
        </a:defRPr>
      </a:pPr>
      <a:endParaRPr lang="en-US"/>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o-RO" sz="1000"/>
              <a:t>Evoluţia volumului de masă recoltat, în perioada 201</a:t>
            </a:r>
            <a:r>
              <a:rPr lang="en-US" sz="1000"/>
              <a:t>1</a:t>
            </a:r>
            <a:r>
              <a:rPr lang="ro-RO" sz="1000"/>
              <a:t>-201</a:t>
            </a:r>
            <a:r>
              <a:rPr lang="en-US" sz="1000"/>
              <a:t>5</a:t>
            </a:r>
            <a:r>
              <a:rPr lang="ro-RO" sz="1000"/>
              <a:t>, în judeţul </a:t>
            </a:r>
            <a:r>
              <a:rPr lang="ro-RO" sz="1000" baseline="0"/>
              <a:t>Vaslui</a:t>
            </a:r>
            <a:endParaRPr lang="en-US" sz="1000" baseline="0"/>
          </a:p>
        </c:rich>
      </c:tx>
      <c:overlay val="0"/>
    </c:title>
    <c:autoTitleDeleted val="0"/>
    <c:plotArea>
      <c:layout/>
      <c:barChart>
        <c:barDir val="col"/>
        <c:grouping val="clustered"/>
        <c:varyColors val="0"/>
        <c:ser>
          <c:idx val="0"/>
          <c:order val="0"/>
          <c:tx>
            <c:strRef>
              <c:f>Sheet1!$B$1</c:f>
              <c:strCache>
                <c:ptCount val="1"/>
                <c:pt idx="0">
                  <c:v>Judeţul Vaslui</c:v>
                </c:pt>
              </c:strCache>
            </c:strRef>
          </c:tx>
          <c:invertIfNegative val="0"/>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2.34</c:v>
                </c:pt>
                <c:pt idx="1">
                  <c:v>2.36</c:v>
                </c:pt>
                <c:pt idx="2">
                  <c:v>2.66</c:v>
                </c:pt>
                <c:pt idx="3">
                  <c:v>2.3299999999999996</c:v>
                </c:pt>
                <c:pt idx="4">
                  <c:v>2.77</c:v>
                </c:pt>
              </c:numCache>
            </c:numRef>
          </c:val>
        </c:ser>
        <c:dLbls>
          <c:showLegendKey val="0"/>
          <c:showVal val="0"/>
          <c:showCatName val="0"/>
          <c:showSerName val="0"/>
          <c:showPercent val="0"/>
          <c:showBubbleSize val="0"/>
        </c:dLbls>
        <c:gapWidth val="150"/>
        <c:axId val="295625856"/>
        <c:axId val="295627392"/>
      </c:barChart>
      <c:catAx>
        <c:axId val="295625856"/>
        <c:scaling>
          <c:orientation val="minMax"/>
        </c:scaling>
        <c:delete val="0"/>
        <c:axPos val="b"/>
        <c:numFmt formatCode="General" sourceLinked="1"/>
        <c:majorTickMark val="none"/>
        <c:minorTickMark val="none"/>
        <c:tickLblPos val="nextTo"/>
        <c:crossAx val="295627392"/>
        <c:crosses val="autoZero"/>
        <c:auto val="1"/>
        <c:lblAlgn val="ctr"/>
        <c:lblOffset val="100"/>
        <c:noMultiLvlLbl val="0"/>
      </c:catAx>
      <c:valAx>
        <c:axId val="295627392"/>
        <c:scaling>
          <c:orientation val="minMax"/>
        </c:scaling>
        <c:delete val="0"/>
        <c:axPos val="l"/>
        <c:majorGridlines/>
        <c:title>
          <c:tx>
            <c:rich>
              <a:bodyPr/>
              <a:lstStyle/>
              <a:p>
                <a:pPr>
                  <a:defRPr/>
                </a:pPr>
                <a:r>
                  <a:rPr lang="ro-RO"/>
                  <a:t>mc/ha/an</a:t>
                </a:r>
                <a:endParaRPr lang="en-US"/>
              </a:p>
            </c:rich>
          </c:tx>
          <c:overlay val="0"/>
        </c:title>
        <c:numFmt formatCode="General" sourceLinked="1"/>
        <c:majorTickMark val="none"/>
        <c:minorTickMark val="none"/>
        <c:tickLblPos val="nextTo"/>
        <c:crossAx val="295625856"/>
        <c:crosses val="autoZero"/>
        <c:crossBetween val="between"/>
      </c:valAx>
    </c:plotArea>
    <c:plotVisOnly val="1"/>
    <c:dispBlanksAs val="gap"/>
    <c:showDLblsOverMax val="0"/>
  </c:chart>
  <c:txPr>
    <a:bodyPr/>
    <a:lstStyle/>
    <a:p>
      <a:pPr>
        <a:defRPr sz="1200" baseline="0">
          <a:latin typeface="Arial" pitchFamily="34" charset="0"/>
        </a:defRPr>
      </a:pPr>
      <a:endParaRPr lang="en-US"/>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'ROSPA-uri'!$B$1</c:f>
              <c:strCache>
                <c:ptCount val="1"/>
                <c:pt idx="0">
                  <c:v>Nr. specii păsări</c:v>
                </c:pt>
              </c:strCache>
            </c:strRef>
          </c:tx>
          <c:invertIfNegative val="0"/>
          <c:dPt>
            <c:idx val="0"/>
            <c:invertIfNegative val="0"/>
            <c:bubble3D val="0"/>
            <c:spPr>
              <a:solidFill>
                <a:srgbClr val="FFFF00"/>
              </a:solidFill>
            </c:spPr>
          </c:dPt>
          <c:dPt>
            <c:idx val="1"/>
            <c:invertIfNegative val="0"/>
            <c:bubble3D val="0"/>
            <c:spPr>
              <a:solidFill>
                <a:srgbClr val="FFFF00"/>
              </a:solidFill>
            </c:spPr>
          </c:dPt>
          <c:dPt>
            <c:idx val="2"/>
            <c:invertIfNegative val="0"/>
            <c:bubble3D val="0"/>
            <c:spPr>
              <a:solidFill>
                <a:srgbClr val="FFFF00"/>
              </a:solidFill>
            </c:spPr>
          </c:dPt>
          <c:dPt>
            <c:idx val="3"/>
            <c:invertIfNegative val="0"/>
            <c:bubble3D val="0"/>
            <c:spPr>
              <a:solidFill>
                <a:srgbClr val="FFFF00"/>
              </a:solidFill>
            </c:spPr>
          </c:dPt>
          <c:cat>
            <c:strRef>
              <c:f>'ROSPA-uri'!$A$2:$A$5</c:f>
              <c:strCache>
                <c:ptCount val="4"/>
                <c:pt idx="0">
                  <c:v>ROSPA0092 Pădurea Bârnova</c:v>
                </c:pt>
                <c:pt idx="1">
                  <c:v>ROSPA0096 Pădurea Micleşti</c:v>
                </c:pt>
                <c:pt idx="2">
                  <c:v>ROSPA0119 Horga Zorleni</c:v>
                </c:pt>
                <c:pt idx="3">
                  <c:v>ROSPA0130 Maţa-Cârja-Rădeanu</c:v>
                </c:pt>
              </c:strCache>
            </c:strRef>
          </c:cat>
          <c:val>
            <c:numRef>
              <c:f>'ROSPA-uri'!$B$2:$B$5</c:f>
              <c:numCache>
                <c:formatCode>General</c:formatCode>
                <c:ptCount val="4"/>
                <c:pt idx="0">
                  <c:v>33</c:v>
                </c:pt>
                <c:pt idx="1">
                  <c:v>12</c:v>
                </c:pt>
                <c:pt idx="2">
                  <c:v>19</c:v>
                </c:pt>
                <c:pt idx="3">
                  <c:v>26</c:v>
                </c:pt>
              </c:numCache>
            </c:numRef>
          </c:val>
        </c:ser>
        <c:dLbls>
          <c:showLegendKey val="0"/>
          <c:showVal val="0"/>
          <c:showCatName val="0"/>
          <c:showSerName val="0"/>
          <c:showPercent val="0"/>
          <c:showBubbleSize val="0"/>
        </c:dLbls>
        <c:gapWidth val="150"/>
        <c:axId val="295596416"/>
        <c:axId val="295597952"/>
      </c:barChart>
      <c:catAx>
        <c:axId val="295596416"/>
        <c:scaling>
          <c:orientation val="minMax"/>
        </c:scaling>
        <c:delete val="0"/>
        <c:axPos val="l"/>
        <c:majorTickMark val="none"/>
        <c:minorTickMark val="none"/>
        <c:tickLblPos val="nextTo"/>
        <c:crossAx val="295597952"/>
        <c:crosses val="autoZero"/>
        <c:auto val="1"/>
        <c:lblAlgn val="ctr"/>
        <c:lblOffset val="100"/>
        <c:noMultiLvlLbl val="0"/>
      </c:catAx>
      <c:valAx>
        <c:axId val="295597952"/>
        <c:scaling>
          <c:orientation val="minMax"/>
        </c:scaling>
        <c:delete val="0"/>
        <c:axPos val="b"/>
        <c:majorGridlines/>
        <c:numFmt formatCode="General" sourceLinked="1"/>
        <c:majorTickMark val="none"/>
        <c:minorTickMark val="none"/>
        <c:tickLblPos val="nextTo"/>
        <c:crossAx val="295596416"/>
        <c:crosses val="autoZero"/>
        <c:crossBetween val="between"/>
      </c:valAx>
      <c:dTable>
        <c:showHorzBorder val="1"/>
        <c:showVertBorder val="1"/>
        <c:showOutline val="1"/>
        <c:showKeys val="1"/>
      </c:dTable>
    </c:plotArea>
    <c:plotVisOnly val="1"/>
    <c:dispBlanksAs val="gap"/>
    <c:showDLblsOverMax val="0"/>
  </c:chart>
  <c:txPr>
    <a:bodyPr/>
    <a:lstStyle/>
    <a:p>
      <a:pPr>
        <a:defRPr>
          <a:latin typeface="Arial" pitchFamily="34" charset="0"/>
          <a:cs typeface="Arial" pitchFamily="34" charset="0"/>
        </a:defRPr>
      </a:pPr>
      <a:endParaRPr lang="en-US"/>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4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3902053712480253"/>
          <c:y val="3.3457249070632002E-2"/>
          <c:w val="0.78988941548183456"/>
          <c:h val="0.81040892193308545"/>
        </c:manualLayout>
      </c:layout>
      <c:bar3DChart>
        <c:barDir val="col"/>
        <c:grouping val="standard"/>
        <c:varyColors val="0"/>
        <c:ser>
          <c:idx val="0"/>
          <c:order val="0"/>
          <c:tx>
            <c:strRef>
              <c:f>Sheet1!$A$2</c:f>
              <c:strCache>
                <c:ptCount val="1"/>
                <c:pt idx="0">
                  <c:v>An</c:v>
                </c:pt>
              </c:strCache>
            </c:strRef>
          </c:tx>
          <c:spPr>
            <a:solidFill>
              <a:srgbClr val="99CC00"/>
            </a:solidFill>
            <a:ln w="12682">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70520</c:v>
                </c:pt>
                <c:pt idx="1">
                  <c:v>64007</c:v>
                </c:pt>
                <c:pt idx="2">
                  <c:v>64067</c:v>
                </c:pt>
                <c:pt idx="3">
                  <c:v>64067</c:v>
                </c:pt>
                <c:pt idx="4">
                  <c:v>60703</c:v>
                </c:pt>
              </c:numCache>
            </c:numRef>
          </c:val>
        </c:ser>
        <c:dLbls>
          <c:showLegendKey val="0"/>
          <c:showVal val="0"/>
          <c:showCatName val="0"/>
          <c:showSerName val="0"/>
          <c:showPercent val="0"/>
          <c:showBubbleSize val="0"/>
        </c:dLbls>
        <c:gapWidth val="150"/>
        <c:gapDepth val="0"/>
        <c:shape val="box"/>
        <c:axId val="296524800"/>
        <c:axId val="296526592"/>
        <c:axId val="293042368"/>
      </c:bar3DChart>
      <c:catAx>
        <c:axId val="296524800"/>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1173" b="1" i="0" u="none" strike="noStrike" baseline="0">
                <a:solidFill>
                  <a:srgbClr val="000000"/>
                </a:solidFill>
                <a:latin typeface="Calibri"/>
                <a:ea typeface="Calibri"/>
                <a:cs typeface="Calibri"/>
              </a:defRPr>
            </a:pPr>
            <a:endParaRPr lang="en-US"/>
          </a:p>
        </c:txPr>
        <c:crossAx val="296526592"/>
        <c:crosses val="autoZero"/>
        <c:auto val="1"/>
        <c:lblAlgn val="ctr"/>
        <c:lblOffset val="100"/>
        <c:tickLblSkip val="1"/>
        <c:tickMarkSkip val="1"/>
        <c:noMultiLvlLbl val="0"/>
      </c:catAx>
      <c:valAx>
        <c:axId val="296526592"/>
        <c:scaling>
          <c:orientation val="minMax"/>
        </c:scaling>
        <c:delete val="0"/>
        <c:axPos val="l"/>
        <c:majorGridlines>
          <c:spPr>
            <a:ln w="3170">
              <a:solidFill>
                <a:srgbClr val="000000"/>
              </a:solidFill>
              <a:prstDash val="solid"/>
            </a:ln>
          </c:spPr>
        </c:majorGridlines>
        <c:title>
          <c:tx>
            <c:rich>
              <a:bodyPr/>
              <a:lstStyle/>
              <a:p>
                <a:pPr>
                  <a:defRPr sz="1173" b="1" i="0" u="none" strike="noStrike" baseline="0">
                    <a:solidFill>
                      <a:srgbClr val="000000"/>
                    </a:solidFill>
                    <a:latin typeface="Calibri"/>
                    <a:ea typeface="Calibri"/>
                    <a:cs typeface="Calibri"/>
                  </a:defRPr>
                </a:pPr>
                <a:r>
                  <a:rPr lang="en-US"/>
                  <a:t>ha</a:t>
                </a:r>
              </a:p>
            </c:rich>
          </c:tx>
          <c:layout>
            <c:manualLayout>
              <c:xMode val="edge"/>
              <c:yMode val="edge"/>
              <c:x val="2.0537124802527645E-2"/>
              <c:y val="0.4498141263940541"/>
            </c:manualLayout>
          </c:layout>
          <c:overlay val="0"/>
          <c:spPr>
            <a:noFill/>
            <a:ln w="25363">
              <a:noFill/>
            </a:ln>
          </c:spPr>
        </c:title>
        <c:numFmt formatCode="General" sourceLinked="1"/>
        <c:majorTickMark val="out"/>
        <c:minorTickMark val="none"/>
        <c:tickLblPos val="nextTo"/>
        <c:spPr>
          <a:ln w="3170">
            <a:solidFill>
              <a:srgbClr val="000000"/>
            </a:solidFill>
            <a:prstDash val="solid"/>
          </a:ln>
        </c:spPr>
        <c:txPr>
          <a:bodyPr rot="0" vert="horz"/>
          <a:lstStyle/>
          <a:p>
            <a:pPr>
              <a:defRPr sz="1173" b="1" i="0" u="none" strike="noStrike" baseline="0">
                <a:solidFill>
                  <a:srgbClr val="000000"/>
                </a:solidFill>
                <a:latin typeface="Calibri"/>
                <a:ea typeface="Calibri"/>
                <a:cs typeface="Calibri"/>
              </a:defRPr>
            </a:pPr>
            <a:endParaRPr lang="en-US"/>
          </a:p>
        </c:txPr>
        <c:crossAx val="296524800"/>
        <c:crosses val="autoZero"/>
        <c:crossBetween val="between"/>
      </c:valAx>
      <c:serAx>
        <c:axId val="293042368"/>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1173" b="1" i="0" u="none" strike="noStrike" baseline="0">
                <a:solidFill>
                  <a:srgbClr val="000000"/>
                </a:solidFill>
                <a:latin typeface="Calibri"/>
                <a:ea typeface="Calibri"/>
                <a:cs typeface="Calibri"/>
              </a:defRPr>
            </a:pPr>
            <a:endParaRPr lang="en-US"/>
          </a:p>
        </c:txPr>
        <c:crossAx val="296526592"/>
        <c:crosses val="autoZero"/>
        <c:tickLblSkip val="1"/>
        <c:tickMarkSkip val="1"/>
      </c:serAx>
      <c:spPr>
        <a:noFill/>
        <a:ln w="25363">
          <a:noFill/>
        </a:ln>
      </c:spPr>
    </c:plotArea>
    <c:plotVisOnly val="1"/>
    <c:dispBlanksAs val="gap"/>
    <c:showDLblsOverMax val="0"/>
  </c:chart>
  <c:spPr>
    <a:noFill/>
    <a:ln>
      <a:noFill/>
    </a:ln>
  </c:spPr>
  <c:txPr>
    <a:bodyPr/>
    <a:lstStyle/>
    <a:p>
      <a:pPr>
        <a:defRPr sz="1173" b="1" i="0" u="none" strike="noStrike" baseline="0">
          <a:solidFill>
            <a:srgbClr val="000000"/>
          </a:solidFill>
          <a:latin typeface="Calibri"/>
          <a:ea typeface="Calibri"/>
          <a:cs typeface="Calibri"/>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Arial"/>
                <a:ea typeface="Arial"/>
                <a:cs typeface="Arial"/>
              </a:defRPr>
            </a:pPr>
            <a:r>
              <a:rPr lang="en-US"/>
              <a:t>Evolu</a:t>
            </a:r>
            <a:r>
              <a:rPr lang="ro-RO"/>
              <a:t>ţ</a:t>
            </a:r>
            <a:r>
              <a:rPr lang="en-US"/>
              <a:t>ia concentra</a:t>
            </a:r>
            <a:r>
              <a:rPr lang="ro-RO"/>
              <a:t>ţ</a:t>
            </a:r>
            <a:r>
              <a:rPr lang="en-US"/>
              <a:t>iei de NH3</a:t>
            </a:r>
          </a:p>
        </c:rich>
      </c:tx>
      <c:layout>
        <c:manualLayout>
          <c:xMode val="edge"/>
          <c:yMode val="edge"/>
          <c:x val="0.32285115303983231"/>
          <c:y val="1.8433179723502304E-2"/>
        </c:manualLayout>
      </c:layout>
      <c:overlay val="0"/>
      <c:spPr>
        <a:noFill/>
        <a:ln w="25400">
          <a:noFill/>
        </a:ln>
      </c:spPr>
    </c:title>
    <c:autoTitleDeleted val="0"/>
    <c:plotArea>
      <c:layout>
        <c:manualLayout>
          <c:layoutTarget val="inner"/>
          <c:xMode val="edge"/>
          <c:yMode val="edge"/>
          <c:x val="6.9182389937106917E-2"/>
          <c:y val="0.23963133640552994"/>
          <c:w val="0.72117400419287214"/>
          <c:h val="0.59447004608294929"/>
        </c:manualLayout>
      </c:layout>
      <c:lineChart>
        <c:grouping val="standard"/>
        <c:varyColors val="0"/>
        <c:ser>
          <c:idx val="0"/>
          <c:order val="0"/>
          <c:tx>
            <c:strRef>
              <c:f>Sheet1!$A$2</c:f>
              <c:strCache>
                <c:ptCount val="1"/>
                <c:pt idx="0">
                  <c:v>μgNH3/mc</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Sheet1!$B$1:$N$1</c:f>
              <c:numCache>
                <c:formatCode>General</c:formatCode>
                <c:ptCount val="8"/>
                <c:pt idx="0">
                  <c:v>2008</c:v>
                </c:pt>
                <c:pt idx="1">
                  <c:v>2009</c:v>
                </c:pt>
                <c:pt idx="2">
                  <c:v>2010</c:v>
                </c:pt>
                <c:pt idx="3">
                  <c:v>2011</c:v>
                </c:pt>
                <c:pt idx="4">
                  <c:v>2012</c:v>
                </c:pt>
                <c:pt idx="5">
                  <c:v>2013</c:v>
                </c:pt>
                <c:pt idx="6">
                  <c:v>2014</c:v>
                </c:pt>
                <c:pt idx="7">
                  <c:v>2015</c:v>
                </c:pt>
              </c:numCache>
            </c:numRef>
          </c:cat>
          <c:val>
            <c:numRef>
              <c:f>Sheet1!$B$2:$N$2</c:f>
              <c:numCache>
                <c:formatCode>General</c:formatCode>
                <c:ptCount val="8"/>
                <c:pt idx="0">
                  <c:v>6.07</c:v>
                </c:pt>
                <c:pt idx="1">
                  <c:v>25.6</c:v>
                </c:pt>
                <c:pt idx="2">
                  <c:v>28.12</c:v>
                </c:pt>
                <c:pt idx="3">
                  <c:v>22.07</c:v>
                </c:pt>
                <c:pt idx="4">
                  <c:v>14.36</c:v>
                </c:pt>
                <c:pt idx="5">
                  <c:v>17.04</c:v>
                </c:pt>
                <c:pt idx="6">
                  <c:v>12.43</c:v>
                </c:pt>
                <c:pt idx="7">
                  <c:v>11.94</c:v>
                </c:pt>
              </c:numCache>
            </c:numRef>
          </c:val>
          <c:smooth val="0"/>
        </c:ser>
        <c:dLbls>
          <c:showLegendKey val="0"/>
          <c:showVal val="0"/>
          <c:showCatName val="0"/>
          <c:showSerName val="0"/>
          <c:showPercent val="0"/>
          <c:showBubbleSize val="0"/>
        </c:dLbls>
        <c:marker val="1"/>
        <c:smooth val="0"/>
        <c:axId val="294573184"/>
        <c:axId val="294575104"/>
      </c:lineChart>
      <c:catAx>
        <c:axId val="29457318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294575104"/>
        <c:crosses val="autoZero"/>
        <c:auto val="1"/>
        <c:lblAlgn val="ctr"/>
        <c:lblOffset val="100"/>
        <c:tickLblSkip val="1"/>
        <c:tickMarkSkip val="1"/>
        <c:noMultiLvlLbl val="0"/>
      </c:catAx>
      <c:valAx>
        <c:axId val="29457510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294573184"/>
        <c:crosses val="autoZero"/>
        <c:crossBetween val="between"/>
      </c:valAx>
      <c:spPr>
        <a:gradFill rotWithShape="0">
          <a:gsLst>
            <a:gs pos="0">
              <a:srgbClr xmlns:mc="http://schemas.openxmlformats.org/markup-compatibility/2006" xmlns:a14="http://schemas.microsoft.com/office/drawing/2010/main" val="FFFF99" mc:Ignorable="a14" a14:legacySpreadsheetColorIndex="43"/>
            </a:gs>
            <a:gs pos="100000">
              <a:srgbClr xmlns:mc="http://schemas.openxmlformats.org/markup-compatibility/2006" xmlns:a14="http://schemas.microsoft.com/office/drawing/2010/main" val="FFCC99" mc:Ignorable="a14" a14:legacySpreadsheetColorIndex="47"/>
            </a:gs>
          </a:gsLst>
          <a:lin ang="5400000" scaled="1"/>
        </a:gradFill>
        <a:ln w="12700">
          <a:solidFill>
            <a:srgbClr val="808080"/>
          </a:solidFill>
          <a:prstDash val="solid"/>
        </a:ln>
      </c:spPr>
    </c:plotArea>
    <c:legend>
      <c:legendPos val="r"/>
      <c:layout>
        <c:manualLayout>
          <c:xMode val="edge"/>
          <c:yMode val="edge"/>
          <c:x val="0.79245283018867929"/>
          <c:y val="0.48847926267281105"/>
          <c:w val="0.19287211740041929"/>
          <c:h val="9.2165898617511524E-2"/>
        </c:manualLayout>
      </c:layout>
      <c:overlay val="0"/>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950" b="1" i="0" u="none" strike="noStrike" baseline="0">
          <a:solidFill>
            <a:srgbClr val="000000"/>
          </a:solidFill>
          <a:latin typeface="Arial"/>
          <a:ea typeface="Arial"/>
          <a:cs typeface="Arial"/>
        </a:defRPr>
      </a:pPr>
      <a:endParaRPr lang="en-US"/>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3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909090909090922"/>
          <c:y val="3.7500000000000006E-2"/>
          <c:w val="0.8231404958677685"/>
          <c:h val="0.79583333333333361"/>
        </c:manualLayout>
      </c:layout>
      <c:bar3DChart>
        <c:barDir val="col"/>
        <c:grouping val="standard"/>
        <c:varyColors val="0"/>
        <c:ser>
          <c:idx val="0"/>
          <c:order val="0"/>
          <c:tx>
            <c:strRef>
              <c:f>Sheet1!$A$2</c:f>
              <c:strCache>
                <c:ptCount val="1"/>
                <c:pt idx="0">
                  <c:v>An</c:v>
                </c:pt>
              </c:strCache>
            </c:strRef>
          </c:tx>
          <c:spPr>
            <a:solidFill>
              <a:srgbClr val="00FF00"/>
            </a:solidFill>
            <a:ln w="12673">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0.15100000000000025</c:v>
                </c:pt>
                <c:pt idx="1">
                  <c:v>0.13700000000000001</c:v>
                </c:pt>
                <c:pt idx="2">
                  <c:v>0.13600000000000001</c:v>
                </c:pt>
                <c:pt idx="3">
                  <c:v>0.13400000000000001</c:v>
                </c:pt>
                <c:pt idx="4">
                  <c:v>0.126</c:v>
                </c:pt>
              </c:numCache>
            </c:numRef>
          </c:val>
        </c:ser>
        <c:dLbls>
          <c:showLegendKey val="0"/>
          <c:showVal val="0"/>
          <c:showCatName val="0"/>
          <c:showSerName val="0"/>
          <c:showPercent val="0"/>
          <c:showBubbleSize val="0"/>
        </c:dLbls>
        <c:gapWidth val="150"/>
        <c:gapDepth val="0"/>
        <c:shape val="box"/>
        <c:axId val="296376192"/>
        <c:axId val="296377728"/>
        <c:axId val="295472192"/>
      </c:bar3DChart>
      <c:catAx>
        <c:axId val="296376192"/>
        <c:scaling>
          <c:orientation val="minMax"/>
        </c:scaling>
        <c:delete val="0"/>
        <c:axPos val="b"/>
        <c:numFmt formatCode="General" sourceLinked="1"/>
        <c:majorTickMark val="out"/>
        <c:minorTickMark val="none"/>
        <c:tickLblPos val="low"/>
        <c:spPr>
          <a:ln w="3168">
            <a:solidFill>
              <a:srgbClr val="000000"/>
            </a:solidFill>
            <a:prstDash val="solid"/>
          </a:ln>
        </c:spPr>
        <c:txPr>
          <a:bodyPr rot="0" vert="horz"/>
          <a:lstStyle/>
          <a:p>
            <a:pPr>
              <a:defRPr sz="1048" b="1" i="0" u="none" strike="noStrike" baseline="0">
                <a:solidFill>
                  <a:srgbClr val="000000"/>
                </a:solidFill>
                <a:latin typeface="Calibri"/>
                <a:ea typeface="Calibri"/>
                <a:cs typeface="Calibri"/>
              </a:defRPr>
            </a:pPr>
            <a:endParaRPr lang="en-US"/>
          </a:p>
        </c:txPr>
        <c:crossAx val="296377728"/>
        <c:crosses val="autoZero"/>
        <c:auto val="1"/>
        <c:lblAlgn val="ctr"/>
        <c:lblOffset val="100"/>
        <c:tickLblSkip val="1"/>
        <c:tickMarkSkip val="1"/>
        <c:noMultiLvlLbl val="0"/>
      </c:catAx>
      <c:valAx>
        <c:axId val="296377728"/>
        <c:scaling>
          <c:orientation val="minMax"/>
          <c:max val="0.25"/>
          <c:min val="0.05"/>
        </c:scaling>
        <c:delete val="0"/>
        <c:axPos val="l"/>
        <c:majorGridlines>
          <c:spPr>
            <a:ln w="3168">
              <a:solidFill>
                <a:srgbClr val="000000"/>
              </a:solidFill>
              <a:prstDash val="solid"/>
            </a:ln>
          </c:spPr>
        </c:majorGridlines>
        <c:title>
          <c:tx>
            <c:rich>
              <a:bodyPr/>
              <a:lstStyle/>
              <a:p>
                <a:pPr>
                  <a:defRPr sz="1098" b="1" i="0" u="none" strike="noStrike" baseline="0">
                    <a:solidFill>
                      <a:srgbClr val="000000"/>
                    </a:solidFill>
                    <a:latin typeface="Calibri"/>
                    <a:ea typeface="Calibri"/>
                    <a:cs typeface="Calibri"/>
                  </a:defRPr>
                </a:pPr>
                <a:r>
                  <a:rPr lang="en-US"/>
                  <a:t>ha/locuitor</a:t>
                </a:r>
              </a:p>
            </c:rich>
          </c:tx>
          <c:layout>
            <c:manualLayout>
              <c:xMode val="edge"/>
              <c:yMode val="edge"/>
              <c:x val="9.9173553719008271E-3"/>
              <c:y val="0.33750000000000113"/>
            </c:manualLayout>
          </c:layout>
          <c:overlay val="0"/>
          <c:spPr>
            <a:noFill/>
            <a:ln w="25345">
              <a:noFill/>
            </a:ln>
          </c:spPr>
        </c:title>
        <c:numFmt formatCode="General" sourceLinked="1"/>
        <c:majorTickMark val="out"/>
        <c:minorTickMark val="none"/>
        <c:tickLblPos val="nextTo"/>
        <c:spPr>
          <a:ln w="3168">
            <a:solidFill>
              <a:srgbClr val="000000"/>
            </a:solidFill>
            <a:prstDash val="solid"/>
          </a:ln>
        </c:spPr>
        <c:txPr>
          <a:bodyPr rot="0" vert="horz"/>
          <a:lstStyle/>
          <a:p>
            <a:pPr>
              <a:defRPr sz="1048" b="1" i="0" u="none" strike="noStrike" baseline="0">
                <a:solidFill>
                  <a:srgbClr val="000000"/>
                </a:solidFill>
                <a:latin typeface="Calibri"/>
                <a:ea typeface="Calibri"/>
                <a:cs typeface="Calibri"/>
              </a:defRPr>
            </a:pPr>
            <a:endParaRPr lang="en-US"/>
          </a:p>
        </c:txPr>
        <c:crossAx val="296376192"/>
        <c:crosses val="autoZero"/>
        <c:crossBetween val="between"/>
      </c:valAx>
      <c:serAx>
        <c:axId val="295472192"/>
        <c:scaling>
          <c:orientation val="minMax"/>
        </c:scaling>
        <c:delete val="0"/>
        <c:axPos val="b"/>
        <c:numFmt formatCode="General" sourceLinked="1"/>
        <c:majorTickMark val="out"/>
        <c:minorTickMark val="none"/>
        <c:tickLblPos val="low"/>
        <c:spPr>
          <a:ln w="3168">
            <a:solidFill>
              <a:srgbClr val="000000"/>
            </a:solidFill>
            <a:prstDash val="solid"/>
          </a:ln>
        </c:spPr>
        <c:txPr>
          <a:bodyPr rot="0" vert="horz"/>
          <a:lstStyle/>
          <a:p>
            <a:pPr>
              <a:defRPr sz="1048" b="1" i="0" u="none" strike="noStrike" baseline="0">
                <a:solidFill>
                  <a:srgbClr val="000000"/>
                </a:solidFill>
                <a:latin typeface="Calibri"/>
                <a:ea typeface="Calibri"/>
                <a:cs typeface="Calibri"/>
              </a:defRPr>
            </a:pPr>
            <a:endParaRPr lang="en-US"/>
          </a:p>
        </c:txPr>
        <c:crossAx val="296377728"/>
        <c:crosses val="autoZero"/>
        <c:tickLblSkip val="1"/>
        <c:tickMarkSkip val="1"/>
      </c:serAx>
      <c:spPr>
        <a:noFill/>
        <a:ln w="25345">
          <a:noFill/>
        </a:ln>
      </c:spPr>
    </c:plotArea>
    <c:plotVisOnly val="1"/>
    <c:dispBlanksAs val="gap"/>
    <c:showDLblsOverMax val="0"/>
  </c:chart>
  <c:spPr>
    <a:noFill/>
    <a:ln>
      <a:noFill/>
    </a:ln>
  </c:spPr>
  <c:txPr>
    <a:bodyPr/>
    <a:lstStyle/>
    <a:p>
      <a:pPr>
        <a:defRPr sz="1048" b="1" i="0" u="none" strike="noStrike" baseline="0">
          <a:solidFill>
            <a:srgbClr val="000000"/>
          </a:solidFill>
          <a:latin typeface="Calibri"/>
          <a:ea typeface="Calibri"/>
          <a:cs typeface="Calibri"/>
        </a:defRPr>
      </a:pPr>
      <a:endParaRPr lang="en-US"/>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3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7993730407523821E-2"/>
          <c:y val="4.9107142857142912E-2"/>
          <c:w val="0.86990595611285493"/>
          <c:h val="0.79017857142857395"/>
        </c:manualLayout>
      </c:layout>
      <c:bar3DChart>
        <c:barDir val="col"/>
        <c:grouping val="clustered"/>
        <c:varyColors val="0"/>
        <c:ser>
          <c:idx val="0"/>
          <c:order val="0"/>
          <c:tx>
            <c:strRef>
              <c:f>Sheet1!$A$2</c:f>
              <c:strCache>
                <c:ptCount val="1"/>
                <c:pt idx="0">
                  <c:v>An</c:v>
                </c:pt>
              </c:strCache>
            </c:strRef>
          </c:tx>
          <c:spPr>
            <a:solidFill>
              <a:srgbClr val="00B050"/>
            </a:solidFill>
            <a:ln w="12709">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98</c:v>
                </c:pt>
                <c:pt idx="1">
                  <c:v>59</c:v>
                </c:pt>
                <c:pt idx="2">
                  <c:v>92</c:v>
                </c:pt>
                <c:pt idx="3">
                  <c:v>69</c:v>
                </c:pt>
                <c:pt idx="4">
                  <c:v>106</c:v>
                </c:pt>
              </c:numCache>
            </c:numRef>
          </c:val>
        </c:ser>
        <c:dLbls>
          <c:showLegendKey val="0"/>
          <c:showVal val="0"/>
          <c:showCatName val="0"/>
          <c:showSerName val="0"/>
          <c:showPercent val="0"/>
          <c:showBubbleSize val="0"/>
        </c:dLbls>
        <c:gapWidth val="150"/>
        <c:gapDepth val="0"/>
        <c:shape val="box"/>
        <c:axId val="296907520"/>
        <c:axId val="296909056"/>
        <c:axId val="0"/>
      </c:bar3DChart>
      <c:catAx>
        <c:axId val="296907520"/>
        <c:scaling>
          <c:orientation val="minMax"/>
        </c:scaling>
        <c:delete val="0"/>
        <c:axPos val="b"/>
        <c:numFmt formatCode="General" sourceLinked="1"/>
        <c:majorTickMark val="out"/>
        <c:minorTickMark val="none"/>
        <c:tickLblPos val="low"/>
        <c:spPr>
          <a:ln w="3177">
            <a:solidFill>
              <a:srgbClr val="000000"/>
            </a:solidFill>
            <a:prstDash val="solid"/>
          </a:ln>
        </c:spPr>
        <c:txPr>
          <a:bodyPr rot="0" vert="horz"/>
          <a:lstStyle/>
          <a:p>
            <a:pPr>
              <a:defRPr sz="976" b="1" i="0" u="none" strike="noStrike" baseline="0">
                <a:solidFill>
                  <a:srgbClr val="000000"/>
                </a:solidFill>
                <a:latin typeface="Calibri"/>
                <a:ea typeface="Calibri"/>
                <a:cs typeface="Calibri"/>
              </a:defRPr>
            </a:pPr>
            <a:endParaRPr lang="en-US"/>
          </a:p>
        </c:txPr>
        <c:crossAx val="296909056"/>
        <c:crosses val="autoZero"/>
        <c:auto val="1"/>
        <c:lblAlgn val="ctr"/>
        <c:lblOffset val="100"/>
        <c:tickLblSkip val="1"/>
        <c:tickMarkSkip val="1"/>
        <c:noMultiLvlLbl val="0"/>
      </c:catAx>
      <c:valAx>
        <c:axId val="296909056"/>
        <c:scaling>
          <c:orientation val="minMax"/>
        </c:scaling>
        <c:delete val="0"/>
        <c:axPos val="l"/>
        <c:majorGridlines>
          <c:spPr>
            <a:ln w="3177">
              <a:solidFill>
                <a:srgbClr val="000000"/>
              </a:solidFill>
              <a:prstDash val="solid"/>
            </a:ln>
          </c:spPr>
        </c:majorGridlines>
        <c:numFmt formatCode="General" sourceLinked="1"/>
        <c:majorTickMark val="out"/>
        <c:minorTickMark val="none"/>
        <c:tickLblPos val="nextTo"/>
        <c:spPr>
          <a:ln w="3177">
            <a:solidFill>
              <a:srgbClr val="000000"/>
            </a:solidFill>
            <a:prstDash val="solid"/>
          </a:ln>
        </c:spPr>
        <c:txPr>
          <a:bodyPr rot="0" vert="horz"/>
          <a:lstStyle/>
          <a:p>
            <a:pPr>
              <a:defRPr sz="976" b="1" i="0" u="none" strike="noStrike" baseline="0">
                <a:solidFill>
                  <a:srgbClr val="000000"/>
                </a:solidFill>
                <a:latin typeface="Calibri"/>
                <a:ea typeface="Calibri"/>
                <a:cs typeface="Calibri"/>
              </a:defRPr>
            </a:pPr>
            <a:endParaRPr lang="en-US"/>
          </a:p>
        </c:txPr>
        <c:crossAx val="296907520"/>
        <c:crosses val="autoZero"/>
        <c:crossBetween val="between"/>
      </c:valAx>
      <c:spPr>
        <a:noFill/>
        <a:ln w="25418">
          <a:noFill/>
        </a:ln>
      </c:spPr>
    </c:plotArea>
    <c:legend>
      <c:legendPos val="r"/>
      <c:layout>
        <c:manualLayout>
          <c:xMode val="edge"/>
          <c:yMode val="edge"/>
          <c:x val="0.85423197492163006"/>
          <c:y val="0.78571428571428559"/>
          <c:w val="5.4858934169279033E-2"/>
          <c:h val="9.8214285714285726E-2"/>
        </c:manualLayout>
      </c:layout>
      <c:overlay val="0"/>
      <c:spPr>
        <a:noFill/>
        <a:ln w="3177">
          <a:solidFill>
            <a:srgbClr val="000000"/>
          </a:solidFill>
          <a:prstDash val="solid"/>
        </a:ln>
      </c:spPr>
      <c:txPr>
        <a:bodyPr/>
        <a:lstStyle/>
        <a:p>
          <a:pPr>
            <a:defRPr sz="896"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976" b="1" i="0" u="none" strike="noStrike" baseline="0">
          <a:solidFill>
            <a:srgbClr val="000000"/>
          </a:solidFill>
          <a:latin typeface="Calibri"/>
          <a:ea typeface="Calibri"/>
          <a:cs typeface="Calibri"/>
        </a:defRPr>
      </a:pPr>
      <a:endParaRPr lang="en-US"/>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885819521178839"/>
          <c:y val="5.4945054945054984E-3"/>
          <c:w val="0.30202578268876712"/>
          <c:h val="0.90109890109890112"/>
        </c:manualLayout>
      </c:layout>
      <c:pieChart>
        <c:varyColors val="1"/>
        <c:ser>
          <c:idx val="0"/>
          <c:order val="0"/>
          <c:tx>
            <c:strRef>
              <c:f>Sheet1!$A$2</c:f>
              <c:strCache>
                <c:ptCount val="1"/>
              </c:strCache>
            </c:strRef>
          </c:tx>
          <c:spPr>
            <a:solidFill>
              <a:srgbClr val="9999FF"/>
            </a:solidFill>
            <a:ln w="12688">
              <a:solidFill>
                <a:srgbClr val="000000"/>
              </a:solidFill>
              <a:prstDash val="solid"/>
            </a:ln>
          </c:spPr>
          <c:explosion val="8"/>
          <c:dPt>
            <c:idx val="0"/>
            <c:bubble3D val="0"/>
            <c:explosion val="2"/>
            <c:spPr>
              <a:solidFill>
                <a:srgbClr val="FF6600"/>
              </a:solidFill>
              <a:ln w="12688">
                <a:solidFill>
                  <a:srgbClr val="000000"/>
                </a:solidFill>
                <a:prstDash val="solid"/>
              </a:ln>
            </c:spPr>
          </c:dPt>
          <c:dPt>
            <c:idx val="1"/>
            <c:bubble3D val="0"/>
            <c:spPr>
              <a:solidFill>
                <a:srgbClr val="00B050"/>
              </a:solidFill>
              <a:ln w="12688">
                <a:solidFill>
                  <a:schemeClr val="tx2"/>
                </a:solidFill>
                <a:prstDash val="solid"/>
              </a:ln>
            </c:spPr>
          </c:dPt>
          <c:dLbls>
            <c:dLbl>
              <c:idx val="0"/>
              <c:layout>
                <c:manualLayout>
                  <c:x val="-5.3342834662610812E-2"/>
                  <c:y val="0.13024450068741444"/>
                </c:manualLayout>
              </c:layout>
              <c:dLblPos val="bestFit"/>
              <c:showLegendKey val="0"/>
              <c:showVal val="1"/>
              <c:showCatName val="0"/>
              <c:showSerName val="0"/>
              <c:showPercent val="0"/>
              <c:showBubbleSize val="0"/>
            </c:dLbl>
            <c:dLbl>
              <c:idx val="1"/>
              <c:layout>
                <c:manualLayout>
                  <c:x val="9.0607173320922246E-2"/>
                  <c:y val="-0.18588902949631339"/>
                </c:manualLayout>
              </c:layout>
              <c:dLblPos val="bestFit"/>
              <c:showLegendKey val="0"/>
              <c:showVal val="1"/>
              <c:showCatName val="0"/>
              <c:showSerName val="0"/>
              <c:showPercent val="0"/>
              <c:showBubbleSize val="0"/>
            </c:dLbl>
            <c:spPr>
              <a:noFill/>
              <a:ln w="25375">
                <a:noFill/>
              </a:ln>
            </c:spPr>
            <c:txPr>
              <a:bodyPr/>
              <a:lstStyle/>
              <a:p>
                <a:pPr>
                  <a:defRPr sz="824"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1"/>
          </c:dLbls>
          <c:cat>
            <c:strRef>
              <c:f>Sheet1!$B$1:$C$1</c:f>
              <c:strCache>
                <c:ptCount val="2"/>
                <c:pt idx="0">
                  <c:v>Deal</c:v>
                </c:pt>
                <c:pt idx="1">
                  <c:v>Câmpie</c:v>
                </c:pt>
              </c:strCache>
            </c:strRef>
          </c:cat>
          <c:val>
            <c:numRef>
              <c:f>Sheet1!$B$2:$C$2</c:f>
              <c:numCache>
                <c:formatCode>0%</c:formatCode>
                <c:ptCount val="2"/>
                <c:pt idx="0">
                  <c:v>0.19</c:v>
                </c:pt>
                <c:pt idx="1">
                  <c:v>0.81</c:v>
                </c:pt>
              </c:numCache>
            </c:numRef>
          </c:val>
        </c:ser>
        <c:dLbls>
          <c:showLegendKey val="0"/>
          <c:showVal val="1"/>
          <c:showCatName val="0"/>
          <c:showSerName val="0"/>
          <c:showPercent val="0"/>
          <c:showBubbleSize val="0"/>
          <c:showLeaderLines val="1"/>
        </c:dLbls>
        <c:firstSliceAng val="0"/>
      </c:pieChart>
      <c:spPr>
        <a:solidFill>
          <a:srgbClr val="C0C0C0"/>
        </a:solidFill>
        <a:ln w="12688">
          <a:solidFill>
            <a:srgbClr val="808080"/>
          </a:solidFill>
          <a:prstDash val="solid"/>
        </a:ln>
      </c:spPr>
    </c:plotArea>
    <c:legend>
      <c:legendPos val="r"/>
      <c:layout>
        <c:manualLayout>
          <c:xMode val="edge"/>
          <c:yMode val="edge"/>
          <c:x val="0.34990791896869333"/>
          <c:y val="0.89560439560439564"/>
          <c:w val="0.28545119705340732"/>
          <c:h val="0.10989010989011011"/>
        </c:manualLayout>
      </c:layout>
      <c:overlay val="0"/>
      <c:spPr>
        <a:noFill/>
        <a:ln w="3172">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en-US"/>
        </a:p>
      </c:txPr>
    </c:legend>
    <c:plotVisOnly val="1"/>
    <c:dispBlanksAs val="zero"/>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en-US"/>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257425742574254E-2"/>
          <c:y val="6.0439560439560454E-2"/>
          <c:w val="0.6996699669966997"/>
          <c:h val="0.58241758241758246"/>
        </c:manualLayout>
      </c:layout>
      <c:barChart>
        <c:barDir val="bar"/>
        <c:grouping val="clustered"/>
        <c:varyColors val="0"/>
        <c:ser>
          <c:idx val="0"/>
          <c:order val="0"/>
          <c:tx>
            <c:strRef>
              <c:f>Sheet1!$A$2</c:f>
              <c:strCache>
                <c:ptCount val="1"/>
                <c:pt idx="0">
                  <c:v>Regenerare totală</c:v>
                </c:pt>
              </c:strCache>
            </c:strRef>
          </c:tx>
          <c:spPr>
            <a:solidFill>
              <a:srgbClr val="9999FF"/>
            </a:solidFill>
            <a:ln w="12690">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479</c:v>
                </c:pt>
                <c:pt idx="1">
                  <c:v>612</c:v>
                </c:pt>
                <c:pt idx="2">
                  <c:v>528</c:v>
                </c:pt>
                <c:pt idx="3">
                  <c:v>441</c:v>
                </c:pt>
                <c:pt idx="4">
                  <c:v>482</c:v>
                </c:pt>
              </c:numCache>
            </c:numRef>
          </c:val>
        </c:ser>
        <c:ser>
          <c:idx val="2"/>
          <c:order val="1"/>
          <c:tx>
            <c:strRef>
              <c:f>Sheet1!$A$3</c:f>
              <c:strCache>
                <c:ptCount val="1"/>
                <c:pt idx="0">
                  <c:v>Regenerare naturală</c:v>
                </c:pt>
              </c:strCache>
            </c:strRef>
          </c:tx>
          <c:spPr>
            <a:solidFill>
              <a:srgbClr val="FFFFCC"/>
            </a:solidFill>
            <a:ln w="12690">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Sheet1!$B$3:$F$3</c:f>
              <c:numCache>
                <c:formatCode>General</c:formatCode>
                <c:ptCount val="5"/>
                <c:pt idx="0">
                  <c:v>381</c:v>
                </c:pt>
                <c:pt idx="1">
                  <c:v>553</c:v>
                </c:pt>
                <c:pt idx="2">
                  <c:v>436</c:v>
                </c:pt>
                <c:pt idx="3">
                  <c:v>372</c:v>
                </c:pt>
                <c:pt idx="4">
                  <c:v>376</c:v>
                </c:pt>
              </c:numCache>
            </c:numRef>
          </c:val>
        </c:ser>
        <c:ser>
          <c:idx val="3"/>
          <c:order val="2"/>
          <c:tx>
            <c:strRef>
              <c:f>Sheet1!$A$4</c:f>
              <c:strCache>
                <c:ptCount val="1"/>
                <c:pt idx="0">
                  <c:v>Împăduriri</c:v>
                </c:pt>
              </c:strCache>
            </c:strRef>
          </c:tx>
          <c:spPr>
            <a:solidFill>
              <a:srgbClr val="CCFFFF"/>
            </a:solidFill>
            <a:ln w="12690">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Sheet1!$B$4:$F$4</c:f>
              <c:numCache>
                <c:formatCode>General</c:formatCode>
                <c:ptCount val="5"/>
                <c:pt idx="0">
                  <c:v>98</c:v>
                </c:pt>
                <c:pt idx="1">
                  <c:v>59</c:v>
                </c:pt>
                <c:pt idx="2">
                  <c:v>92</c:v>
                </c:pt>
                <c:pt idx="3">
                  <c:v>69</c:v>
                </c:pt>
                <c:pt idx="4">
                  <c:v>106</c:v>
                </c:pt>
              </c:numCache>
            </c:numRef>
          </c:val>
        </c:ser>
        <c:dLbls>
          <c:showLegendKey val="0"/>
          <c:showVal val="0"/>
          <c:showCatName val="0"/>
          <c:showSerName val="0"/>
          <c:showPercent val="0"/>
          <c:showBubbleSize val="0"/>
        </c:dLbls>
        <c:gapWidth val="150"/>
        <c:axId val="296487552"/>
        <c:axId val="296882560"/>
      </c:barChart>
      <c:catAx>
        <c:axId val="296487552"/>
        <c:scaling>
          <c:orientation val="minMax"/>
        </c:scaling>
        <c:delete val="0"/>
        <c:axPos val="l"/>
        <c:numFmt formatCode="General" sourceLinked="1"/>
        <c:majorTickMark val="out"/>
        <c:minorTickMark val="none"/>
        <c:tickLblPos val="nextTo"/>
        <c:spPr>
          <a:ln w="3173">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en-US"/>
          </a:p>
        </c:txPr>
        <c:crossAx val="296882560"/>
        <c:crosses val="autoZero"/>
        <c:auto val="1"/>
        <c:lblAlgn val="ctr"/>
        <c:lblOffset val="100"/>
        <c:tickLblSkip val="1"/>
        <c:tickMarkSkip val="1"/>
        <c:noMultiLvlLbl val="0"/>
      </c:catAx>
      <c:valAx>
        <c:axId val="296882560"/>
        <c:scaling>
          <c:orientation val="minMax"/>
        </c:scaling>
        <c:delete val="0"/>
        <c:axPos val="b"/>
        <c:majorGridlines>
          <c:spPr>
            <a:ln w="3173">
              <a:solidFill>
                <a:srgbClr val="000000"/>
              </a:solidFill>
              <a:prstDash val="solid"/>
            </a:ln>
          </c:spPr>
        </c:majorGridlines>
        <c:title>
          <c:tx>
            <c:rich>
              <a:bodyPr/>
              <a:lstStyle/>
              <a:p>
                <a:pPr>
                  <a:defRPr sz="1099" b="1" i="0" u="none" strike="noStrike" baseline="0">
                    <a:solidFill>
                      <a:srgbClr val="000000"/>
                    </a:solidFill>
                    <a:latin typeface="Arial"/>
                    <a:ea typeface="Arial"/>
                    <a:cs typeface="Arial"/>
                  </a:defRPr>
                </a:pPr>
                <a:r>
                  <a:rPr lang="en-US"/>
                  <a:t>ha</a:t>
                </a:r>
              </a:p>
            </c:rich>
          </c:tx>
          <c:layout>
            <c:manualLayout>
              <c:xMode val="edge"/>
              <c:yMode val="edge"/>
              <c:x val="0.40594059405940708"/>
              <c:y val="0.78571428571428559"/>
            </c:manualLayout>
          </c:layout>
          <c:overlay val="0"/>
          <c:spPr>
            <a:noFill/>
            <a:ln w="25380">
              <a:noFill/>
            </a:ln>
          </c:spPr>
        </c:title>
        <c:numFmt formatCode="General" sourceLinked="1"/>
        <c:majorTickMark val="out"/>
        <c:minorTickMark val="none"/>
        <c:tickLblPos val="nextTo"/>
        <c:spPr>
          <a:ln w="3173">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en-US"/>
          </a:p>
        </c:txPr>
        <c:crossAx val="296487552"/>
        <c:crosses val="autoZero"/>
        <c:crossBetween val="between"/>
      </c:valAx>
      <c:spPr>
        <a:solidFill>
          <a:srgbClr val="C0C0C0"/>
        </a:solidFill>
        <a:ln w="12690">
          <a:solidFill>
            <a:srgbClr val="808080"/>
          </a:solidFill>
          <a:prstDash val="solid"/>
        </a:ln>
      </c:spPr>
    </c:plotArea>
    <c:legend>
      <c:legendPos val="r"/>
      <c:layout>
        <c:manualLayout>
          <c:xMode val="edge"/>
          <c:yMode val="edge"/>
          <c:x val="0.80528052805280526"/>
          <c:y val="0.20329670329670341"/>
          <c:w val="0.1848184818481857"/>
          <c:h val="0.31868131868131866"/>
        </c:manualLayout>
      </c:layout>
      <c:overlay val="0"/>
      <c:spPr>
        <a:noFill/>
        <a:ln w="3173">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en-US"/>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5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3548387096774195"/>
          <c:y val="8.2677165354330728E-2"/>
          <c:w val="0.51774193548387493"/>
          <c:h val="0.66141732283464549"/>
        </c:manualLayout>
      </c:layout>
      <c:bar3DChart>
        <c:barDir val="col"/>
        <c:grouping val="clustered"/>
        <c:varyColors val="0"/>
        <c:ser>
          <c:idx val="0"/>
          <c:order val="0"/>
          <c:tx>
            <c:strRef>
              <c:f>Sheet1!$A$2</c:f>
              <c:strCache>
                <c:ptCount val="1"/>
                <c:pt idx="0">
                  <c:v>Volum total de masă lemnoasă recoltat, din care: </c:v>
                </c:pt>
              </c:strCache>
            </c:strRef>
          </c:tx>
          <c:spPr>
            <a:solidFill>
              <a:srgbClr val="9999FF"/>
            </a:solidFill>
            <a:ln w="12678">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163.1</c:v>
                </c:pt>
                <c:pt idx="1">
                  <c:v>165.3</c:v>
                </c:pt>
                <c:pt idx="2">
                  <c:v>158</c:v>
                </c:pt>
                <c:pt idx="3">
                  <c:v>157.4</c:v>
                </c:pt>
                <c:pt idx="4">
                  <c:v>151.97</c:v>
                </c:pt>
              </c:numCache>
            </c:numRef>
          </c:val>
        </c:ser>
        <c:ser>
          <c:idx val="1"/>
          <c:order val="1"/>
          <c:tx>
            <c:strRef>
              <c:f>Sheet1!$A$3</c:f>
              <c:strCache>
                <c:ptCount val="1"/>
                <c:pt idx="0">
                  <c:v>răşinoase</c:v>
                </c:pt>
              </c:strCache>
            </c:strRef>
          </c:tx>
          <c:spPr>
            <a:solidFill>
              <a:srgbClr val="993366"/>
            </a:solidFill>
            <a:ln w="12678">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Sheet1!$B$3:$F$3</c:f>
              <c:numCache>
                <c:formatCode>General</c:formatCode>
                <c:ptCount val="5"/>
                <c:pt idx="0">
                  <c:v>0.4</c:v>
                </c:pt>
                <c:pt idx="1">
                  <c:v>1</c:v>
                </c:pt>
                <c:pt idx="2">
                  <c:v>3.8</c:v>
                </c:pt>
                <c:pt idx="3">
                  <c:v>2.7</c:v>
                </c:pt>
                <c:pt idx="4">
                  <c:v>0.1</c:v>
                </c:pt>
              </c:numCache>
            </c:numRef>
          </c:val>
        </c:ser>
        <c:ser>
          <c:idx val="2"/>
          <c:order val="2"/>
          <c:tx>
            <c:strRef>
              <c:f>Sheet1!$A$4</c:f>
              <c:strCache>
                <c:ptCount val="1"/>
                <c:pt idx="0">
                  <c:v>fag</c:v>
                </c:pt>
              </c:strCache>
            </c:strRef>
          </c:tx>
          <c:spPr>
            <a:solidFill>
              <a:srgbClr val="FFFFCC"/>
            </a:solidFill>
            <a:ln w="12678">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Sheet1!$B$4:$F$4</c:f>
              <c:numCache>
                <c:formatCode>General</c:formatCode>
                <c:ptCount val="5"/>
                <c:pt idx="0">
                  <c:v>22.4</c:v>
                </c:pt>
                <c:pt idx="1">
                  <c:v>18.3</c:v>
                </c:pt>
                <c:pt idx="2">
                  <c:v>17.3</c:v>
                </c:pt>
                <c:pt idx="3">
                  <c:v>13.8</c:v>
                </c:pt>
                <c:pt idx="4">
                  <c:v>15.6</c:v>
                </c:pt>
              </c:numCache>
            </c:numRef>
          </c:val>
        </c:ser>
        <c:ser>
          <c:idx val="3"/>
          <c:order val="3"/>
          <c:tx>
            <c:strRef>
              <c:f>Sheet1!$A$5</c:f>
              <c:strCache>
                <c:ptCount val="1"/>
                <c:pt idx="0">
                  <c:v>stejar</c:v>
                </c:pt>
              </c:strCache>
            </c:strRef>
          </c:tx>
          <c:spPr>
            <a:solidFill>
              <a:srgbClr val="CCFFFF"/>
            </a:solidFill>
            <a:ln w="12678">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Sheet1!$B$5:$F$5</c:f>
              <c:numCache>
                <c:formatCode>General</c:formatCode>
                <c:ptCount val="5"/>
                <c:pt idx="0">
                  <c:v>20.9</c:v>
                </c:pt>
                <c:pt idx="1">
                  <c:v>20.100000000000001</c:v>
                </c:pt>
                <c:pt idx="2">
                  <c:v>18.899999999999999</c:v>
                </c:pt>
                <c:pt idx="3">
                  <c:v>18.399999999999999</c:v>
                </c:pt>
                <c:pt idx="4">
                  <c:v>15.07</c:v>
                </c:pt>
              </c:numCache>
            </c:numRef>
          </c:val>
        </c:ser>
        <c:ser>
          <c:idx val="4"/>
          <c:order val="4"/>
          <c:tx>
            <c:strRef>
              <c:f>Sheet1!$A$6</c:f>
              <c:strCache>
                <c:ptCount val="1"/>
                <c:pt idx="0">
                  <c:v>diverse specii tari</c:v>
                </c:pt>
              </c:strCache>
            </c:strRef>
          </c:tx>
          <c:spPr>
            <a:solidFill>
              <a:srgbClr val="660066"/>
            </a:solidFill>
            <a:ln w="12678">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Sheet1!$B$6:$F$6</c:f>
              <c:numCache>
                <c:formatCode>General</c:formatCode>
                <c:ptCount val="5"/>
                <c:pt idx="0">
                  <c:v>71.2</c:v>
                </c:pt>
                <c:pt idx="1">
                  <c:v>70.5</c:v>
                </c:pt>
                <c:pt idx="2">
                  <c:v>60.9</c:v>
                </c:pt>
                <c:pt idx="3">
                  <c:v>68.3</c:v>
                </c:pt>
                <c:pt idx="4">
                  <c:v>68</c:v>
                </c:pt>
              </c:numCache>
            </c:numRef>
          </c:val>
        </c:ser>
        <c:ser>
          <c:idx val="5"/>
          <c:order val="5"/>
          <c:tx>
            <c:strRef>
              <c:f>Sheet1!$A$7</c:f>
              <c:strCache>
                <c:ptCount val="1"/>
                <c:pt idx="0">
                  <c:v>diverse specii moi</c:v>
                </c:pt>
              </c:strCache>
            </c:strRef>
          </c:tx>
          <c:spPr>
            <a:solidFill>
              <a:srgbClr val="FF8080"/>
            </a:solidFill>
            <a:ln w="12678">
              <a:solidFill>
                <a:srgbClr val="000000"/>
              </a:solidFill>
              <a:prstDash val="solid"/>
            </a:ln>
          </c:spPr>
          <c:invertIfNegative val="0"/>
          <c:cat>
            <c:numRef>
              <c:f>Sheet1!$B$1:$F$1</c:f>
              <c:numCache>
                <c:formatCode>General</c:formatCode>
                <c:ptCount val="5"/>
                <c:pt idx="0">
                  <c:v>2011</c:v>
                </c:pt>
                <c:pt idx="1">
                  <c:v>2012</c:v>
                </c:pt>
                <c:pt idx="2">
                  <c:v>2013</c:v>
                </c:pt>
                <c:pt idx="3">
                  <c:v>2014</c:v>
                </c:pt>
                <c:pt idx="4">
                  <c:v>2015</c:v>
                </c:pt>
              </c:numCache>
            </c:numRef>
          </c:cat>
          <c:val>
            <c:numRef>
              <c:f>Sheet1!$B$7:$F$7</c:f>
              <c:numCache>
                <c:formatCode>General</c:formatCode>
                <c:ptCount val="5"/>
                <c:pt idx="0">
                  <c:v>48.2</c:v>
                </c:pt>
                <c:pt idx="1">
                  <c:v>55.4</c:v>
                </c:pt>
                <c:pt idx="2">
                  <c:v>57.1</c:v>
                </c:pt>
                <c:pt idx="3">
                  <c:v>54.2</c:v>
                </c:pt>
                <c:pt idx="4">
                  <c:v>52.9</c:v>
                </c:pt>
              </c:numCache>
            </c:numRef>
          </c:val>
        </c:ser>
        <c:dLbls>
          <c:showLegendKey val="0"/>
          <c:showVal val="0"/>
          <c:showCatName val="0"/>
          <c:showSerName val="0"/>
          <c:showPercent val="0"/>
          <c:showBubbleSize val="0"/>
        </c:dLbls>
        <c:gapWidth val="150"/>
        <c:gapDepth val="0"/>
        <c:shape val="box"/>
        <c:axId val="296637184"/>
        <c:axId val="296639104"/>
        <c:axId val="0"/>
      </c:bar3DChart>
      <c:catAx>
        <c:axId val="296637184"/>
        <c:scaling>
          <c:orientation val="minMax"/>
        </c:scaling>
        <c:delete val="0"/>
        <c:axPos val="b"/>
        <c:title>
          <c:tx>
            <c:rich>
              <a:bodyPr/>
              <a:lstStyle/>
              <a:p>
                <a:pPr>
                  <a:defRPr sz="849" b="1" i="0" u="none" strike="noStrike" baseline="0">
                    <a:solidFill>
                      <a:srgbClr val="000000"/>
                    </a:solidFill>
                    <a:latin typeface="Calibri"/>
                    <a:ea typeface="Calibri"/>
                    <a:cs typeface="Calibri"/>
                  </a:defRPr>
                </a:pPr>
                <a:r>
                  <a:rPr lang="en-US"/>
                  <a:t>An</a:t>
                </a:r>
              </a:p>
            </c:rich>
          </c:tx>
          <c:layout>
            <c:manualLayout>
              <c:xMode val="edge"/>
              <c:yMode val="edge"/>
              <c:x val="0.61129032258064564"/>
              <c:y val="0.73228346456692917"/>
            </c:manualLayout>
          </c:layout>
          <c:overlay val="0"/>
          <c:spPr>
            <a:noFill/>
            <a:ln w="25355">
              <a:noFill/>
            </a:ln>
          </c:spPr>
        </c:title>
        <c:numFmt formatCode="General" sourceLinked="1"/>
        <c:majorTickMark val="out"/>
        <c:minorTickMark val="none"/>
        <c:tickLblPos val="low"/>
        <c:spPr>
          <a:ln w="3169">
            <a:solidFill>
              <a:srgbClr val="000000"/>
            </a:solidFill>
            <a:prstDash val="solid"/>
          </a:ln>
        </c:spPr>
        <c:txPr>
          <a:bodyPr rot="0" vert="horz"/>
          <a:lstStyle/>
          <a:p>
            <a:pPr>
              <a:defRPr sz="1123" b="1" i="0" u="none" strike="noStrike" baseline="0">
                <a:solidFill>
                  <a:srgbClr val="000000"/>
                </a:solidFill>
                <a:latin typeface="Calibri"/>
                <a:ea typeface="Calibri"/>
                <a:cs typeface="Calibri"/>
              </a:defRPr>
            </a:pPr>
            <a:endParaRPr lang="en-US"/>
          </a:p>
        </c:txPr>
        <c:crossAx val="296639104"/>
        <c:crosses val="autoZero"/>
        <c:auto val="1"/>
        <c:lblAlgn val="ctr"/>
        <c:lblOffset val="100"/>
        <c:tickLblSkip val="1"/>
        <c:tickMarkSkip val="1"/>
        <c:noMultiLvlLbl val="0"/>
      </c:catAx>
      <c:valAx>
        <c:axId val="296639104"/>
        <c:scaling>
          <c:orientation val="minMax"/>
        </c:scaling>
        <c:delete val="0"/>
        <c:axPos val="l"/>
        <c:majorGridlines>
          <c:spPr>
            <a:ln w="3169">
              <a:solidFill>
                <a:srgbClr val="000000"/>
              </a:solidFill>
              <a:prstDash val="solid"/>
            </a:ln>
          </c:spPr>
        </c:majorGridlines>
        <c:title>
          <c:tx>
            <c:rich>
              <a:bodyPr rot="0" vert="horz"/>
              <a:lstStyle/>
              <a:p>
                <a:pPr algn="ctr">
                  <a:defRPr sz="849" b="1" i="0" u="none" strike="noStrike" baseline="0">
                    <a:solidFill>
                      <a:srgbClr val="000000"/>
                    </a:solidFill>
                    <a:latin typeface="Calibri"/>
                    <a:ea typeface="Calibri"/>
                    <a:cs typeface="Calibri"/>
                  </a:defRPr>
                </a:pPr>
                <a:r>
                  <a:rPr lang="en-US" sz="799" b="1" i="0" u="none" strike="noStrike" baseline="0">
                    <a:solidFill>
                      <a:srgbClr val="000000"/>
                    </a:solidFill>
                    <a:latin typeface="Calibri"/>
                  </a:rPr>
                  <a:t>m</a:t>
                </a:r>
                <a:r>
                  <a:rPr lang="en-US" sz="973" b="1" i="0" u="none" strike="noStrike" baseline="0">
                    <a:solidFill>
                      <a:srgbClr val="000000"/>
                    </a:solidFill>
                    <a:latin typeface="Calibri"/>
                  </a:rPr>
                  <a:t>3</a:t>
                </a:r>
                <a:r>
                  <a:rPr lang="en-US" sz="799" b="1" i="0" u="none" strike="noStrike" baseline="0">
                    <a:solidFill>
                      <a:srgbClr val="000000"/>
                    </a:solidFill>
                    <a:latin typeface="Calibri"/>
                  </a:rPr>
                  <a:t>x10</a:t>
                </a:r>
                <a:r>
                  <a:rPr lang="en-US" sz="973" b="1" i="0" u="none" strike="noStrike" baseline="0">
                    <a:solidFill>
                      <a:srgbClr val="000000"/>
                    </a:solidFill>
                    <a:latin typeface="Calibri"/>
                  </a:rPr>
                  <a:t>3</a:t>
                </a:r>
              </a:p>
            </c:rich>
          </c:tx>
          <c:layout>
            <c:manualLayout>
              <c:xMode val="edge"/>
              <c:yMode val="edge"/>
              <c:x val="0.05"/>
              <c:y val="0.37401574803149606"/>
            </c:manualLayout>
          </c:layout>
          <c:overlay val="0"/>
          <c:spPr>
            <a:noFill/>
            <a:ln w="25355">
              <a:noFill/>
            </a:ln>
          </c:spPr>
        </c:title>
        <c:numFmt formatCode="General" sourceLinked="1"/>
        <c:majorTickMark val="out"/>
        <c:minorTickMark val="none"/>
        <c:tickLblPos val="nextTo"/>
        <c:spPr>
          <a:ln w="3169">
            <a:solidFill>
              <a:srgbClr val="000000"/>
            </a:solidFill>
            <a:prstDash val="solid"/>
          </a:ln>
        </c:spPr>
        <c:txPr>
          <a:bodyPr rot="0" vert="horz"/>
          <a:lstStyle/>
          <a:p>
            <a:pPr>
              <a:defRPr sz="1123" b="1" i="0" u="none" strike="noStrike" baseline="0">
                <a:solidFill>
                  <a:srgbClr val="000000"/>
                </a:solidFill>
                <a:latin typeface="Calibri"/>
                <a:ea typeface="Calibri"/>
                <a:cs typeface="Calibri"/>
              </a:defRPr>
            </a:pPr>
            <a:endParaRPr lang="en-US"/>
          </a:p>
        </c:txPr>
        <c:crossAx val="296637184"/>
        <c:crosses val="autoZero"/>
        <c:crossBetween val="between"/>
      </c:valAx>
      <c:spPr>
        <a:noFill/>
        <a:ln w="25355">
          <a:noFill/>
        </a:ln>
      </c:spPr>
    </c:plotArea>
    <c:legend>
      <c:legendPos val="r"/>
      <c:layout>
        <c:manualLayout>
          <c:xMode val="edge"/>
          <c:yMode val="edge"/>
          <c:x val="0.67096774193548392"/>
          <c:y val="0.1062992125984252"/>
          <c:w val="0.32258064516129153"/>
          <c:h val="0.70866141732283683"/>
        </c:manualLayout>
      </c:layout>
      <c:overlay val="0"/>
      <c:spPr>
        <a:noFill/>
        <a:ln w="3169">
          <a:solidFill>
            <a:srgbClr val="000000"/>
          </a:solidFill>
          <a:prstDash val="solid"/>
        </a:ln>
      </c:spPr>
      <c:txPr>
        <a:bodyPr/>
        <a:lstStyle/>
        <a:p>
          <a:pPr>
            <a:defRPr sz="779"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123" b="1" i="0" u="none" strike="noStrike" baseline="0">
          <a:solidFill>
            <a:srgbClr val="000000"/>
          </a:solidFill>
          <a:latin typeface="Calibri"/>
          <a:ea typeface="Calibri"/>
          <a:cs typeface="Calibri"/>
        </a:defRPr>
      </a:pPr>
      <a:endParaRPr lang="en-US"/>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30"/>
      <c:rAngAx val="0"/>
      <c:perspective val="0"/>
    </c:view3D>
    <c:floor>
      <c:thickness val="0"/>
    </c:floor>
    <c:sideWall>
      <c:thickness val="0"/>
    </c:sideWall>
    <c:backWall>
      <c:thickness val="0"/>
    </c:backWall>
    <c:plotArea>
      <c:layout>
        <c:manualLayout>
          <c:layoutTarget val="inner"/>
          <c:xMode val="edge"/>
          <c:yMode val="edge"/>
          <c:x val="9.9793652641970043E-2"/>
          <c:y val="4.5043888917406724E-3"/>
          <c:w val="0.76872964169381619"/>
          <c:h val="0.84234234234234229"/>
        </c:manualLayout>
      </c:layout>
      <c:pie3DChart>
        <c:varyColors val="1"/>
        <c:ser>
          <c:idx val="0"/>
          <c:order val="0"/>
          <c:tx>
            <c:strRef>
              <c:f>Sheet1!$A$2</c:f>
              <c:strCache>
                <c:ptCount val="1"/>
                <c:pt idx="0">
                  <c:v>%</c:v>
                </c:pt>
              </c:strCache>
            </c:strRef>
          </c:tx>
          <c:spPr>
            <a:solidFill>
              <a:srgbClr val="9999FF"/>
            </a:solidFill>
            <a:ln w="12674">
              <a:solidFill>
                <a:srgbClr val="000000"/>
              </a:solidFill>
              <a:prstDash val="solid"/>
            </a:ln>
          </c:spPr>
          <c:explosion val="31"/>
          <c:dPt>
            <c:idx val="0"/>
            <c:bubble3D val="0"/>
            <c:explosion val="0"/>
          </c:dPt>
          <c:dPt>
            <c:idx val="1"/>
            <c:bubble3D val="0"/>
            <c:spPr>
              <a:solidFill>
                <a:srgbClr val="993366"/>
              </a:solidFill>
              <a:ln w="12674">
                <a:solidFill>
                  <a:srgbClr val="000000"/>
                </a:solidFill>
                <a:prstDash val="solid"/>
              </a:ln>
            </c:spPr>
          </c:dPt>
          <c:dPt>
            <c:idx val="2"/>
            <c:bubble3D val="0"/>
            <c:spPr>
              <a:solidFill>
                <a:srgbClr val="FFFFCC"/>
              </a:solidFill>
              <a:ln w="12674">
                <a:solidFill>
                  <a:srgbClr val="000000"/>
                </a:solidFill>
                <a:prstDash val="solid"/>
              </a:ln>
            </c:spPr>
          </c:dPt>
          <c:dPt>
            <c:idx val="3"/>
            <c:bubble3D val="0"/>
            <c:spPr>
              <a:solidFill>
                <a:srgbClr val="CCFFFF"/>
              </a:solidFill>
              <a:ln w="12674">
                <a:solidFill>
                  <a:srgbClr val="000000"/>
                </a:solidFill>
                <a:prstDash val="solid"/>
              </a:ln>
            </c:spPr>
          </c:dPt>
          <c:dLbls>
            <c:dLbl>
              <c:idx val="0"/>
              <c:tx>
                <c:rich>
                  <a:bodyPr/>
                  <a:lstStyle/>
                  <a:p>
                    <a:r>
                      <a:rPr lang="en-US"/>
                      <a:t>92.43</a:t>
                    </a:r>
                    <a:r>
                      <a:rPr lang="ro-RO"/>
                      <a:t>%</a:t>
                    </a:r>
                    <a:endParaRPr lang="en-US"/>
                  </a:p>
                </c:rich>
              </c:tx>
              <c:showLegendKey val="0"/>
              <c:showVal val="1"/>
              <c:showCatName val="0"/>
              <c:showSerName val="0"/>
              <c:showPercent val="0"/>
              <c:showBubbleSize val="0"/>
            </c:dLbl>
            <c:dLbl>
              <c:idx val="2"/>
              <c:tx>
                <c:rich>
                  <a:bodyPr/>
                  <a:lstStyle/>
                  <a:p>
                    <a:r>
                      <a:rPr lang="en-US"/>
                      <a:t>6.97</a:t>
                    </a:r>
                    <a:r>
                      <a:rPr lang="ro-RO"/>
                      <a:t>%</a:t>
                    </a:r>
                    <a:endParaRPr lang="en-US"/>
                  </a:p>
                </c:rich>
              </c:tx>
              <c:showLegendKey val="0"/>
              <c:showVal val="1"/>
              <c:showCatName val="0"/>
              <c:showSerName val="0"/>
              <c:showPercent val="0"/>
              <c:showBubbleSize val="0"/>
            </c:dLbl>
            <c:dLbl>
              <c:idx val="3"/>
              <c:tx>
                <c:rich>
                  <a:bodyPr/>
                  <a:lstStyle/>
                  <a:p>
                    <a:r>
                      <a:rPr lang="en-US"/>
                      <a:t>0.6</a:t>
                    </a:r>
                    <a:r>
                      <a:rPr lang="ro-RO"/>
                      <a:t>%</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Sheet1!$B$1:$E$1</c:f>
              <c:strCache>
                <c:ptCount val="4"/>
                <c:pt idx="0">
                  <c:v>Proprietatea publică a statului</c:v>
                </c:pt>
                <c:pt idx="1">
                  <c:v>Proprietate publică a persoanelor fizice şi juridice</c:v>
                </c:pt>
                <c:pt idx="2">
                  <c:v>proprietate publică a UAT</c:v>
                </c:pt>
                <c:pt idx="3">
                  <c:v>Vegetaţie din afara fondului forestier local</c:v>
                </c:pt>
              </c:strCache>
            </c:strRef>
          </c:cat>
          <c:val>
            <c:numRef>
              <c:f>Sheet1!$B$2:$E$2</c:f>
              <c:numCache>
                <c:formatCode>General</c:formatCode>
                <c:ptCount val="4"/>
                <c:pt idx="0">
                  <c:v>92.43</c:v>
                </c:pt>
                <c:pt idx="1">
                  <c:v>0</c:v>
                </c:pt>
                <c:pt idx="2">
                  <c:v>6.9700000000000024</c:v>
                </c:pt>
                <c:pt idx="3">
                  <c:v>0.60000000000000031</c:v>
                </c:pt>
              </c:numCache>
            </c:numRef>
          </c:val>
        </c:ser>
        <c:ser>
          <c:idx val="4"/>
          <c:order val="1"/>
          <c:tx>
            <c:strRef>
              <c:f>Sheet1!$A$3</c:f>
              <c:strCache>
                <c:ptCount val="1"/>
              </c:strCache>
            </c:strRef>
          </c:tx>
          <c:spPr>
            <a:solidFill>
              <a:srgbClr val="660066"/>
            </a:solidFill>
            <a:ln w="12674">
              <a:solidFill>
                <a:srgbClr val="000000"/>
              </a:solidFill>
              <a:prstDash val="solid"/>
            </a:ln>
          </c:spPr>
          <c:explosion val="31"/>
          <c:dPt>
            <c:idx val="0"/>
            <c:bubble3D val="0"/>
            <c:spPr>
              <a:solidFill>
                <a:srgbClr val="9999FF"/>
              </a:solidFill>
              <a:ln w="12674">
                <a:solidFill>
                  <a:srgbClr val="000000"/>
                </a:solidFill>
                <a:prstDash val="solid"/>
              </a:ln>
            </c:spPr>
          </c:dPt>
          <c:dPt>
            <c:idx val="1"/>
            <c:bubble3D val="0"/>
            <c:spPr>
              <a:solidFill>
                <a:srgbClr val="993366"/>
              </a:solidFill>
              <a:ln w="12674">
                <a:solidFill>
                  <a:srgbClr val="000000"/>
                </a:solidFill>
                <a:prstDash val="solid"/>
              </a:ln>
            </c:spPr>
          </c:dPt>
          <c:dPt>
            <c:idx val="2"/>
            <c:bubble3D val="0"/>
            <c:spPr>
              <a:solidFill>
                <a:srgbClr val="FFFFCC"/>
              </a:solidFill>
              <a:ln w="12674">
                <a:solidFill>
                  <a:srgbClr val="000000"/>
                </a:solidFill>
                <a:prstDash val="solid"/>
              </a:ln>
            </c:spPr>
          </c:dPt>
          <c:dPt>
            <c:idx val="3"/>
            <c:bubble3D val="0"/>
            <c:spPr>
              <a:solidFill>
                <a:srgbClr val="CCFFFF"/>
              </a:solidFill>
              <a:ln w="12674">
                <a:solidFill>
                  <a:srgbClr val="000000"/>
                </a:solidFill>
                <a:prstDash val="solid"/>
              </a:ln>
            </c:spPr>
          </c:dPt>
          <c:dLbls>
            <c:spPr>
              <a:noFill/>
              <a:ln w="25349">
                <a:noFill/>
              </a:ln>
            </c:spPr>
            <c:txPr>
              <a:bodyPr/>
              <a:lstStyle/>
              <a:p>
                <a:pPr>
                  <a:defRPr sz="1722"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1"/>
          </c:dLbls>
          <c:cat>
            <c:strRef>
              <c:f>Sheet1!$B$1:$E$1</c:f>
              <c:strCache>
                <c:ptCount val="4"/>
                <c:pt idx="0">
                  <c:v>Proprietatea publică a statului</c:v>
                </c:pt>
                <c:pt idx="1">
                  <c:v>Proprietate publică a persoanelor fizice şi juridice</c:v>
                </c:pt>
                <c:pt idx="2">
                  <c:v>proprietate publică a UAT</c:v>
                </c:pt>
                <c:pt idx="3">
                  <c:v>Vegetaţie din afara fondului forestier local</c:v>
                </c:pt>
              </c:strCache>
            </c:strRef>
          </c:cat>
          <c:val>
            <c:numRef>
              <c:f>Sheet1!$B$3:$E$3</c:f>
              <c:numCache>
                <c:formatCode>General</c:formatCode>
                <c:ptCount val="4"/>
              </c:numCache>
            </c:numRef>
          </c:val>
        </c:ser>
        <c:dLbls>
          <c:showLegendKey val="0"/>
          <c:showVal val="1"/>
          <c:showCatName val="0"/>
          <c:showSerName val="0"/>
          <c:showPercent val="0"/>
          <c:showBubbleSize val="0"/>
          <c:showLeaderLines val="1"/>
        </c:dLbls>
      </c:pie3DChart>
      <c:spPr>
        <a:solidFill>
          <a:srgbClr val="C0C0C0"/>
        </a:solidFill>
        <a:ln w="12674">
          <a:solidFill>
            <a:srgbClr val="808080"/>
          </a:solidFill>
          <a:prstDash val="solid"/>
        </a:ln>
      </c:spPr>
    </c:plotArea>
    <c:legend>
      <c:legendPos val="r"/>
      <c:layout>
        <c:manualLayout>
          <c:xMode val="edge"/>
          <c:yMode val="edge"/>
          <c:x val="1.4657980456026058E-2"/>
          <c:y val="0.83783783783783783"/>
          <c:w val="0.92508143322475755"/>
          <c:h val="0.16666666666666666"/>
        </c:manualLayout>
      </c:layout>
      <c:overlay val="0"/>
      <c:spPr>
        <a:noFill/>
        <a:ln w="3169">
          <a:solidFill>
            <a:srgbClr val="000000"/>
          </a:solidFill>
          <a:prstDash val="solid"/>
        </a:ln>
      </c:spPr>
      <c:txPr>
        <a:bodyPr/>
        <a:lstStyle/>
        <a:p>
          <a:pPr>
            <a:defRPr sz="918" b="1" i="0" u="none" strike="noStrike" baseline="0">
              <a:solidFill>
                <a:srgbClr val="000000"/>
              </a:solidFill>
              <a:latin typeface="Calibri"/>
              <a:ea typeface="Calibri"/>
              <a:cs typeface="Calibri"/>
            </a:defRPr>
          </a:pPr>
          <a:endParaRPr lang="en-US"/>
        </a:p>
      </c:txPr>
    </c:legend>
    <c:plotVisOnly val="1"/>
    <c:dispBlanksAs val="zero"/>
    <c:showDLblsOverMax val="0"/>
  </c:chart>
  <c:spPr>
    <a:noFill/>
    <a:ln>
      <a:noFill/>
    </a:ln>
  </c:spPr>
  <c:txPr>
    <a:bodyPr/>
    <a:lstStyle/>
    <a:p>
      <a:pPr>
        <a:defRPr sz="973" b="1" i="0" u="none" strike="noStrike" baseline="0">
          <a:solidFill>
            <a:srgbClr val="000000"/>
          </a:solidFill>
          <a:latin typeface="Calibri"/>
          <a:ea typeface="Calibri"/>
          <a:cs typeface="Calibri"/>
        </a:defRPr>
      </a:pPr>
      <a:endParaRPr lang="en-US"/>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Total deşeuri municipale colectate</c:v>
                </c:pt>
              </c:strCache>
            </c:strRef>
          </c:tx>
          <c:marker>
            <c:symbol val="none"/>
          </c:marker>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71339.42</c:v>
                </c:pt>
                <c:pt idx="1">
                  <c:v>58880.99</c:v>
                </c:pt>
                <c:pt idx="2">
                  <c:v>46887.9</c:v>
                </c:pt>
                <c:pt idx="3">
                  <c:v>33494.5</c:v>
                </c:pt>
                <c:pt idx="4">
                  <c:v>36764.089999999997</c:v>
                </c:pt>
              </c:numCache>
            </c:numRef>
          </c:val>
          <c:smooth val="0"/>
        </c:ser>
        <c:ser>
          <c:idx val="1"/>
          <c:order val="1"/>
          <c:tx>
            <c:strRef>
              <c:f>Sheet1!$C$1</c:f>
              <c:strCache>
                <c:ptCount val="1"/>
                <c:pt idx="0">
                  <c:v>Total deşeuri municipale generate</c:v>
                </c:pt>
              </c:strCache>
            </c:strRef>
          </c:tx>
          <c:marker>
            <c:symbol val="none"/>
          </c:marker>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135929</c:v>
                </c:pt>
                <c:pt idx="1">
                  <c:v>98319</c:v>
                </c:pt>
                <c:pt idx="2">
                  <c:v>106672.6</c:v>
                </c:pt>
                <c:pt idx="3">
                  <c:v>84239.5</c:v>
                </c:pt>
                <c:pt idx="4">
                  <c:v>79169.460000000006</c:v>
                </c:pt>
              </c:numCache>
            </c:numRef>
          </c:val>
          <c:smooth val="0"/>
        </c:ser>
        <c:dLbls>
          <c:showLegendKey val="0"/>
          <c:showVal val="0"/>
          <c:showCatName val="0"/>
          <c:showSerName val="0"/>
          <c:showPercent val="0"/>
          <c:showBubbleSize val="0"/>
        </c:dLbls>
        <c:marker val="1"/>
        <c:smooth val="0"/>
        <c:axId val="296585856"/>
        <c:axId val="297222528"/>
      </c:lineChart>
      <c:catAx>
        <c:axId val="296585856"/>
        <c:scaling>
          <c:orientation val="minMax"/>
        </c:scaling>
        <c:delete val="0"/>
        <c:axPos val="b"/>
        <c:numFmt formatCode="General" sourceLinked="1"/>
        <c:majorTickMark val="out"/>
        <c:minorTickMark val="none"/>
        <c:tickLblPos val="nextTo"/>
        <c:crossAx val="297222528"/>
        <c:crosses val="autoZero"/>
        <c:auto val="1"/>
        <c:lblAlgn val="ctr"/>
        <c:lblOffset val="100"/>
        <c:noMultiLvlLbl val="0"/>
      </c:catAx>
      <c:valAx>
        <c:axId val="297222528"/>
        <c:scaling>
          <c:orientation val="minMax"/>
        </c:scaling>
        <c:delete val="0"/>
        <c:axPos val="l"/>
        <c:majorGridlines/>
        <c:numFmt formatCode="General" sourceLinked="1"/>
        <c:majorTickMark val="out"/>
        <c:minorTickMark val="none"/>
        <c:tickLblPos val="nextTo"/>
        <c:crossAx val="296585856"/>
        <c:crosses val="autoZero"/>
        <c:crossBetween val="between"/>
      </c:valAx>
    </c:plotArea>
    <c:legend>
      <c:legendPos val="r"/>
      <c:overlay val="0"/>
    </c:legend>
    <c:plotVisOnly val="1"/>
    <c:dispBlanksAs val="gap"/>
    <c:showDLblsOverMax val="0"/>
  </c:chart>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Arial" pitchFamily="34" charset="0"/>
                <a:cs typeface="Arial" pitchFamily="34" charset="0"/>
              </a:defRPr>
            </a:pPr>
            <a:r>
              <a:rPr lang="ro-RO" sz="1200" b="0">
                <a:latin typeface="Arial" pitchFamily="34" charset="0"/>
                <a:cs typeface="Arial" pitchFamily="34" charset="0"/>
              </a:rPr>
              <a:t>Indicator de generare</a:t>
            </a:r>
            <a:r>
              <a:rPr lang="ro-RO" sz="1200" b="0" baseline="0">
                <a:latin typeface="Arial" pitchFamily="34" charset="0"/>
                <a:cs typeface="Arial" pitchFamily="34" charset="0"/>
              </a:rPr>
              <a:t> </a:t>
            </a:r>
            <a:r>
              <a:rPr lang="ro-RO" sz="1200" b="0">
                <a:latin typeface="Arial" pitchFamily="34" charset="0"/>
                <a:cs typeface="Arial" pitchFamily="34" charset="0"/>
              </a:rPr>
              <a:t>a deşeurilor municipale</a:t>
            </a:r>
          </a:p>
        </c:rich>
      </c:tx>
      <c:overlay val="0"/>
    </c:title>
    <c:autoTitleDeleted val="0"/>
    <c:plotArea>
      <c:layout>
        <c:manualLayout>
          <c:layoutTarget val="inner"/>
          <c:xMode val="edge"/>
          <c:yMode val="edge"/>
          <c:x val="8.210371807789428E-2"/>
          <c:y val="0.23776544977332764"/>
          <c:w val="0.6660719563582409"/>
          <c:h val="0.66096357273522632"/>
        </c:manualLayout>
      </c:layout>
      <c:lineChart>
        <c:grouping val="standard"/>
        <c:varyColors val="0"/>
        <c:ser>
          <c:idx val="0"/>
          <c:order val="0"/>
          <c:tx>
            <c:strRef>
              <c:f>Foaie1!$B$1</c:f>
              <c:strCache>
                <c:ptCount val="1"/>
                <c:pt idx="0">
                  <c:v>Indic de gen.a des.mun.</c:v>
                </c:pt>
              </c:strCache>
            </c:strRef>
          </c:tx>
          <c:marker>
            <c:symbol val="none"/>
          </c:marker>
          <c:cat>
            <c:numRef>
              <c:f>Foaie1!$A$2:$A$6</c:f>
              <c:numCache>
                <c:formatCode>General</c:formatCode>
                <c:ptCount val="5"/>
                <c:pt idx="0">
                  <c:v>2010</c:v>
                </c:pt>
                <c:pt idx="1">
                  <c:v>2011</c:v>
                </c:pt>
                <c:pt idx="2">
                  <c:v>2012</c:v>
                </c:pt>
                <c:pt idx="3">
                  <c:v>2013</c:v>
                </c:pt>
                <c:pt idx="4">
                  <c:v>2014</c:v>
                </c:pt>
              </c:numCache>
            </c:numRef>
          </c:cat>
          <c:val>
            <c:numRef>
              <c:f>Foaie1!$B$2:$B$6</c:f>
              <c:numCache>
                <c:formatCode>General</c:formatCode>
                <c:ptCount val="5"/>
                <c:pt idx="0">
                  <c:v>301</c:v>
                </c:pt>
                <c:pt idx="1">
                  <c:v>265</c:v>
                </c:pt>
                <c:pt idx="2">
                  <c:v>226.8</c:v>
                </c:pt>
                <c:pt idx="3">
                  <c:v>215.7</c:v>
                </c:pt>
                <c:pt idx="4">
                  <c:v>226.8</c:v>
                </c:pt>
              </c:numCache>
            </c:numRef>
          </c:val>
          <c:smooth val="0"/>
        </c:ser>
        <c:dLbls>
          <c:showLegendKey val="0"/>
          <c:showVal val="0"/>
          <c:showCatName val="0"/>
          <c:showSerName val="0"/>
          <c:showPercent val="0"/>
          <c:showBubbleSize val="0"/>
        </c:dLbls>
        <c:marker val="1"/>
        <c:smooth val="0"/>
        <c:axId val="297259008"/>
        <c:axId val="297260544"/>
      </c:lineChart>
      <c:catAx>
        <c:axId val="297259008"/>
        <c:scaling>
          <c:orientation val="minMax"/>
        </c:scaling>
        <c:delete val="0"/>
        <c:axPos val="b"/>
        <c:numFmt formatCode="General" sourceLinked="1"/>
        <c:majorTickMark val="out"/>
        <c:minorTickMark val="none"/>
        <c:tickLblPos val="nextTo"/>
        <c:crossAx val="297260544"/>
        <c:crosses val="autoZero"/>
        <c:auto val="1"/>
        <c:lblAlgn val="ctr"/>
        <c:lblOffset val="100"/>
        <c:noMultiLvlLbl val="0"/>
      </c:catAx>
      <c:valAx>
        <c:axId val="297260544"/>
        <c:scaling>
          <c:orientation val="minMax"/>
        </c:scaling>
        <c:delete val="0"/>
        <c:axPos val="l"/>
        <c:majorGridlines>
          <c:spPr>
            <a:ln>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c:spPr>
        </c:majorGridlines>
        <c:numFmt formatCode="General" sourceLinked="1"/>
        <c:majorTickMark val="out"/>
        <c:minorTickMark val="none"/>
        <c:tickLblPos val="nextTo"/>
        <c:crossAx val="297259008"/>
        <c:crosses val="autoZero"/>
        <c:crossBetween val="between"/>
      </c:valAx>
    </c:plotArea>
    <c:legend>
      <c:legendPos val="r"/>
      <c:layout>
        <c:manualLayout>
          <c:xMode val="edge"/>
          <c:yMode val="edge"/>
          <c:x val="0.31208903929520548"/>
          <c:y val="0.14290689678550328"/>
          <c:w val="0.51996608116293153"/>
          <c:h val="6.4354615999860559E-2"/>
        </c:manualLayout>
      </c:layout>
      <c:overlay val="0"/>
    </c:legend>
    <c:plotVisOnly val="1"/>
    <c:dispBlanksAs val="gap"/>
    <c:showDLblsOverMax val="0"/>
  </c:chart>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9441786283891564E-2"/>
          <c:y val="0.125"/>
          <c:w val="0.67145135566189984"/>
          <c:h val="0.66666666666666663"/>
        </c:manualLayout>
      </c:layout>
      <c:barChart>
        <c:barDir val="col"/>
        <c:grouping val="clustered"/>
        <c:varyColors val="0"/>
        <c:ser>
          <c:idx val="1"/>
          <c:order val="0"/>
          <c:tx>
            <c:strRef>
              <c:f>Sheet1!$A$2</c:f>
              <c:strCache>
                <c:ptCount val="1"/>
                <c:pt idx="0">
                  <c:v>deşeuri menajere</c:v>
                </c:pt>
              </c:strCache>
            </c:strRef>
          </c:tx>
          <c:spPr>
            <a:solidFill>
              <a:srgbClr val="FF99CC"/>
            </a:solidFill>
            <a:ln w="12692">
              <a:solidFill>
                <a:srgbClr val="000000"/>
              </a:solidFill>
              <a:prstDash val="solid"/>
            </a:ln>
          </c:spPr>
          <c:invertIfNegative val="0"/>
          <c:cat>
            <c:numRef>
              <c:f>Sheet1!$B$1:$B$1</c:f>
              <c:numCache>
                <c:formatCode>General</c:formatCode>
                <c:ptCount val="1"/>
                <c:pt idx="0">
                  <c:v>2014</c:v>
                </c:pt>
              </c:numCache>
            </c:numRef>
          </c:cat>
          <c:val>
            <c:numRef>
              <c:f>Sheet1!$B$2:$B$2</c:f>
              <c:numCache>
                <c:formatCode>General</c:formatCode>
                <c:ptCount val="1"/>
                <c:pt idx="0">
                  <c:v>26.521999999999998</c:v>
                </c:pt>
              </c:numCache>
            </c:numRef>
          </c:val>
        </c:ser>
        <c:ser>
          <c:idx val="2"/>
          <c:order val="1"/>
          <c:tx>
            <c:strRef>
              <c:f>Sheet1!$A$3</c:f>
              <c:strCache>
                <c:ptCount val="1"/>
                <c:pt idx="0">
                  <c:v>deşeuri din servicii municipale</c:v>
                </c:pt>
              </c:strCache>
            </c:strRef>
          </c:tx>
          <c:spPr>
            <a:solidFill>
              <a:srgbClr val="FFFF00"/>
            </a:solidFill>
            <a:ln w="12692">
              <a:solidFill>
                <a:srgbClr val="000000"/>
              </a:solidFill>
              <a:prstDash val="solid"/>
            </a:ln>
          </c:spPr>
          <c:invertIfNegative val="0"/>
          <c:cat>
            <c:numRef>
              <c:f>Sheet1!$B$1:$B$1</c:f>
              <c:numCache>
                <c:formatCode>General</c:formatCode>
                <c:ptCount val="1"/>
                <c:pt idx="0">
                  <c:v>2014</c:v>
                </c:pt>
              </c:numCache>
            </c:numRef>
          </c:cat>
          <c:val>
            <c:numRef>
              <c:f>Sheet1!$B$3:$B$3</c:f>
              <c:numCache>
                <c:formatCode>General</c:formatCode>
                <c:ptCount val="1"/>
                <c:pt idx="0">
                  <c:v>5.1849999999999996</c:v>
                </c:pt>
              </c:numCache>
            </c:numRef>
          </c:val>
        </c:ser>
        <c:ser>
          <c:idx val="3"/>
          <c:order val="2"/>
          <c:tx>
            <c:strRef>
              <c:f>Sheet1!$A$4</c:f>
              <c:strCache>
                <c:ptCount val="1"/>
                <c:pt idx="0">
                  <c:v>deşeuri din constructii</c:v>
                </c:pt>
              </c:strCache>
            </c:strRef>
          </c:tx>
          <c:spPr>
            <a:solidFill>
              <a:srgbClr val="CC99FF"/>
            </a:solidFill>
            <a:ln w="12692">
              <a:solidFill>
                <a:srgbClr val="000000"/>
              </a:solidFill>
              <a:prstDash val="solid"/>
            </a:ln>
          </c:spPr>
          <c:invertIfNegative val="0"/>
          <c:cat>
            <c:numRef>
              <c:f>Sheet1!$B$1:$B$1</c:f>
              <c:numCache>
                <c:formatCode>General</c:formatCode>
                <c:ptCount val="1"/>
                <c:pt idx="0">
                  <c:v>2014</c:v>
                </c:pt>
              </c:numCache>
            </c:numRef>
          </c:cat>
          <c:val>
            <c:numRef>
              <c:f>Sheet1!$B$4:$B$4</c:f>
              <c:numCache>
                <c:formatCode>General</c:formatCode>
                <c:ptCount val="1"/>
                <c:pt idx="0">
                  <c:v>5.07</c:v>
                </c:pt>
              </c:numCache>
            </c:numRef>
          </c:val>
        </c:ser>
        <c:dLbls>
          <c:showLegendKey val="0"/>
          <c:showVal val="0"/>
          <c:showCatName val="0"/>
          <c:showSerName val="0"/>
          <c:showPercent val="0"/>
          <c:showBubbleSize val="0"/>
        </c:dLbls>
        <c:gapWidth val="150"/>
        <c:axId val="296725504"/>
        <c:axId val="296735872"/>
      </c:barChart>
      <c:dateAx>
        <c:axId val="296725504"/>
        <c:scaling>
          <c:orientation val="minMax"/>
        </c:scaling>
        <c:delete val="0"/>
        <c:axPos val="b"/>
        <c:title>
          <c:tx>
            <c:rich>
              <a:bodyPr/>
              <a:lstStyle/>
              <a:p>
                <a:pPr>
                  <a:defRPr sz="799" b="0" i="0" u="none" strike="noStrike" baseline="0">
                    <a:solidFill>
                      <a:srgbClr val="000000"/>
                    </a:solidFill>
                    <a:latin typeface="Arial"/>
                    <a:ea typeface="Arial"/>
                    <a:cs typeface="Arial"/>
                  </a:defRPr>
                </a:pPr>
                <a:r>
                  <a:rPr lang="en-US"/>
                  <a:t>anul</a:t>
                </a:r>
              </a:p>
            </c:rich>
          </c:tx>
          <c:layout>
            <c:manualLayout>
              <c:xMode val="edge"/>
              <c:yMode val="edge"/>
              <c:x val="0.69537480063795853"/>
              <c:y val="0.83928571428571463"/>
            </c:manualLayout>
          </c:layout>
          <c:overlay val="0"/>
          <c:spPr>
            <a:noFill/>
            <a:ln w="25384">
              <a:noFill/>
            </a:ln>
          </c:spPr>
        </c:title>
        <c:numFmt formatCode="General" sourceLinked="1"/>
        <c:majorTickMark val="out"/>
        <c:minorTickMark val="none"/>
        <c:tickLblPos val="nextTo"/>
        <c:spPr>
          <a:ln w="3173">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296735872"/>
        <c:crosses val="autoZero"/>
        <c:auto val="0"/>
        <c:lblOffset val="100"/>
        <c:baseTimeUnit val="days"/>
        <c:majorUnit val="1"/>
        <c:minorUnit val="1"/>
      </c:dateAx>
      <c:valAx>
        <c:axId val="296735872"/>
        <c:scaling>
          <c:orientation val="minMax"/>
        </c:scaling>
        <c:delete val="0"/>
        <c:axPos val="l"/>
        <c:majorGridlines>
          <c:spPr>
            <a:ln w="3173">
              <a:solidFill>
                <a:srgbClr val="000000"/>
              </a:solidFill>
              <a:prstDash val="solid"/>
            </a:ln>
          </c:spPr>
        </c:majorGridlines>
        <c:title>
          <c:tx>
            <c:rich>
              <a:bodyPr rot="0" vert="horz"/>
              <a:lstStyle/>
              <a:p>
                <a:pPr algn="ctr">
                  <a:defRPr sz="799" b="0" i="0" u="none" strike="noStrike" baseline="0">
                    <a:solidFill>
                      <a:srgbClr val="000000"/>
                    </a:solidFill>
                    <a:latin typeface="Arial"/>
                    <a:ea typeface="Arial"/>
                    <a:cs typeface="Arial"/>
                  </a:defRPr>
                </a:pPr>
                <a:r>
                  <a:rPr lang="en-US"/>
                  <a:t>mii tone</a:t>
                </a:r>
              </a:p>
            </c:rich>
          </c:tx>
          <c:layout>
            <c:manualLayout>
              <c:xMode val="edge"/>
              <c:yMode val="edge"/>
              <c:x val="6.2200956937799194E-2"/>
              <c:y val="1.7857142857142856E-2"/>
            </c:manualLayout>
          </c:layout>
          <c:overlay val="0"/>
          <c:spPr>
            <a:noFill/>
            <a:ln w="25384">
              <a:noFill/>
            </a:ln>
          </c:spPr>
        </c:title>
        <c:numFmt formatCode="General" sourceLinked="1"/>
        <c:majorTickMark val="out"/>
        <c:minorTickMark val="none"/>
        <c:tickLblPos val="nextTo"/>
        <c:spPr>
          <a:ln w="3173">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296725504"/>
        <c:crosses val="autoZero"/>
        <c:crossBetween val="between"/>
      </c:valAx>
      <c:spPr>
        <a:noFill/>
        <a:ln w="12692">
          <a:solidFill>
            <a:srgbClr val="808080"/>
          </a:solidFill>
          <a:prstDash val="solid"/>
        </a:ln>
      </c:spPr>
    </c:plotArea>
    <c:legend>
      <c:legendPos val="r"/>
      <c:layout>
        <c:manualLayout>
          <c:xMode val="edge"/>
          <c:yMode val="edge"/>
          <c:x val="0.72613032359206164"/>
          <c:y val="0.29086448270141269"/>
          <c:w val="0.2717931569775105"/>
          <c:h val="0.38421432126494726"/>
        </c:manualLayout>
      </c:layout>
      <c:overlay val="0"/>
      <c:spPr>
        <a:noFill/>
        <a:ln w="3173">
          <a:solidFill>
            <a:srgbClr val="000000"/>
          </a:solidFill>
          <a:prstDash val="solid"/>
        </a:ln>
      </c:spPr>
      <c:txPr>
        <a:bodyPr/>
        <a:lstStyle/>
        <a:p>
          <a:pPr>
            <a:defRPr sz="894" b="0" i="0" u="none" strike="noStrike" baseline="0">
              <a:solidFill>
                <a:srgbClr val="000000"/>
              </a:solidFill>
              <a:latin typeface="Arial"/>
              <a:ea typeface="Arial"/>
              <a:cs typeface="Arial"/>
            </a:defRPr>
          </a:pPr>
          <a:endParaRPr lang="en-US"/>
        </a:p>
      </c:txPr>
    </c:legend>
    <c:plotVisOnly val="1"/>
    <c:dispBlanksAs val="gap"/>
    <c:showDLblsOverMax val="0"/>
  </c:chart>
  <c:spPr>
    <a:noFill/>
    <a:ln w="6350" cap="flat" cmpd="sng" algn="ctr">
      <a:solidFill>
        <a:srgbClr val="000000"/>
      </a:solidFill>
      <a:prstDash val="solid"/>
      <a:miter lim="800000"/>
      <a:headEnd type="none" w="med" len="med"/>
      <a:tailEnd type="none" w="med" len="med"/>
    </a:ln>
  </c:spPr>
  <c:txPr>
    <a:bodyPr/>
    <a:lstStyle/>
    <a:p>
      <a:pPr>
        <a:defRPr sz="799" b="1" i="0" u="none" strike="noStrike" baseline="0">
          <a:solidFill>
            <a:srgbClr val="000000"/>
          </a:solidFill>
          <a:latin typeface="Arial"/>
          <a:ea typeface="Arial"/>
          <a:cs typeface="Arial"/>
        </a:defRPr>
      </a:pPr>
      <a:endParaRPr lang="en-US"/>
    </a:p>
  </c:tx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20"/>
      <c:rAngAx val="0"/>
      <c:perspective val="0"/>
    </c:view3D>
    <c:floor>
      <c:thickness val="0"/>
    </c:floor>
    <c:sideWall>
      <c:thickness val="0"/>
    </c:sideWall>
    <c:backWall>
      <c:thickness val="0"/>
    </c:backWall>
    <c:plotArea>
      <c:layout>
        <c:manualLayout>
          <c:layoutTarget val="inner"/>
          <c:xMode val="edge"/>
          <c:yMode val="edge"/>
          <c:x val="0.30290456431536472"/>
          <c:y val="0.31034482758621368"/>
          <c:w val="0.40041493775934478"/>
          <c:h val="0.42068965517242096"/>
        </c:manualLayout>
      </c:layout>
      <c:pie3DChart>
        <c:varyColors val="1"/>
        <c:ser>
          <c:idx val="0"/>
          <c:order val="0"/>
          <c:tx>
            <c:strRef>
              <c:f>Sheet1!$A$2</c:f>
              <c:strCache>
                <c:ptCount val="1"/>
                <c:pt idx="0">
                  <c:v>2014</c:v>
                </c:pt>
              </c:strCache>
            </c:strRef>
          </c:tx>
          <c:spPr>
            <a:solidFill>
              <a:srgbClr val="FF99CC"/>
            </a:solidFill>
            <a:ln w="12684">
              <a:solidFill>
                <a:srgbClr val="000000"/>
              </a:solidFill>
              <a:prstDash val="solid"/>
            </a:ln>
          </c:spPr>
          <c:explosion val="74"/>
          <c:dPt>
            <c:idx val="1"/>
            <c:bubble3D val="0"/>
            <c:spPr>
              <a:solidFill>
                <a:srgbClr val="FFFF00"/>
              </a:solidFill>
              <a:ln w="12684">
                <a:solidFill>
                  <a:srgbClr val="000000"/>
                </a:solidFill>
                <a:prstDash val="solid"/>
              </a:ln>
            </c:spPr>
          </c:dPt>
          <c:dPt>
            <c:idx val="2"/>
            <c:bubble3D val="0"/>
            <c:spPr>
              <a:solidFill>
                <a:srgbClr val="CC99FF"/>
              </a:solidFill>
              <a:ln w="12684">
                <a:solidFill>
                  <a:srgbClr val="000000"/>
                </a:solidFill>
                <a:prstDash val="solid"/>
              </a:ln>
            </c:spPr>
          </c:dPt>
          <c:dLbls>
            <c:dLbl>
              <c:idx val="0"/>
              <c:layout>
                <c:manualLayout>
                  <c:x val="0.12418157761488786"/>
                  <c:y val="-0.22384119506030994"/>
                </c:manualLayout>
              </c:layout>
              <c:tx>
                <c:rich>
                  <a:bodyPr/>
                  <a:lstStyle/>
                  <a:p>
                    <a:r>
                      <a:rPr lang="en-US"/>
                      <a:t>deşeuri menajere
72.11</a:t>
                    </a:r>
                  </a:p>
                </c:rich>
              </c:tx>
              <c:dLblPos val="bestFit"/>
              <c:showLegendKey val="1"/>
              <c:showVal val="0"/>
              <c:showCatName val="1"/>
              <c:showSerName val="0"/>
              <c:showPercent val="1"/>
              <c:showBubbleSize val="0"/>
            </c:dLbl>
            <c:dLbl>
              <c:idx val="1"/>
              <c:layout>
                <c:manualLayout>
                  <c:x val="-1.6285286572039473E-3"/>
                  <c:y val="7.5736245923594014E-2"/>
                </c:manualLayout>
              </c:layout>
              <c:tx>
                <c:rich>
                  <a:bodyPr/>
                  <a:lstStyle/>
                  <a:p>
                    <a:r>
                      <a:rPr lang="en-US"/>
                      <a:t>deşeuri din servicii municipale
14.1</a:t>
                    </a:r>
                  </a:p>
                </c:rich>
              </c:tx>
              <c:dLblPos val="bestFit"/>
              <c:showLegendKey val="1"/>
              <c:showVal val="0"/>
              <c:showCatName val="1"/>
              <c:showSerName val="0"/>
              <c:showPercent val="1"/>
              <c:showBubbleSize val="0"/>
            </c:dLbl>
            <c:dLbl>
              <c:idx val="2"/>
              <c:tx>
                <c:rich>
                  <a:bodyPr/>
                  <a:lstStyle/>
                  <a:p>
                    <a:r>
                      <a:rPr lang="en-US"/>
                      <a:t>deşeuri din construcţii
13.79%</a:t>
                    </a:r>
                  </a:p>
                </c:rich>
              </c:tx>
              <c:dLblPos val="bestFit"/>
              <c:showLegendKey val="1"/>
              <c:showVal val="0"/>
              <c:showCatName val="1"/>
              <c:showSerName val="0"/>
              <c:showPercent val="1"/>
              <c:showBubbleSize val="0"/>
            </c:dLbl>
            <c:numFmt formatCode="0%" sourceLinked="0"/>
            <c:spPr>
              <a:noFill/>
              <a:ln w="3171">
                <a:solidFill>
                  <a:srgbClr val="000000"/>
                </a:solidFill>
                <a:prstDash val="solid"/>
              </a:ln>
            </c:spPr>
            <c:txPr>
              <a:bodyPr/>
              <a:lstStyle/>
              <a:p>
                <a:pPr>
                  <a:defRPr sz="799" b="0" i="0" u="none" strike="noStrike" baseline="0">
                    <a:solidFill>
                      <a:srgbClr val="000000"/>
                    </a:solidFill>
                    <a:latin typeface="Arial"/>
                    <a:ea typeface="Arial"/>
                    <a:cs typeface="Arial"/>
                  </a:defRPr>
                </a:pPr>
                <a:endParaRPr lang="en-US"/>
              </a:p>
            </c:txPr>
            <c:showLegendKey val="1"/>
            <c:showVal val="0"/>
            <c:showCatName val="1"/>
            <c:showSerName val="0"/>
            <c:showPercent val="1"/>
            <c:showBubbleSize val="0"/>
            <c:showLeaderLines val="1"/>
          </c:dLbls>
          <c:cat>
            <c:strRef>
              <c:f>Sheet1!$B$1:$D$1</c:f>
              <c:strCache>
                <c:ptCount val="3"/>
                <c:pt idx="0">
                  <c:v>deşeuri menajere</c:v>
                </c:pt>
                <c:pt idx="1">
                  <c:v>deşeuri din servicii municipale</c:v>
                </c:pt>
                <c:pt idx="2">
                  <c:v>deşeuri din construcţii</c:v>
                </c:pt>
              </c:strCache>
            </c:strRef>
          </c:cat>
          <c:val>
            <c:numRef>
              <c:f>Sheet1!$B$2:$D$2</c:f>
              <c:numCache>
                <c:formatCode>General</c:formatCode>
                <c:ptCount val="3"/>
                <c:pt idx="0">
                  <c:v>72.11</c:v>
                </c:pt>
                <c:pt idx="1">
                  <c:v>14.1</c:v>
                </c:pt>
                <c:pt idx="2">
                  <c:v>13.79</c:v>
                </c:pt>
              </c:numCache>
            </c:numRef>
          </c:val>
        </c:ser>
        <c:dLbls>
          <c:showLegendKey val="1"/>
          <c:showVal val="0"/>
          <c:showCatName val="1"/>
          <c:showSerName val="0"/>
          <c:showPercent val="1"/>
          <c:showBubbleSize val="0"/>
          <c:showLeaderLines val="1"/>
        </c:dLbls>
      </c:pie3DChart>
      <c:spPr>
        <a:noFill/>
        <a:ln w="25369">
          <a:noFill/>
        </a:ln>
      </c:spPr>
    </c:plotArea>
    <c:plotVisOnly val="1"/>
    <c:dispBlanksAs val="zero"/>
    <c:showDLblsOverMax val="0"/>
  </c:chart>
  <c:spPr>
    <a:noFill/>
    <a:ln w="6350" cap="flat" cmpd="sng" algn="ctr">
      <a:solidFill>
        <a:srgbClr val="000000"/>
      </a:solidFill>
      <a:prstDash val="solid"/>
      <a:miter lim="800000"/>
      <a:headEnd type="none" w="med" len="med"/>
      <a:tailEnd type="none" w="med" len="med"/>
    </a:ln>
  </c:spPr>
  <c:txPr>
    <a:bodyPr/>
    <a:lstStyle/>
    <a:p>
      <a:pPr>
        <a:defRPr sz="799" b="1" i="0" u="none" strike="noStrike" baseline="0">
          <a:solidFill>
            <a:srgbClr val="000000"/>
          </a:solidFill>
          <a:latin typeface="Arial"/>
          <a:ea typeface="Arial"/>
          <a:cs typeface="Arial"/>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a:t>Evolu</a:t>
            </a:r>
            <a:r>
              <a:rPr lang="ro-RO"/>
              <a:t>ţ</a:t>
            </a:r>
            <a:r>
              <a:rPr lang="en-US"/>
              <a:t>ia anual</a:t>
            </a:r>
            <a:r>
              <a:rPr lang="ro-RO"/>
              <a:t>ă</a:t>
            </a:r>
            <a:r>
              <a:rPr lang="en-US"/>
              <a:t> a concentra</a:t>
            </a:r>
            <a:r>
              <a:rPr lang="ro-RO"/>
              <a:t>ţ</a:t>
            </a:r>
            <a:r>
              <a:rPr lang="en-US"/>
              <a:t>iei de ozon</a:t>
            </a:r>
          </a:p>
        </c:rich>
      </c:tx>
      <c:layout>
        <c:manualLayout>
          <c:xMode val="edge"/>
          <c:yMode val="edge"/>
          <c:x val="0.25240847784200388"/>
          <c:y val="1.8099547511312219E-2"/>
        </c:manualLayout>
      </c:layout>
      <c:overlay val="0"/>
      <c:spPr>
        <a:noFill/>
        <a:ln w="25400">
          <a:noFill/>
        </a:ln>
      </c:spPr>
    </c:title>
    <c:autoTitleDeleted val="0"/>
    <c:plotArea>
      <c:layout>
        <c:manualLayout>
          <c:layoutTarget val="inner"/>
          <c:xMode val="edge"/>
          <c:yMode val="edge"/>
          <c:x val="4.4315992292870907E-2"/>
          <c:y val="0.23981900452488689"/>
          <c:w val="0.7225433526011561"/>
          <c:h val="0.64253393665158376"/>
        </c:manualLayout>
      </c:layout>
      <c:lineChart>
        <c:grouping val="standard"/>
        <c:varyColors val="0"/>
        <c:ser>
          <c:idx val="0"/>
          <c:order val="0"/>
          <c:tx>
            <c:strRef>
              <c:f>Sheet1!$A$2</c:f>
              <c:strCache>
                <c:ptCount val="1"/>
                <c:pt idx="0">
                  <c:v>VS1</c:v>
                </c:pt>
              </c:strCache>
            </c:strRef>
          </c:tx>
          <c:spPr>
            <a:ln w="25400">
              <a:solidFill>
                <a:srgbClr val="FF6600"/>
              </a:solidFill>
              <a:prstDash val="solid"/>
            </a:ln>
          </c:spPr>
          <c:marker>
            <c:symbol val="x"/>
            <c:size val="5"/>
            <c:spPr>
              <a:solidFill>
                <a:srgbClr val="FF6600"/>
              </a:solidFill>
              <a:ln>
                <a:solidFill>
                  <a:srgbClr val="FF6600"/>
                </a:solidFill>
                <a:prstDash val="solid"/>
              </a:ln>
            </c:spPr>
          </c:marker>
          <c:cat>
            <c:numRef>
              <c:f>Sheet1!$B$1:$I$1</c:f>
              <c:numCache>
                <c:formatCode>General</c:formatCode>
                <c:ptCount val="8"/>
                <c:pt idx="0">
                  <c:v>2008</c:v>
                </c:pt>
                <c:pt idx="1">
                  <c:v>2009</c:v>
                </c:pt>
                <c:pt idx="2">
                  <c:v>2010</c:v>
                </c:pt>
                <c:pt idx="3">
                  <c:v>2011</c:v>
                </c:pt>
                <c:pt idx="4">
                  <c:v>2012</c:v>
                </c:pt>
                <c:pt idx="5">
                  <c:v>2013</c:v>
                </c:pt>
                <c:pt idx="6">
                  <c:v>2014</c:v>
                </c:pt>
                <c:pt idx="7">
                  <c:v>2015</c:v>
                </c:pt>
              </c:numCache>
            </c:numRef>
          </c:cat>
          <c:val>
            <c:numRef>
              <c:f>Sheet1!$B$2:$I$2</c:f>
              <c:numCache>
                <c:formatCode>General</c:formatCode>
                <c:ptCount val="8"/>
                <c:pt idx="0">
                  <c:v>39.380000000000003</c:v>
                </c:pt>
                <c:pt idx="1">
                  <c:v>40</c:v>
                </c:pt>
                <c:pt idx="2">
                  <c:v>36.03</c:v>
                </c:pt>
                <c:pt idx="3">
                  <c:v>33.659999999999997</c:v>
                </c:pt>
              </c:numCache>
            </c:numRef>
          </c:val>
          <c:smooth val="0"/>
        </c:ser>
        <c:ser>
          <c:idx val="1"/>
          <c:order val="1"/>
          <c:tx>
            <c:strRef>
              <c:f>Sheet1!$A$3</c:f>
              <c:strCache>
                <c:ptCount val="1"/>
                <c:pt idx="0">
                  <c:v>VS2</c:v>
                </c:pt>
              </c:strCache>
            </c:strRef>
          </c:tx>
          <c:spPr>
            <a:ln w="12700">
              <a:solidFill>
                <a:srgbClr val="0000FF"/>
              </a:solidFill>
              <a:prstDash val="solid"/>
            </a:ln>
          </c:spPr>
          <c:marker>
            <c:symbol val="square"/>
            <c:size val="5"/>
            <c:spPr>
              <a:solidFill>
                <a:srgbClr val="0000FF"/>
              </a:solidFill>
              <a:ln>
                <a:solidFill>
                  <a:srgbClr val="0000FF"/>
                </a:solidFill>
                <a:prstDash val="solid"/>
              </a:ln>
            </c:spPr>
          </c:marker>
          <c:dPt>
            <c:idx val="4"/>
            <c:bubble3D val="0"/>
            <c:spPr>
              <a:ln w="25400">
                <a:solidFill>
                  <a:srgbClr val="0000FF"/>
                </a:solidFill>
                <a:prstDash val="solid"/>
              </a:ln>
            </c:spPr>
          </c:dPt>
          <c:cat>
            <c:numRef>
              <c:f>Sheet1!$B$1:$I$1</c:f>
              <c:numCache>
                <c:formatCode>General</c:formatCode>
                <c:ptCount val="8"/>
                <c:pt idx="0">
                  <c:v>2008</c:v>
                </c:pt>
                <c:pt idx="1">
                  <c:v>2009</c:v>
                </c:pt>
                <c:pt idx="2">
                  <c:v>2010</c:v>
                </c:pt>
                <c:pt idx="3">
                  <c:v>2011</c:v>
                </c:pt>
                <c:pt idx="4">
                  <c:v>2012</c:v>
                </c:pt>
                <c:pt idx="5">
                  <c:v>2013</c:v>
                </c:pt>
                <c:pt idx="6">
                  <c:v>2014</c:v>
                </c:pt>
                <c:pt idx="7">
                  <c:v>2015</c:v>
                </c:pt>
              </c:numCache>
            </c:numRef>
          </c:cat>
          <c:val>
            <c:numRef>
              <c:f>Sheet1!$B$3:$I$3</c:f>
              <c:numCache>
                <c:formatCode>General</c:formatCode>
                <c:ptCount val="8"/>
                <c:pt idx="4">
                  <c:v>60.22</c:v>
                </c:pt>
              </c:numCache>
            </c:numRef>
          </c:val>
          <c:smooth val="0"/>
        </c:ser>
        <c:dLbls>
          <c:showLegendKey val="0"/>
          <c:showVal val="0"/>
          <c:showCatName val="0"/>
          <c:showSerName val="0"/>
          <c:showPercent val="0"/>
          <c:showBubbleSize val="0"/>
        </c:dLbls>
        <c:marker val="1"/>
        <c:smooth val="0"/>
        <c:axId val="294654336"/>
        <c:axId val="294655872"/>
      </c:lineChart>
      <c:catAx>
        <c:axId val="29465433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25" b="1" i="0" u="none" strike="noStrike" baseline="0">
                <a:solidFill>
                  <a:srgbClr val="000000"/>
                </a:solidFill>
                <a:latin typeface="Arial"/>
                <a:ea typeface="Arial"/>
                <a:cs typeface="Arial"/>
              </a:defRPr>
            </a:pPr>
            <a:endParaRPr lang="en-US"/>
          </a:p>
        </c:txPr>
        <c:crossAx val="294655872"/>
        <c:crosses val="autoZero"/>
        <c:auto val="1"/>
        <c:lblAlgn val="ctr"/>
        <c:lblOffset val="100"/>
        <c:tickLblSkip val="1"/>
        <c:tickMarkSkip val="1"/>
        <c:noMultiLvlLbl val="0"/>
      </c:catAx>
      <c:valAx>
        <c:axId val="29465587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25" b="1" i="0" u="none" strike="noStrike" baseline="0">
                <a:solidFill>
                  <a:srgbClr val="000000"/>
                </a:solidFill>
                <a:latin typeface="Arial"/>
                <a:ea typeface="Arial"/>
                <a:cs typeface="Arial"/>
              </a:defRPr>
            </a:pPr>
            <a:endParaRPr lang="en-US"/>
          </a:p>
        </c:txPr>
        <c:crossAx val="294654336"/>
        <c:crosses val="autoZero"/>
        <c:crossBetween val="between"/>
      </c:valAx>
      <c:spPr>
        <a:gradFill rotWithShape="0">
          <a:gsLst>
            <a:gs pos="0">
              <a:srgbClr xmlns:mc="http://schemas.openxmlformats.org/markup-compatibility/2006" xmlns:a14="http://schemas.microsoft.com/office/drawing/2010/main" val="FFCC99" mc:Ignorable="a14" a14:legacySpreadsheetColorIndex="47"/>
            </a:gs>
            <a:gs pos="50000">
              <a:srgbClr xmlns:mc="http://schemas.openxmlformats.org/markup-compatibility/2006" xmlns:a14="http://schemas.microsoft.com/office/drawing/2010/main" val="FFFFCC" mc:Ignorable="a14" a14:legacySpreadsheetColorIndex="26"/>
            </a:gs>
            <a:gs pos="100000">
              <a:srgbClr xmlns:mc="http://schemas.openxmlformats.org/markup-compatibility/2006" xmlns:a14="http://schemas.microsoft.com/office/drawing/2010/main" val="FFCC99" mc:Ignorable="a14" a14:legacySpreadsheetColorIndex="47"/>
            </a:gs>
          </a:gsLst>
          <a:lin ang="5400000" scaled="1"/>
        </a:gradFill>
        <a:ln w="12700">
          <a:solidFill>
            <a:srgbClr val="808080"/>
          </a:solidFill>
          <a:prstDash val="solid"/>
        </a:ln>
      </c:spPr>
    </c:plotArea>
    <c:legend>
      <c:legendPos val="r"/>
      <c:layout>
        <c:manualLayout>
          <c:xMode val="edge"/>
          <c:yMode val="edge"/>
          <c:x val="0.77842003853564545"/>
          <c:y val="0.2669683257918552"/>
          <c:w val="0.21579961464354527"/>
          <c:h val="0.42533936651583709"/>
        </c:manualLayout>
      </c:layout>
      <c:overlay val="0"/>
      <c:spPr>
        <a:noFill/>
        <a:ln w="3175">
          <a:solidFill>
            <a:srgbClr val="000000"/>
          </a:solidFill>
          <a:prstDash val="solid"/>
        </a:ln>
      </c:spPr>
      <c:txPr>
        <a:bodyPr/>
        <a:lstStyle/>
        <a:p>
          <a:pPr>
            <a:defRPr sz="780"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975" b="1" i="0" u="none" strike="noStrike" baseline="0">
          <a:solidFill>
            <a:srgbClr val="000000"/>
          </a:solidFill>
          <a:latin typeface="Arial"/>
          <a:ea typeface="Arial"/>
          <a:cs typeface="Arial"/>
        </a:defRPr>
      </a:pPr>
      <a:endParaRPr lang="en-US"/>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123425692698552E-2"/>
          <c:y val="0.10880829015544041"/>
          <c:w val="0.55415617128463457"/>
          <c:h val="0.70466321243524432"/>
        </c:manualLayout>
      </c:layout>
      <c:lineChart>
        <c:grouping val="standard"/>
        <c:varyColors val="0"/>
        <c:ser>
          <c:idx val="0"/>
          <c:order val="0"/>
          <c:tx>
            <c:strRef>
              <c:f>Sheet1!$A$2</c:f>
              <c:strCache>
                <c:ptCount val="1"/>
                <c:pt idx="0">
                  <c:v>hârtie/carton</c:v>
                </c:pt>
              </c:strCache>
            </c:strRef>
          </c:tx>
          <c:spPr>
            <a:ln w="12692">
              <a:solidFill>
                <a:srgbClr val="000080"/>
              </a:solidFill>
              <a:prstDash val="solid"/>
            </a:ln>
          </c:spPr>
          <c:marker>
            <c:symbol val="diamond"/>
            <c:size val="4"/>
            <c:spPr>
              <a:solidFill>
                <a:srgbClr val="000080"/>
              </a:solidFill>
              <a:ln>
                <a:solidFill>
                  <a:srgbClr val="000080"/>
                </a:solidFill>
                <a:prstDash val="solid"/>
              </a:ln>
            </c:spPr>
          </c:marker>
          <c:cat>
            <c:numRef>
              <c:f>Sheet1!$B$1:$F$1</c:f>
              <c:numCache>
                <c:formatCode>General</c:formatCode>
                <c:ptCount val="5"/>
                <c:pt idx="0">
                  <c:v>2010</c:v>
                </c:pt>
                <c:pt idx="1">
                  <c:v>2011</c:v>
                </c:pt>
                <c:pt idx="2">
                  <c:v>2012</c:v>
                </c:pt>
                <c:pt idx="3">
                  <c:v>2013</c:v>
                </c:pt>
                <c:pt idx="4">
                  <c:v>2014</c:v>
                </c:pt>
              </c:numCache>
            </c:numRef>
          </c:cat>
          <c:val>
            <c:numRef>
              <c:f>Sheet1!$B$2:$F$2</c:f>
              <c:numCache>
                <c:formatCode>General</c:formatCode>
                <c:ptCount val="5"/>
                <c:pt idx="0">
                  <c:v>5.2389999999999999</c:v>
                </c:pt>
                <c:pt idx="1">
                  <c:v>2.3159999999999998</c:v>
                </c:pt>
                <c:pt idx="2">
                  <c:v>2.633</c:v>
                </c:pt>
                <c:pt idx="3">
                  <c:v>2.649</c:v>
                </c:pt>
                <c:pt idx="4">
                  <c:v>0.82</c:v>
                </c:pt>
              </c:numCache>
            </c:numRef>
          </c:val>
          <c:smooth val="0"/>
        </c:ser>
        <c:ser>
          <c:idx val="1"/>
          <c:order val="1"/>
          <c:tx>
            <c:strRef>
              <c:f>Sheet1!$A$3</c:f>
              <c:strCache>
                <c:ptCount val="1"/>
                <c:pt idx="0">
                  <c:v>sticlă</c:v>
                </c:pt>
              </c:strCache>
            </c:strRef>
          </c:tx>
          <c:spPr>
            <a:ln w="12692">
              <a:solidFill>
                <a:srgbClr val="FF00FF"/>
              </a:solidFill>
              <a:prstDash val="solid"/>
            </a:ln>
          </c:spPr>
          <c:marker>
            <c:symbol val="square"/>
            <c:size val="4"/>
            <c:spPr>
              <a:solidFill>
                <a:srgbClr val="FF00FF"/>
              </a:solidFill>
              <a:ln>
                <a:solidFill>
                  <a:srgbClr val="FF00FF"/>
                </a:solidFill>
                <a:prstDash val="solid"/>
              </a:ln>
            </c:spPr>
          </c:marker>
          <c:cat>
            <c:numRef>
              <c:f>Sheet1!$B$1:$F$1</c:f>
              <c:numCache>
                <c:formatCode>General</c:formatCode>
                <c:ptCount val="5"/>
                <c:pt idx="0">
                  <c:v>2010</c:v>
                </c:pt>
                <c:pt idx="1">
                  <c:v>2011</c:v>
                </c:pt>
                <c:pt idx="2">
                  <c:v>2012</c:v>
                </c:pt>
                <c:pt idx="3">
                  <c:v>2013</c:v>
                </c:pt>
                <c:pt idx="4">
                  <c:v>2014</c:v>
                </c:pt>
              </c:numCache>
            </c:numRef>
          </c:cat>
          <c:val>
            <c:numRef>
              <c:f>Sheet1!$B$3:$F$3</c:f>
              <c:numCache>
                <c:formatCode>General</c:formatCode>
                <c:ptCount val="5"/>
                <c:pt idx="0">
                  <c:v>0.188</c:v>
                </c:pt>
                <c:pt idx="1">
                  <c:v>7.0999999999999994E-2</c:v>
                </c:pt>
                <c:pt idx="2">
                  <c:v>0.47899999999999998</c:v>
                </c:pt>
                <c:pt idx="3">
                  <c:v>0.53</c:v>
                </c:pt>
                <c:pt idx="4">
                  <c:v>0.05</c:v>
                </c:pt>
              </c:numCache>
            </c:numRef>
          </c:val>
          <c:smooth val="0"/>
        </c:ser>
        <c:ser>
          <c:idx val="2"/>
          <c:order val="2"/>
          <c:tx>
            <c:strRef>
              <c:f>Sheet1!$A$4</c:f>
              <c:strCache>
                <c:ptCount val="1"/>
                <c:pt idx="0">
                  <c:v>metal</c:v>
                </c:pt>
              </c:strCache>
            </c:strRef>
          </c:tx>
          <c:spPr>
            <a:ln w="12692">
              <a:solidFill>
                <a:srgbClr val="FFFF00"/>
              </a:solidFill>
              <a:prstDash val="solid"/>
            </a:ln>
          </c:spPr>
          <c:marker>
            <c:symbol val="triangle"/>
            <c:size val="4"/>
            <c:spPr>
              <a:solidFill>
                <a:srgbClr val="FFFF00"/>
              </a:solidFill>
              <a:ln>
                <a:solidFill>
                  <a:srgbClr val="FFFF00"/>
                </a:solidFill>
                <a:prstDash val="solid"/>
              </a:ln>
            </c:spPr>
          </c:marker>
          <c:cat>
            <c:numRef>
              <c:f>Sheet1!$B$1:$F$1</c:f>
              <c:numCache>
                <c:formatCode>General</c:formatCode>
                <c:ptCount val="5"/>
                <c:pt idx="0">
                  <c:v>2010</c:v>
                </c:pt>
                <c:pt idx="1">
                  <c:v>2011</c:v>
                </c:pt>
                <c:pt idx="2">
                  <c:v>2012</c:v>
                </c:pt>
                <c:pt idx="3">
                  <c:v>2013</c:v>
                </c:pt>
                <c:pt idx="4">
                  <c:v>2014</c:v>
                </c:pt>
              </c:numCache>
            </c:numRef>
          </c:cat>
          <c:val>
            <c:numRef>
              <c:f>Sheet1!$B$4:$F$4</c:f>
              <c:numCache>
                <c:formatCode>General</c:formatCode>
                <c:ptCount val="5"/>
                <c:pt idx="0">
                  <c:v>0.42599999999999999</c:v>
                </c:pt>
                <c:pt idx="1">
                  <c:v>0.30099999999999999</c:v>
                </c:pt>
                <c:pt idx="2">
                  <c:v>0.47099999999999997</c:v>
                </c:pt>
                <c:pt idx="3">
                  <c:v>0.51</c:v>
                </c:pt>
                <c:pt idx="4">
                  <c:v>0.12</c:v>
                </c:pt>
              </c:numCache>
            </c:numRef>
          </c:val>
          <c:smooth val="0"/>
        </c:ser>
        <c:ser>
          <c:idx val="3"/>
          <c:order val="3"/>
          <c:tx>
            <c:strRef>
              <c:f>Sheet1!$A$5</c:f>
              <c:strCache>
                <c:ptCount val="1"/>
                <c:pt idx="0">
                  <c:v>plastic</c:v>
                </c:pt>
              </c:strCache>
            </c:strRef>
          </c:tx>
          <c:spPr>
            <a:ln w="12692">
              <a:solidFill>
                <a:srgbClr val="00FFFF"/>
              </a:solidFill>
              <a:prstDash val="solid"/>
            </a:ln>
          </c:spPr>
          <c:marker>
            <c:symbol val="x"/>
            <c:size val="4"/>
            <c:spPr>
              <a:noFill/>
              <a:ln>
                <a:solidFill>
                  <a:srgbClr val="00FFFF"/>
                </a:solidFill>
                <a:prstDash val="solid"/>
              </a:ln>
            </c:spPr>
          </c:marker>
          <c:cat>
            <c:numRef>
              <c:f>Sheet1!$B$1:$F$1</c:f>
              <c:numCache>
                <c:formatCode>General</c:formatCode>
                <c:ptCount val="5"/>
                <c:pt idx="0">
                  <c:v>2010</c:v>
                </c:pt>
                <c:pt idx="1">
                  <c:v>2011</c:v>
                </c:pt>
                <c:pt idx="2">
                  <c:v>2012</c:v>
                </c:pt>
                <c:pt idx="3">
                  <c:v>2013</c:v>
                </c:pt>
                <c:pt idx="4">
                  <c:v>2014</c:v>
                </c:pt>
              </c:numCache>
            </c:numRef>
          </c:cat>
          <c:val>
            <c:numRef>
              <c:f>Sheet1!$B$5:$F$5</c:f>
              <c:numCache>
                <c:formatCode>General</c:formatCode>
                <c:ptCount val="5"/>
                <c:pt idx="0">
                  <c:v>4.7990000000000004</c:v>
                </c:pt>
                <c:pt idx="1">
                  <c:v>2.3759999999999999</c:v>
                </c:pt>
                <c:pt idx="2">
                  <c:v>1.9930000000000001</c:v>
                </c:pt>
                <c:pt idx="3">
                  <c:v>1.96</c:v>
                </c:pt>
                <c:pt idx="4">
                  <c:v>1.26</c:v>
                </c:pt>
              </c:numCache>
            </c:numRef>
          </c:val>
          <c:smooth val="0"/>
        </c:ser>
        <c:ser>
          <c:idx val="4"/>
          <c:order val="4"/>
          <c:tx>
            <c:strRef>
              <c:f>Sheet1!$A$6</c:f>
              <c:strCache>
                <c:ptCount val="1"/>
                <c:pt idx="0">
                  <c:v>textile</c:v>
                </c:pt>
              </c:strCache>
            </c:strRef>
          </c:tx>
          <c:spPr>
            <a:ln w="12692">
              <a:solidFill>
                <a:srgbClr val="800080"/>
              </a:solidFill>
              <a:prstDash val="solid"/>
            </a:ln>
          </c:spPr>
          <c:marker>
            <c:symbol val="star"/>
            <c:size val="4"/>
            <c:spPr>
              <a:noFill/>
              <a:ln>
                <a:solidFill>
                  <a:srgbClr val="800080"/>
                </a:solidFill>
                <a:prstDash val="solid"/>
              </a:ln>
            </c:spPr>
          </c:marker>
          <c:cat>
            <c:numRef>
              <c:f>Sheet1!$B$1:$F$1</c:f>
              <c:numCache>
                <c:formatCode>General</c:formatCode>
                <c:ptCount val="5"/>
                <c:pt idx="0">
                  <c:v>2010</c:v>
                </c:pt>
                <c:pt idx="1">
                  <c:v>2011</c:v>
                </c:pt>
                <c:pt idx="2">
                  <c:v>2012</c:v>
                </c:pt>
                <c:pt idx="3">
                  <c:v>2013</c:v>
                </c:pt>
                <c:pt idx="4">
                  <c:v>2014</c:v>
                </c:pt>
              </c:numCache>
            </c:numRef>
          </c:cat>
          <c:val>
            <c:numRef>
              <c:f>Sheet1!$B$6:$F$6</c:f>
              <c:numCache>
                <c:formatCode>General</c:formatCode>
                <c:ptCount val="5"/>
                <c:pt idx="0">
                  <c:v>0</c:v>
                </c:pt>
                <c:pt idx="1">
                  <c:v>0</c:v>
                </c:pt>
                <c:pt idx="2">
                  <c:v>0</c:v>
                </c:pt>
                <c:pt idx="3">
                  <c:v>0</c:v>
                </c:pt>
                <c:pt idx="4">
                  <c:v>0</c:v>
                </c:pt>
              </c:numCache>
            </c:numRef>
          </c:val>
          <c:smooth val="0"/>
        </c:ser>
        <c:ser>
          <c:idx val="5"/>
          <c:order val="5"/>
          <c:tx>
            <c:strRef>
              <c:f>Sheet1!$A$7</c:f>
              <c:strCache>
                <c:ptCount val="1"/>
                <c:pt idx="0">
                  <c:v>biodegradabile</c:v>
                </c:pt>
              </c:strCache>
            </c:strRef>
          </c:tx>
          <c:spPr>
            <a:ln w="12692">
              <a:solidFill>
                <a:srgbClr val="800000"/>
              </a:solidFill>
              <a:prstDash val="solid"/>
            </a:ln>
          </c:spPr>
          <c:marker>
            <c:symbol val="circle"/>
            <c:size val="4"/>
            <c:spPr>
              <a:solidFill>
                <a:srgbClr val="800000"/>
              </a:solidFill>
              <a:ln>
                <a:solidFill>
                  <a:srgbClr val="800000"/>
                </a:solidFill>
                <a:prstDash val="solid"/>
              </a:ln>
            </c:spPr>
          </c:marker>
          <c:cat>
            <c:numRef>
              <c:f>Sheet1!$B$1:$F$1</c:f>
              <c:numCache>
                <c:formatCode>General</c:formatCode>
                <c:ptCount val="5"/>
                <c:pt idx="0">
                  <c:v>2010</c:v>
                </c:pt>
                <c:pt idx="1">
                  <c:v>2011</c:v>
                </c:pt>
                <c:pt idx="2">
                  <c:v>2012</c:v>
                </c:pt>
                <c:pt idx="3">
                  <c:v>2013</c:v>
                </c:pt>
                <c:pt idx="4">
                  <c:v>2014</c:v>
                </c:pt>
              </c:numCache>
            </c:numRef>
          </c:cat>
          <c:val>
            <c:numRef>
              <c:f>Sheet1!$B$7:$F$7</c:f>
              <c:numCache>
                <c:formatCode>General</c:formatCode>
                <c:ptCount val="5"/>
                <c:pt idx="0">
                  <c:v>34.692</c:v>
                </c:pt>
                <c:pt idx="1">
                  <c:v>30.350999999999999</c:v>
                </c:pt>
                <c:pt idx="2">
                  <c:v>21.289000000000001</c:v>
                </c:pt>
                <c:pt idx="3">
                  <c:v>17.524999999999999</c:v>
                </c:pt>
                <c:pt idx="4">
                  <c:v>22.92</c:v>
                </c:pt>
              </c:numCache>
            </c:numRef>
          </c:val>
          <c:smooth val="0"/>
        </c:ser>
        <c:ser>
          <c:idx val="6"/>
          <c:order val="6"/>
          <c:tx>
            <c:strRef>
              <c:f>Sheet1!$A$8</c:f>
              <c:strCache>
                <c:ptCount val="1"/>
                <c:pt idx="0">
                  <c:v>altele</c:v>
                </c:pt>
              </c:strCache>
            </c:strRef>
          </c:tx>
          <c:spPr>
            <a:ln w="12692">
              <a:solidFill>
                <a:srgbClr val="008080"/>
              </a:solidFill>
              <a:prstDash val="solid"/>
            </a:ln>
          </c:spPr>
          <c:marker>
            <c:symbol val="plus"/>
            <c:size val="4"/>
            <c:spPr>
              <a:noFill/>
              <a:ln>
                <a:solidFill>
                  <a:srgbClr val="008080"/>
                </a:solidFill>
                <a:prstDash val="solid"/>
              </a:ln>
            </c:spPr>
          </c:marker>
          <c:cat>
            <c:numRef>
              <c:f>Sheet1!$B$1:$F$1</c:f>
              <c:numCache>
                <c:formatCode>General</c:formatCode>
                <c:ptCount val="5"/>
                <c:pt idx="0">
                  <c:v>2010</c:v>
                </c:pt>
                <c:pt idx="1">
                  <c:v>2011</c:v>
                </c:pt>
                <c:pt idx="2">
                  <c:v>2012</c:v>
                </c:pt>
                <c:pt idx="3">
                  <c:v>2013</c:v>
                </c:pt>
                <c:pt idx="4">
                  <c:v>2014</c:v>
                </c:pt>
              </c:numCache>
            </c:numRef>
          </c:cat>
          <c:val>
            <c:numRef>
              <c:f>Sheet1!$B$8:$F$8</c:f>
              <c:numCache>
                <c:formatCode>General</c:formatCode>
                <c:ptCount val="5"/>
                <c:pt idx="0">
                  <c:v>8.0000000000000002E-3</c:v>
                </c:pt>
                <c:pt idx="1">
                  <c:v>0.04</c:v>
                </c:pt>
                <c:pt idx="2">
                  <c:v>8.9999999999999993E-3</c:v>
                </c:pt>
                <c:pt idx="3">
                  <c:v>0.623</c:v>
                </c:pt>
                <c:pt idx="4">
                  <c:v>1.35</c:v>
                </c:pt>
              </c:numCache>
            </c:numRef>
          </c:val>
          <c:smooth val="0"/>
        </c:ser>
        <c:dLbls>
          <c:showLegendKey val="0"/>
          <c:showVal val="0"/>
          <c:showCatName val="0"/>
          <c:showSerName val="0"/>
          <c:showPercent val="0"/>
          <c:showBubbleSize val="0"/>
        </c:dLbls>
        <c:marker val="1"/>
        <c:smooth val="0"/>
        <c:axId val="297128704"/>
        <c:axId val="297131008"/>
      </c:lineChart>
      <c:catAx>
        <c:axId val="297128704"/>
        <c:scaling>
          <c:orientation val="minMax"/>
        </c:scaling>
        <c:delete val="0"/>
        <c:axPos val="b"/>
        <c:title>
          <c:tx>
            <c:rich>
              <a:bodyPr/>
              <a:lstStyle/>
              <a:p>
                <a:pPr>
                  <a:defRPr sz="799" b="0" i="0" u="none" strike="noStrike" baseline="0">
                    <a:solidFill>
                      <a:srgbClr val="000000"/>
                    </a:solidFill>
                    <a:latin typeface="Arial"/>
                    <a:ea typeface="Arial"/>
                    <a:cs typeface="Arial"/>
                  </a:defRPr>
                </a:pPr>
                <a:r>
                  <a:rPr lang="en-US"/>
                  <a:t>anul</a:t>
                </a:r>
              </a:p>
            </c:rich>
          </c:tx>
          <c:layout>
            <c:manualLayout>
              <c:xMode val="edge"/>
              <c:yMode val="edge"/>
              <c:x val="0.62216624685138544"/>
              <c:y val="0.8704663212435233"/>
            </c:manualLayout>
          </c:layout>
          <c:overlay val="0"/>
          <c:spPr>
            <a:noFill/>
            <a:ln w="25384">
              <a:noFill/>
            </a:ln>
          </c:spPr>
        </c:title>
        <c:numFmt formatCode="General" sourceLinked="1"/>
        <c:majorTickMark val="out"/>
        <c:minorTickMark val="none"/>
        <c:tickLblPos val="nextTo"/>
        <c:spPr>
          <a:ln w="3173">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297131008"/>
        <c:crosses val="autoZero"/>
        <c:auto val="1"/>
        <c:lblAlgn val="ctr"/>
        <c:lblOffset val="100"/>
        <c:tickLblSkip val="1"/>
        <c:tickMarkSkip val="1"/>
        <c:noMultiLvlLbl val="0"/>
      </c:catAx>
      <c:valAx>
        <c:axId val="297131008"/>
        <c:scaling>
          <c:orientation val="minMax"/>
        </c:scaling>
        <c:delete val="0"/>
        <c:axPos val="l"/>
        <c:majorGridlines>
          <c:spPr>
            <a:ln w="3173">
              <a:solidFill>
                <a:srgbClr val="000000"/>
              </a:solidFill>
              <a:prstDash val="solid"/>
            </a:ln>
          </c:spPr>
        </c:majorGridlines>
        <c:title>
          <c:tx>
            <c:rich>
              <a:bodyPr rot="0" vert="horz"/>
              <a:lstStyle/>
              <a:p>
                <a:pPr algn="ctr">
                  <a:defRPr sz="799" b="0" i="0" u="none" strike="noStrike" baseline="0">
                    <a:solidFill>
                      <a:srgbClr val="000000"/>
                    </a:solidFill>
                    <a:latin typeface="Arial"/>
                    <a:ea typeface="Arial"/>
                    <a:cs typeface="Arial"/>
                  </a:defRPr>
                </a:pPr>
                <a:r>
                  <a:rPr lang="en-US"/>
                  <a:t>mii tone</a:t>
                </a:r>
              </a:p>
            </c:rich>
          </c:tx>
          <c:layout>
            <c:manualLayout>
              <c:xMode val="edge"/>
              <c:yMode val="edge"/>
              <c:x val="9.8314613989988947E-2"/>
              <c:y val="0.65131153175637801"/>
            </c:manualLayout>
          </c:layout>
          <c:overlay val="0"/>
          <c:spPr>
            <a:noFill/>
            <a:ln w="25384">
              <a:noFill/>
            </a:ln>
          </c:spPr>
        </c:title>
        <c:numFmt formatCode="General" sourceLinked="1"/>
        <c:majorTickMark val="out"/>
        <c:minorTickMark val="none"/>
        <c:tickLblPos val="nextTo"/>
        <c:spPr>
          <a:ln w="3173">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297128704"/>
        <c:crosses val="autoZero"/>
        <c:crossBetween val="between"/>
      </c:valAx>
      <c:spPr>
        <a:noFill/>
        <a:ln w="12692">
          <a:solidFill>
            <a:srgbClr val="808080"/>
          </a:solidFill>
          <a:prstDash val="solid"/>
        </a:ln>
      </c:spPr>
    </c:plotArea>
    <c:legend>
      <c:legendPos val="r"/>
      <c:overlay val="0"/>
      <c:spPr>
        <a:noFill/>
        <a:ln w="3173">
          <a:solidFill>
            <a:srgbClr val="000000"/>
          </a:solidFill>
          <a:prstDash val="solid"/>
        </a:ln>
      </c:spPr>
      <c:txPr>
        <a:bodyPr/>
        <a:lstStyle/>
        <a:p>
          <a:pPr>
            <a:defRPr sz="919" b="0" i="0" u="none" strike="noStrike" baseline="0">
              <a:solidFill>
                <a:srgbClr val="000000"/>
              </a:solidFill>
              <a:latin typeface="Arial"/>
              <a:ea typeface="Arial"/>
              <a:cs typeface="Arial"/>
            </a:defRPr>
          </a:pPr>
          <a:endParaRPr lang="en-US"/>
        </a:p>
      </c:txPr>
    </c:legend>
    <c:plotVisOnly val="1"/>
    <c:dispBlanksAs val="gap"/>
    <c:showDLblsOverMax val="0"/>
  </c:chart>
  <c:spPr>
    <a:noFill/>
    <a:ln w="6350" cap="flat" cmpd="sng" algn="ctr">
      <a:solidFill>
        <a:srgbClr val="000000"/>
      </a:solidFill>
      <a:prstDash val="solid"/>
      <a:miter lim="800000"/>
      <a:headEnd type="none" w="med" len="med"/>
      <a:tailEnd type="none" w="med" len="med"/>
    </a:ln>
  </c:spPr>
  <c:txPr>
    <a:bodyPr/>
    <a:lstStyle/>
    <a:p>
      <a:pPr>
        <a:defRPr sz="849" b="1" i="0" u="none" strike="noStrike" baseline="0">
          <a:solidFill>
            <a:srgbClr val="000000"/>
          </a:solidFill>
          <a:latin typeface="Arial"/>
          <a:ea typeface="Arial"/>
          <a:cs typeface="Arial"/>
        </a:defRPr>
      </a:pPr>
      <a:endParaRPr lang="en-US"/>
    </a:p>
  </c:tx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3219954648526"/>
          <c:y val="0.10344827586206895"/>
          <c:w val="0.59637188208616776"/>
          <c:h val="0.71921182266011785"/>
        </c:manualLayout>
      </c:layout>
      <c:barChart>
        <c:barDir val="col"/>
        <c:grouping val="percentStacked"/>
        <c:varyColors val="0"/>
        <c:ser>
          <c:idx val="0"/>
          <c:order val="0"/>
          <c:tx>
            <c:strRef>
              <c:f>Sheet1!$A$2</c:f>
              <c:strCache>
                <c:ptCount val="1"/>
                <c:pt idx="0">
                  <c:v>hârtie/carton</c:v>
                </c:pt>
              </c:strCache>
            </c:strRef>
          </c:tx>
          <c:spPr>
            <a:solidFill>
              <a:srgbClr val="00FF00"/>
            </a:solidFill>
            <a:ln w="12676">
              <a:solidFill>
                <a:srgbClr val="000000"/>
              </a:solidFill>
              <a:prstDash val="solid"/>
            </a:ln>
          </c:spPr>
          <c:invertIfNegative val="0"/>
          <c:cat>
            <c:numRef>
              <c:f>Sheet1!$B$1:$F$1</c:f>
              <c:numCache>
                <c:formatCode>General</c:formatCode>
                <c:ptCount val="5"/>
                <c:pt idx="0">
                  <c:v>2010</c:v>
                </c:pt>
                <c:pt idx="1">
                  <c:v>2011</c:v>
                </c:pt>
                <c:pt idx="2">
                  <c:v>2012</c:v>
                </c:pt>
                <c:pt idx="3">
                  <c:v>2013</c:v>
                </c:pt>
                <c:pt idx="4">
                  <c:v>2014</c:v>
                </c:pt>
              </c:numCache>
            </c:numRef>
          </c:cat>
          <c:val>
            <c:numRef>
              <c:f>Sheet1!$B$2:$F$2</c:f>
              <c:numCache>
                <c:formatCode>General</c:formatCode>
                <c:ptCount val="5"/>
                <c:pt idx="0">
                  <c:v>11.55</c:v>
                </c:pt>
                <c:pt idx="1">
                  <c:v>6.53</c:v>
                </c:pt>
                <c:pt idx="2">
                  <c:v>9.8000000000000007</c:v>
                </c:pt>
                <c:pt idx="3">
                  <c:v>11.13</c:v>
                </c:pt>
                <c:pt idx="4">
                  <c:v>3.09</c:v>
                </c:pt>
              </c:numCache>
            </c:numRef>
          </c:val>
        </c:ser>
        <c:ser>
          <c:idx val="1"/>
          <c:order val="1"/>
          <c:tx>
            <c:strRef>
              <c:f>Sheet1!$A$3</c:f>
              <c:strCache>
                <c:ptCount val="1"/>
                <c:pt idx="0">
                  <c:v>sticlă</c:v>
                </c:pt>
              </c:strCache>
            </c:strRef>
          </c:tx>
          <c:spPr>
            <a:solidFill>
              <a:srgbClr val="00CCFF"/>
            </a:solidFill>
            <a:ln w="12676">
              <a:solidFill>
                <a:srgbClr val="000000"/>
              </a:solidFill>
              <a:prstDash val="solid"/>
            </a:ln>
          </c:spPr>
          <c:invertIfNegative val="0"/>
          <c:cat>
            <c:numRef>
              <c:f>Sheet1!$B$1:$F$1</c:f>
              <c:numCache>
                <c:formatCode>General</c:formatCode>
                <c:ptCount val="5"/>
                <c:pt idx="0">
                  <c:v>2010</c:v>
                </c:pt>
                <c:pt idx="1">
                  <c:v>2011</c:v>
                </c:pt>
                <c:pt idx="2">
                  <c:v>2012</c:v>
                </c:pt>
                <c:pt idx="3">
                  <c:v>2013</c:v>
                </c:pt>
                <c:pt idx="4">
                  <c:v>2014</c:v>
                </c:pt>
              </c:numCache>
            </c:numRef>
          </c:cat>
          <c:val>
            <c:numRef>
              <c:f>Sheet1!$B$3:$F$3</c:f>
              <c:numCache>
                <c:formatCode>General</c:formatCode>
                <c:ptCount val="5"/>
                <c:pt idx="0">
                  <c:v>0.42</c:v>
                </c:pt>
                <c:pt idx="1">
                  <c:v>0.2</c:v>
                </c:pt>
                <c:pt idx="2">
                  <c:v>1.78</c:v>
                </c:pt>
                <c:pt idx="3">
                  <c:v>2.23</c:v>
                </c:pt>
                <c:pt idx="4">
                  <c:v>0.19</c:v>
                </c:pt>
              </c:numCache>
            </c:numRef>
          </c:val>
        </c:ser>
        <c:ser>
          <c:idx val="2"/>
          <c:order val="2"/>
          <c:tx>
            <c:strRef>
              <c:f>Sheet1!$A$4</c:f>
              <c:strCache>
                <c:ptCount val="1"/>
                <c:pt idx="0">
                  <c:v>metal</c:v>
                </c:pt>
              </c:strCache>
            </c:strRef>
          </c:tx>
          <c:spPr>
            <a:solidFill>
              <a:srgbClr val="FF0000"/>
            </a:solidFill>
            <a:ln w="12676">
              <a:solidFill>
                <a:srgbClr val="000000"/>
              </a:solidFill>
              <a:prstDash val="solid"/>
            </a:ln>
          </c:spPr>
          <c:invertIfNegative val="0"/>
          <c:cat>
            <c:numRef>
              <c:f>Sheet1!$B$1:$F$1</c:f>
              <c:numCache>
                <c:formatCode>General</c:formatCode>
                <c:ptCount val="5"/>
                <c:pt idx="0">
                  <c:v>2010</c:v>
                </c:pt>
                <c:pt idx="1">
                  <c:v>2011</c:v>
                </c:pt>
                <c:pt idx="2">
                  <c:v>2012</c:v>
                </c:pt>
                <c:pt idx="3">
                  <c:v>2013</c:v>
                </c:pt>
                <c:pt idx="4">
                  <c:v>2014</c:v>
                </c:pt>
              </c:numCache>
            </c:numRef>
          </c:cat>
          <c:val>
            <c:numRef>
              <c:f>Sheet1!$B$4:$F$4</c:f>
              <c:numCache>
                <c:formatCode>General</c:formatCode>
                <c:ptCount val="5"/>
                <c:pt idx="0">
                  <c:v>0.94</c:v>
                </c:pt>
                <c:pt idx="1">
                  <c:v>0.85</c:v>
                </c:pt>
                <c:pt idx="2">
                  <c:v>1.75</c:v>
                </c:pt>
                <c:pt idx="3">
                  <c:v>0.51</c:v>
                </c:pt>
                <c:pt idx="4">
                  <c:v>0.45</c:v>
                </c:pt>
              </c:numCache>
            </c:numRef>
          </c:val>
        </c:ser>
        <c:ser>
          <c:idx val="3"/>
          <c:order val="3"/>
          <c:tx>
            <c:strRef>
              <c:f>Sheet1!$A$5</c:f>
              <c:strCache>
                <c:ptCount val="1"/>
                <c:pt idx="0">
                  <c:v>plastic</c:v>
                </c:pt>
              </c:strCache>
            </c:strRef>
          </c:tx>
          <c:spPr>
            <a:solidFill>
              <a:srgbClr val="FFFF00"/>
            </a:solidFill>
            <a:ln w="12676">
              <a:solidFill>
                <a:srgbClr val="000000"/>
              </a:solidFill>
              <a:prstDash val="solid"/>
            </a:ln>
          </c:spPr>
          <c:invertIfNegative val="0"/>
          <c:cat>
            <c:numRef>
              <c:f>Sheet1!$B$1:$F$1</c:f>
              <c:numCache>
                <c:formatCode>General</c:formatCode>
                <c:ptCount val="5"/>
                <c:pt idx="0">
                  <c:v>2010</c:v>
                </c:pt>
                <c:pt idx="1">
                  <c:v>2011</c:v>
                </c:pt>
                <c:pt idx="2">
                  <c:v>2012</c:v>
                </c:pt>
                <c:pt idx="3">
                  <c:v>2013</c:v>
                </c:pt>
                <c:pt idx="4">
                  <c:v>2014</c:v>
                </c:pt>
              </c:numCache>
            </c:numRef>
          </c:cat>
          <c:val>
            <c:numRef>
              <c:f>Sheet1!$B$5:$F$5</c:f>
              <c:numCache>
                <c:formatCode>General</c:formatCode>
                <c:ptCount val="5"/>
                <c:pt idx="0">
                  <c:v>10.58</c:v>
                </c:pt>
                <c:pt idx="1">
                  <c:v>6.7</c:v>
                </c:pt>
                <c:pt idx="2">
                  <c:v>7.42</c:v>
                </c:pt>
                <c:pt idx="3">
                  <c:v>1.26</c:v>
                </c:pt>
                <c:pt idx="4">
                  <c:v>4.76</c:v>
                </c:pt>
              </c:numCache>
            </c:numRef>
          </c:val>
        </c:ser>
        <c:ser>
          <c:idx val="4"/>
          <c:order val="4"/>
          <c:tx>
            <c:strRef>
              <c:f>Sheet1!$A$6</c:f>
              <c:strCache>
                <c:ptCount val="1"/>
                <c:pt idx="0">
                  <c:v>textile</c:v>
                </c:pt>
              </c:strCache>
            </c:strRef>
          </c:tx>
          <c:spPr>
            <a:solidFill>
              <a:srgbClr val="FFCC99"/>
            </a:solidFill>
            <a:ln w="12676">
              <a:solidFill>
                <a:srgbClr val="000000"/>
              </a:solidFill>
              <a:prstDash val="solid"/>
            </a:ln>
          </c:spPr>
          <c:invertIfNegative val="0"/>
          <c:cat>
            <c:numRef>
              <c:f>Sheet1!$B$1:$F$1</c:f>
              <c:numCache>
                <c:formatCode>General</c:formatCode>
                <c:ptCount val="5"/>
                <c:pt idx="0">
                  <c:v>2010</c:v>
                </c:pt>
                <c:pt idx="1">
                  <c:v>2011</c:v>
                </c:pt>
                <c:pt idx="2">
                  <c:v>2012</c:v>
                </c:pt>
                <c:pt idx="3">
                  <c:v>2013</c:v>
                </c:pt>
                <c:pt idx="4">
                  <c:v>2014</c:v>
                </c:pt>
              </c:numCache>
            </c:numRef>
          </c:cat>
          <c:val>
            <c:numRef>
              <c:f>Sheet1!$B$6:$F$6</c:f>
              <c:numCache>
                <c:formatCode>General</c:formatCode>
                <c:ptCount val="5"/>
                <c:pt idx="0">
                  <c:v>0</c:v>
                </c:pt>
                <c:pt idx="1">
                  <c:v>0</c:v>
                </c:pt>
                <c:pt idx="2">
                  <c:v>0</c:v>
                </c:pt>
                <c:pt idx="3">
                  <c:v>0</c:v>
                </c:pt>
                <c:pt idx="4">
                  <c:v>0</c:v>
                </c:pt>
              </c:numCache>
            </c:numRef>
          </c:val>
        </c:ser>
        <c:ser>
          <c:idx val="5"/>
          <c:order val="5"/>
          <c:tx>
            <c:strRef>
              <c:f>Sheet1!$A$7</c:f>
              <c:strCache>
                <c:ptCount val="1"/>
                <c:pt idx="0">
                  <c:v>biodegradabile</c:v>
                </c:pt>
              </c:strCache>
            </c:strRef>
          </c:tx>
          <c:spPr>
            <a:solidFill>
              <a:srgbClr val="339966"/>
            </a:solidFill>
            <a:ln w="12676">
              <a:solidFill>
                <a:srgbClr val="000000"/>
              </a:solidFill>
              <a:prstDash val="solid"/>
            </a:ln>
          </c:spPr>
          <c:invertIfNegative val="0"/>
          <c:cat>
            <c:numRef>
              <c:f>Sheet1!$B$1:$F$1</c:f>
              <c:numCache>
                <c:formatCode>General</c:formatCode>
                <c:ptCount val="5"/>
                <c:pt idx="0">
                  <c:v>2010</c:v>
                </c:pt>
                <c:pt idx="1">
                  <c:v>2011</c:v>
                </c:pt>
                <c:pt idx="2">
                  <c:v>2012</c:v>
                </c:pt>
                <c:pt idx="3">
                  <c:v>2013</c:v>
                </c:pt>
                <c:pt idx="4">
                  <c:v>2014</c:v>
                </c:pt>
              </c:numCache>
            </c:numRef>
          </c:cat>
          <c:val>
            <c:numRef>
              <c:f>Sheet1!$B$7:$F$7</c:f>
              <c:numCache>
                <c:formatCode>General</c:formatCode>
                <c:ptCount val="5"/>
                <c:pt idx="0">
                  <c:v>76.489999999999995</c:v>
                </c:pt>
                <c:pt idx="1">
                  <c:v>85.6</c:v>
                </c:pt>
                <c:pt idx="2">
                  <c:v>79.22</c:v>
                </c:pt>
                <c:pt idx="3">
                  <c:v>73.64</c:v>
                </c:pt>
                <c:pt idx="4">
                  <c:v>86.42</c:v>
                </c:pt>
              </c:numCache>
            </c:numRef>
          </c:val>
        </c:ser>
        <c:ser>
          <c:idx val="6"/>
          <c:order val="6"/>
          <c:tx>
            <c:strRef>
              <c:f>Sheet1!$A$8</c:f>
              <c:strCache>
                <c:ptCount val="1"/>
                <c:pt idx="0">
                  <c:v>altele</c:v>
                </c:pt>
              </c:strCache>
            </c:strRef>
          </c:tx>
          <c:spPr>
            <a:solidFill>
              <a:srgbClr val="FF99CC"/>
            </a:solidFill>
            <a:ln w="12676">
              <a:solidFill>
                <a:srgbClr val="000000"/>
              </a:solidFill>
              <a:prstDash val="solid"/>
            </a:ln>
          </c:spPr>
          <c:invertIfNegative val="0"/>
          <c:cat>
            <c:numRef>
              <c:f>Sheet1!$B$1:$F$1</c:f>
              <c:numCache>
                <c:formatCode>General</c:formatCode>
                <c:ptCount val="5"/>
                <c:pt idx="0">
                  <c:v>2010</c:v>
                </c:pt>
                <c:pt idx="1">
                  <c:v>2011</c:v>
                </c:pt>
                <c:pt idx="2">
                  <c:v>2012</c:v>
                </c:pt>
                <c:pt idx="3">
                  <c:v>2013</c:v>
                </c:pt>
                <c:pt idx="4">
                  <c:v>2014</c:v>
                </c:pt>
              </c:numCache>
            </c:numRef>
          </c:cat>
          <c:val>
            <c:numRef>
              <c:f>Sheet1!$B$8:$F$8</c:f>
              <c:numCache>
                <c:formatCode>General</c:formatCode>
                <c:ptCount val="5"/>
                <c:pt idx="0">
                  <c:v>0.02</c:v>
                </c:pt>
                <c:pt idx="1">
                  <c:v>0.12</c:v>
                </c:pt>
                <c:pt idx="2">
                  <c:v>0.03</c:v>
                </c:pt>
                <c:pt idx="3">
                  <c:v>2.61</c:v>
                </c:pt>
                <c:pt idx="4">
                  <c:v>5.09</c:v>
                </c:pt>
              </c:numCache>
            </c:numRef>
          </c:val>
        </c:ser>
        <c:dLbls>
          <c:showLegendKey val="0"/>
          <c:showVal val="0"/>
          <c:showCatName val="0"/>
          <c:showSerName val="0"/>
          <c:showPercent val="0"/>
          <c:showBubbleSize val="0"/>
        </c:dLbls>
        <c:gapWidth val="150"/>
        <c:overlap val="100"/>
        <c:axId val="297299968"/>
        <c:axId val="297301504"/>
      </c:barChart>
      <c:catAx>
        <c:axId val="297299968"/>
        <c:scaling>
          <c:orientation val="minMax"/>
        </c:scaling>
        <c:delete val="0"/>
        <c:axPos val="b"/>
        <c:numFmt formatCode="General" sourceLinked="1"/>
        <c:majorTickMark val="out"/>
        <c:minorTickMark val="none"/>
        <c:tickLblPos val="nextTo"/>
        <c:spPr>
          <a:ln w="3169">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297301504"/>
        <c:crosses val="autoZero"/>
        <c:auto val="1"/>
        <c:lblAlgn val="ctr"/>
        <c:lblOffset val="100"/>
        <c:tickLblSkip val="1"/>
        <c:tickMarkSkip val="1"/>
        <c:noMultiLvlLbl val="0"/>
      </c:catAx>
      <c:valAx>
        <c:axId val="297301504"/>
        <c:scaling>
          <c:orientation val="minMax"/>
        </c:scaling>
        <c:delete val="0"/>
        <c:axPos val="l"/>
        <c:majorGridlines>
          <c:spPr>
            <a:ln w="3169">
              <a:solidFill>
                <a:srgbClr val="000000"/>
              </a:solidFill>
              <a:prstDash val="solid"/>
            </a:ln>
          </c:spPr>
        </c:majorGridlines>
        <c:numFmt formatCode="0%" sourceLinked="1"/>
        <c:majorTickMark val="out"/>
        <c:minorTickMark val="none"/>
        <c:tickLblPos val="nextTo"/>
        <c:spPr>
          <a:ln w="3169">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297299968"/>
        <c:crosses val="autoZero"/>
        <c:crossBetween val="between"/>
      </c:valAx>
      <c:spPr>
        <a:noFill/>
        <a:ln w="12676">
          <a:solidFill>
            <a:srgbClr val="808080"/>
          </a:solidFill>
          <a:prstDash val="solid"/>
        </a:ln>
      </c:spPr>
    </c:plotArea>
    <c:legend>
      <c:legendPos val="r"/>
      <c:layout>
        <c:manualLayout>
          <c:xMode val="edge"/>
          <c:yMode val="edge"/>
          <c:x val="0.75736961451249141"/>
          <c:y val="3.4482758620689655E-2"/>
          <c:w val="0.17044255926731083"/>
          <c:h val="0.7931034482758621"/>
        </c:manualLayout>
      </c:layout>
      <c:overlay val="0"/>
      <c:spPr>
        <a:noFill/>
        <a:ln w="3169">
          <a:solidFill>
            <a:srgbClr val="000000"/>
          </a:solidFill>
          <a:prstDash val="solid"/>
        </a:ln>
      </c:spPr>
      <c:txPr>
        <a:bodyPr/>
        <a:lstStyle/>
        <a:p>
          <a:pPr>
            <a:defRPr sz="848"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898" b="1" i="0" u="none" strike="noStrike" baseline="0">
          <a:solidFill>
            <a:srgbClr val="000000"/>
          </a:solidFill>
          <a:latin typeface="Arial"/>
          <a:ea typeface="Arial"/>
          <a:cs typeface="Arial"/>
        </a:defRPr>
      </a:pPr>
      <a:endParaRPr lang="en-US"/>
    </a:p>
  </c:tx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140"/>
      <c:rAngAx val="0"/>
      <c:perspective val="0"/>
    </c:view3D>
    <c:floor>
      <c:thickness val="0"/>
    </c:floor>
    <c:sideWall>
      <c:thickness val="0"/>
    </c:sideWall>
    <c:backWall>
      <c:thickness val="0"/>
    </c:backWall>
    <c:plotArea>
      <c:layout>
        <c:manualLayout>
          <c:layoutTarget val="inner"/>
          <c:xMode val="edge"/>
          <c:yMode val="edge"/>
          <c:x val="0.23958333333333662"/>
          <c:y val="0.40314136125654448"/>
          <c:w val="0.39583333333333331"/>
          <c:h val="0.23821989528796242"/>
        </c:manualLayout>
      </c:layout>
      <c:pie3DChart>
        <c:varyColors val="1"/>
        <c:ser>
          <c:idx val="0"/>
          <c:order val="0"/>
          <c:tx>
            <c:strRef>
              <c:f>Sheet1!$A$2</c:f>
              <c:strCache>
                <c:ptCount val="1"/>
                <c:pt idx="0">
                  <c:v>2014</c:v>
                </c:pt>
              </c:strCache>
            </c:strRef>
          </c:tx>
          <c:spPr>
            <a:solidFill>
              <a:srgbClr val="9999FF"/>
            </a:solidFill>
            <a:ln w="12700">
              <a:solidFill>
                <a:srgbClr val="000000"/>
              </a:solidFill>
              <a:prstDash val="solid"/>
            </a:ln>
          </c:spPr>
          <c:dPt>
            <c:idx val="0"/>
            <c:bubble3D val="0"/>
            <c:spPr>
              <a:solidFill>
                <a:srgbClr val="00CCFF"/>
              </a:solidFill>
              <a:ln w="12700">
                <a:solidFill>
                  <a:srgbClr val="000000"/>
                </a:solidFill>
                <a:prstDash val="solid"/>
              </a:ln>
            </c:spPr>
          </c:dPt>
          <c:dPt>
            <c:idx val="1"/>
            <c:bubble3D val="0"/>
            <c:spPr>
              <a:solidFill>
                <a:srgbClr val="00FF00"/>
              </a:solidFill>
              <a:ln w="12700">
                <a:solidFill>
                  <a:srgbClr val="000000"/>
                </a:solidFill>
                <a:prstDash val="solid"/>
              </a:ln>
            </c:spPr>
          </c:dPt>
          <c:dPt>
            <c:idx val="2"/>
            <c:bubble3D val="0"/>
            <c:spPr>
              <a:solidFill>
                <a:srgbClr val="FF6600"/>
              </a:solidFill>
              <a:ln w="12700">
                <a:solidFill>
                  <a:srgbClr val="000000"/>
                </a:solidFill>
                <a:prstDash val="solid"/>
              </a:ln>
            </c:spPr>
          </c:dPt>
          <c:dPt>
            <c:idx val="3"/>
            <c:bubble3D val="0"/>
            <c:spPr>
              <a:solidFill>
                <a:srgbClr val="FF0000"/>
              </a:solidFill>
              <a:ln w="12700">
                <a:solidFill>
                  <a:srgbClr val="000000"/>
                </a:solidFill>
                <a:prstDash val="solid"/>
              </a:ln>
            </c:spPr>
          </c:dPt>
          <c:dPt>
            <c:idx val="4"/>
            <c:bubble3D val="0"/>
            <c:spPr>
              <a:solidFill>
                <a:srgbClr val="FFFF00"/>
              </a:solidFill>
              <a:ln w="12700">
                <a:solidFill>
                  <a:srgbClr val="000000"/>
                </a:solidFill>
                <a:prstDash val="solid"/>
              </a:ln>
            </c:spPr>
          </c:dPt>
          <c:dPt>
            <c:idx val="5"/>
            <c:bubble3D val="0"/>
            <c:spPr>
              <a:solidFill>
                <a:srgbClr val="339966"/>
              </a:solidFill>
              <a:ln w="12700">
                <a:solidFill>
                  <a:srgbClr val="000000"/>
                </a:solidFill>
                <a:prstDash val="solid"/>
              </a:ln>
            </c:spPr>
          </c:dPt>
          <c:dPt>
            <c:idx val="6"/>
            <c:bubble3D val="0"/>
            <c:spPr>
              <a:solidFill>
                <a:srgbClr val="0066CC"/>
              </a:solidFill>
              <a:ln w="12700">
                <a:solidFill>
                  <a:srgbClr val="000000"/>
                </a:solidFill>
                <a:prstDash val="solid"/>
              </a:ln>
            </c:spPr>
          </c:dPt>
          <c:dPt>
            <c:idx val="7"/>
            <c:bubble3D val="0"/>
            <c:spPr>
              <a:solidFill>
                <a:srgbClr val="CCCCFF"/>
              </a:solidFill>
              <a:ln w="12700">
                <a:solidFill>
                  <a:srgbClr val="000000"/>
                </a:solidFill>
                <a:prstDash val="solid"/>
              </a:ln>
            </c:spPr>
          </c:dPt>
          <c:dPt>
            <c:idx val="8"/>
            <c:bubble3D val="0"/>
            <c:spPr>
              <a:solidFill>
                <a:srgbClr val="FF99CC"/>
              </a:solidFill>
              <a:ln w="12700">
                <a:solidFill>
                  <a:srgbClr val="000000"/>
                </a:solidFill>
                <a:prstDash val="solid"/>
              </a:ln>
            </c:spPr>
          </c:dPt>
          <c:dLbls>
            <c:dLbl>
              <c:idx val="0"/>
              <c:layout>
                <c:manualLayout>
                  <c:x val="0.20683545308272752"/>
                  <c:y val="9.9800779857641242E-2"/>
                </c:manualLayout>
              </c:layout>
              <c:dLblPos val="bestFit"/>
              <c:showLegendKey val="0"/>
              <c:showVal val="1"/>
              <c:showCatName val="1"/>
              <c:showSerName val="0"/>
              <c:showPercent val="1"/>
              <c:showBubbleSize val="0"/>
            </c:dLbl>
            <c:dLbl>
              <c:idx val="1"/>
              <c:layout>
                <c:manualLayout>
                  <c:x val="0.10994082549722206"/>
                  <c:y val="0.14084308225495756"/>
                </c:manualLayout>
              </c:layout>
              <c:dLblPos val="bestFit"/>
              <c:showLegendKey val="0"/>
              <c:showVal val="1"/>
              <c:showCatName val="1"/>
              <c:showSerName val="0"/>
              <c:showPercent val="1"/>
              <c:showBubbleSize val="0"/>
            </c:dLbl>
            <c:dLbl>
              <c:idx val="2"/>
              <c:layout>
                <c:manualLayout>
                  <c:x val="-9.1762102272459334E-4"/>
                  <c:y val="0.19923131523294091"/>
                </c:manualLayout>
              </c:layout>
              <c:dLblPos val="bestFit"/>
              <c:showLegendKey val="0"/>
              <c:showVal val="1"/>
              <c:showCatName val="1"/>
              <c:showSerName val="0"/>
              <c:showPercent val="1"/>
              <c:showBubbleSize val="0"/>
            </c:dLbl>
            <c:dLbl>
              <c:idx val="3"/>
              <c:layout>
                <c:manualLayout>
                  <c:x val="-0.18476589462591941"/>
                  <c:y val="0.15816175371496691"/>
                </c:manualLayout>
              </c:layout>
              <c:dLblPos val="bestFit"/>
              <c:showLegendKey val="0"/>
              <c:showVal val="1"/>
              <c:showCatName val="1"/>
              <c:showSerName val="0"/>
              <c:showPercent val="1"/>
              <c:showBubbleSize val="0"/>
            </c:dLbl>
            <c:dLbl>
              <c:idx val="4"/>
              <c:layout>
                <c:manualLayout>
                  <c:x val="-0.25991668057000838"/>
                  <c:y val="5.7334187003738935E-2"/>
                </c:manualLayout>
              </c:layout>
              <c:dLblPos val="bestFit"/>
              <c:showLegendKey val="0"/>
              <c:showVal val="1"/>
              <c:showCatName val="1"/>
              <c:showSerName val="0"/>
              <c:showPercent val="1"/>
              <c:showBubbleSize val="0"/>
            </c:dLbl>
            <c:dLbl>
              <c:idx val="5"/>
              <c:layout>
                <c:manualLayout>
                  <c:x val="-0.20749061624077156"/>
                  <c:y val="-0.19440077049082424"/>
                </c:manualLayout>
              </c:layout>
              <c:tx>
                <c:rich>
                  <a:bodyPr/>
                  <a:lstStyle/>
                  <a:p>
                    <a:r>
                      <a:rPr lang="en-US" sz="1000"/>
                      <a:t>Biodegradabile</a:t>
                    </a:r>
                    <a:r>
                      <a:rPr lang="en-US"/>
                      <a:t>
78.23
78%</a:t>
                    </a:r>
                  </a:p>
                </c:rich>
              </c:tx>
              <c:dLblPos val="bestFit"/>
              <c:showLegendKey val="0"/>
              <c:showVal val="1"/>
              <c:showCatName val="1"/>
              <c:showSerName val="0"/>
              <c:showPercent val="1"/>
              <c:showBubbleSize val="0"/>
            </c:dLbl>
            <c:dLbl>
              <c:idx val="6"/>
              <c:layout>
                <c:manualLayout>
                  <c:x val="0.22026261803910288"/>
                  <c:y val="-7.5225692618638693E-2"/>
                </c:manualLayout>
              </c:layout>
              <c:dLblPos val="bestFit"/>
              <c:showLegendKey val="0"/>
              <c:showVal val="1"/>
              <c:showCatName val="1"/>
              <c:showSerName val="0"/>
              <c:showPercent val="1"/>
              <c:showBubbleSize val="0"/>
            </c:dLbl>
            <c:dLbl>
              <c:idx val="7"/>
              <c:layout>
                <c:manualLayout>
                  <c:x val="9.775013624775182E-2"/>
                  <c:y val="-0.21920475021026553"/>
                </c:manualLayout>
              </c:layout>
              <c:dLblPos val="bestFit"/>
              <c:showLegendKey val="0"/>
              <c:showVal val="1"/>
              <c:showCatName val="1"/>
              <c:showSerName val="0"/>
              <c:showPercent val="1"/>
              <c:showBubbleSize val="0"/>
            </c:dLbl>
            <c:dLbl>
              <c:idx val="8"/>
              <c:layout>
                <c:manualLayout>
                  <c:x val="-2.723679113115195E-2"/>
                  <c:y val="-0.38150841513173406"/>
                </c:manualLayout>
              </c:layout>
              <c:dLblPos val="bestFit"/>
              <c:showLegendKey val="0"/>
              <c:showVal val="1"/>
              <c:showCatName val="1"/>
              <c:showSerName val="0"/>
              <c:showPercent val="1"/>
              <c:showBubbleSize val="0"/>
            </c:dLbl>
            <c:numFmt formatCode="0%" sourceLinked="0"/>
            <c:spPr>
              <a:noFill/>
              <a:ln w="25399">
                <a:noFill/>
              </a:ln>
            </c:spPr>
            <c:txPr>
              <a:bodyPr/>
              <a:lstStyle/>
              <a:p>
                <a:pPr>
                  <a:defRPr sz="1025" b="0" i="0" u="none" strike="noStrike" baseline="0">
                    <a:solidFill>
                      <a:srgbClr val="000000"/>
                    </a:solidFill>
                    <a:latin typeface="Arial"/>
                    <a:ea typeface="Arial"/>
                    <a:cs typeface="Arial"/>
                  </a:defRPr>
                </a:pPr>
                <a:endParaRPr lang="en-US"/>
              </a:p>
            </c:txPr>
            <c:showLegendKey val="0"/>
            <c:showVal val="1"/>
            <c:showCatName val="1"/>
            <c:showSerName val="0"/>
            <c:showPercent val="1"/>
            <c:showBubbleSize val="0"/>
            <c:showLeaderLines val="1"/>
          </c:dLbls>
          <c:cat>
            <c:strRef>
              <c:f>Sheet1!$B$1:$J$1</c:f>
              <c:strCache>
                <c:ptCount val="9"/>
                <c:pt idx="0">
                  <c:v>Sticlǎ</c:v>
                </c:pt>
                <c:pt idx="1">
                  <c:v>Hârtie/carton</c:v>
                </c:pt>
                <c:pt idx="2">
                  <c:v>Lemn</c:v>
                </c:pt>
                <c:pt idx="3">
                  <c:v>Metal</c:v>
                </c:pt>
                <c:pt idx="4">
                  <c:v>Plastic</c:v>
                </c:pt>
                <c:pt idx="5">
                  <c:v>Biodegradabile</c:v>
                </c:pt>
                <c:pt idx="6">
                  <c:v>Voluminoase</c:v>
                </c:pt>
                <c:pt idx="7">
                  <c:v>Inerte</c:v>
                </c:pt>
                <c:pt idx="8">
                  <c:v>Altele</c:v>
                </c:pt>
              </c:strCache>
            </c:strRef>
          </c:cat>
          <c:val>
            <c:numRef>
              <c:f>Sheet1!$B$2:$J$2</c:f>
              <c:numCache>
                <c:formatCode>General</c:formatCode>
                <c:ptCount val="9"/>
                <c:pt idx="0">
                  <c:v>0.05</c:v>
                </c:pt>
                <c:pt idx="1">
                  <c:v>0.82</c:v>
                </c:pt>
                <c:pt idx="2">
                  <c:v>7.0000000000000001E-3</c:v>
                </c:pt>
                <c:pt idx="3">
                  <c:v>0.12</c:v>
                </c:pt>
                <c:pt idx="4">
                  <c:v>1.26</c:v>
                </c:pt>
                <c:pt idx="5">
                  <c:v>22.92</c:v>
                </c:pt>
                <c:pt idx="6">
                  <c:v>0</c:v>
                </c:pt>
                <c:pt idx="7">
                  <c:v>0.06</c:v>
                </c:pt>
                <c:pt idx="8">
                  <c:v>1.29</c:v>
                </c:pt>
              </c:numCache>
            </c:numRef>
          </c:val>
        </c:ser>
        <c:dLbls>
          <c:showLegendKey val="0"/>
          <c:showVal val="1"/>
          <c:showCatName val="1"/>
          <c:showSerName val="0"/>
          <c:showPercent val="1"/>
          <c:showBubbleSize val="0"/>
          <c:showLeaderLines val="1"/>
        </c:dLbls>
      </c:pie3DChart>
      <c:spPr>
        <a:noFill/>
        <a:ln w="25399">
          <a:noFill/>
        </a:ln>
      </c:spPr>
    </c:plotArea>
    <c:plotVisOnly val="1"/>
    <c:dispBlanksAs val="zero"/>
    <c:showDLblsOverMax val="0"/>
  </c:chart>
  <c:spPr>
    <a:noFill/>
    <a:ln w="6350" cap="flat" cmpd="sng" algn="ctr">
      <a:solidFill>
        <a:srgbClr val="000000"/>
      </a:solidFill>
      <a:prstDash val="solid"/>
      <a:miter lim="800000"/>
      <a:headEnd type="none" w="med" len="med"/>
      <a:tailEnd type="none" w="med" len="med"/>
    </a:ln>
  </c:spPr>
  <c:txPr>
    <a:bodyPr/>
    <a:lstStyle/>
    <a:p>
      <a:pPr>
        <a:defRPr sz="1650" b="1" i="0" u="none" strike="noStrike" baseline="0">
          <a:solidFill>
            <a:srgbClr val="000000"/>
          </a:solidFill>
          <a:latin typeface="Arial"/>
          <a:ea typeface="Arial"/>
          <a:cs typeface="Arial"/>
        </a:defRPr>
      </a:pPr>
      <a:endParaRPr lang="en-US"/>
    </a:p>
  </c:tx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124567474048443E-2"/>
          <c:y val="0.10091743119265995"/>
          <c:w val="0.69204152249134965"/>
          <c:h val="0.7155963302752294"/>
        </c:manualLayout>
      </c:layout>
      <c:lineChart>
        <c:grouping val="standard"/>
        <c:varyColors val="0"/>
        <c:ser>
          <c:idx val="0"/>
          <c:order val="0"/>
          <c:tx>
            <c:strRef>
              <c:f>Sheet1!$A$2</c:f>
              <c:strCache>
                <c:ptCount val="1"/>
                <c:pt idx="0">
                  <c:v>PET</c:v>
                </c:pt>
              </c:strCache>
            </c:strRef>
          </c:tx>
          <c:spPr>
            <a:ln w="12713">
              <a:solidFill>
                <a:srgbClr val="000080"/>
              </a:solidFill>
              <a:prstDash val="solid"/>
            </a:ln>
          </c:spPr>
          <c:marker>
            <c:symbol val="diamond"/>
            <c:size val="5"/>
            <c:spPr>
              <a:solidFill>
                <a:srgbClr val="000080"/>
              </a:solidFill>
              <a:ln>
                <a:solidFill>
                  <a:srgbClr val="000080"/>
                </a:solidFill>
                <a:prstDash val="solid"/>
              </a:ln>
            </c:spPr>
          </c:marker>
          <c:cat>
            <c:numRef>
              <c:f>Sheet1!$B$1:$F$1</c:f>
              <c:numCache>
                <c:formatCode>General</c:formatCode>
                <c:ptCount val="5"/>
                <c:pt idx="0">
                  <c:v>2010</c:v>
                </c:pt>
                <c:pt idx="1">
                  <c:v>2011</c:v>
                </c:pt>
                <c:pt idx="2">
                  <c:v>2012</c:v>
                </c:pt>
                <c:pt idx="3">
                  <c:v>2013</c:v>
                </c:pt>
                <c:pt idx="4">
                  <c:v>2014</c:v>
                </c:pt>
              </c:numCache>
            </c:numRef>
          </c:cat>
          <c:val>
            <c:numRef>
              <c:f>Sheet1!$B$2:$F$2</c:f>
              <c:numCache>
                <c:formatCode>General</c:formatCode>
                <c:ptCount val="5"/>
                <c:pt idx="0">
                  <c:v>46.335000000000001</c:v>
                </c:pt>
                <c:pt idx="1">
                  <c:v>91.77</c:v>
                </c:pt>
                <c:pt idx="2">
                  <c:v>237.44499999999999</c:v>
                </c:pt>
                <c:pt idx="3">
                  <c:v>259.28800000000001</c:v>
                </c:pt>
                <c:pt idx="4">
                  <c:v>197.66200000000001</c:v>
                </c:pt>
              </c:numCache>
            </c:numRef>
          </c:val>
          <c:smooth val="0"/>
        </c:ser>
        <c:ser>
          <c:idx val="1"/>
          <c:order val="1"/>
          <c:tx>
            <c:strRef>
              <c:f>Sheet1!$A$3</c:f>
              <c:strCache>
                <c:ptCount val="1"/>
                <c:pt idx="0">
                  <c:v>Plastic</c:v>
                </c:pt>
              </c:strCache>
            </c:strRef>
          </c:tx>
          <c:spPr>
            <a:ln w="12713">
              <a:solidFill>
                <a:srgbClr val="FF00FF"/>
              </a:solidFill>
              <a:prstDash val="solid"/>
            </a:ln>
          </c:spPr>
          <c:marker>
            <c:symbol val="square"/>
            <c:size val="5"/>
            <c:spPr>
              <a:solidFill>
                <a:srgbClr val="FF00FF"/>
              </a:solidFill>
              <a:ln>
                <a:solidFill>
                  <a:srgbClr val="FF00FF"/>
                </a:solidFill>
                <a:prstDash val="solid"/>
              </a:ln>
            </c:spPr>
          </c:marker>
          <c:cat>
            <c:numRef>
              <c:f>Sheet1!$B$1:$F$1</c:f>
              <c:numCache>
                <c:formatCode>General</c:formatCode>
                <c:ptCount val="5"/>
                <c:pt idx="0">
                  <c:v>2010</c:v>
                </c:pt>
                <c:pt idx="1">
                  <c:v>2011</c:v>
                </c:pt>
                <c:pt idx="2">
                  <c:v>2012</c:v>
                </c:pt>
                <c:pt idx="3">
                  <c:v>2013</c:v>
                </c:pt>
                <c:pt idx="4">
                  <c:v>2014</c:v>
                </c:pt>
              </c:numCache>
            </c:numRef>
          </c:cat>
          <c:val>
            <c:numRef>
              <c:f>Sheet1!$B$3:$F$3</c:f>
              <c:numCache>
                <c:formatCode>General</c:formatCode>
                <c:ptCount val="5"/>
                <c:pt idx="0">
                  <c:v>7.548</c:v>
                </c:pt>
                <c:pt idx="1">
                  <c:v>11.352</c:v>
                </c:pt>
                <c:pt idx="2">
                  <c:v>47.45</c:v>
                </c:pt>
                <c:pt idx="3">
                  <c:v>10.23</c:v>
                </c:pt>
                <c:pt idx="4">
                  <c:v>16</c:v>
                </c:pt>
              </c:numCache>
            </c:numRef>
          </c:val>
          <c:smooth val="0"/>
        </c:ser>
        <c:ser>
          <c:idx val="2"/>
          <c:order val="2"/>
          <c:tx>
            <c:strRef>
              <c:f>Sheet1!$A$4</c:f>
              <c:strCache>
                <c:ptCount val="1"/>
                <c:pt idx="0">
                  <c:v>Hârtie/Carton</c:v>
                </c:pt>
              </c:strCache>
            </c:strRef>
          </c:tx>
          <c:spPr>
            <a:ln w="12713">
              <a:solidFill>
                <a:srgbClr val="FFFF00"/>
              </a:solidFill>
              <a:prstDash val="solid"/>
            </a:ln>
          </c:spPr>
          <c:marker>
            <c:symbol val="triangle"/>
            <c:size val="5"/>
            <c:spPr>
              <a:solidFill>
                <a:srgbClr val="FFFF00"/>
              </a:solidFill>
              <a:ln>
                <a:solidFill>
                  <a:srgbClr val="FFFF00"/>
                </a:solidFill>
                <a:prstDash val="solid"/>
              </a:ln>
            </c:spPr>
          </c:marker>
          <c:cat>
            <c:numRef>
              <c:f>Sheet1!$B$1:$F$1</c:f>
              <c:numCache>
                <c:formatCode>General</c:formatCode>
                <c:ptCount val="5"/>
                <c:pt idx="0">
                  <c:v>2010</c:v>
                </c:pt>
                <c:pt idx="1">
                  <c:v>2011</c:v>
                </c:pt>
                <c:pt idx="2">
                  <c:v>2012</c:v>
                </c:pt>
                <c:pt idx="3">
                  <c:v>2013</c:v>
                </c:pt>
                <c:pt idx="4">
                  <c:v>2014</c:v>
                </c:pt>
              </c:numCache>
            </c:numRef>
          </c:cat>
          <c:val>
            <c:numRef>
              <c:f>Sheet1!$B$4:$F$4</c:f>
              <c:numCache>
                <c:formatCode>General</c:formatCode>
                <c:ptCount val="5"/>
                <c:pt idx="0">
                  <c:v>116.114</c:v>
                </c:pt>
                <c:pt idx="1">
                  <c:v>301.255</c:v>
                </c:pt>
                <c:pt idx="2">
                  <c:v>488.59300000000002</c:v>
                </c:pt>
                <c:pt idx="3">
                  <c:v>345.56799999999998</c:v>
                </c:pt>
                <c:pt idx="4">
                  <c:v>315.279</c:v>
                </c:pt>
              </c:numCache>
            </c:numRef>
          </c:val>
          <c:smooth val="0"/>
        </c:ser>
        <c:ser>
          <c:idx val="3"/>
          <c:order val="3"/>
          <c:tx>
            <c:strRef>
              <c:f>Sheet1!$A$5</c:f>
              <c:strCache>
                <c:ptCount val="1"/>
                <c:pt idx="0">
                  <c:v>Sticlă</c:v>
                </c:pt>
              </c:strCache>
            </c:strRef>
          </c:tx>
          <c:spPr>
            <a:ln w="12713">
              <a:solidFill>
                <a:srgbClr val="00FFFF"/>
              </a:solidFill>
              <a:prstDash val="solid"/>
            </a:ln>
          </c:spPr>
          <c:marker>
            <c:symbol val="x"/>
            <c:size val="5"/>
            <c:spPr>
              <a:noFill/>
              <a:ln>
                <a:solidFill>
                  <a:srgbClr val="00FFFF"/>
                </a:solidFill>
                <a:prstDash val="solid"/>
              </a:ln>
            </c:spPr>
          </c:marker>
          <c:cat>
            <c:numRef>
              <c:f>Sheet1!$B$1:$F$1</c:f>
              <c:numCache>
                <c:formatCode>General</c:formatCode>
                <c:ptCount val="5"/>
                <c:pt idx="0">
                  <c:v>2010</c:v>
                </c:pt>
                <c:pt idx="1">
                  <c:v>2011</c:v>
                </c:pt>
                <c:pt idx="2">
                  <c:v>2012</c:v>
                </c:pt>
                <c:pt idx="3">
                  <c:v>2013</c:v>
                </c:pt>
                <c:pt idx="4">
                  <c:v>2014</c:v>
                </c:pt>
              </c:numCache>
            </c:numRef>
          </c:cat>
          <c:val>
            <c:numRef>
              <c:f>Sheet1!$B$5:$F$5</c:f>
              <c:numCache>
                <c:formatCode>General</c:formatCode>
                <c:ptCount val="5"/>
                <c:pt idx="0">
                  <c:v>5.4660000000000002</c:v>
                </c:pt>
                <c:pt idx="1">
                  <c:v>0.44600000000000001</c:v>
                </c:pt>
                <c:pt idx="2">
                  <c:v>13.2</c:v>
                </c:pt>
                <c:pt idx="3">
                  <c:v>25.805</c:v>
                </c:pt>
                <c:pt idx="4">
                  <c:v>46.5</c:v>
                </c:pt>
              </c:numCache>
            </c:numRef>
          </c:val>
          <c:smooth val="0"/>
        </c:ser>
        <c:ser>
          <c:idx val="4"/>
          <c:order val="4"/>
          <c:tx>
            <c:strRef>
              <c:f>Sheet1!$A$6</c:f>
              <c:strCache>
                <c:ptCount val="1"/>
                <c:pt idx="0">
                  <c:v>Metal</c:v>
                </c:pt>
              </c:strCache>
            </c:strRef>
          </c:tx>
          <c:spPr>
            <a:ln w="12713">
              <a:solidFill>
                <a:srgbClr val="800080"/>
              </a:solidFill>
              <a:prstDash val="solid"/>
            </a:ln>
          </c:spPr>
          <c:marker>
            <c:symbol val="star"/>
            <c:size val="5"/>
            <c:spPr>
              <a:noFill/>
              <a:ln>
                <a:solidFill>
                  <a:srgbClr val="800080"/>
                </a:solidFill>
                <a:prstDash val="solid"/>
              </a:ln>
            </c:spPr>
          </c:marker>
          <c:cat>
            <c:numRef>
              <c:f>Sheet1!$B$1:$F$1</c:f>
              <c:numCache>
                <c:formatCode>General</c:formatCode>
                <c:ptCount val="5"/>
                <c:pt idx="0">
                  <c:v>2010</c:v>
                </c:pt>
                <c:pt idx="1">
                  <c:v>2011</c:v>
                </c:pt>
                <c:pt idx="2">
                  <c:v>2012</c:v>
                </c:pt>
                <c:pt idx="3">
                  <c:v>2013</c:v>
                </c:pt>
                <c:pt idx="4">
                  <c:v>2014</c:v>
                </c:pt>
              </c:numCache>
            </c:numRef>
          </c:cat>
          <c:val>
            <c:numRef>
              <c:f>Sheet1!$B$6:$F$6</c:f>
              <c:numCache>
                <c:formatCode>General</c:formatCode>
                <c:ptCount val="5"/>
                <c:pt idx="0">
                  <c:v>0.13</c:v>
                </c:pt>
                <c:pt idx="1">
                  <c:v>6.0750000000000002</c:v>
                </c:pt>
                <c:pt idx="2">
                  <c:v>4.9450000000000003</c:v>
                </c:pt>
                <c:pt idx="3">
                  <c:v>12.77</c:v>
                </c:pt>
                <c:pt idx="4">
                  <c:v>30.66</c:v>
                </c:pt>
              </c:numCache>
            </c:numRef>
          </c:val>
          <c:smooth val="0"/>
        </c:ser>
        <c:ser>
          <c:idx val="5"/>
          <c:order val="5"/>
          <c:tx>
            <c:strRef>
              <c:f>Sheet1!$A$7</c:f>
              <c:strCache>
                <c:ptCount val="1"/>
                <c:pt idx="0">
                  <c:v>Lemn</c:v>
                </c:pt>
              </c:strCache>
            </c:strRef>
          </c:tx>
          <c:spPr>
            <a:ln w="12713">
              <a:solidFill>
                <a:srgbClr val="800000"/>
              </a:solidFill>
              <a:prstDash val="solid"/>
            </a:ln>
          </c:spPr>
          <c:marker>
            <c:symbol val="circle"/>
            <c:size val="5"/>
            <c:spPr>
              <a:solidFill>
                <a:srgbClr val="800000"/>
              </a:solidFill>
              <a:ln>
                <a:solidFill>
                  <a:srgbClr val="800000"/>
                </a:solidFill>
                <a:prstDash val="solid"/>
              </a:ln>
            </c:spPr>
          </c:marker>
          <c:cat>
            <c:numRef>
              <c:f>Sheet1!$B$1:$F$1</c:f>
              <c:numCache>
                <c:formatCode>General</c:formatCode>
                <c:ptCount val="5"/>
                <c:pt idx="0">
                  <c:v>2010</c:v>
                </c:pt>
                <c:pt idx="1">
                  <c:v>2011</c:v>
                </c:pt>
                <c:pt idx="2">
                  <c:v>2012</c:v>
                </c:pt>
                <c:pt idx="3">
                  <c:v>2013</c:v>
                </c:pt>
                <c:pt idx="4">
                  <c:v>2014</c:v>
                </c:pt>
              </c:numCache>
            </c:numRef>
          </c:cat>
          <c:val>
            <c:numRef>
              <c:f>Sheet1!$B$7:$F$7</c:f>
              <c:numCache>
                <c:formatCode>General</c:formatCode>
                <c:ptCount val="5"/>
                <c:pt idx="0">
                  <c:v>0</c:v>
                </c:pt>
                <c:pt idx="1">
                  <c:v>0</c:v>
                </c:pt>
                <c:pt idx="2">
                  <c:v>0</c:v>
                </c:pt>
                <c:pt idx="3">
                  <c:v>0</c:v>
                </c:pt>
                <c:pt idx="4">
                  <c:v>0</c:v>
                </c:pt>
              </c:numCache>
            </c:numRef>
          </c:val>
          <c:smooth val="0"/>
        </c:ser>
        <c:dLbls>
          <c:showLegendKey val="0"/>
          <c:showVal val="0"/>
          <c:showCatName val="0"/>
          <c:showSerName val="0"/>
          <c:showPercent val="0"/>
          <c:showBubbleSize val="0"/>
        </c:dLbls>
        <c:marker val="1"/>
        <c:smooth val="0"/>
        <c:axId val="297384192"/>
        <c:axId val="297407232"/>
      </c:lineChart>
      <c:catAx>
        <c:axId val="297384192"/>
        <c:scaling>
          <c:orientation val="minMax"/>
        </c:scaling>
        <c:delete val="0"/>
        <c:axPos val="b"/>
        <c:title>
          <c:tx>
            <c:rich>
              <a:bodyPr/>
              <a:lstStyle/>
              <a:p>
                <a:pPr>
                  <a:defRPr sz="851" b="1" i="0" u="none" strike="noStrike" baseline="0">
                    <a:solidFill>
                      <a:srgbClr val="000000"/>
                    </a:solidFill>
                    <a:latin typeface="Arial"/>
                    <a:ea typeface="Arial"/>
                    <a:cs typeface="Arial"/>
                  </a:defRPr>
                </a:pPr>
                <a:r>
                  <a:rPr lang="en-US"/>
                  <a:t>anul</a:t>
                </a:r>
              </a:p>
            </c:rich>
          </c:tx>
          <c:layout>
            <c:manualLayout>
              <c:xMode val="edge"/>
              <c:yMode val="edge"/>
              <c:x val="0.80103806228373764"/>
              <c:y val="0.80733944954128445"/>
            </c:manualLayout>
          </c:layout>
          <c:overlay val="0"/>
          <c:spPr>
            <a:noFill/>
            <a:ln w="25426">
              <a:noFill/>
            </a:ln>
          </c:spPr>
        </c:title>
        <c:numFmt formatCode="General" sourceLinked="1"/>
        <c:majorTickMark val="out"/>
        <c:minorTickMark val="none"/>
        <c:tickLblPos val="nextTo"/>
        <c:spPr>
          <a:ln w="3178">
            <a:solidFill>
              <a:srgbClr val="000000"/>
            </a:solidFill>
            <a:prstDash val="solid"/>
          </a:ln>
        </c:spPr>
        <c:txPr>
          <a:bodyPr rot="0" vert="horz"/>
          <a:lstStyle/>
          <a:p>
            <a:pPr>
              <a:defRPr sz="951" b="1" i="0" u="none" strike="noStrike" baseline="0">
                <a:solidFill>
                  <a:srgbClr val="000000"/>
                </a:solidFill>
                <a:latin typeface="Arial"/>
                <a:ea typeface="Arial"/>
                <a:cs typeface="Arial"/>
              </a:defRPr>
            </a:pPr>
            <a:endParaRPr lang="en-US"/>
          </a:p>
        </c:txPr>
        <c:crossAx val="297407232"/>
        <c:crosses val="autoZero"/>
        <c:auto val="1"/>
        <c:lblAlgn val="ctr"/>
        <c:lblOffset val="100"/>
        <c:tickLblSkip val="1"/>
        <c:tickMarkSkip val="1"/>
        <c:noMultiLvlLbl val="0"/>
      </c:catAx>
      <c:valAx>
        <c:axId val="297407232"/>
        <c:scaling>
          <c:orientation val="minMax"/>
        </c:scaling>
        <c:delete val="0"/>
        <c:axPos val="l"/>
        <c:majorGridlines>
          <c:spPr>
            <a:ln w="3178">
              <a:solidFill>
                <a:srgbClr val="000000"/>
              </a:solidFill>
              <a:prstDash val="solid"/>
            </a:ln>
          </c:spPr>
        </c:majorGridlines>
        <c:title>
          <c:tx>
            <c:rich>
              <a:bodyPr rot="0" vert="horz"/>
              <a:lstStyle/>
              <a:p>
                <a:pPr algn="ctr">
                  <a:defRPr sz="851" b="1" i="0" u="none" strike="noStrike" baseline="0">
                    <a:solidFill>
                      <a:srgbClr val="000000"/>
                    </a:solidFill>
                    <a:latin typeface="Arial"/>
                    <a:ea typeface="Arial"/>
                    <a:cs typeface="Arial"/>
                  </a:defRPr>
                </a:pPr>
                <a:r>
                  <a:rPr lang="en-US"/>
                  <a:t>tone</a:t>
                </a:r>
              </a:p>
            </c:rich>
          </c:tx>
          <c:layout>
            <c:manualLayout>
              <c:xMode val="edge"/>
              <c:yMode val="edge"/>
              <c:x val="4.3252595155709339E-2"/>
              <c:y val="0"/>
            </c:manualLayout>
          </c:layout>
          <c:overlay val="0"/>
          <c:spPr>
            <a:noFill/>
            <a:ln w="25426">
              <a:noFill/>
            </a:ln>
          </c:spPr>
        </c:title>
        <c:numFmt formatCode="General" sourceLinked="1"/>
        <c:majorTickMark val="out"/>
        <c:minorTickMark val="none"/>
        <c:tickLblPos val="nextTo"/>
        <c:spPr>
          <a:ln w="3178">
            <a:solidFill>
              <a:srgbClr val="000000"/>
            </a:solidFill>
            <a:prstDash val="solid"/>
          </a:ln>
        </c:spPr>
        <c:txPr>
          <a:bodyPr rot="0" vert="horz"/>
          <a:lstStyle/>
          <a:p>
            <a:pPr>
              <a:defRPr sz="951" b="1" i="0" u="none" strike="noStrike" baseline="0">
                <a:solidFill>
                  <a:srgbClr val="000000"/>
                </a:solidFill>
                <a:latin typeface="Arial"/>
                <a:ea typeface="Arial"/>
                <a:cs typeface="Arial"/>
              </a:defRPr>
            </a:pPr>
            <a:endParaRPr lang="en-US"/>
          </a:p>
        </c:txPr>
        <c:crossAx val="297384192"/>
        <c:crosses val="autoZero"/>
        <c:crossBetween val="midCat"/>
      </c:valAx>
      <c:spPr>
        <a:noFill/>
        <a:ln w="12713">
          <a:solidFill>
            <a:srgbClr val="808080"/>
          </a:solidFill>
          <a:prstDash val="solid"/>
        </a:ln>
      </c:spPr>
    </c:plotArea>
    <c:legend>
      <c:legendPos val="r"/>
      <c:layout>
        <c:manualLayout>
          <c:xMode val="edge"/>
          <c:yMode val="edge"/>
          <c:x val="0.78027681660900983"/>
          <c:y val="0.16513761467889887"/>
          <c:w val="0.21280276816608998"/>
          <c:h val="0.58256880733944949"/>
        </c:manualLayout>
      </c:layout>
      <c:overlay val="0"/>
      <c:spPr>
        <a:noFill/>
        <a:ln w="3178">
          <a:solidFill>
            <a:srgbClr val="000000"/>
          </a:solidFill>
          <a:prstDash val="solid"/>
        </a:ln>
      </c:spPr>
      <c:txPr>
        <a:bodyPr/>
        <a:lstStyle/>
        <a:p>
          <a:pPr>
            <a:defRPr sz="871" b="1" i="0" u="none" strike="noStrike" baseline="0">
              <a:solidFill>
                <a:srgbClr val="000000"/>
              </a:solidFill>
              <a:latin typeface="Arial"/>
              <a:ea typeface="Arial"/>
              <a:cs typeface="Arial"/>
            </a:defRPr>
          </a:pPr>
          <a:endParaRPr lang="en-US"/>
        </a:p>
      </c:txPr>
    </c:legend>
    <c:plotVisOnly val="1"/>
    <c:dispBlanksAs val="gap"/>
    <c:showDLblsOverMax val="0"/>
  </c:chart>
  <c:spPr>
    <a:noFill/>
    <a:ln w="6350" cap="flat" cmpd="sng" algn="ctr">
      <a:solidFill>
        <a:srgbClr val="000000"/>
      </a:solidFill>
      <a:prstDash val="solid"/>
      <a:miter lim="800000"/>
      <a:headEnd type="none" w="med" len="med"/>
      <a:tailEnd type="none" w="med" len="med"/>
    </a:ln>
  </c:spPr>
  <c:txPr>
    <a:bodyPr/>
    <a:lstStyle/>
    <a:p>
      <a:pPr>
        <a:defRPr sz="951" b="1" i="0" u="none" strike="noStrike" baseline="0">
          <a:solidFill>
            <a:srgbClr val="000000"/>
          </a:solidFill>
          <a:latin typeface="Arial"/>
          <a:ea typeface="Arial"/>
          <a:cs typeface="Arial"/>
        </a:defRPr>
      </a:pPr>
      <a:endParaRPr lang="en-US"/>
    </a:p>
  </c:tx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Foaie1!$B$1</c:f>
              <c:strCache>
                <c:ptCount val="1"/>
                <c:pt idx="0">
                  <c:v>Cantitatile de deseuri biodegradabile municipale generate (to)</c:v>
                </c:pt>
              </c:strCache>
            </c:strRef>
          </c:tx>
          <c:invertIfNegative val="0"/>
          <c:cat>
            <c:numRef>
              <c:f>Foaie1!$A$2:$A$7</c:f>
              <c:numCache>
                <c:formatCode>General</c:formatCode>
                <c:ptCount val="6"/>
                <c:pt idx="0">
                  <c:v>1995</c:v>
                </c:pt>
                <c:pt idx="1">
                  <c:v>2010</c:v>
                </c:pt>
                <c:pt idx="2">
                  <c:v>2013</c:v>
                </c:pt>
              </c:numCache>
            </c:numRef>
          </c:cat>
          <c:val>
            <c:numRef>
              <c:f>Foaie1!$B$2:$B$7</c:f>
              <c:numCache>
                <c:formatCode>General</c:formatCode>
                <c:ptCount val="6"/>
                <c:pt idx="0">
                  <c:v>98134</c:v>
                </c:pt>
                <c:pt idx="1">
                  <c:v>88554</c:v>
                </c:pt>
                <c:pt idx="2">
                  <c:v>49067</c:v>
                </c:pt>
              </c:numCache>
            </c:numRef>
          </c:val>
        </c:ser>
        <c:ser>
          <c:idx val="1"/>
          <c:order val="1"/>
          <c:tx>
            <c:strRef>
              <c:f>Foaie1!$C$1</c:f>
              <c:strCache>
                <c:ptCount val="1"/>
                <c:pt idx="0">
                  <c:v>Tinte de reducere  pt. cantităţile de deşeuri biodegradabile</c:v>
                </c:pt>
              </c:strCache>
            </c:strRef>
          </c:tx>
          <c:invertIfNegative val="0"/>
          <c:cat>
            <c:numRef>
              <c:f>Foaie1!$A$2:$A$7</c:f>
              <c:numCache>
                <c:formatCode>General</c:formatCode>
                <c:ptCount val="6"/>
                <c:pt idx="0">
                  <c:v>1995</c:v>
                </c:pt>
                <c:pt idx="1">
                  <c:v>2010</c:v>
                </c:pt>
                <c:pt idx="2">
                  <c:v>2013</c:v>
                </c:pt>
              </c:numCache>
            </c:numRef>
          </c:cat>
          <c:val>
            <c:numRef>
              <c:f>Foaie1!$C$2:$C$7</c:f>
              <c:numCache>
                <c:formatCode>General</c:formatCode>
                <c:ptCount val="6"/>
                <c:pt idx="1">
                  <c:v>0</c:v>
                </c:pt>
                <c:pt idx="2">
                  <c:v>0</c:v>
                </c:pt>
              </c:numCache>
            </c:numRef>
          </c:val>
        </c:ser>
        <c:ser>
          <c:idx val="2"/>
          <c:order val="2"/>
          <c:tx>
            <c:strRef>
              <c:f>Foaie1!$D$1</c:f>
              <c:strCache>
                <c:ptCount val="1"/>
                <c:pt idx="0">
                  <c:v>Cantitatea maximă de deşeuri biodegradabile care poate fi depozitată (to)</c:v>
                </c:pt>
              </c:strCache>
            </c:strRef>
          </c:tx>
          <c:invertIfNegative val="0"/>
          <c:cat>
            <c:numRef>
              <c:f>Foaie1!$A$2:$A$7</c:f>
              <c:numCache>
                <c:formatCode>General</c:formatCode>
                <c:ptCount val="6"/>
                <c:pt idx="0">
                  <c:v>1995</c:v>
                </c:pt>
                <c:pt idx="1">
                  <c:v>2010</c:v>
                </c:pt>
                <c:pt idx="2">
                  <c:v>2013</c:v>
                </c:pt>
              </c:numCache>
            </c:numRef>
          </c:cat>
          <c:val>
            <c:numRef>
              <c:f>Foaie1!$D$2:$D$7</c:f>
              <c:numCache>
                <c:formatCode>General</c:formatCode>
                <c:ptCount val="6"/>
                <c:pt idx="1">
                  <c:v>10862</c:v>
                </c:pt>
                <c:pt idx="2">
                  <c:v>14.954000000000001</c:v>
                </c:pt>
              </c:numCache>
            </c:numRef>
          </c:val>
        </c:ser>
        <c:ser>
          <c:idx val="3"/>
          <c:order val="3"/>
          <c:tx>
            <c:strRef>
              <c:f>Foaie1!$E$1</c:f>
              <c:strCache>
                <c:ptCount val="1"/>
                <c:pt idx="0">
                  <c:v>Cantitatea de deşeuri biodegradabile ce  trebuie redusă de la depozitare (to)</c:v>
                </c:pt>
              </c:strCache>
            </c:strRef>
          </c:tx>
          <c:invertIfNegative val="0"/>
          <c:cat>
            <c:numRef>
              <c:f>Foaie1!$A$2:$A$7</c:f>
              <c:numCache>
                <c:formatCode>General</c:formatCode>
                <c:ptCount val="6"/>
                <c:pt idx="0">
                  <c:v>1995</c:v>
                </c:pt>
                <c:pt idx="1">
                  <c:v>2010</c:v>
                </c:pt>
                <c:pt idx="2">
                  <c:v>2013</c:v>
                </c:pt>
              </c:numCache>
            </c:numRef>
          </c:cat>
          <c:val>
            <c:numRef>
              <c:f>Foaie1!$E$2:$E$7</c:f>
              <c:numCache>
                <c:formatCode>General</c:formatCode>
                <c:ptCount val="6"/>
                <c:pt idx="1">
                  <c:v>0</c:v>
                </c:pt>
                <c:pt idx="2" formatCode="#,##0">
                  <c:v>48681</c:v>
                </c:pt>
              </c:numCache>
            </c:numRef>
          </c:val>
        </c:ser>
        <c:dLbls>
          <c:showLegendKey val="0"/>
          <c:showVal val="0"/>
          <c:showCatName val="0"/>
          <c:showSerName val="0"/>
          <c:showPercent val="0"/>
          <c:showBubbleSize val="0"/>
        </c:dLbls>
        <c:gapWidth val="150"/>
        <c:axId val="297798656"/>
        <c:axId val="297800448"/>
      </c:barChart>
      <c:catAx>
        <c:axId val="297798656"/>
        <c:scaling>
          <c:orientation val="minMax"/>
        </c:scaling>
        <c:delete val="0"/>
        <c:axPos val="b"/>
        <c:numFmt formatCode="General" sourceLinked="1"/>
        <c:majorTickMark val="out"/>
        <c:minorTickMark val="none"/>
        <c:tickLblPos val="nextTo"/>
        <c:crossAx val="297800448"/>
        <c:crosses val="autoZero"/>
        <c:auto val="1"/>
        <c:lblAlgn val="ctr"/>
        <c:lblOffset val="100"/>
        <c:noMultiLvlLbl val="0"/>
      </c:catAx>
      <c:valAx>
        <c:axId val="297800448"/>
        <c:scaling>
          <c:orientation val="minMax"/>
        </c:scaling>
        <c:delete val="0"/>
        <c:axPos val="l"/>
        <c:majorGridlines/>
        <c:numFmt formatCode="General" sourceLinked="1"/>
        <c:majorTickMark val="out"/>
        <c:minorTickMark val="none"/>
        <c:tickLblPos val="nextTo"/>
        <c:crossAx val="297798656"/>
        <c:crosses val="autoZero"/>
        <c:crossBetween val="between"/>
      </c:valAx>
    </c:plotArea>
    <c:legend>
      <c:legendPos val="r"/>
      <c:overlay val="0"/>
    </c:legend>
    <c:plotVisOnly val="1"/>
    <c:dispBlanksAs val="zero"/>
    <c:showDLblsOverMax val="0"/>
  </c:chart>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Foaie1!$B$1</c:f>
              <c:strCache>
                <c:ptCount val="1"/>
                <c:pt idx="0">
                  <c:v>Grad conect.serv.salubrit.total</c:v>
                </c:pt>
              </c:strCache>
            </c:strRef>
          </c:tx>
          <c:invertIfNegative val="0"/>
          <c:cat>
            <c:numRef>
              <c:f>Foaie1!$A$2:$A$6</c:f>
              <c:numCache>
                <c:formatCode>General</c:formatCode>
                <c:ptCount val="5"/>
                <c:pt idx="0">
                  <c:v>2010</c:v>
                </c:pt>
                <c:pt idx="1">
                  <c:v>2011</c:v>
                </c:pt>
                <c:pt idx="2">
                  <c:v>2012</c:v>
                </c:pt>
                <c:pt idx="3">
                  <c:v>2013</c:v>
                </c:pt>
                <c:pt idx="4">
                  <c:v>2014</c:v>
                </c:pt>
              </c:numCache>
            </c:numRef>
          </c:cat>
          <c:val>
            <c:numRef>
              <c:f>Foaie1!$B$2:$B$6</c:f>
              <c:numCache>
                <c:formatCode>General</c:formatCode>
                <c:ptCount val="5"/>
                <c:pt idx="0">
                  <c:v>23.85</c:v>
                </c:pt>
                <c:pt idx="1">
                  <c:v>26.55</c:v>
                </c:pt>
                <c:pt idx="2">
                  <c:v>27.66</c:v>
                </c:pt>
                <c:pt idx="3">
                  <c:v>38.909999999999997</c:v>
                </c:pt>
                <c:pt idx="4">
                  <c:v>39.880000000000003</c:v>
                </c:pt>
              </c:numCache>
            </c:numRef>
          </c:val>
        </c:ser>
        <c:ser>
          <c:idx val="1"/>
          <c:order val="1"/>
          <c:tx>
            <c:strRef>
              <c:f>Foaie1!$C$1</c:f>
              <c:strCache>
                <c:ptCount val="1"/>
                <c:pt idx="0">
                  <c:v>Urban</c:v>
                </c:pt>
              </c:strCache>
            </c:strRef>
          </c:tx>
          <c:invertIfNegative val="0"/>
          <c:cat>
            <c:numRef>
              <c:f>Foaie1!$A$2:$A$6</c:f>
              <c:numCache>
                <c:formatCode>General</c:formatCode>
                <c:ptCount val="5"/>
                <c:pt idx="0">
                  <c:v>2010</c:v>
                </c:pt>
                <c:pt idx="1">
                  <c:v>2011</c:v>
                </c:pt>
                <c:pt idx="2">
                  <c:v>2012</c:v>
                </c:pt>
                <c:pt idx="3">
                  <c:v>2013</c:v>
                </c:pt>
                <c:pt idx="4">
                  <c:v>2014</c:v>
                </c:pt>
              </c:numCache>
            </c:numRef>
          </c:cat>
          <c:val>
            <c:numRef>
              <c:f>Foaie1!$C$2:$C$6</c:f>
              <c:numCache>
                <c:formatCode>General</c:formatCode>
                <c:ptCount val="5"/>
                <c:pt idx="0">
                  <c:v>57.58</c:v>
                </c:pt>
                <c:pt idx="1">
                  <c:v>70.89</c:v>
                </c:pt>
                <c:pt idx="2">
                  <c:v>62.37</c:v>
                </c:pt>
                <c:pt idx="3">
                  <c:v>72.650000000000006</c:v>
                </c:pt>
                <c:pt idx="4">
                  <c:v>85.79</c:v>
                </c:pt>
              </c:numCache>
            </c:numRef>
          </c:val>
        </c:ser>
        <c:ser>
          <c:idx val="2"/>
          <c:order val="2"/>
          <c:tx>
            <c:strRef>
              <c:f>Foaie1!$D$1</c:f>
              <c:strCache>
                <c:ptCount val="1"/>
                <c:pt idx="0">
                  <c:v>Rural</c:v>
                </c:pt>
              </c:strCache>
            </c:strRef>
          </c:tx>
          <c:invertIfNegative val="0"/>
          <c:cat>
            <c:numRef>
              <c:f>Foaie1!$A$2:$A$6</c:f>
              <c:numCache>
                <c:formatCode>General</c:formatCode>
                <c:ptCount val="5"/>
                <c:pt idx="0">
                  <c:v>2010</c:v>
                </c:pt>
                <c:pt idx="1">
                  <c:v>2011</c:v>
                </c:pt>
                <c:pt idx="2">
                  <c:v>2012</c:v>
                </c:pt>
                <c:pt idx="3">
                  <c:v>2013</c:v>
                </c:pt>
                <c:pt idx="4">
                  <c:v>2014</c:v>
                </c:pt>
              </c:numCache>
            </c:numRef>
          </c:cat>
          <c:val>
            <c:numRef>
              <c:f>Foaie1!$D$2:$D$6</c:f>
              <c:numCache>
                <c:formatCode>General</c:formatCode>
                <c:ptCount val="5"/>
                <c:pt idx="0">
                  <c:v>7.8E-2</c:v>
                </c:pt>
                <c:pt idx="1">
                  <c:v>8.6800000000000002E-2</c:v>
                </c:pt>
                <c:pt idx="2">
                  <c:v>3.07</c:v>
                </c:pt>
                <c:pt idx="3">
                  <c:v>7.61</c:v>
                </c:pt>
                <c:pt idx="4">
                  <c:v>10.16</c:v>
                </c:pt>
              </c:numCache>
            </c:numRef>
          </c:val>
        </c:ser>
        <c:dLbls>
          <c:showLegendKey val="0"/>
          <c:showVal val="0"/>
          <c:showCatName val="0"/>
          <c:showSerName val="0"/>
          <c:showPercent val="0"/>
          <c:showBubbleSize val="0"/>
        </c:dLbls>
        <c:gapWidth val="150"/>
        <c:axId val="297834368"/>
        <c:axId val="297835904"/>
      </c:barChart>
      <c:catAx>
        <c:axId val="297834368"/>
        <c:scaling>
          <c:orientation val="minMax"/>
        </c:scaling>
        <c:delete val="0"/>
        <c:axPos val="b"/>
        <c:numFmt formatCode="General" sourceLinked="1"/>
        <c:majorTickMark val="out"/>
        <c:minorTickMark val="none"/>
        <c:tickLblPos val="nextTo"/>
        <c:crossAx val="297835904"/>
        <c:crosses val="autoZero"/>
        <c:auto val="1"/>
        <c:lblAlgn val="ctr"/>
        <c:lblOffset val="100"/>
        <c:noMultiLvlLbl val="0"/>
      </c:catAx>
      <c:valAx>
        <c:axId val="297835904"/>
        <c:scaling>
          <c:orientation val="minMax"/>
        </c:scaling>
        <c:delete val="0"/>
        <c:axPos val="l"/>
        <c:majorGridlines/>
        <c:numFmt formatCode="General" sourceLinked="1"/>
        <c:majorTickMark val="out"/>
        <c:minorTickMark val="none"/>
        <c:tickLblPos val="nextTo"/>
        <c:crossAx val="297834368"/>
        <c:crosses val="autoZero"/>
        <c:crossBetween val="between"/>
      </c:valAx>
    </c:plotArea>
    <c:legend>
      <c:legendPos val="r"/>
      <c:overlay val="0"/>
    </c:legend>
    <c:plotVisOnly val="1"/>
    <c:dispBlanksAs val="gap"/>
    <c:showDLblsOverMax val="0"/>
  </c:chart>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3"/>
      <c:hPercent val="54"/>
      <c:rotY val="39"/>
      <c:depthPercent val="100"/>
      <c:rAngAx val="1"/>
    </c:view3D>
    <c:floor>
      <c:thickness val="0"/>
      <c:spPr>
        <a:no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0.17440000000000044"/>
          <c:y val="3.7344398340248962E-2"/>
          <c:w val="0.50239999999999996"/>
          <c:h val="0.78008298755186656"/>
        </c:manualLayout>
      </c:layout>
      <c:bar3DChart>
        <c:barDir val="col"/>
        <c:grouping val="clustered"/>
        <c:varyColors val="0"/>
        <c:ser>
          <c:idx val="0"/>
          <c:order val="0"/>
          <c:tx>
            <c:strRef>
              <c:f>Sheet1!$A$2</c:f>
              <c:strCache>
                <c:ptCount val="1"/>
              </c:strCache>
            </c:strRef>
          </c:tx>
          <c:spPr>
            <a:solidFill>
              <a:srgbClr val="3366FF"/>
            </a:solidFill>
            <a:ln w="12662">
              <a:solidFill>
                <a:srgbClr val="000000"/>
              </a:solidFill>
              <a:prstDash val="solid"/>
            </a:ln>
          </c:spPr>
          <c:invertIfNegative val="0"/>
          <c:cat>
            <c:numRef>
              <c:f>Sheet1!$B$1:$C$1</c:f>
              <c:numCache>
                <c:formatCode>General</c:formatCode>
                <c:ptCount val="2"/>
              </c:numCache>
            </c:numRef>
          </c:cat>
          <c:val>
            <c:numRef>
              <c:f>Sheet1!$B$2:$C$2</c:f>
              <c:numCache>
                <c:formatCode>General</c:formatCode>
                <c:ptCount val="2"/>
              </c:numCache>
            </c:numRef>
          </c:val>
        </c:ser>
        <c:ser>
          <c:idx val="1"/>
          <c:order val="1"/>
          <c:tx>
            <c:strRef>
              <c:f>Sheet1!$A$3</c:f>
              <c:strCache>
                <c:ptCount val="1"/>
                <c:pt idx="0">
                  <c:v>industria prelucrătoare</c:v>
                </c:pt>
              </c:strCache>
            </c:strRef>
          </c:tx>
          <c:spPr>
            <a:solidFill>
              <a:srgbClr val="FF00FF"/>
            </a:solidFill>
            <a:ln w="12662">
              <a:solidFill>
                <a:srgbClr val="000000"/>
              </a:solidFill>
              <a:prstDash val="solid"/>
            </a:ln>
          </c:spPr>
          <c:invertIfNegative val="0"/>
          <c:cat>
            <c:numRef>
              <c:f>Sheet1!$B$1:$C$1</c:f>
              <c:numCache>
                <c:formatCode>General</c:formatCode>
                <c:ptCount val="2"/>
              </c:numCache>
            </c:numRef>
          </c:cat>
          <c:val>
            <c:numRef>
              <c:f>Sheet1!$B$3:$C$3</c:f>
              <c:numCache>
                <c:formatCode>General</c:formatCode>
                <c:ptCount val="2"/>
              </c:numCache>
            </c:numRef>
          </c:val>
        </c:ser>
        <c:ser>
          <c:idx val="2"/>
          <c:order val="2"/>
          <c:tx>
            <c:strRef>
              <c:f>Sheet1!$A$4</c:f>
              <c:strCache>
                <c:ptCount val="1"/>
                <c:pt idx="0">
                  <c:v>producţia,transportul şi distribuţia de energie,gaze şi apa</c:v>
                </c:pt>
              </c:strCache>
            </c:strRef>
          </c:tx>
          <c:spPr>
            <a:solidFill>
              <a:srgbClr val="FFFF00"/>
            </a:solidFill>
            <a:ln w="12662">
              <a:solidFill>
                <a:srgbClr val="000000"/>
              </a:solidFill>
              <a:prstDash val="solid"/>
            </a:ln>
          </c:spPr>
          <c:invertIfNegative val="0"/>
          <c:cat>
            <c:numRef>
              <c:f>Sheet1!$B$1:$C$1</c:f>
              <c:numCache>
                <c:formatCode>General</c:formatCode>
                <c:ptCount val="2"/>
              </c:numCache>
            </c:numRef>
          </c:cat>
          <c:val>
            <c:numRef>
              <c:f>Sheet1!$B$4:$C$4</c:f>
              <c:numCache>
                <c:formatCode>General</c:formatCode>
                <c:ptCount val="2"/>
                <c:pt idx="0">
                  <c:v>2.8000000000000001E-2</c:v>
                </c:pt>
              </c:numCache>
            </c:numRef>
          </c:val>
        </c:ser>
        <c:ser>
          <c:idx val="3"/>
          <c:order val="3"/>
          <c:tx>
            <c:strRef>
              <c:f>Sheet1!$A$5</c:f>
              <c:strCache>
                <c:ptCount val="1"/>
                <c:pt idx="0">
                  <c:v>captarea,tratarea si distributia apei</c:v>
                </c:pt>
              </c:strCache>
            </c:strRef>
          </c:tx>
          <c:spPr>
            <a:solidFill>
              <a:srgbClr val="339966"/>
            </a:solidFill>
            <a:ln w="12662">
              <a:solidFill>
                <a:srgbClr val="000000"/>
              </a:solidFill>
              <a:prstDash val="solid"/>
            </a:ln>
          </c:spPr>
          <c:invertIfNegative val="0"/>
          <c:cat>
            <c:numRef>
              <c:f>Sheet1!$B$1:$C$1</c:f>
              <c:numCache>
                <c:formatCode>General</c:formatCode>
                <c:ptCount val="2"/>
              </c:numCache>
            </c:numRef>
          </c:cat>
          <c:val>
            <c:numRef>
              <c:f>Sheet1!$B$5:$C$5</c:f>
              <c:numCache>
                <c:formatCode>General</c:formatCode>
                <c:ptCount val="2"/>
                <c:pt idx="0">
                  <c:v>1.6E-2</c:v>
                </c:pt>
              </c:numCache>
            </c:numRef>
          </c:val>
        </c:ser>
        <c:ser>
          <c:idx val="4"/>
          <c:order val="4"/>
          <c:tx>
            <c:strRef>
              <c:f>Sheet1!$A$6</c:f>
              <c:strCache>
                <c:ptCount val="1"/>
                <c:pt idx="0">
                  <c:v>alte activităţi</c:v>
                </c:pt>
              </c:strCache>
            </c:strRef>
          </c:tx>
          <c:spPr>
            <a:solidFill>
              <a:srgbClr val="FF8080"/>
            </a:solidFill>
            <a:ln w="12662">
              <a:solidFill>
                <a:srgbClr val="000000"/>
              </a:solidFill>
              <a:prstDash val="solid"/>
            </a:ln>
          </c:spPr>
          <c:invertIfNegative val="0"/>
          <c:cat>
            <c:numRef>
              <c:f>Sheet1!$B$1:$C$1</c:f>
              <c:numCache>
                <c:formatCode>General</c:formatCode>
                <c:ptCount val="2"/>
              </c:numCache>
            </c:numRef>
          </c:cat>
          <c:val>
            <c:numRef>
              <c:f>Sheet1!$B$6:$C$6</c:f>
              <c:numCache>
                <c:formatCode>General</c:formatCode>
                <c:ptCount val="2"/>
                <c:pt idx="0" formatCode="#,##0.000">
                  <c:v>5.0999999999999997E-2</c:v>
                </c:pt>
              </c:numCache>
            </c:numRef>
          </c:val>
        </c:ser>
        <c:dLbls>
          <c:showLegendKey val="0"/>
          <c:showVal val="0"/>
          <c:showCatName val="0"/>
          <c:showSerName val="0"/>
          <c:showPercent val="0"/>
          <c:showBubbleSize val="0"/>
        </c:dLbls>
        <c:gapWidth val="150"/>
        <c:gapDepth val="0"/>
        <c:shape val="box"/>
        <c:axId val="297986688"/>
        <c:axId val="298263296"/>
        <c:axId val="0"/>
      </c:bar3DChart>
      <c:catAx>
        <c:axId val="297986688"/>
        <c:scaling>
          <c:orientation val="minMax"/>
        </c:scaling>
        <c:delete val="0"/>
        <c:axPos val="b"/>
        <c:title>
          <c:tx>
            <c:rich>
              <a:bodyPr/>
              <a:lstStyle/>
              <a:p>
                <a:pPr>
                  <a:defRPr sz="897" b="0" i="1" u="none" strike="noStrike" baseline="0">
                    <a:solidFill>
                      <a:srgbClr val="000000"/>
                    </a:solidFill>
                    <a:latin typeface="Arial"/>
                    <a:ea typeface="Arial"/>
                    <a:cs typeface="Arial"/>
                  </a:defRPr>
                </a:pPr>
                <a:r>
                  <a:rPr lang="en-US"/>
                  <a:t>mii tone</a:t>
                </a:r>
              </a:p>
            </c:rich>
          </c:tx>
          <c:layout>
            <c:manualLayout>
              <c:xMode val="edge"/>
              <c:yMode val="edge"/>
              <c:x val="8.9600000000000068E-2"/>
              <c:y val="2.4896265560166452E-2"/>
            </c:manualLayout>
          </c:layout>
          <c:overlay val="0"/>
          <c:spPr>
            <a:noFill/>
            <a:ln w="25325">
              <a:noFill/>
            </a:ln>
          </c:spPr>
        </c:title>
        <c:numFmt formatCode="General" sourceLinked="1"/>
        <c:majorTickMark val="out"/>
        <c:minorTickMark val="none"/>
        <c:tickLblPos val="low"/>
        <c:spPr>
          <a:ln w="3166">
            <a:solidFill>
              <a:srgbClr val="000000"/>
            </a:solidFill>
            <a:prstDash val="solid"/>
          </a:ln>
        </c:spPr>
        <c:txPr>
          <a:bodyPr rot="0" vert="horz"/>
          <a:lstStyle/>
          <a:p>
            <a:pPr>
              <a:defRPr sz="1047" b="1" i="0" u="none" strike="noStrike" baseline="0">
                <a:solidFill>
                  <a:srgbClr val="000000"/>
                </a:solidFill>
                <a:latin typeface="Arial"/>
                <a:ea typeface="Arial"/>
                <a:cs typeface="Arial"/>
              </a:defRPr>
            </a:pPr>
            <a:endParaRPr lang="en-US"/>
          </a:p>
        </c:txPr>
        <c:crossAx val="298263296"/>
        <c:crosses val="autoZero"/>
        <c:auto val="1"/>
        <c:lblAlgn val="ctr"/>
        <c:lblOffset val="100"/>
        <c:tickLblSkip val="1"/>
        <c:tickMarkSkip val="1"/>
        <c:noMultiLvlLbl val="0"/>
      </c:catAx>
      <c:valAx>
        <c:axId val="298263296"/>
        <c:scaling>
          <c:orientation val="minMax"/>
        </c:scaling>
        <c:delete val="0"/>
        <c:axPos val="l"/>
        <c:majorGridlines>
          <c:spPr>
            <a:ln w="3166">
              <a:solidFill>
                <a:srgbClr val="000000"/>
              </a:solidFill>
              <a:prstDash val="solid"/>
            </a:ln>
          </c:spPr>
        </c:majorGridlines>
        <c:title>
          <c:tx>
            <c:rich>
              <a:bodyPr rot="0" vert="horz"/>
              <a:lstStyle/>
              <a:p>
                <a:pPr algn="ctr">
                  <a:defRPr sz="897" b="0" i="1" u="none" strike="noStrike" baseline="0">
                    <a:solidFill>
                      <a:srgbClr val="000000"/>
                    </a:solidFill>
                    <a:latin typeface="Arial"/>
                    <a:ea typeface="Arial"/>
                    <a:cs typeface="Arial"/>
                  </a:defRPr>
                </a:pPr>
                <a:r>
                  <a:rPr lang="en-US"/>
                  <a:t>activitati</a:t>
                </a:r>
              </a:p>
            </c:rich>
          </c:tx>
          <c:layout>
            <c:manualLayout>
              <c:xMode val="edge"/>
              <c:yMode val="edge"/>
              <c:x val="0.57440000000000002"/>
              <c:y val="0.85892116182572609"/>
            </c:manualLayout>
          </c:layout>
          <c:overlay val="0"/>
          <c:spPr>
            <a:noFill/>
            <a:ln w="25325">
              <a:noFill/>
            </a:ln>
          </c:spPr>
        </c:title>
        <c:numFmt formatCode="General" sourceLinked="1"/>
        <c:majorTickMark val="out"/>
        <c:minorTickMark val="none"/>
        <c:tickLblPos val="nextTo"/>
        <c:spPr>
          <a:ln w="3166">
            <a:solidFill>
              <a:srgbClr val="000000"/>
            </a:solidFill>
            <a:prstDash val="solid"/>
          </a:ln>
        </c:spPr>
        <c:txPr>
          <a:bodyPr rot="0" vert="horz"/>
          <a:lstStyle/>
          <a:p>
            <a:pPr>
              <a:defRPr sz="897" b="0" i="1" u="none" strike="noStrike" baseline="0">
                <a:solidFill>
                  <a:srgbClr val="000000"/>
                </a:solidFill>
                <a:latin typeface="Arial"/>
                <a:ea typeface="Arial"/>
                <a:cs typeface="Arial"/>
              </a:defRPr>
            </a:pPr>
            <a:endParaRPr lang="en-US"/>
          </a:p>
        </c:txPr>
        <c:crossAx val="297986688"/>
        <c:crosses val="autoZero"/>
        <c:crossBetween val="between"/>
      </c:valAx>
      <c:spPr>
        <a:noFill/>
        <a:ln w="25325">
          <a:noFill/>
        </a:ln>
      </c:spPr>
    </c:plotArea>
    <c:legend>
      <c:legendPos val="r"/>
      <c:legendEntry>
        <c:idx val="0"/>
        <c:delete val="1"/>
      </c:legendEntry>
      <c:layout>
        <c:manualLayout>
          <c:xMode val="edge"/>
          <c:yMode val="edge"/>
          <c:x val="0.69859678777168477"/>
          <c:y val="0"/>
          <c:w val="0.29920000000000002"/>
          <c:h val="0.94605809128630702"/>
        </c:manualLayout>
      </c:layout>
      <c:overlay val="0"/>
      <c:spPr>
        <a:noFill/>
        <a:ln w="3166">
          <a:solidFill>
            <a:srgbClr val="000000"/>
          </a:solidFill>
          <a:prstDash val="solid"/>
        </a:ln>
      </c:spPr>
      <c:txPr>
        <a:bodyPr/>
        <a:lstStyle/>
        <a:p>
          <a:pPr>
            <a:defRPr sz="823" b="0" i="1" u="none" strike="noStrike" baseline="0">
              <a:solidFill>
                <a:srgbClr val="000000"/>
              </a:solidFill>
              <a:latin typeface="Arial"/>
              <a:ea typeface="Arial"/>
              <a:cs typeface="Arial"/>
            </a:defRPr>
          </a:pPr>
          <a:endParaRPr lang="en-US"/>
        </a:p>
      </c:txPr>
    </c:legend>
    <c:plotVisOnly val="1"/>
    <c:dispBlanksAs val="gap"/>
    <c:showDLblsOverMax val="0"/>
  </c:chart>
  <c:spPr>
    <a:noFill/>
    <a:ln w="6350" cap="flat" cmpd="sng" algn="ctr">
      <a:solidFill>
        <a:srgbClr val="000000"/>
      </a:solidFill>
      <a:prstDash val="solid"/>
      <a:miter lim="800000"/>
      <a:headEnd type="none" w="med" len="med"/>
      <a:tailEnd type="none" w="med" len="med"/>
    </a:ln>
  </c:spPr>
  <c:txPr>
    <a:bodyPr/>
    <a:lstStyle/>
    <a:p>
      <a:pPr>
        <a:defRPr sz="1047" b="1" i="0" u="none" strike="noStrike" baseline="0">
          <a:solidFill>
            <a:srgbClr val="000000"/>
          </a:solidFill>
          <a:latin typeface="Arial"/>
          <a:ea typeface="Arial"/>
          <a:cs typeface="Arial"/>
        </a:defRPr>
      </a:pPr>
      <a:endParaRPr lang="en-US"/>
    </a:p>
  </c:txPr>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Foaie1!$B$1</c:f>
              <c:strCache>
                <c:ptCount val="1"/>
                <c:pt idx="0">
                  <c:v>Serie 1</c:v>
                </c:pt>
              </c:strCache>
            </c:strRef>
          </c:tx>
          <c:invertIfNegative val="0"/>
          <c:cat>
            <c:strRef>
              <c:f>Foaie1!$A$2:$A$5</c:f>
              <c:strCache>
                <c:ptCount val="4"/>
                <c:pt idx="0">
                  <c:v>Categoria 1</c:v>
                </c:pt>
                <c:pt idx="1">
                  <c:v>Categoria 2</c:v>
                </c:pt>
                <c:pt idx="2">
                  <c:v>Categoria 3</c:v>
                </c:pt>
                <c:pt idx="3">
                  <c:v>Categoria 4</c:v>
                </c:pt>
              </c:strCache>
            </c:strRef>
          </c:cat>
          <c:val>
            <c:numRef>
              <c:f>Foaie1!$B$2:$B$5</c:f>
              <c:numCache>
                <c:formatCode>General</c:formatCode>
                <c:ptCount val="4"/>
                <c:pt idx="0">
                  <c:v>4.3</c:v>
                </c:pt>
                <c:pt idx="1">
                  <c:v>2.5</c:v>
                </c:pt>
                <c:pt idx="2">
                  <c:v>3.5</c:v>
                </c:pt>
                <c:pt idx="3">
                  <c:v>4.5</c:v>
                </c:pt>
              </c:numCache>
            </c:numRef>
          </c:val>
        </c:ser>
        <c:ser>
          <c:idx val="1"/>
          <c:order val="1"/>
          <c:tx>
            <c:strRef>
              <c:f>Foaie1!$C$1</c:f>
              <c:strCache>
                <c:ptCount val="1"/>
                <c:pt idx="0">
                  <c:v>Serie 2</c:v>
                </c:pt>
              </c:strCache>
            </c:strRef>
          </c:tx>
          <c:invertIfNegative val="0"/>
          <c:cat>
            <c:strRef>
              <c:f>Foaie1!$A$2:$A$5</c:f>
              <c:strCache>
                <c:ptCount val="4"/>
                <c:pt idx="0">
                  <c:v>Categoria 1</c:v>
                </c:pt>
                <c:pt idx="1">
                  <c:v>Categoria 2</c:v>
                </c:pt>
                <c:pt idx="2">
                  <c:v>Categoria 3</c:v>
                </c:pt>
                <c:pt idx="3">
                  <c:v>Categoria 4</c:v>
                </c:pt>
              </c:strCache>
            </c:strRef>
          </c:cat>
          <c:val>
            <c:numRef>
              <c:f>Foaie1!$C$2:$C$5</c:f>
              <c:numCache>
                <c:formatCode>General</c:formatCode>
                <c:ptCount val="4"/>
                <c:pt idx="0">
                  <c:v>2.4</c:v>
                </c:pt>
                <c:pt idx="1">
                  <c:v>4.4000000000000004</c:v>
                </c:pt>
                <c:pt idx="2">
                  <c:v>1.8</c:v>
                </c:pt>
                <c:pt idx="3">
                  <c:v>2.8</c:v>
                </c:pt>
              </c:numCache>
            </c:numRef>
          </c:val>
        </c:ser>
        <c:ser>
          <c:idx val="2"/>
          <c:order val="2"/>
          <c:tx>
            <c:strRef>
              <c:f>Foaie1!$D$1</c:f>
              <c:strCache>
                <c:ptCount val="1"/>
                <c:pt idx="0">
                  <c:v>Serie 3</c:v>
                </c:pt>
              </c:strCache>
            </c:strRef>
          </c:tx>
          <c:invertIfNegative val="0"/>
          <c:cat>
            <c:strRef>
              <c:f>Foaie1!$A$2:$A$5</c:f>
              <c:strCache>
                <c:ptCount val="4"/>
                <c:pt idx="0">
                  <c:v>Categoria 1</c:v>
                </c:pt>
                <c:pt idx="1">
                  <c:v>Categoria 2</c:v>
                </c:pt>
                <c:pt idx="2">
                  <c:v>Categoria 3</c:v>
                </c:pt>
                <c:pt idx="3">
                  <c:v>Categoria 4</c:v>
                </c:pt>
              </c:strCache>
            </c:strRef>
          </c:cat>
          <c:val>
            <c:numRef>
              <c:f>Foaie1!$D$2:$D$5</c:f>
              <c:numCache>
                <c:formatCode>General</c:formatCode>
                <c:ptCount val="4"/>
                <c:pt idx="0">
                  <c:v>2</c:v>
                </c:pt>
                <c:pt idx="1">
                  <c:v>2</c:v>
                </c:pt>
                <c:pt idx="2">
                  <c:v>3</c:v>
                </c:pt>
                <c:pt idx="3">
                  <c:v>5</c:v>
                </c:pt>
              </c:numCache>
            </c:numRef>
          </c:val>
        </c:ser>
        <c:dLbls>
          <c:showLegendKey val="0"/>
          <c:showVal val="0"/>
          <c:showCatName val="0"/>
          <c:showSerName val="0"/>
          <c:showPercent val="0"/>
          <c:showBubbleSize val="0"/>
        </c:dLbls>
        <c:gapWidth val="150"/>
        <c:axId val="298306176"/>
        <c:axId val="298312064"/>
      </c:barChart>
      <c:catAx>
        <c:axId val="298306176"/>
        <c:scaling>
          <c:orientation val="minMax"/>
        </c:scaling>
        <c:delete val="0"/>
        <c:axPos val="b"/>
        <c:numFmt formatCode="General" sourceLinked="1"/>
        <c:majorTickMark val="out"/>
        <c:minorTickMark val="none"/>
        <c:tickLblPos val="nextTo"/>
        <c:crossAx val="298312064"/>
        <c:crosses val="autoZero"/>
        <c:auto val="1"/>
        <c:lblAlgn val="ctr"/>
        <c:lblOffset val="100"/>
        <c:noMultiLvlLbl val="0"/>
      </c:catAx>
      <c:valAx>
        <c:axId val="298312064"/>
        <c:scaling>
          <c:orientation val="minMax"/>
        </c:scaling>
        <c:delete val="0"/>
        <c:axPos val="l"/>
        <c:majorGridlines/>
        <c:numFmt formatCode="General" sourceLinked="1"/>
        <c:majorTickMark val="out"/>
        <c:minorTickMark val="none"/>
        <c:tickLblPos val="nextTo"/>
        <c:crossAx val="298306176"/>
        <c:crosses val="autoZero"/>
        <c:crossBetween val="between"/>
      </c:valAx>
    </c:plotArea>
    <c:legend>
      <c:legendPos val="r"/>
      <c:layout>
        <c:manualLayout>
          <c:xMode val="edge"/>
          <c:yMode val="edge"/>
          <c:x val="0.88101983002833173"/>
          <c:y val="0.38423645320197047"/>
          <c:w val="0.10339943342776201"/>
          <c:h val="0.21921182266009992"/>
        </c:manualLayout>
      </c:layout>
      <c:overlay val="0"/>
    </c:legend>
    <c:plotVisOnly val="1"/>
    <c:dispBlanksAs val="gap"/>
    <c:showDLblsOverMax val="0"/>
  </c:chart>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Foaie1!$B$1</c:f>
              <c:strCache>
                <c:ptCount val="1"/>
                <c:pt idx="0">
                  <c:v>Serie 1</c:v>
                </c:pt>
              </c:strCache>
            </c:strRef>
          </c:tx>
          <c:invertIfNegative val="0"/>
          <c:cat>
            <c:strRef>
              <c:f>Foaie1!$A$2:$A$5</c:f>
              <c:strCache>
                <c:ptCount val="4"/>
                <c:pt idx="0">
                  <c:v>Categoria 1</c:v>
                </c:pt>
                <c:pt idx="1">
                  <c:v>Categoria 2</c:v>
                </c:pt>
                <c:pt idx="2">
                  <c:v>Categoria 3</c:v>
                </c:pt>
                <c:pt idx="3">
                  <c:v>Categoria 4</c:v>
                </c:pt>
              </c:strCache>
            </c:strRef>
          </c:cat>
          <c:val>
            <c:numRef>
              <c:f>Foaie1!$B$2:$B$5</c:f>
              <c:numCache>
                <c:formatCode>General</c:formatCode>
                <c:ptCount val="4"/>
                <c:pt idx="0">
                  <c:v>4.3</c:v>
                </c:pt>
                <c:pt idx="1">
                  <c:v>2.5</c:v>
                </c:pt>
                <c:pt idx="2">
                  <c:v>3.5</c:v>
                </c:pt>
                <c:pt idx="3">
                  <c:v>4.5</c:v>
                </c:pt>
              </c:numCache>
            </c:numRef>
          </c:val>
        </c:ser>
        <c:ser>
          <c:idx val="1"/>
          <c:order val="1"/>
          <c:tx>
            <c:strRef>
              <c:f>Foaie1!$C$1</c:f>
              <c:strCache>
                <c:ptCount val="1"/>
                <c:pt idx="0">
                  <c:v>Serie 2</c:v>
                </c:pt>
              </c:strCache>
            </c:strRef>
          </c:tx>
          <c:invertIfNegative val="0"/>
          <c:cat>
            <c:strRef>
              <c:f>Foaie1!$A$2:$A$5</c:f>
              <c:strCache>
                <c:ptCount val="4"/>
                <c:pt idx="0">
                  <c:v>Categoria 1</c:v>
                </c:pt>
                <c:pt idx="1">
                  <c:v>Categoria 2</c:v>
                </c:pt>
                <c:pt idx="2">
                  <c:v>Categoria 3</c:v>
                </c:pt>
                <c:pt idx="3">
                  <c:v>Categoria 4</c:v>
                </c:pt>
              </c:strCache>
            </c:strRef>
          </c:cat>
          <c:val>
            <c:numRef>
              <c:f>Foaie1!$C$2:$C$5</c:f>
              <c:numCache>
                <c:formatCode>General</c:formatCode>
                <c:ptCount val="4"/>
                <c:pt idx="0">
                  <c:v>2.4</c:v>
                </c:pt>
                <c:pt idx="1">
                  <c:v>4.4000000000000004</c:v>
                </c:pt>
                <c:pt idx="2">
                  <c:v>1.8</c:v>
                </c:pt>
                <c:pt idx="3">
                  <c:v>2.8</c:v>
                </c:pt>
              </c:numCache>
            </c:numRef>
          </c:val>
        </c:ser>
        <c:ser>
          <c:idx val="2"/>
          <c:order val="2"/>
          <c:tx>
            <c:strRef>
              <c:f>Foaie1!$D$1</c:f>
              <c:strCache>
                <c:ptCount val="1"/>
                <c:pt idx="0">
                  <c:v>Serie 3</c:v>
                </c:pt>
              </c:strCache>
            </c:strRef>
          </c:tx>
          <c:invertIfNegative val="0"/>
          <c:cat>
            <c:strRef>
              <c:f>Foaie1!$A$2:$A$5</c:f>
              <c:strCache>
                <c:ptCount val="4"/>
                <c:pt idx="0">
                  <c:v>Categoria 1</c:v>
                </c:pt>
                <c:pt idx="1">
                  <c:v>Categoria 2</c:v>
                </c:pt>
                <c:pt idx="2">
                  <c:v>Categoria 3</c:v>
                </c:pt>
                <c:pt idx="3">
                  <c:v>Categoria 4</c:v>
                </c:pt>
              </c:strCache>
            </c:strRef>
          </c:cat>
          <c:val>
            <c:numRef>
              <c:f>Foaie1!$D$2:$D$5</c:f>
              <c:numCache>
                <c:formatCode>General</c:formatCode>
                <c:ptCount val="4"/>
                <c:pt idx="0">
                  <c:v>2</c:v>
                </c:pt>
                <c:pt idx="1">
                  <c:v>2</c:v>
                </c:pt>
                <c:pt idx="2">
                  <c:v>3</c:v>
                </c:pt>
                <c:pt idx="3">
                  <c:v>5</c:v>
                </c:pt>
              </c:numCache>
            </c:numRef>
          </c:val>
        </c:ser>
        <c:dLbls>
          <c:showLegendKey val="0"/>
          <c:showVal val="0"/>
          <c:showCatName val="0"/>
          <c:showSerName val="0"/>
          <c:showPercent val="0"/>
          <c:showBubbleSize val="0"/>
        </c:dLbls>
        <c:gapWidth val="150"/>
        <c:axId val="297465344"/>
        <c:axId val="297466880"/>
      </c:barChart>
      <c:catAx>
        <c:axId val="297465344"/>
        <c:scaling>
          <c:orientation val="minMax"/>
        </c:scaling>
        <c:delete val="0"/>
        <c:axPos val="b"/>
        <c:numFmt formatCode="General" sourceLinked="1"/>
        <c:majorTickMark val="out"/>
        <c:minorTickMark val="none"/>
        <c:tickLblPos val="nextTo"/>
        <c:crossAx val="297466880"/>
        <c:crosses val="autoZero"/>
        <c:auto val="1"/>
        <c:lblAlgn val="ctr"/>
        <c:lblOffset val="100"/>
        <c:noMultiLvlLbl val="0"/>
      </c:catAx>
      <c:valAx>
        <c:axId val="297466880"/>
        <c:scaling>
          <c:orientation val="minMax"/>
        </c:scaling>
        <c:delete val="0"/>
        <c:axPos val="l"/>
        <c:majorGridlines/>
        <c:numFmt formatCode="General" sourceLinked="1"/>
        <c:majorTickMark val="out"/>
        <c:minorTickMark val="none"/>
        <c:tickLblPos val="nextTo"/>
        <c:crossAx val="297465344"/>
        <c:crosses val="autoZero"/>
        <c:crossBetween val="between"/>
      </c:valAx>
    </c:plotArea>
    <c:legend>
      <c:legendPos val="r"/>
      <c:layout>
        <c:manualLayout>
          <c:xMode val="edge"/>
          <c:yMode val="edge"/>
          <c:x val="0.88101983002832873"/>
          <c:y val="0.38423645320197047"/>
          <c:w val="0.10339943342776201"/>
          <c:h val="0.21921182266009992"/>
        </c:manualLayout>
      </c:layout>
      <c:overlay val="0"/>
    </c:legend>
    <c:plotVisOnly val="1"/>
    <c:dispBlanksAs val="gap"/>
    <c:showDLblsOverMax val="0"/>
  </c:chart>
  <c:externalData r:id="rId2">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o-RO"/>
              <a:t>Cantitate</a:t>
            </a:r>
            <a:r>
              <a:rPr lang="ro-RO" baseline="0"/>
              <a:t> DEEE colectată</a:t>
            </a:r>
            <a:endParaRPr lang="en-US"/>
          </a:p>
        </c:rich>
      </c:tx>
      <c:overlay val="0"/>
    </c:title>
    <c:autoTitleDeleted val="0"/>
    <c:plotArea>
      <c:layout>
        <c:manualLayout>
          <c:layoutTarget val="inner"/>
          <c:xMode val="edge"/>
          <c:yMode val="edge"/>
          <c:x val="8.9129494493312228E-2"/>
          <c:y val="0.1975580395315005"/>
          <c:w val="0.79336408191694208"/>
          <c:h val="0.57955331325666259"/>
        </c:manualLayout>
      </c:layout>
      <c:barChart>
        <c:barDir val="col"/>
        <c:grouping val="clustered"/>
        <c:varyColors val="0"/>
        <c:ser>
          <c:idx val="0"/>
          <c:order val="0"/>
          <c:tx>
            <c:strRef>
              <c:f>Foaie1!$B$1</c:f>
              <c:strCache>
                <c:ptCount val="1"/>
                <c:pt idx="0">
                  <c:v>Tone</c:v>
                </c:pt>
              </c:strCache>
            </c:strRef>
          </c:tx>
          <c:invertIfNegative val="0"/>
          <c:cat>
            <c:numRef>
              <c:f>Foaie1!$A$2:$A$6</c:f>
              <c:numCache>
                <c:formatCode>General</c:formatCode>
                <c:ptCount val="5"/>
                <c:pt idx="0">
                  <c:v>2010</c:v>
                </c:pt>
                <c:pt idx="1">
                  <c:v>2011</c:v>
                </c:pt>
                <c:pt idx="2">
                  <c:v>2012</c:v>
                </c:pt>
                <c:pt idx="3">
                  <c:v>2013</c:v>
                </c:pt>
                <c:pt idx="4">
                  <c:v>2014</c:v>
                </c:pt>
              </c:numCache>
            </c:numRef>
          </c:cat>
          <c:val>
            <c:numRef>
              <c:f>Foaie1!$B$2:$B$6</c:f>
              <c:numCache>
                <c:formatCode>General</c:formatCode>
                <c:ptCount val="5"/>
                <c:pt idx="0">
                  <c:v>39.6</c:v>
                </c:pt>
                <c:pt idx="1">
                  <c:v>73.48</c:v>
                </c:pt>
                <c:pt idx="2">
                  <c:v>103.54</c:v>
                </c:pt>
                <c:pt idx="3">
                  <c:v>156.6</c:v>
                </c:pt>
                <c:pt idx="4">
                  <c:v>181.19</c:v>
                </c:pt>
              </c:numCache>
            </c:numRef>
          </c:val>
        </c:ser>
        <c:dLbls>
          <c:showLegendKey val="0"/>
          <c:showVal val="0"/>
          <c:showCatName val="0"/>
          <c:showSerName val="0"/>
          <c:showPercent val="0"/>
          <c:showBubbleSize val="0"/>
        </c:dLbls>
        <c:gapWidth val="150"/>
        <c:axId val="298408576"/>
        <c:axId val="298414464"/>
      </c:barChart>
      <c:catAx>
        <c:axId val="298408576"/>
        <c:scaling>
          <c:orientation val="minMax"/>
        </c:scaling>
        <c:delete val="0"/>
        <c:axPos val="b"/>
        <c:numFmt formatCode="General" sourceLinked="1"/>
        <c:majorTickMark val="out"/>
        <c:minorTickMark val="none"/>
        <c:tickLblPos val="nextTo"/>
        <c:crossAx val="298414464"/>
        <c:crosses val="autoZero"/>
        <c:auto val="1"/>
        <c:lblAlgn val="ctr"/>
        <c:lblOffset val="100"/>
        <c:noMultiLvlLbl val="0"/>
      </c:catAx>
      <c:valAx>
        <c:axId val="298414464"/>
        <c:scaling>
          <c:orientation val="minMax"/>
          <c:max val="200"/>
        </c:scaling>
        <c:delete val="0"/>
        <c:axPos val="l"/>
        <c:majorGridlines/>
        <c:numFmt formatCode="General" sourceLinked="1"/>
        <c:majorTickMark val="out"/>
        <c:minorTickMark val="none"/>
        <c:tickLblPos val="nextTo"/>
        <c:crossAx val="298408576"/>
        <c:crosses val="autoZero"/>
        <c:crossBetween val="between"/>
        <c:majorUnit val="20"/>
      </c:valAx>
    </c:plotArea>
    <c:legend>
      <c:legendPos val="r"/>
      <c:layout>
        <c:manualLayout>
          <c:xMode val="edge"/>
          <c:yMode val="edge"/>
          <c:x val="0.89660056657223797"/>
          <c:y val="0.53201970443350155"/>
          <c:w val="8.0613782500488423E-2"/>
          <c:h val="7.1332991660066514E-2"/>
        </c:manualLayout>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818532818532815E-2"/>
          <c:y val="0.10396039603960396"/>
          <c:w val="0.73359073359073357"/>
          <c:h val="0.76732673267326734"/>
        </c:manualLayout>
      </c:layout>
      <c:lineChart>
        <c:grouping val="standard"/>
        <c:varyColors val="0"/>
        <c:ser>
          <c:idx val="0"/>
          <c:order val="0"/>
          <c:tx>
            <c:strRef>
              <c:f>Sheet1!$A$2</c:f>
              <c:strCache>
                <c:ptCount val="1"/>
                <c:pt idx="0">
                  <c:v>VS1</c:v>
                </c:pt>
              </c:strCache>
            </c:strRef>
          </c:tx>
          <c:spPr>
            <a:ln w="25399">
              <a:solidFill>
                <a:srgbClr val="FF6600"/>
              </a:solidFill>
              <a:prstDash val="solid"/>
            </a:ln>
          </c:spPr>
          <c:marker>
            <c:symbol val="x"/>
            <c:size val="4"/>
            <c:spPr>
              <a:solidFill>
                <a:srgbClr val="FF6600"/>
              </a:solidFill>
              <a:ln>
                <a:solidFill>
                  <a:srgbClr val="FF6600"/>
                </a:solidFill>
                <a:prstDash val="solid"/>
              </a:ln>
            </c:spPr>
          </c:marker>
          <c:cat>
            <c:numRef>
              <c:f>Sheet1!$B$1:$I$1</c:f>
              <c:numCache>
                <c:formatCode>General</c:formatCode>
                <c:ptCount val="8"/>
                <c:pt idx="0">
                  <c:v>2008</c:v>
                </c:pt>
                <c:pt idx="1">
                  <c:v>2009</c:v>
                </c:pt>
                <c:pt idx="2">
                  <c:v>2010</c:v>
                </c:pt>
                <c:pt idx="3">
                  <c:v>2011</c:v>
                </c:pt>
                <c:pt idx="4">
                  <c:v>2012</c:v>
                </c:pt>
                <c:pt idx="5">
                  <c:v>2013</c:v>
                </c:pt>
                <c:pt idx="6">
                  <c:v>2014</c:v>
                </c:pt>
                <c:pt idx="7">
                  <c:v>2015</c:v>
                </c:pt>
              </c:numCache>
            </c:numRef>
          </c:cat>
          <c:val>
            <c:numRef>
              <c:f>Sheet1!$B$2:$I$2</c:f>
              <c:numCache>
                <c:formatCode>General</c:formatCode>
                <c:ptCount val="8"/>
                <c:pt idx="0">
                  <c:v>2.5</c:v>
                </c:pt>
                <c:pt idx="1">
                  <c:v>2.2999999999999998</c:v>
                </c:pt>
              </c:numCache>
            </c:numRef>
          </c:val>
          <c:smooth val="0"/>
        </c:ser>
        <c:ser>
          <c:idx val="1"/>
          <c:order val="1"/>
          <c:tx>
            <c:strRef>
              <c:f>Sheet1!$A$3</c:f>
              <c:strCache>
                <c:ptCount val="1"/>
                <c:pt idx="0">
                  <c:v>VS2</c:v>
                </c:pt>
              </c:strCache>
            </c:strRef>
          </c:tx>
          <c:spPr>
            <a:ln w="12700">
              <a:solidFill>
                <a:srgbClr val="0000FF"/>
              </a:solidFill>
              <a:prstDash val="solid"/>
            </a:ln>
          </c:spPr>
          <c:marker>
            <c:symbol val="square"/>
            <c:size val="4"/>
            <c:spPr>
              <a:solidFill>
                <a:srgbClr val="0000FF"/>
              </a:solidFill>
              <a:ln>
                <a:solidFill>
                  <a:srgbClr val="0000FF"/>
                </a:solidFill>
                <a:prstDash val="solid"/>
              </a:ln>
            </c:spPr>
          </c:marker>
          <c:dPt>
            <c:idx val="4"/>
            <c:bubble3D val="0"/>
            <c:spPr>
              <a:ln w="25399">
                <a:solidFill>
                  <a:srgbClr val="0000FF"/>
                </a:solidFill>
                <a:prstDash val="solid"/>
              </a:ln>
            </c:spPr>
          </c:dPt>
          <c:cat>
            <c:numRef>
              <c:f>Sheet1!$B$1:$I$1</c:f>
              <c:numCache>
                <c:formatCode>General</c:formatCode>
                <c:ptCount val="8"/>
                <c:pt idx="0">
                  <c:v>2008</c:v>
                </c:pt>
                <c:pt idx="1">
                  <c:v>2009</c:v>
                </c:pt>
                <c:pt idx="2">
                  <c:v>2010</c:v>
                </c:pt>
                <c:pt idx="3">
                  <c:v>2011</c:v>
                </c:pt>
                <c:pt idx="4">
                  <c:v>2012</c:v>
                </c:pt>
                <c:pt idx="5">
                  <c:v>2013</c:v>
                </c:pt>
                <c:pt idx="6">
                  <c:v>2014</c:v>
                </c:pt>
                <c:pt idx="7">
                  <c:v>2015</c:v>
                </c:pt>
              </c:numCache>
            </c:numRef>
          </c:cat>
          <c:val>
            <c:numRef>
              <c:f>Sheet1!$B$3:$I$3</c:f>
              <c:numCache>
                <c:formatCode>General</c:formatCode>
                <c:ptCount val="8"/>
              </c:numCache>
            </c:numRef>
          </c:val>
          <c:smooth val="0"/>
        </c:ser>
        <c:ser>
          <c:idx val="2"/>
          <c:order val="2"/>
          <c:tx>
            <c:strRef>
              <c:f>Sheet1!$A$4</c:f>
              <c:strCache>
                <c:ptCount val="1"/>
                <c:pt idx="0">
                  <c:v>Valoare limita orara</c:v>
                </c:pt>
              </c:strCache>
            </c:strRef>
          </c:tx>
          <c:spPr>
            <a:ln w="25399">
              <a:solidFill>
                <a:srgbClr val="800080"/>
              </a:solidFill>
              <a:prstDash val="solid"/>
            </a:ln>
          </c:spPr>
          <c:marker>
            <c:symbol val="triangle"/>
            <c:size val="4"/>
            <c:spPr>
              <a:solidFill>
                <a:srgbClr val="800080"/>
              </a:solidFill>
              <a:ln>
                <a:solidFill>
                  <a:srgbClr val="800080"/>
                </a:solidFill>
                <a:prstDash val="solid"/>
              </a:ln>
            </c:spPr>
          </c:marker>
          <c:cat>
            <c:numRef>
              <c:f>Sheet1!$B$1:$I$1</c:f>
              <c:numCache>
                <c:formatCode>General</c:formatCode>
                <c:ptCount val="8"/>
                <c:pt idx="0">
                  <c:v>2008</c:v>
                </c:pt>
                <c:pt idx="1">
                  <c:v>2009</c:v>
                </c:pt>
                <c:pt idx="2">
                  <c:v>2010</c:v>
                </c:pt>
                <c:pt idx="3">
                  <c:v>2011</c:v>
                </c:pt>
                <c:pt idx="4">
                  <c:v>2012</c:v>
                </c:pt>
                <c:pt idx="5">
                  <c:v>2013</c:v>
                </c:pt>
                <c:pt idx="6">
                  <c:v>2014</c:v>
                </c:pt>
                <c:pt idx="7">
                  <c:v>2015</c:v>
                </c:pt>
              </c:numCache>
            </c:numRef>
          </c:cat>
          <c:val>
            <c:numRef>
              <c:f>Sheet1!$B$4:$I$4</c:f>
              <c:numCache>
                <c:formatCode>General</c:formatCode>
                <c:ptCount val="8"/>
                <c:pt idx="0">
                  <c:v>5</c:v>
                </c:pt>
                <c:pt idx="1">
                  <c:v>5</c:v>
                </c:pt>
                <c:pt idx="2">
                  <c:v>5</c:v>
                </c:pt>
                <c:pt idx="3">
                  <c:v>5</c:v>
                </c:pt>
                <c:pt idx="4">
                  <c:v>5</c:v>
                </c:pt>
                <c:pt idx="5">
                  <c:v>5</c:v>
                </c:pt>
                <c:pt idx="6">
                  <c:v>5</c:v>
                </c:pt>
                <c:pt idx="7">
                  <c:v>5</c:v>
                </c:pt>
              </c:numCache>
            </c:numRef>
          </c:val>
          <c:smooth val="0"/>
        </c:ser>
        <c:dLbls>
          <c:showLegendKey val="0"/>
          <c:showVal val="0"/>
          <c:showCatName val="0"/>
          <c:showSerName val="0"/>
          <c:showPercent val="0"/>
          <c:showBubbleSize val="0"/>
        </c:dLbls>
        <c:marker val="1"/>
        <c:smooth val="0"/>
        <c:axId val="294722944"/>
        <c:axId val="294733312"/>
      </c:lineChart>
      <c:catAx>
        <c:axId val="29472294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25" b="1" i="0" u="none" strike="noStrike" baseline="0">
                <a:solidFill>
                  <a:srgbClr val="000000"/>
                </a:solidFill>
                <a:latin typeface="Arial"/>
                <a:ea typeface="Arial"/>
                <a:cs typeface="Arial"/>
              </a:defRPr>
            </a:pPr>
            <a:endParaRPr lang="en-US"/>
          </a:p>
        </c:txPr>
        <c:crossAx val="294733312"/>
        <c:crosses val="autoZero"/>
        <c:auto val="1"/>
        <c:lblAlgn val="ctr"/>
        <c:lblOffset val="100"/>
        <c:tickLblSkip val="1"/>
        <c:tickMarkSkip val="1"/>
        <c:noMultiLvlLbl val="0"/>
      </c:catAx>
      <c:valAx>
        <c:axId val="29473331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25" b="1" i="0" u="none" strike="noStrike" baseline="0">
                <a:solidFill>
                  <a:srgbClr val="000000"/>
                </a:solidFill>
                <a:latin typeface="Arial"/>
                <a:ea typeface="Arial"/>
                <a:cs typeface="Arial"/>
              </a:defRPr>
            </a:pPr>
            <a:endParaRPr lang="en-US"/>
          </a:p>
        </c:txPr>
        <c:crossAx val="294722944"/>
        <c:crosses val="autoZero"/>
        <c:crossBetween val="between"/>
      </c:valAx>
      <c:spPr>
        <a:gradFill rotWithShape="0">
          <a:gsLst>
            <a:gs pos="0">
              <a:srgbClr xmlns:mc="http://schemas.openxmlformats.org/markup-compatibility/2006" xmlns:a14="http://schemas.microsoft.com/office/drawing/2010/main" val="FFCC99" mc:Ignorable="a14" a14:legacySpreadsheetColorIndex="47"/>
            </a:gs>
            <a:gs pos="50000">
              <a:srgbClr xmlns:mc="http://schemas.openxmlformats.org/markup-compatibility/2006" xmlns:a14="http://schemas.microsoft.com/office/drawing/2010/main" val="FFFFCC" mc:Ignorable="a14" a14:legacySpreadsheetColorIndex="26"/>
            </a:gs>
            <a:gs pos="100000">
              <a:srgbClr xmlns:mc="http://schemas.openxmlformats.org/markup-compatibility/2006" xmlns:a14="http://schemas.microsoft.com/office/drawing/2010/main" val="FFCC99" mc:Ignorable="a14" a14:legacySpreadsheetColorIndex="47"/>
            </a:gs>
          </a:gsLst>
          <a:lin ang="5400000" scaled="1"/>
        </a:gradFill>
        <a:ln w="12700">
          <a:solidFill>
            <a:srgbClr val="808080"/>
          </a:solidFill>
          <a:prstDash val="solid"/>
        </a:ln>
      </c:spPr>
    </c:plotArea>
    <c:legend>
      <c:legendPos val="r"/>
      <c:layout>
        <c:manualLayout>
          <c:xMode val="edge"/>
          <c:yMode val="edge"/>
          <c:x val="0.77799227799227799"/>
          <c:y val="0.15841584158415842"/>
          <c:w val="0.21621621621621623"/>
          <c:h val="0.46534653465346537"/>
        </c:manualLayout>
      </c:layout>
      <c:overlay val="0"/>
      <c:spPr>
        <a:noFill/>
        <a:ln w="3175">
          <a:solidFill>
            <a:srgbClr val="000000"/>
          </a:solidFill>
          <a:prstDash val="solid"/>
        </a:ln>
      </c:spPr>
      <c:txPr>
        <a:bodyPr/>
        <a:lstStyle/>
        <a:p>
          <a:pPr>
            <a:defRPr sz="780"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900" b="1" i="0" u="none" strike="noStrike" baseline="0">
          <a:solidFill>
            <a:srgbClr val="000000"/>
          </a:solidFill>
          <a:latin typeface="Arial"/>
          <a:ea typeface="Arial"/>
          <a:cs typeface="Arial"/>
        </a:defRPr>
      </a:pPr>
      <a:endParaRPr lang="en-US"/>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529126567512453"/>
          <c:y val="2.4216347956505492E-2"/>
          <c:w val="0.75245297462817629"/>
          <c:h val="0.82705005624296968"/>
        </c:manualLayout>
      </c:layout>
      <c:barChart>
        <c:barDir val="col"/>
        <c:grouping val="clustered"/>
        <c:varyColors val="0"/>
        <c:ser>
          <c:idx val="0"/>
          <c:order val="0"/>
          <c:tx>
            <c:strRef>
              <c:f>Sheet1!$B$1</c:f>
              <c:strCache>
                <c:ptCount val="1"/>
                <c:pt idx="0">
                  <c:v>colectate</c:v>
                </c:pt>
              </c:strCache>
            </c:strRef>
          </c:tx>
          <c:invertIfNegative val="0"/>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39.6</c:v>
                </c:pt>
                <c:pt idx="1">
                  <c:v>73.48</c:v>
                </c:pt>
                <c:pt idx="2">
                  <c:v>103.54</c:v>
                </c:pt>
                <c:pt idx="3">
                  <c:v>156.6</c:v>
                </c:pt>
                <c:pt idx="4">
                  <c:v>181.19</c:v>
                </c:pt>
              </c:numCache>
            </c:numRef>
          </c:val>
        </c:ser>
        <c:ser>
          <c:idx val="1"/>
          <c:order val="1"/>
          <c:tx>
            <c:strRef>
              <c:f>Sheet1!$C$1</c:f>
              <c:strCache>
                <c:ptCount val="1"/>
                <c:pt idx="0">
                  <c:v>tratate</c:v>
                </c:pt>
              </c:strCache>
            </c:strRef>
          </c:tx>
          <c:invertIfNegative val="0"/>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54.076000000000001</c:v>
                </c:pt>
                <c:pt idx="1">
                  <c:v>172.83</c:v>
                </c:pt>
                <c:pt idx="2">
                  <c:v>269.18700000000001</c:v>
                </c:pt>
                <c:pt idx="3">
                  <c:v>270.57</c:v>
                </c:pt>
                <c:pt idx="4">
                  <c:v>74.245000000000005</c:v>
                </c:pt>
              </c:numCache>
            </c:numRef>
          </c:val>
        </c:ser>
        <c:ser>
          <c:idx val="2"/>
          <c:order val="2"/>
          <c:tx>
            <c:strRef>
              <c:f>Sheet1!$D$1</c:f>
              <c:strCache>
                <c:ptCount val="1"/>
                <c:pt idx="0">
                  <c:v>Series 3</c:v>
                </c:pt>
              </c:strCache>
            </c:strRef>
          </c:tx>
          <c:invertIfNegative val="0"/>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pt idx="0">
                  <c:v>0</c:v>
                </c:pt>
                <c:pt idx="1">
                  <c:v>0</c:v>
                </c:pt>
                <c:pt idx="2">
                  <c:v>0</c:v>
                </c:pt>
                <c:pt idx="3">
                  <c:v>0</c:v>
                </c:pt>
                <c:pt idx="4">
                  <c:v>0</c:v>
                </c:pt>
              </c:numCache>
            </c:numRef>
          </c:val>
        </c:ser>
        <c:dLbls>
          <c:showLegendKey val="0"/>
          <c:showVal val="0"/>
          <c:showCatName val="0"/>
          <c:showSerName val="0"/>
          <c:showPercent val="0"/>
          <c:showBubbleSize val="0"/>
        </c:dLbls>
        <c:gapWidth val="150"/>
        <c:axId val="298637184"/>
        <c:axId val="298638720"/>
      </c:barChart>
      <c:catAx>
        <c:axId val="298637184"/>
        <c:scaling>
          <c:orientation val="minMax"/>
        </c:scaling>
        <c:delete val="0"/>
        <c:axPos val="b"/>
        <c:numFmt formatCode="General" sourceLinked="1"/>
        <c:majorTickMark val="out"/>
        <c:minorTickMark val="none"/>
        <c:tickLblPos val="nextTo"/>
        <c:crossAx val="298638720"/>
        <c:crosses val="autoZero"/>
        <c:auto val="1"/>
        <c:lblAlgn val="ctr"/>
        <c:lblOffset val="100"/>
        <c:noMultiLvlLbl val="0"/>
      </c:catAx>
      <c:valAx>
        <c:axId val="298638720"/>
        <c:scaling>
          <c:orientation val="minMax"/>
        </c:scaling>
        <c:delete val="0"/>
        <c:axPos val="l"/>
        <c:majorGridlines/>
        <c:numFmt formatCode="General" sourceLinked="1"/>
        <c:majorTickMark val="out"/>
        <c:minorTickMark val="none"/>
        <c:tickLblPos val="nextTo"/>
        <c:crossAx val="298637184"/>
        <c:crosses val="autoZero"/>
        <c:crossBetween val="between"/>
      </c:valAx>
    </c:plotArea>
    <c:legend>
      <c:legendPos val="r"/>
      <c:legendEntry>
        <c:idx val="2"/>
        <c:delete val="1"/>
      </c:legendEntry>
      <c:overlay val="0"/>
    </c:legend>
    <c:plotVisOnly val="1"/>
    <c:dispBlanksAs val="gap"/>
    <c:showDLblsOverMax val="0"/>
  </c:chart>
  <c:externalData r:id="rId2">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783505154639206E-2"/>
          <c:y val="9.5000000000000043E-2"/>
          <c:w val="0.70618556701030932"/>
          <c:h val="0.70500000000000063"/>
        </c:manualLayout>
      </c:layout>
      <c:lineChart>
        <c:grouping val="standard"/>
        <c:varyColors val="0"/>
        <c:ser>
          <c:idx val="0"/>
          <c:order val="0"/>
          <c:tx>
            <c:strRef>
              <c:f>Sheet1!$A$2</c:f>
              <c:strCache>
                <c:ptCount val="1"/>
                <c:pt idx="0">
                  <c:v>cantităţi de deseuri de ambalaje</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Sheet1!$B$1:$F$1</c:f>
              <c:numCache>
                <c:formatCode>General</c:formatCode>
                <c:ptCount val="5"/>
                <c:pt idx="0">
                  <c:v>2010</c:v>
                </c:pt>
                <c:pt idx="1">
                  <c:v>2011</c:v>
                </c:pt>
                <c:pt idx="2">
                  <c:v>2012</c:v>
                </c:pt>
                <c:pt idx="3">
                  <c:v>2013</c:v>
                </c:pt>
                <c:pt idx="4">
                  <c:v>2014</c:v>
                </c:pt>
              </c:numCache>
            </c:numRef>
          </c:cat>
          <c:val>
            <c:numRef>
              <c:f>Sheet1!$B$2:$F$2</c:f>
              <c:numCache>
                <c:formatCode>General</c:formatCode>
                <c:ptCount val="5"/>
                <c:pt idx="0">
                  <c:v>309.34699999999998</c:v>
                </c:pt>
                <c:pt idx="1">
                  <c:v>412.25</c:v>
                </c:pt>
                <c:pt idx="2">
                  <c:v>495.608</c:v>
                </c:pt>
                <c:pt idx="3">
                  <c:v>483.14499999999998</c:v>
                </c:pt>
                <c:pt idx="4">
                  <c:v>603.61900000000003</c:v>
                </c:pt>
              </c:numCache>
            </c:numRef>
          </c:val>
          <c:smooth val="0"/>
        </c:ser>
        <c:dLbls>
          <c:showLegendKey val="0"/>
          <c:showVal val="0"/>
          <c:showCatName val="0"/>
          <c:showSerName val="0"/>
          <c:showPercent val="0"/>
          <c:showBubbleSize val="0"/>
        </c:dLbls>
        <c:marker val="1"/>
        <c:smooth val="0"/>
        <c:axId val="296238080"/>
        <c:axId val="296285696"/>
      </c:lineChart>
      <c:catAx>
        <c:axId val="296238080"/>
        <c:scaling>
          <c:orientation val="minMax"/>
        </c:scaling>
        <c:delete val="0"/>
        <c:axPos val="b"/>
        <c:title>
          <c:tx>
            <c:rich>
              <a:bodyPr/>
              <a:lstStyle/>
              <a:p>
                <a:pPr>
                  <a:defRPr sz="975" b="1" i="0" u="none" strike="noStrike" baseline="0">
                    <a:solidFill>
                      <a:srgbClr val="000000"/>
                    </a:solidFill>
                    <a:latin typeface="Arial"/>
                    <a:ea typeface="Arial"/>
                    <a:cs typeface="Arial"/>
                  </a:defRPr>
                </a:pPr>
                <a:r>
                  <a:rPr lang="en-US"/>
                  <a:t>anul</a:t>
                </a:r>
              </a:p>
            </c:rich>
          </c:tx>
          <c:layout>
            <c:manualLayout>
              <c:xMode val="edge"/>
              <c:yMode val="edge"/>
              <c:x val="9.6219931271477654E-2"/>
              <c:y val="0"/>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1" u="none" strike="noStrike" baseline="0">
                <a:solidFill>
                  <a:srgbClr val="000000"/>
                </a:solidFill>
                <a:latin typeface="Arial"/>
                <a:ea typeface="Arial"/>
                <a:cs typeface="Arial"/>
              </a:defRPr>
            </a:pPr>
            <a:endParaRPr lang="en-US"/>
          </a:p>
        </c:txPr>
        <c:crossAx val="296285696"/>
        <c:crosses val="autoZero"/>
        <c:auto val="1"/>
        <c:lblAlgn val="ctr"/>
        <c:lblOffset val="100"/>
        <c:tickLblSkip val="1"/>
        <c:tickMarkSkip val="1"/>
        <c:noMultiLvlLbl val="0"/>
      </c:catAx>
      <c:valAx>
        <c:axId val="296285696"/>
        <c:scaling>
          <c:orientation val="minMax"/>
          <c:max val="650"/>
        </c:scaling>
        <c:delete val="0"/>
        <c:axPos val="l"/>
        <c:majorGridlines>
          <c:spPr>
            <a:ln w="3175">
              <a:solidFill>
                <a:srgbClr val="000000"/>
              </a:solidFill>
              <a:prstDash val="solid"/>
            </a:ln>
          </c:spPr>
        </c:majorGridlines>
        <c:title>
          <c:tx>
            <c:rich>
              <a:bodyPr rot="0" vert="horz"/>
              <a:lstStyle/>
              <a:p>
                <a:pPr algn="ctr">
                  <a:defRPr sz="975" b="1" i="0" u="none" strike="noStrike" baseline="0">
                    <a:solidFill>
                      <a:srgbClr val="000000"/>
                    </a:solidFill>
                    <a:latin typeface="Arial"/>
                    <a:ea typeface="Arial"/>
                    <a:cs typeface="Arial"/>
                  </a:defRPr>
                </a:pPr>
                <a:r>
                  <a:rPr lang="en-US"/>
                  <a:t>tone</a:t>
                </a:r>
              </a:p>
            </c:rich>
          </c:tx>
          <c:layout>
            <c:manualLayout>
              <c:xMode val="edge"/>
              <c:yMode val="edge"/>
              <c:x val="0"/>
              <c:y val="0.8850000000000000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1" u="none" strike="noStrike" baseline="0">
                <a:solidFill>
                  <a:srgbClr val="000000"/>
                </a:solidFill>
                <a:latin typeface="Arial"/>
                <a:ea typeface="Arial"/>
                <a:cs typeface="Arial"/>
              </a:defRPr>
            </a:pPr>
            <a:endParaRPr lang="en-US"/>
          </a:p>
        </c:txPr>
        <c:crossAx val="296238080"/>
        <c:crosses val="autoZero"/>
        <c:crossBetween val="between"/>
      </c:valAx>
      <c:spPr>
        <a:noFill/>
        <a:ln w="12700">
          <a:solidFill>
            <a:srgbClr val="808080"/>
          </a:solidFill>
          <a:prstDash val="solid"/>
        </a:ln>
      </c:spPr>
    </c:plotArea>
    <c:legend>
      <c:legendPos val="r"/>
      <c:layout>
        <c:manualLayout>
          <c:xMode val="edge"/>
          <c:yMode val="edge"/>
          <c:x val="0.82130584192439871"/>
          <c:y val="0.15500000000000044"/>
          <c:w val="0.17182130584192742"/>
          <c:h val="0.58000000000000007"/>
        </c:manualLayout>
      </c:layout>
      <c:overlay val="0"/>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en-US"/>
        </a:p>
      </c:txPr>
    </c:legend>
    <c:plotVisOnly val="1"/>
    <c:dispBlanksAs val="gap"/>
    <c:showDLblsOverMax val="0"/>
  </c:chart>
  <c:spPr>
    <a:noFill/>
    <a:ln w="6350" cap="flat" cmpd="sng" algn="ctr">
      <a:solidFill>
        <a:srgbClr val="000000"/>
      </a:solidFill>
      <a:prstDash val="solid"/>
      <a:miter lim="800000"/>
      <a:headEnd type="none" w="med" len="med"/>
      <a:tailEnd type="none" w="med" len="med"/>
    </a:ln>
  </c:spPr>
  <c:txPr>
    <a:bodyPr/>
    <a:lstStyle/>
    <a:p>
      <a:pPr>
        <a:defRPr sz="875" b="1" i="0" u="none" strike="noStrike" baseline="0">
          <a:solidFill>
            <a:srgbClr val="000000"/>
          </a:solidFill>
          <a:latin typeface="Arial"/>
          <a:ea typeface="Arial"/>
          <a:cs typeface="Arial"/>
        </a:defRPr>
      </a:pPr>
      <a:endParaRPr lang="en-US"/>
    </a:p>
  </c:txPr>
  <c:externalData r:id="rId2">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Foaie1!$B$1</c:f>
              <c:strCache>
                <c:ptCount val="1"/>
                <c:pt idx="0">
                  <c:v>Serie 1</c:v>
                </c:pt>
              </c:strCache>
            </c:strRef>
          </c:tx>
          <c:invertIfNegative val="0"/>
          <c:cat>
            <c:strRef>
              <c:f>Foaie1!$A$2:$A$5</c:f>
              <c:strCache>
                <c:ptCount val="4"/>
                <c:pt idx="0">
                  <c:v>Categoria 1</c:v>
                </c:pt>
                <c:pt idx="1">
                  <c:v>Categoria 2</c:v>
                </c:pt>
                <c:pt idx="2">
                  <c:v>Categoria 3</c:v>
                </c:pt>
                <c:pt idx="3">
                  <c:v>Categoria 4</c:v>
                </c:pt>
              </c:strCache>
            </c:strRef>
          </c:cat>
          <c:val>
            <c:numRef>
              <c:f>Foaie1!$B$2:$B$5</c:f>
              <c:numCache>
                <c:formatCode>General</c:formatCode>
                <c:ptCount val="4"/>
                <c:pt idx="0">
                  <c:v>4.3</c:v>
                </c:pt>
                <c:pt idx="1">
                  <c:v>2.5</c:v>
                </c:pt>
                <c:pt idx="2">
                  <c:v>3.5</c:v>
                </c:pt>
                <c:pt idx="3">
                  <c:v>4.5</c:v>
                </c:pt>
              </c:numCache>
            </c:numRef>
          </c:val>
        </c:ser>
        <c:ser>
          <c:idx val="1"/>
          <c:order val="1"/>
          <c:tx>
            <c:strRef>
              <c:f>Foaie1!$C$1</c:f>
              <c:strCache>
                <c:ptCount val="1"/>
                <c:pt idx="0">
                  <c:v>Serie 2</c:v>
                </c:pt>
              </c:strCache>
            </c:strRef>
          </c:tx>
          <c:invertIfNegative val="0"/>
          <c:cat>
            <c:strRef>
              <c:f>Foaie1!$A$2:$A$5</c:f>
              <c:strCache>
                <c:ptCount val="4"/>
                <c:pt idx="0">
                  <c:v>Categoria 1</c:v>
                </c:pt>
                <c:pt idx="1">
                  <c:v>Categoria 2</c:v>
                </c:pt>
                <c:pt idx="2">
                  <c:v>Categoria 3</c:v>
                </c:pt>
                <c:pt idx="3">
                  <c:v>Categoria 4</c:v>
                </c:pt>
              </c:strCache>
            </c:strRef>
          </c:cat>
          <c:val>
            <c:numRef>
              <c:f>Foaie1!$C$2:$C$5</c:f>
              <c:numCache>
                <c:formatCode>General</c:formatCode>
                <c:ptCount val="4"/>
                <c:pt idx="0">
                  <c:v>2.4</c:v>
                </c:pt>
                <c:pt idx="1">
                  <c:v>4.4000000000000004</c:v>
                </c:pt>
                <c:pt idx="2">
                  <c:v>1.8</c:v>
                </c:pt>
                <c:pt idx="3">
                  <c:v>2.8</c:v>
                </c:pt>
              </c:numCache>
            </c:numRef>
          </c:val>
        </c:ser>
        <c:ser>
          <c:idx val="2"/>
          <c:order val="2"/>
          <c:tx>
            <c:strRef>
              <c:f>Foaie1!$D$1</c:f>
              <c:strCache>
                <c:ptCount val="1"/>
                <c:pt idx="0">
                  <c:v>Serie 3</c:v>
                </c:pt>
              </c:strCache>
            </c:strRef>
          </c:tx>
          <c:invertIfNegative val="0"/>
          <c:cat>
            <c:strRef>
              <c:f>Foaie1!$A$2:$A$5</c:f>
              <c:strCache>
                <c:ptCount val="4"/>
                <c:pt idx="0">
                  <c:v>Categoria 1</c:v>
                </c:pt>
                <c:pt idx="1">
                  <c:v>Categoria 2</c:v>
                </c:pt>
                <c:pt idx="2">
                  <c:v>Categoria 3</c:v>
                </c:pt>
                <c:pt idx="3">
                  <c:v>Categoria 4</c:v>
                </c:pt>
              </c:strCache>
            </c:strRef>
          </c:cat>
          <c:val>
            <c:numRef>
              <c:f>Foaie1!$D$2:$D$5</c:f>
              <c:numCache>
                <c:formatCode>General</c:formatCode>
                <c:ptCount val="4"/>
                <c:pt idx="0">
                  <c:v>2</c:v>
                </c:pt>
                <c:pt idx="1">
                  <c:v>2</c:v>
                </c:pt>
                <c:pt idx="2">
                  <c:v>3</c:v>
                </c:pt>
                <c:pt idx="3">
                  <c:v>5</c:v>
                </c:pt>
              </c:numCache>
            </c:numRef>
          </c:val>
        </c:ser>
        <c:dLbls>
          <c:showLegendKey val="0"/>
          <c:showVal val="0"/>
          <c:showCatName val="0"/>
          <c:showSerName val="0"/>
          <c:showPercent val="0"/>
          <c:showBubbleSize val="0"/>
        </c:dLbls>
        <c:gapWidth val="150"/>
        <c:axId val="298675200"/>
        <c:axId val="298676992"/>
      </c:barChart>
      <c:catAx>
        <c:axId val="298675200"/>
        <c:scaling>
          <c:orientation val="minMax"/>
        </c:scaling>
        <c:delete val="0"/>
        <c:axPos val="b"/>
        <c:numFmt formatCode="General" sourceLinked="1"/>
        <c:majorTickMark val="out"/>
        <c:minorTickMark val="none"/>
        <c:tickLblPos val="nextTo"/>
        <c:crossAx val="298676992"/>
        <c:crosses val="autoZero"/>
        <c:auto val="1"/>
        <c:lblAlgn val="ctr"/>
        <c:lblOffset val="100"/>
        <c:noMultiLvlLbl val="0"/>
      </c:catAx>
      <c:valAx>
        <c:axId val="298676992"/>
        <c:scaling>
          <c:orientation val="minMax"/>
        </c:scaling>
        <c:delete val="0"/>
        <c:axPos val="l"/>
        <c:majorGridlines/>
        <c:numFmt formatCode="General" sourceLinked="1"/>
        <c:majorTickMark val="out"/>
        <c:minorTickMark val="none"/>
        <c:tickLblPos val="nextTo"/>
        <c:crossAx val="298675200"/>
        <c:crosses val="autoZero"/>
        <c:crossBetween val="between"/>
      </c:valAx>
    </c:plotArea>
    <c:legend>
      <c:legendPos val="r"/>
      <c:layout>
        <c:manualLayout>
          <c:xMode val="edge"/>
          <c:yMode val="edge"/>
          <c:x val="0.88101983002832862"/>
          <c:y val="0.38423645320197047"/>
          <c:w val="0.10339943342776201"/>
          <c:h val="0.21921182266009975"/>
        </c:manualLayout>
      </c:layout>
      <c:overlay val="0"/>
    </c:legend>
    <c:plotVisOnly val="1"/>
    <c:dispBlanksAs val="gap"/>
    <c:showDLblsOverMax val="0"/>
  </c:chart>
  <c:externalData r:id="rId2">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Foaie1!$B$1</c:f>
              <c:strCache>
                <c:ptCount val="1"/>
                <c:pt idx="0">
                  <c:v>Serie 1</c:v>
                </c:pt>
              </c:strCache>
            </c:strRef>
          </c:tx>
          <c:invertIfNegative val="0"/>
          <c:cat>
            <c:strRef>
              <c:f>Foaie1!$A$2:$A$5</c:f>
              <c:strCache>
                <c:ptCount val="4"/>
                <c:pt idx="0">
                  <c:v>Categoria 1</c:v>
                </c:pt>
                <c:pt idx="1">
                  <c:v>Categoria 2</c:v>
                </c:pt>
                <c:pt idx="2">
                  <c:v>Categoria 3</c:v>
                </c:pt>
                <c:pt idx="3">
                  <c:v>Categoria 4</c:v>
                </c:pt>
              </c:strCache>
            </c:strRef>
          </c:cat>
          <c:val>
            <c:numRef>
              <c:f>Foaie1!$B$2:$B$5</c:f>
              <c:numCache>
                <c:formatCode>General</c:formatCode>
                <c:ptCount val="4"/>
                <c:pt idx="0">
                  <c:v>4.3</c:v>
                </c:pt>
                <c:pt idx="1">
                  <c:v>2.5</c:v>
                </c:pt>
                <c:pt idx="2">
                  <c:v>3.5</c:v>
                </c:pt>
                <c:pt idx="3">
                  <c:v>4.5</c:v>
                </c:pt>
              </c:numCache>
            </c:numRef>
          </c:val>
        </c:ser>
        <c:ser>
          <c:idx val="1"/>
          <c:order val="1"/>
          <c:tx>
            <c:strRef>
              <c:f>Foaie1!$C$1</c:f>
              <c:strCache>
                <c:ptCount val="1"/>
                <c:pt idx="0">
                  <c:v>Serie 2</c:v>
                </c:pt>
              </c:strCache>
            </c:strRef>
          </c:tx>
          <c:invertIfNegative val="0"/>
          <c:cat>
            <c:strRef>
              <c:f>Foaie1!$A$2:$A$5</c:f>
              <c:strCache>
                <c:ptCount val="4"/>
                <c:pt idx="0">
                  <c:v>Categoria 1</c:v>
                </c:pt>
                <c:pt idx="1">
                  <c:v>Categoria 2</c:v>
                </c:pt>
                <c:pt idx="2">
                  <c:v>Categoria 3</c:v>
                </c:pt>
                <c:pt idx="3">
                  <c:v>Categoria 4</c:v>
                </c:pt>
              </c:strCache>
            </c:strRef>
          </c:cat>
          <c:val>
            <c:numRef>
              <c:f>Foaie1!$C$2:$C$5</c:f>
              <c:numCache>
                <c:formatCode>General</c:formatCode>
                <c:ptCount val="4"/>
                <c:pt idx="0">
                  <c:v>2.4</c:v>
                </c:pt>
                <c:pt idx="1">
                  <c:v>4.4000000000000004</c:v>
                </c:pt>
                <c:pt idx="2">
                  <c:v>1.8</c:v>
                </c:pt>
                <c:pt idx="3">
                  <c:v>2.8</c:v>
                </c:pt>
              </c:numCache>
            </c:numRef>
          </c:val>
        </c:ser>
        <c:ser>
          <c:idx val="2"/>
          <c:order val="2"/>
          <c:tx>
            <c:strRef>
              <c:f>Foaie1!$D$1</c:f>
              <c:strCache>
                <c:ptCount val="1"/>
                <c:pt idx="0">
                  <c:v>Serie 3</c:v>
                </c:pt>
              </c:strCache>
            </c:strRef>
          </c:tx>
          <c:invertIfNegative val="0"/>
          <c:cat>
            <c:strRef>
              <c:f>Foaie1!$A$2:$A$5</c:f>
              <c:strCache>
                <c:ptCount val="4"/>
                <c:pt idx="0">
                  <c:v>Categoria 1</c:v>
                </c:pt>
                <c:pt idx="1">
                  <c:v>Categoria 2</c:v>
                </c:pt>
                <c:pt idx="2">
                  <c:v>Categoria 3</c:v>
                </c:pt>
                <c:pt idx="3">
                  <c:v>Categoria 4</c:v>
                </c:pt>
              </c:strCache>
            </c:strRef>
          </c:cat>
          <c:val>
            <c:numRef>
              <c:f>Foaie1!$D$2:$D$5</c:f>
              <c:numCache>
                <c:formatCode>General</c:formatCode>
                <c:ptCount val="4"/>
                <c:pt idx="0">
                  <c:v>2</c:v>
                </c:pt>
                <c:pt idx="1">
                  <c:v>2</c:v>
                </c:pt>
                <c:pt idx="2">
                  <c:v>3</c:v>
                </c:pt>
                <c:pt idx="3">
                  <c:v>5</c:v>
                </c:pt>
              </c:numCache>
            </c:numRef>
          </c:val>
        </c:ser>
        <c:dLbls>
          <c:showLegendKey val="0"/>
          <c:showVal val="0"/>
          <c:showCatName val="0"/>
          <c:showSerName val="0"/>
          <c:showPercent val="0"/>
          <c:showBubbleSize val="0"/>
        </c:dLbls>
        <c:gapWidth val="150"/>
        <c:axId val="298801024"/>
        <c:axId val="298802560"/>
      </c:barChart>
      <c:catAx>
        <c:axId val="298801024"/>
        <c:scaling>
          <c:orientation val="minMax"/>
        </c:scaling>
        <c:delete val="0"/>
        <c:axPos val="b"/>
        <c:numFmt formatCode="General" sourceLinked="1"/>
        <c:majorTickMark val="out"/>
        <c:minorTickMark val="none"/>
        <c:tickLblPos val="nextTo"/>
        <c:crossAx val="298802560"/>
        <c:crosses val="autoZero"/>
        <c:auto val="1"/>
        <c:lblAlgn val="ctr"/>
        <c:lblOffset val="100"/>
        <c:noMultiLvlLbl val="0"/>
      </c:catAx>
      <c:valAx>
        <c:axId val="298802560"/>
        <c:scaling>
          <c:orientation val="minMax"/>
        </c:scaling>
        <c:delete val="0"/>
        <c:axPos val="l"/>
        <c:majorGridlines/>
        <c:numFmt formatCode="General" sourceLinked="1"/>
        <c:majorTickMark val="out"/>
        <c:minorTickMark val="none"/>
        <c:tickLblPos val="nextTo"/>
        <c:crossAx val="298801024"/>
        <c:crosses val="autoZero"/>
        <c:crossBetween val="between"/>
      </c:valAx>
    </c:plotArea>
    <c:legend>
      <c:legendPos val="r"/>
      <c:layout>
        <c:manualLayout>
          <c:xMode val="edge"/>
          <c:yMode val="edge"/>
          <c:x val="0.88101983002832862"/>
          <c:y val="0.38423645320197047"/>
          <c:w val="0.10339943342776201"/>
          <c:h val="0.21921182266009975"/>
        </c:manualLayout>
      </c:layout>
      <c:overlay val="0"/>
    </c:legend>
    <c:plotVisOnly val="1"/>
    <c:dispBlanksAs val="gap"/>
    <c:showDLblsOverMax val="0"/>
  </c:chart>
  <c:externalData r:id="rId2">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Foaie1!$B$1</c:f>
              <c:strCache>
                <c:ptCount val="1"/>
                <c:pt idx="0">
                  <c:v>Serie 1</c:v>
                </c:pt>
              </c:strCache>
            </c:strRef>
          </c:tx>
          <c:invertIfNegative val="0"/>
          <c:cat>
            <c:strRef>
              <c:f>Foaie1!$A$2:$A$5</c:f>
              <c:strCache>
                <c:ptCount val="4"/>
                <c:pt idx="0">
                  <c:v>Categoria 1</c:v>
                </c:pt>
                <c:pt idx="1">
                  <c:v>Categoria 2</c:v>
                </c:pt>
                <c:pt idx="2">
                  <c:v>Categoria 3</c:v>
                </c:pt>
                <c:pt idx="3">
                  <c:v>Categoria 4</c:v>
                </c:pt>
              </c:strCache>
            </c:strRef>
          </c:cat>
          <c:val>
            <c:numRef>
              <c:f>Foaie1!$B$2:$B$5</c:f>
              <c:numCache>
                <c:formatCode>General</c:formatCode>
                <c:ptCount val="4"/>
                <c:pt idx="0">
                  <c:v>4.3</c:v>
                </c:pt>
                <c:pt idx="1">
                  <c:v>2.5</c:v>
                </c:pt>
                <c:pt idx="2">
                  <c:v>3.5</c:v>
                </c:pt>
                <c:pt idx="3">
                  <c:v>4.5</c:v>
                </c:pt>
              </c:numCache>
            </c:numRef>
          </c:val>
        </c:ser>
        <c:ser>
          <c:idx val="1"/>
          <c:order val="1"/>
          <c:tx>
            <c:strRef>
              <c:f>Foaie1!$C$1</c:f>
              <c:strCache>
                <c:ptCount val="1"/>
                <c:pt idx="0">
                  <c:v>Serie 2</c:v>
                </c:pt>
              </c:strCache>
            </c:strRef>
          </c:tx>
          <c:invertIfNegative val="0"/>
          <c:cat>
            <c:strRef>
              <c:f>Foaie1!$A$2:$A$5</c:f>
              <c:strCache>
                <c:ptCount val="4"/>
                <c:pt idx="0">
                  <c:v>Categoria 1</c:v>
                </c:pt>
                <c:pt idx="1">
                  <c:v>Categoria 2</c:v>
                </c:pt>
                <c:pt idx="2">
                  <c:v>Categoria 3</c:v>
                </c:pt>
                <c:pt idx="3">
                  <c:v>Categoria 4</c:v>
                </c:pt>
              </c:strCache>
            </c:strRef>
          </c:cat>
          <c:val>
            <c:numRef>
              <c:f>Foaie1!$C$2:$C$5</c:f>
              <c:numCache>
                <c:formatCode>General</c:formatCode>
                <c:ptCount val="4"/>
                <c:pt idx="0">
                  <c:v>2.4</c:v>
                </c:pt>
                <c:pt idx="1">
                  <c:v>4.4000000000000004</c:v>
                </c:pt>
                <c:pt idx="2">
                  <c:v>1.8</c:v>
                </c:pt>
                <c:pt idx="3">
                  <c:v>2.8</c:v>
                </c:pt>
              </c:numCache>
            </c:numRef>
          </c:val>
        </c:ser>
        <c:ser>
          <c:idx val="2"/>
          <c:order val="2"/>
          <c:tx>
            <c:strRef>
              <c:f>Foaie1!$D$1</c:f>
              <c:strCache>
                <c:ptCount val="1"/>
                <c:pt idx="0">
                  <c:v>Serie 3</c:v>
                </c:pt>
              </c:strCache>
            </c:strRef>
          </c:tx>
          <c:invertIfNegative val="0"/>
          <c:cat>
            <c:strRef>
              <c:f>Foaie1!$A$2:$A$5</c:f>
              <c:strCache>
                <c:ptCount val="4"/>
                <c:pt idx="0">
                  <c:v>Categoria 1</c:v>
                </c:pt>
                <c:pt idx="1">
                  <c:v>Categoria 2</c:v>
                </c:pt>
                <c:pt idx="2">
                  <c:v>Categoria 3</c:v>
                </c:pt>
                <c:pt idx="3">
                  <c:v>Categoria 4</c:v>
                </c:pt>
              </c:strCache>
            </c:strRef>
          </c:cat>
          <c:val>
            <c:numRef>
              <c:f>Foaie1!$D$2:$D$5</c:f>
              <c:numCache>
                <c:formatCode>General</c:formatCode>
                <c:ptCount val="4"/>
                <c:pt idx="0">
                  <c:v>2</c:v>
                </c:pt>
                <c:pt idx="1">
                  <c:v>2</c:v>
                </c:pt>
                <c:pt idx="2">
                  <c:v>3</c:v>
                </c:pt>
                <c:pt idx="3">
                  <c:v>5</c:v>
                </c:pt>
              </c:numCache>
            </c:numRef>
          </c:val>
        </c:ser>
        <c:dLbls>
          <c:showLegendKey val="0"/>
          <c:showVal val="0"/>
          <c:showCatName val="0"/>
          <c:showSerName val="0"/>
          <c:showPercent val="0"/>
          <c:showBubbleSize val="0"/>
        </c:dLbls>
        <c:gapWidth val="150"/>
        <c:axId val="299393024"/>
        <c:axId val="299394560"/>
      </c:barChart>
      <c:catAx>
        <c:axId val="299393024"/>
        <c:scaling>
          <c:orientation val="minMax"/>
        </c:scaling>
        <c:delete val="0"/>
        <c:axPos val="b"/>
        <c:numFmt formatCode="General" sourceLinked="1"/>
        <c:majorTickMark val="out"/>
        <c:minorTickMark val="none"/>
        <c:tickLblPos val="nextTo"/>
        <c:crossAx val="299394560"/>
        <c:crosses val="autoZero"/>
        <c:auto val="1"/>
        <c:lblAlgn val="ctr"/>
        <c:lblOffset val="100"/>
        <c:noMultiLvlLbl val="0"/>
      </c:catAx>
      <c:valAx>
        <c:axId val="299394560"/>
        <c:scaling>
          <c:orientation val="minMax"/>
        </c:scaling>
        <c:delete val="0"/>
        <c:axPos val="l"/>
        <c:majorGridlines/>
        <c:numFmt formatCode="General" sourceLinked="1"/>
        <c:majorTickMark val="out"/>
        <c:minorTickMark val="none"/>
        <c:tickLblPos val="nextTo"/>
        <c:crossAx val="299393024"/>
        <c:crosses val="autoZero"/>
        <c:crossBetween val="between"/>
      </c:valAx>
    </c:plotArea>
    <c:legend>
      <c:legendPos val="r"/>
      <c:layout>
        <c:manualLayout>
          <c:xMode val="edge"/>
          <c:yMode val="edge"/>
          <c:x val="0.88101983002832862"/>
          <c:y val="0.38423645320197047"/>
          <c:w val="0.10339943342776201"/>
          <c:h val="0.21921182266009975"/>
        </c:manualLayout>
      </c:layout>
      <c:overlay val="0"/>
    </c:legend>
    <c:plotVisOnly val="1"/>
    <c:dispBlanksAs val="gap"/>
    <c:showDLblsOverMax val="0"/>
  </c:chart>
  <c:externalData r:id="rId2">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colectat</c:v>
                </c:pt>
              </c:strCache>
            </c:strRef>
          </c:tx>
          <c:invertIfNegative val="0"/>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2310</c:v>
                </c:pt>
                <c:pt idx="1">
                  <c:v>898</c:v>
                </c:pt>
                <c:pt idx="2">
                  <c:v>643</c:v>
                </c:pt>
                <c:pt idx="3">
                  <c:v>141</c:v>
                </c:pt>
                <c:pt idx="4">
                  <c:v>231</c:v>
                </c:pt>
              </c:numCache>
            </c:numRef>
          </c:val>
        </c:ser>
        <c:ser>
          <c:idx val="1"/>
          <c:order val="1"/>
          <c:tx>
            <c:strRef>
              <c:f>Sheet1!$C$1</c:f>
              <c:strCache>
                <c:ptCount val="1"/>
                <c:pt idx="0">
                  <c:v>tratate</c:v>
                </c:pt>
              </c:strCache>
            </c:strRef>
          </c:tx>
          <c:invertIfNegative val="0"/>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2482</c:v>
                </c:pt>
                <c:pt idx="1">
                  <c:v>1021</c:v>
                </c:pt>
                <c:pt idx="2">
                  <c:v>624</c:v>
                </c:pt>
                <c:pt idx="3">
                  <c:v>160</c:v>
                </c:pt>
                <c:pt idx="4">
                  <c:v>208</c:v>
                </c:pt>
              </c:numCache>
            </c:numRef>
          </c:val>
        </c:ser>
        <c:ser>
          <c:idx val="2"/>
          <c:order val="2"/>
          <c:tx>
            <c:strRef>
              <c:f>Sheet1!$D$1</c:f>
              <c:strCache>
                <c:ptCount val="1"/>
                <c:pt idx="0">
                  <c:v>Column1</c:v>
                </c:pt>
              </c:strCache>
            </c:strRef>
          </c:tx>
          <c:invertIfNegative val="0"/>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numCache>
            </c:numRef>
          </c:val>
        </c:ser>
        <c:dLbls>
          <c:showLegendKey val="0"/>
          <c:showVal val="0"/>
          <c:showCatName val="0"/>
          <c:showSerName val="0"/>
          <c:showPercent val="0"/>
          <c:showBubbleSize val="0"/>
        </c:dLbls>
        <c:gapWidth val="150"/>
        <c:axId val="299432576"/>
        <c:axId val="297730432"/>
      </c:barChart>
      <c:catAx>
        <c:axId val="299432576"/>
        <c:scaling>
          <c:orientation val="minMax"/>
        </c:scaling>
        <c:delete val="0"/>
        <c:axPos val="b"/>
        <c:numFmt formatCode="General" sourceLinked="1"/>
        <c:majorTickMark val="out"/>
        <c:minorTickMark val="none"/>
        <c:tickLblPos val="nextTo"/>
        <c:crossAx val="297730432"/>
        <c:crosses val="autoZero"/>
        <c:auto val="1"/>
        <c:lblAlgn val="ctr"/>
        <c:lblOffset val="100"/>
        <c:noMultiLvlLbl val="0"/>
      </c:catAx>
      <c:valAx>
        <c:axId val="297730432"/>
        <c:scaling>
          <c:orientation val="minMax"/>
        </c:scaling>
        <c:delete val="0"/>
        <c:axPos val="l"/>
        <c:majorGridlines/>
        <c:numFmt formatCode="General" sourceLinked="1"/>
        <c:majorTickMark val="out"/>
        <c:minorTickMark val="none"/>
        <c:tickLblPos val="nextTo"/>
        <c:crossAx val="299432576"/>
        <c:crosses val="autoZero"/>
        <c:crossBetween val="between"/>
      </c:valAx>
    </c:plotArea>
    <c:legend>
      <c:legendPos val="r"/>
      <c:legendEntry>
        <c:idx val="2"/>
        <c:delete val="1"/>
      </c:legendEntry>
      <c:overlay val="0"/>
    </c:legend>
    <c:plotVisOnly val="1"/>
    <c:dispBlanksAs val="gap"/>
    <c:showDLblsOverMax val="0"/>
  </c:chart>
  <c:externalData r:id="rId2">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Arial" pitchFamily="34" charset="0"/>
                <a:cs typeface="Arial" pitchFamily="34" charset="0"/>
              </a:defRPr>
            </a:pPr>
            <a:r>
              <a:rPr lang="ro-RO" sz="1200" b="0">
                <a:latin typeface="Arial" pitchFamily="34" charset="0"/>
                <a:cs typeface="Arial" pitchFamily="34" charset="0"/>
              </a:rPr>
              <a:t>Indicator de generare</a:t>
            </a:r>
            <a:r>
              <a:rPr lang="ro-RO" sz="1200" b="0" baseline="0">
                <a:latin typeface="Arial" pitchFamily="34" charset="0"/>
                <a:cs typeface="Arial" pitchFamily="34" charset="0"/>
              </a:rPr>
              <a:t> </a:t>
            </a:r>
            <a:r>
              <a:rPr lang="ro-RO" sz="1200" b="0">
                <a:latin typeface="Arial" pitchFamily="34" charset="0"/>
                <a:cs typeface="Arial" pitchFamily="34" charset="0"/>
              </a:rPr>
              <a:t>a deşeurilor municipale</a:t>
            </a:r>
          </a:p>
        </c:rich>
      </c:tx>
      <c:overlay val="0"/>
    </c:title>
    <c:autoTitleDeleted val="0"/>
    <c:plotArea>
      <c:layout>
        <c:manualLayout>
          <c:layoutTarget val="inner"/>
          <c:xMode val="edge"/>
          <c:yMode val="edge"/>
          <c:x val="8.210371807789428E-2"/>
          <c:y val="0.23776544977332764"/>
          <c:w val="0.57490938040328265"/>
          <c:h val="0.66096357273522632"/>
        </c:manualLayout>
      </c:layout>
      <c:lineChart>
        <c:grouping val="standard"/>
        <c:varyColors val="0"/>
        <c:ser>
          <c:idx val="0"/>
          <c:order val="0"/>
          <c:tx>
            <c:strRef>
              <c:f>Foaie1!$B$1</c:f>
              <c:strCache>
                <c:ptCount val="1"/>
                <c:pt idx="0">
                  <c:v>Indic de gen.a des.mun.</c:v>
                </c:pt>
              </c:strCache>
            </c:strRef>
          </c:tx>
          <c:marker>
            <c:symbol val="none"/>
          </c:marker>
          <c:cat>
            <c:numRef>
              <c:f>Foaie1!$A$2:$A$6</c:f>
              <c:numCache>
                <c:formatCode>General</c:formatCode>
                <c:ptCount val="5"/>
                <c:pt idx="0">
                  <c:v>2010</c:v>
                </c:pt>
                <c:pt idx="1">
                  <c:v>2011</c:v>
                </c:pt>
                <c:pt idx="2">
                  <c:v>2012</c:v>
                </c:pt>
                <c:pt idx="3">
                  <c:v>2013</c:v>
                </c:pt>
                <c:pt idx="4">
                  <c:v>2014</c:v>
                </c:pt>
              </c:numCache>
            </c:numRef>
          </c:cat>
          <c:val>
            <c:numRef>
              <c:f>Foaie1!$B$2:$B$6</c:f>
              <c:numCache>
                <c:formatCode>General</c:formatCode>
                <c:ptCount val="5"/>
                <c:pt idx="0">
                  <c:v>301</c:v>
                </c:pt>
                <c:pt idx="1">
                  <c:v>265</c:v>
                </c:pt>
                <c:pt idx="2">
                  <c:v>226.8</c:v>
                </c:pt>
                <c:pt idx="3">
                  <c:v>215.7</c:v>
                </c:pt>
                <c:pt idx="4">
                  <c:v>226.8</c:v>
                </c:pt>
              </c:numCache>
            </c:numRef>
          </c:val>
          <c:smooth val="0"/>
        </c:ser>
        <c:dLbls>
          <c:showLegendKey val="0"/>
          <c:showVal val="0"/>
          <c:showCatName val="0"/>
          <c:showSerName val="0"/>
          <c:showPercent val="0"/>
          <c:showBubbleSize val="0"/>
        </c:dLbls>
        <c:marker val="1"/>
        <c:smooth val="0"/>
        <c:axId val="297791872"/>
        <c:axId val="297793408"/>
      </c:lineChart>
      <c:catAx>
        <c:axId val="297791872"/>
        <c:scaling>
          <c:orientation val="minMax"/>
        </c:scaling>
        <c:delete val="0"/>
        <c:axPos val="b"/>
        <c:numFmt formatCode="General" sourceLinked="1"/>
        <c:majorTickMark val="out"/>
        <c:minorTickMark val="none"/>
        <c:tickLblPos val="nextTo"/>
        <c:crossAx val="297793408"/>
        <c:crosses val="autoZero"/>
        <c:auto val="1"/>
        <c:lblAlgn val="ctr"/>
        <c:lblOffset val="100"/>
        <c:noMultiLvlLbl val="0"/>
      </c:catAx>
      <c:valAx>
        <c:axId val="297793408"/>
        <c:scaling>
          <c:orientation val="minMax"/>
        </c:scaling>
        <c:delete val="0"/>
        <c:axPos val="l"/>
        <c:majorGridlines>
          <c:spPr>
            <a:ln>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c:spPr>
        </c:majorGridlines>
        <c:numFmt formatCode="General" sourceLinked="1"/>
        <c:majorTickMark val="out"/>
        <c:minorTickMark val="none"/>
        <c:tickLblPos val="nextTo"/>
        <c:crossAx val="297791872"/>
        <c:crosses val="autoZero"/>
        <c:crossBetween val="between"/>
      </c:valAx>
    </c:plotArea>
    <c:legend>
      <c:legendPos val="r"/>
      <c:overlay val="0"/>
    </c:legend>
    <c:plotVisOnly val="1"/>
    <c:dispBlanksAs val="gap"/>
    <c:showDLblsOverMax val="0"/>
  </c:chart>
  <c:externalData r:id="rId2">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Foaie1!$B$1</c:f>
              <c:strCache>
                <c:ptCount val="1"/>
                <c:pt idx="0">
                  <c:v>Grad conect.serv.salubrit.total</c:v>
                </c:pt>
              </c:strCache>
            </c:strRef>
          </c:tx>
          <c:invertIfNegative val="0"/>
          <c:cat>
            <c:numRef>
              <c:f>Foaie1!$A$2:$A$6</c:f>
              <c:numCache>
                <c:formatCode>General</c:formatCode>
                <c:ptCount val="5"/>
                <c:pt idx="0">
                  <c:v>2010</c:v>
                </c:pt>
                <c:pt idx="1">
                  <c:v>2011</c:v>
                </c:pt>
                <c:pt idx="2">
                  <c:v>2012</c:v>
                </c:pt>
                <c:pt idx="3">
                  <c:v>2013</c:v>
                </c:pt>
                <c:pt idx="4">
                  <c:v>2014</c:v>
                </c:pt>
              </c:numCache>
            </c:numRef>
          </c:cat>
          <c:val>
            <c:numRef>
              <c:f>Foaie1!$B$2:$B$6</c:f>
              <c:numCache>
                <c:formatCode>General</c:formatCode>
                <c:ptCount val="5"/>
                <c:pt idx="0">
                  <c:v>23.85</c:v>
                </c:pt>
                <c:pt idx="1">
                  <c:v>26.55</c:v>
                </c:pt>
                <c:pt idx="2">
                  <c:v>27.66</c:v>
                </c:pt>
                <c:pt idx="3">
                  <c:v>38.909999999999997</c:v>
                </c:pt>
                <c:pt idx="4">
                  <c:v>39.880000000000003</c:v>
                </c:pt>
              </c:numCache>
            </c:numRef>
          </c:val>
        </c:ser>
        <c:ser>
          <c:idx val="1"/>
          <c:order val="1"/>
          <c:tx>
            <c:strRef>
              <c:f>Foaie1!$C$1</c:f>
              <c:strCache>
                <c:ptCount val="1"/>
                <c:pt idx="0">
                  <c:v>Urban</c:v>
                </c:pt>
              </c:strCache>
            </c:strRef>
          </c:tx>
          <c:invertIfNegative val="0"/>
          <c:cat>
            <c:numRef>
              <c:f>Foaie1!$A$2:$A$6</c:f>
              <c:numCache>
                <c:formatCode>General</c:formatCode>
                <c:ptCount val="5"/>
                <c:pt idx="0">
                  <c:v>2010</c:v>
                </c:pt>
                <c:pt idx="1">
                  <c:v>2011</c:v>
                </c:pt>
                <c:pt idx="2">
                  <c:v>2012</c:v>
                </c:pt>
                <c:pt idx="3">
                  <c:v>2013</c:v>
                </c:pt>
                <c:pt idx="4">
                  <c:v>2014</c:v>
                </c:pt>
              </c:numCache>
            </c:numRef>
          </c:cat>
          <c:val>
            <c:numRef>
              <c:f>Foaie1!$C$2:$C$6</c:f>
              <c:numCache>
                <c:formatCode>General</c:formatCode>
                <c:ptCount val="5"/>
                <c:pt idx="0">
                  <c:v>57.58</c:v>
                </c:pt>
                <c:pt idx="1">
                  <c:v>70.89</c:v>
                </c:pt>
                <c:pt idx="2">
                  <c:v>62.37</c:v>
                </c:pt>
                <c:pt idx="3">
                  <c:v>72.650000000000006</c:v>
                </c:pt>
                <c:pt idx="4">
                  <c:v>85.79</c:v>
                </c:pt>
              </c:numCache>
            </c:numRef>
          </c:val>
        </c:ser>
        <c:ser>
          <c:idx val="2"/>
          <c:order val="2"/>
          <c:tx>
            <c:strRef>
              <c:f>Foaie1!$D$1</c:f>
              <c:strCache>
                <c:ptCount val="1"/>
                <c:pt idx="0">
                  <c:v>Rural</c:v>
                </c:pt>
              </c:strCache>
            </c:strRef>
          </c:tx>
          <c:invertIfNegative val="0"/>
          <c:cat>
            <c:numRef>
              <c:f>Foaie1!$A$2:$A$6</c:f>
              <c:numCache>
                <c:formatCode>General</c:formatCode>
                <c:ptCount val="5"/>
                <c:pt idx="0">
                  <c:v>2010</c:v>
                </c:pt>
                <c:pt idx="1">
                  <c:v>2011</c:v>
                </c:pt>
                <c:pt idx="2">
                  <c:v>2012</c:v>
                </c:pt>
                <c:pt idx="3">
                  <c:v>2013</c:v>
                </c:pt>
                <c:pt idx="4">
                  <c:v>2014</c:v>
                </c:pt>
              </c:numCache>
            </c:numRef>
          </c:cat>
          <c:val>
            <c:numRef>
              <c:f>Foaie1!$D$2:$D$6</c:f>
              <c:numCache>
                <c:formatCode>General</c:formatCode>
                <c:ptCount val="5"/>
                <c:pt idx="0">
                  <c:v>7.8E-2</c:v>
                </c:pt>
                <c:pt idx="1">
                  <c:v>8.6800000000000002E-2</c:v>
                </c:pt>
                <c:pt idx="2">
                  <c:v>3.07</c:v>
                </c:pt>
                <c:pt idx="3">
                  <c:v>7.61</c:v>
                </c:pt>
                <c:pt idx="4">
                  <c:v>10.16</c:v>
                </c:pt>
              </c:numCache>
            </c:numRef>
          </c:val>
        </c:ser>
        <c:dLbls>
          <c:showLegendKey val="0"/>
          <c:showVal val="0"/>
          <c:showCatName val="0"/>
          <c:showSerName val="0"/>
          <c:showPercent val="0"/>
          <c:showBubbleSize val="0"/>
        </c:dLbls>
        <c:gapWidth val="150"/>
        <c:axId val="299085184"/>
        <c:axId val="299091072"/>
      </c:barChart>
      <c:catAx>
        <c:axId val="299085184"/>
        <c:scaling>
          <c:orientation val="minMax"/>
        </c:scaling>
        <c:delete val="0"/>
        <c:axPos val="b"/>
        <c:numFmt formatCode="General" sourceLinked="1"/>
        <c:majorTickMark val="out"/>
        <c:minorTickMark val="none"/>
        <c:tickLblPos val="nextTo"/>
        <c:crossAx val="299091072"/>
        <c:crosses val="autoZero"/>
        <c:auto val="1"/>
        <c:lblAlgn val="ctr"/>
        <c:lblOffset val="100"/>
        <c:noMultiLvlLbl val="0"/>
      </c:catAx>
      <c:valAx>
        <c:axId val="299091072"/>
        <c:scaling>
          <c:orientation val="minMax"/>
        </c:scaling>
        <c:delete val="0"/>
        <c:axPos val="l"/>
        <c:majorGridlines/>
        <c:numFmt formatCode="General" sourceLinked="1"/>
        <c:majorTickMark val="out"/>
        <c:minorTickMark val="none"/>
        <c:tickLblPos val="nextTo"/>
        <c:crossAx val="299085184"/>
        <c:crosses val="autoZero"/>
        <c:crossBetween val="between"/>
      </c:valAx>
    </c:plotArea>
    <c:legend>
      <c:legendPos val="r"/>
      <c:overlay val="0"/>
    </c:legend>
    <c:plotVisOnly val="1"/>
    <c:dispBlanksAs val="gap"/>
    <c:showDLblsOverMax val="0"/>
  </c:chart>
  <c:externalData r:id="rId2">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124567474048443E-2"/>
          <c:y val="0.10091743119265995"/>
          <c:w val="0.69204152249134965"/>
          <c:h val="0.7155963302752294"/>
        </c:manualLayout>
      </c:layout>
      <c:lineChart>
        <c:grouping val="standard"/>
        <c:varyColors val="0"/>
        <c:ser>
          <c:idx val="0"/>
          <c:order val="0"/>
          <c:tx>
            <c:strRef>
              <c:f>Sheet1!$A$2</c:f>
              <c:strCache>
                <c:ptCount val="1"/>
                <c:pt idx="0">
                  <c:v>PET</c:v>
                </c:pt>
              </c:strCache>
            </c:strRef>
          </c:tx>
          <c:spPr>
            <a:ln w="12713">
              <a:solidFill>
                <a:srgbClr val="000080"/>
              </a:solidFill>
              <a:prstDash val="solid"/>
            </a:ln>
          </c:spPr>
          <c:marker>
            <c:symbol val="diamond"/>
            <c:size val="5"/>
            <c:spPr>
              <a:solidFill>
                <a:srgbClr val="000080"/>
              </a:solidFill>
              <a:ln>
                <a:solidFill>
                  <a:srgbClr val="000080"/>
                </a:solidFill>
                <a:prstDash val="solid"/>
              </a:ln>
            </c:spPr>
          </c:marker>
          <c:cat>
            <c:numRef>
              <c:f>Sheet1!$B$1:$F$1</c:f>
              <c:numCache>
                <c:formatCode>General</c:formatCode>
                <c:ptCount val="5"/>
                <c:pt idx="0">
                  <c:v>2010</c:v>
                </c:pt>
                <c:pt idx="1">
                  <c:v>2011</c:v>
                </c:pt>
                <c:pt idx="2">
                  <c:v>2012</c:v>
                </c:pt>
                <c:pt idx="3">
                  <c:v>2013</c:v>
                </c:pt>
                <c:pt idx="4">
                  <c:v>2014</c:v>
                </c:pt>
              </c:numCache>
            </c:numRef>
          </c:cat>
          <c:val>
            <c:numRef>
              <c:f>Sheet1!$B$2:$F$2</c:f>
              <c:numCache>
                <c:formatCode>General</c:formatCode>
                <c:ptCount val="5"/>
                <c:pt idx="0">
                  <c:v>46.335000000000001</c:v>
                </c:pt>
                <c:pt idx="1">
                  <c:v>91.77</c:v>
                </c:pt>
                <c:pt idx="2">
                  <c:v>237.44499999999999</c:v>
                </c:pt>
                <c:pt idx="3">
                  <c:v>259.28800000000001</c:v>
                </c:pt>
                <c:pt idx="4">
                  <c:v>197.66200000000001</c:v>
                </c:pt>
              </c:numCache>
            </c:numRef>
          </c:val>
          <c:smooth val="0"/>
        </c:ser>
        <c:ser>
          <c:idx val="1"/>
          <c:order val="1"/>
          <c:tx>
            <c:strRef>
              <c:f>Sheet1!$A$3</c:f>
              <c:strCache>
                <c:ptCount val="1"/>
                <c:pt idx="0">
                  <c:v>Plastic</c:v>
                </c:pt>
              </c:strCache>
            </c:strRef>
          </c:tx>
          <c:spPr>
            <a:ln w="12713">
              <a:solidFill>
                <a:srgbClr val="FF00FF"/>
              </a:solidFill>
              <a:prstDash val="solid"/>
            </a:ln>
          </c:spPr>
          <c:marker>
            <c:symbol val="square"/>
            <c:size val="5"/>
            <c:spPr>
              <a:solidFill>
                <a:srgbClr val="FF00FF"/>
              </a:solidFill>
              <a:ln>
                <a:solidFill>
                  <a:srgbClr val="FF00FF"/>
                </a:solidFill>
                <a:prstDash val="solid"/>
              </a:ln>
            </c:spPr>
          </c:marker>
          <c:cat>
            <c:numRef>
              <c:f>Sheet1!$B$1:$F$1</c:f>
              <c:numCache>
                <c:formatCode>General</c:formatCode>
                <c:ptCount val="5"/>
                <c:pt idx="0">
                  <c:v>2010</c:v>
                </c:pt>
                <c:pt idx="1">
                  <c:v>2011</c:v>
                </c:pt>
                <c:pt idx="2">
                  <c:v>2012</c:v>
                </c:pt>
                <c:pt idx="3">
                  <c:v>2013</c:v>
                </c:pt>
                <c:pt idx="4">
                  <c:v>2014</c:v>
                </c:pt>
              </c:numCache>
            </c:numRef>
          </c:cat>
          <c:val>
            <c:numRef>
              <c:f>Sheet1!$B$3:$F$3</c:f>
              <c:numCache>
                <c:formatCode>General</c:formatCode>
                <c:ptCount val="5"/>
                <c:pt idx="0">
                  <c:v>7.548</c:v>
                </c:pt>
                <c:pt idx="1">
                  <c:v>11.352</c:v>
                </c:pt>
                <c:pt idx="2">
                  <c:v>47.45</c:v>
                </c:pt>
                <c:pt idx="3">
                  <c:v>10.23</c:v>
                </c:pt>
                <c:pt idx="4">
                  <c:v>16</c:v>
                </c:pt>
              </c:numCache>
            </c:numRef>
          </c:val>
          <c:smooth val="0"/>
        </c:ser>
        <c:ser>
          <c:idx val="2"/>
          <c:order val="2"/>
          <c:tx>
            <c:strRef>
              <c:f>Sheet1!$A$4</c:f>
              <c:strCache>
                <c:ptCount val="1"/>
                <c:pt idx="0">
                  <c:v>Hârtie/Carton</c:v>
                </c:pt>
              </c:strCache>
            </c:strRef>
          </c:tx>
          <c:spPr>
            <a:ln w="12713">
              <a:solidFill>
                <a:srgbClr val="FFFF00"/>
              </a:solidFill>
              <a:prstDash val="solid"/>
            </a:ln>
          </c:spPr>
          <c:marker>
            <c:symbol val="triangle"/>
            <c:size val="5"/>
            <c:spPr>
              <a:solidFill>
                <a:srgbClr val="FFFF00"/>
              </a:solidFill>
              <a:ln>
                <a:solidFill>
                  <a:srgbClr val="FFFF00"/>
                </a:solidFill>
                <a:prstDash val="solid"/>
              </a:ln>
            </c:spPr>
          </c:marker>
          <c:cat>
            <c:numRef>
              <c:f>Sheet1!$B$1:$F$1</c:f>
              <c:numCache>
                <c:formatCode>General</c:formatCode>
                <c:ptCount val="5"/>
                <c:pt idx="0">
                  <c:v>2010</c:v>
                </c:pt>
                <c:pt idx="1">
                  <c:v>2011</c:v>
                </c:pt>
                <c:pt idx="2">
                  <c:v>2012</c:v>
                </c:pt>
                <c:pt idx="3">
                  <c:v>2013</c:v>
                </c:pt>
                <c:pt idx="4">
                  <c:v>2014</c:v>
                </c:pt>
              </c:numCache>
            </c:numRef>
          </c:cat>
          <c:val>
            <c:numRef>
              <c:f>Sheet1!$B$4:$F$4</c:f>
              <c:numCache>
                <c:formatCode>General</c:formatCode>
                <c:ptCount val="5"/>
                <c:pt idx="0">
                  <c:v>116.114</c:v>
                </c:pt>
                <c:pt idx="1">
                  <c:v>301.255</c:v>
                </c:pt>
                <c:pt idx="2">
                  <c:v>488.59300000000002</c:v>
                </c:pt>
                <c:pt idx="3">
                  <c:v>345.56799999999998</c:v>
                </c:pt>
                <c:pt idx="4">
                  <c:v>315.279</c:v>
                </c:pt>
              </c:numCache>
            </c:numRef>
          </c:val>
          <c:smooth val="0"/>
        </c:ser>
        <c:ser>
          <c:idx val="3"/>
          <c:order val="3"/>
          <c:tx>
            <c:strRef>
              <c:f>Sheet1!$A$5</c:f>
              <c:strCache>
                <c:ptCount val="1"/>
                <c:pt idx="0">
                  <c:v>Sticlă</c:v>
                </c:pt>
              </c:strCache>
            </c:strRef>
          </c:tx>
          <c:spPr>
            <a:ln w="12713">
              <a:solidFill>
                <a:srgbClr val="00FFFF"/>
              </a:solidFill>
              <a:prstDash val="solid"/>
            </a:ln>
          </c:spPr>
          <c:marker>
            <c:symbol val="x"/>
            <c:size val="5"/>
            <c:spPr>
              <a:noFill/>
              <a:ln>
                <a:solidFill>
                  <a:srgbClr val="00FFFF"/>
                </a:solidFill>
                <a:prstDash val="solid"/>
              </a:ln>
            </c:spPr>
          </c:marker>
          <c:cat>
            <c:numRef>
              <c:f>Sheet1!$B$1:$F$1</c:f>
              <c:numCache>
                <c:formatCode>General</c:formatCode>
                <c:ptCount val="5"/>
                <c:pt idx="0">
                  <c:v>2010</c:v>
                </c:pt>
                <c:pt idx="1">
                  <c:v>2011</c:v>
                </c:pt>
                <c:pt idx="2">
                  <c:v>2012</c:v>
                </c:pt>
                <c:pt idx="3">
                  <c:v>2013</c:v>
                </c:pt>
                <c:pt idx="4">
                  <c:v>2014</c:v>
                </c:pt>
              </c:numCache>
            </c:numRef>
          </c:cat>
          <c:val>
            <c:numRef>
              <c:f>Sheet1!$B$5:$F$5</c:f>
              <c:numCache>
                <c:formatCode>General</c:formatCode>
                <c:ptCount val="5"/>
                <c:pt idx="0">
                  <c:v>5.4660000000000002</c:v>
                </c:pt>
                <c:pt idx="1">
                  <c:v>0.44600000000000001</c:v>
                </c:pt>
                <c:pt idx="2">
                  <c:v>13.2</c:v>
                </c:pt>
                <c:pt idx="3">
                  <c:v>25.805</c:v>
                </c:pt>
                <c:pt idx="4">
                  <c:v>46.5</c:v>
                </c:pt>
              </c:numCache>
            </c:numRef>
          </c:val>
          <c:smooth val="0"/>
        </c:ser>
        <c:ser>
          <c:idx val="4"/>
          <c:order val="4"/>
          <c:tx>
            <c:strRef>
              <c:f>Sheet1!$A$6</c:f>
              <c:strCache>
                <c:ptCount val="1"/>
                <c:pt idx="0">
                  <c:v>Metal</c:v>
                </c:pt>
              </c:strCache>
            </c:strRef>
          </c:tx>
          <c:spPr>
            <a:ln w="12713">
              <a:solidFill>
                <a:srgbClr val="800080"/>
              </a:solidFill>
              <a:prstDash val="solid"/>
            </a:ln>
          </c:spPr>
          <c:marker>
            <c:symbol val="star"/>
            <c:size val="5"/>
            <c:spPr>
              <a:noFill/>
              <a:ln>
                <a:solidFill>
                  <a:srgbClr val="800080"/>
                </a:solidFill>
                <a:prstDash val="solid"/>
              </a:ln>
            </c:spPr>
          </c:marker>
          <c:cat>
            <c:numRef>
              <c:f>Sheet1!$B$1:$F$1</c:f>
              <c:numCache>
                <c:formatCode>General</c:formatCode>
                <c:ptCount val="5"/>
                <c:pt idx="0">
                  <c:v>2010</c:v>
                </c:pt>
                <c:pt idx="1">
                  <c:v>2011</c:v>
                </c:pt>
                <c:pt idx="2">
                  <c:v>2012</c:v>
                </c:pt>
                <c:pt idx="3">
                  <c:v>2013</c:v>
                </c:pt>
                <c:pt idx="4">
                  <c:v>2014</c:v>
                </c:pt>
              </c:numCache>
            </c:numRef>
          </c:cat>
          <c:val>
            <c:numRef>
              <c:f>Sheet1!$B$6:$F$6</c:f>
              <c:numCache>
                <c:formatCode>General</c:formatCode>
                <c:ptCount val="5"/>
                <c:pt idx="0">
                  <c:v>0.13</c:v>
                </c:pt>
                <c:pt idx="1">
                  <c:v>6.0750000000000002</c:v>
                </c:pt>
                <c:pt idx="2">
                  <c:v>4.9450000000000003</c:v>
                </c:pt>
                <c:pt idx="3">
                  <c:v>12.77</c:v>
                </c:pt>
                <c:pt idx="4">
                  <c:v>30.66</c:v>
                </c:pt>
              </c:numCache>
            </c:numRef>
          </c:val>
          <c:smooth val="0"/>
        </c:ser>
        <c:ser>
          <c:idx val="5"/>
          <c:order val="5"/>
          <c:tx>
            <c:strRef>
              <c:f>Sheet1!$A$7</c:f>
              <c:strCache>
                <c:ptCount val="1"/>
                <c:pt idx="0">
                  <c:v>Lemn</c:v>
                </c:pt>
              </c:strCache>
            </c:strRef>
          </c:tx>
          <c:spPr>
            <a:ln w="12713">
              <a:solidFill>
                <a:srgbClr val="800000"/>
              </a:solidFill>
              <a:prstDash val="solid"/>
            </a:ln>
          </c:spPr>
          <c:marker>
            <c:symbol val="circle"/>
            <c:size val="5"/>
            <c:spPr>
              <a:solidFill>
                <a:srgbClr val="800000"/>
              </a:solidFill>
              <a:ln>
                <a:solidFill>
                  <a:srgbClr val="800000"/>
                </a:solidFill>
                <a:prstDash val="solid"/>
              </a:ln>
            </c:spPr>
          </c:marker>
          <c:cat>
            <c:numRef>
              <c:f>Sheet1!$B$1:$F$1</c:f>
              <c:numCache>
                <c:formatCode>General</c:formatCode>
                <c:ptCount val="5"/>
                <c:pt idx="0">
                  <c:v>2010</c:v>
                </c:pt>
                <c:pt idx="1">
                  <c:v>2011</c:v>
                </c:pt>
                <c:pt idx="2">
                  <c:v>2012</c:v>
                </c:pt>
                <c:pt idx="3">
                  <c:v>2013</c:v>
                </c:pt>
                <c:pt idx="4">
                  <c:v>2014</c:v>
                </c:pt>
              </c:numCache>
            </c:numRef>
          </c:cat>
          <c:val>
            <c:numRef>
              <c:f>Sheet1!$B$7:$F$7</c:f>
              <c:numCache>
                <c:formatCode>General</c:formatCode>
                <c:ptCount val="5"/>
                <c:pt idx="0">
                  <c:v>0</c:v>
                </c:pt>
                <c:pt idx="1">
                  <c:v>0</c:v>
                </c:pt>
                <c:pt idx="2">
                  <c:v>0</c:v>
                </c:pt>
                <c:pt idx="3">
                  <c:v>0</c:v>
                </c:pt>
                <c:pt idx="4">
                  <c:v>0</c:v>
                </c:pt>
              </c:numCache>
            </c:numRef>
          </c:val>
          <c:smooth val="0"/>
        </c:ser>
        <c:dLbls>
          <c:showLegendKey val="0"/>
          <c:showVal val="0"/>
          <c:showCatName val="0"/>
          <c:showSerName val="0"/>
          <c:showPercent val="0"/>
          <c:showBubbleSize val="0"/>
        </c:dLbls>
        <c:marker val="1"/>
        <c:smooth val="0"/>
        <c:axId val="298971520"/>
        <c:axId val="298973824"/>
      </c:lineChart>
      <c:catAx>
        <c:axId val="298971520"/>
        <c:scaling>
          <c:orientation val="minMax"/>
        </c:scaling>
        <c:delete val="0"/>
        <c:axPos val="b"/>
        <c:title>
          <c:tx>
            <c:rich>
              <a:bodyPr/>
              <a:lstStyle/>
              <a:p>
                <a:pPr>
                  <a:defRPr sz="851" b="1" i="0" u="none" strike="noStrike" baseline="0">
                    <a:solidFill>
                      <a:srgbClr val="000000"/>
                    </a:solidFill>
                    <a:latin typeface="Arial"/>
                    <a:ea typeface="Arial"/>
                    <a:cs typeface="Arial"/>
                  </a:defRPr>
                </a:pPr>
                <a:r>
                  <a:rPr lang="en-US"/>
                  <a:t>anul</a:t>
                </a:r>
              </a:p>
            </c:rich>
          </c:tx>
          <c:layout>
            <c:manualLayout>
              <c:xMode val="edge"/>
              <c:yMode val="edge"/>
              <c:x val="0.80103806228373764"/>
              <c:y val="0.80733944954128445"/>
            </c:manualLayout>
          </c:layout>
          <c:overlay val="0"/>
          <c:spPr>
            <a:noFill/>
            <a:ln w="25426">
              <a:noFill/>
            </a:ln>
          </c:spPr>
        </c:title>
        <c:numFmt formatCode="General" sourceLinked="1"/>
        <c:majorTickMark val="out"/>
        <c:minorTickMark val="none"/>
        <c:tickLblPos val="nextTo"/>
        <c:spPr>
          <a:ln w="3178">
            <a:solidFill>
              <a:srgbClr val="000000"/>
            </a:solidFill>
            <a:prstDash val="solid"/>
          </a:ln>
        </c:spPr>
        <c:txPr>
          <a:bodyPr rot="0" vert="horz"/>
          <a:lstStyle/>
          <a:p>
            <a:pPr>
              <a:defRPr sz="951" b="1" i="0" u="none" strike="noStrike" baseline="0">
                <a:solidFill>
                  <a:srgbClr val="000000"/>
                </a:solidFill>
                <a:latin typeface="Arial"/>
                <a:ea typeface="Arial"/>
                <a:cs typeface="Arial"/>
              </a:defRPr>
            </a:pPr>
            <a:endParaRPr lang="en-US"/>
          </a:p>
        </c:txPr>
        <c:crossAx val="298973824"/>
        <c:crosses val="autoZero"/>
        <c:auto val="1"/>
        <c:lblAlgn val="ctr"/>
        <c:lblOffset val="100"/>
        <c:tickLblSkip val="1"/>
        <c:tickMarkSkip val="1"/>
        <c:noMultiLvlLbl val="0"/>
      </c:catAx>
      <c:valAx>
        <c:axId val="298973824"/>
        <c:scaling>
          <c:orientation val="minMax"/>
        </c:scaling>
        <c:delete val="0"/>
        <c:axPos val="l"/>
        <c:majorGridlines>
          <c:spPr>
            <a:ln w="3178">
              <a:solidFill>
                <a:srgbClr val="000000"/>
              </a:solidFill>
              <a:prstDash val="solid"/>
            </a:ln>
          </c:spPr>
        </c:majorGridlines>
        <c:title>
          <c:tx>
            <c:rich>
              <a:bodyPr rot="0" vert="horz"/>
              <a:lstStyle/>
              <a:p>
                <a:pPr algn="ctr">
                  <a:defRPr sz="851" b="1" i="0" u="none" strike="noStrike" baseline="0">
                    <a:solidFill>
                      <a:srgbClr val="000000"/>
                    </a:solidFill>
                    <a:latin typeface="Arial"/>
                    <a:ea typeface="Arial"/>
                    <a:cs typeface="Arial"/>
                  </a:defRPr>
                </a:pPr>
                <a:r>
                  <a:rPr lang="en-US"/>
                  <a:t>tone</a:t>
                </a:r>
              </a:p>
            </c:rich>
          </c:tx>
          <c:layout>
            <c:manualLayout>
              <c:xMode val="edge"/>
              <c:yMode val="edge"/>
              <c:x val="4.3252595155709339E-2"/>
              <c:y val="0"/>
            </c:manualLayout>
          </c:layout>
          <c:overlay val="0"/>
          <c:spPr>
            <a:noFill/>
            <a:ln w="25426">
              <a:noFill/>
            </a:ln>
          </c:spPr>
        </c:title>
        <c:numFmt formatCode="General" sourceLinked="1"/>
        <c:majorTickMark val="out"/>
        <c:minorTickMark val="none"/>
        <c:tickLblPos val="nextTo"/>
        <c:spPr>
          <a:ln w="3178">
            <a:solidFill>
              <a:srgbClr val="000000"/>
            </a:solidFill>
            <a:prstDash val="solid"/>
          </a:ln>
        </c:spPr>
        <c:txPr>
          <a:bodyPr rot="0" vert="horz"/>
          <a:lstStyle/>
          <a:p>
            <a:pPr>
              <a:defRPr sz="951" b="1" i="0" u="none" strike="noStrike" baseline="0">
                <a:solidFill>
                  <a:srgbClr val="000000"/>
                </a:solidFill>
                <a:latin typeface="Arial"/>
                <a:ea typeface="Arial"/>
                <a:cs typeface="Arial"/>
              </a:defRPr>
            </a:pPr>
            <a:endParaRPr lang="en-US"/>
          </a:p>
        </c:txPr>
        <c:crossAx val="298971520"/>
        <c:crosses val="autoZero"/>
        <c:crossBetween val="midCat"/>
      </c:valAx>
      <c:spPr>
        <a:noFill/>
        <a:ln w="12713">
          <a:solidFill>
            <a:srgbClr val="808080"/>
          </a:solidFill>
          <a:prstDash val="solid"/>
        </a:ln>
      </c:spPr>
    </c:plotArea>
    <c:legend>
      <c:legendPos val="r"/>
      <c:layout>
        <c:manualLayout>
          <c:xMode val="edge"/>
          <c:yMode val="edge"/>
          <c:x val="0.78027681660900983"/>
          <c:y val="0.16513761467889887"/>
          <c:w val="0.21280276816608998"/>
          <c:h val="0.58256880733944949"/>
        </c:manualLayout>
      </c:layout>
      <c:overlay val="0"/>
      <c:spPr>
        <a:noFill/>
        <a:ln w="3178">
          <a:solidFill>
            <a:srgbClr val="000000"/>
          </a:solidFill>
          <a:prstDash val="solid"/>
        </a:ln>
      </c:spPr>
      <c:txPr>
        <a:bodyPr/>
        <a:lstStyle/>
        <a:p>
          <a:pPr>
            <a:defRPr sz="871" b="1" i="0" u="none" strike="noStrike" baseline="0">
              <a:solidFill>
                <a:srgbClr val="000000"/>
              </a:solidFill>
              <a:latin typeface="Arial"/>
              <a:ea typeface="Arial"/>
              <a:cs typeface="Arial"/>
            </a:defRPr>
          </a:pPr>
          <a:endParaRPr lang="en-US"/>
        </a:p>
      </c:txPr>
    </c:legend>
    <c:plotVisOnly val="1"/>
    <c:dispBlanksAs val="gap"/>
    <c:showDLblsOverMax val="0"/>
  </c:chart>
  <c:spPr>
    <a:noFill/>
    <a:ln w="6350" cap="flat" cmpd="sng" algn="ctr">
      <a:solidFill>
        <a:srgbClr val="000000"/>
      </a:solidFill>
      <a:prstDash val="solid"/>
      <a:miter lim="800000"/>
      <a:headEnd type="none" w="med" len="med"/>
      <a:tailEnd type="none" w="med" len="med"/>
    </a:ln>
  </c:spPr>
  <c:txPr>
    <a:bodyPr/>
    <a:lstStyle/>
    <a:p>
      <a:pPr>
        <a:defRPr sz="951" b="1" i="0" u="none" strike="noStrike" baseline="0">
          <a:solidFill>
            <a:srgbClr val="000000"/>
          </a:solidFill>
          <a:latin typeface="Arial"/>
          <a:ea typeface="Arial"/>
          <a:cs typeface="Arial"/>
        </a:defRPr>
      </a:pPr>
      <a:endParaRPr lang="en-US"/>
    </a:p>
  </c:txPr>
  <c:externalData r:id="rId2">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Foaie1!$B$1</c:f>
              <c:strCache>
                <c:ptCount val="1"/>
                <c:pt idx="0">
                  <c:v>Cantitatea de deseuri de hartie si carton</c:v>
                </c:pt>
              </c:strCache>
            </c:strRef>
          </c:tx>
          <c:invertIfNegative val="0"/>
          <c:cat>
            <c:numRef>
              <c:f>Foaie1!$A$2:$A$6</c:f>
              <c:numCache>
                <c:formatCode>General</c:formatCode>
                <c:ptCount val="5"/>
                <c:pt idx="0">
                  <c:v>2008</c:v>
                </c:pt>
                <c:pt idx="1">
                  <c:v>2009</c:v>
                </c:pt>
                <c:pt idx="2">
                  <c:v>2010</c:v>
                </c:pt>
                <c:pt idx="3">
                  <c:v>2011</c:v>
                </c:pt>
                <c:pt idx="4">
                  <c:v>2012</c:v>
                </c:pt>
              </c:numCache>
            </c:numRef>
          </c:cat>
          <c:val>
            <c:numRef>
              <c:f>Foaie1!$B$2:$B$6</c:f>
              <c:numCache>
                <c:formatCode>General</c:formatCode>
                <c:ptCount val="5"/>
              </c:numCache>
            </c:numRef>
          </c:val>
        </c:ser>
        <c:ser>
          <c:idx val="1"/>
          <c:order val="1"/>
          <c:tx>
            <c:strRef>
              <c:f>Foaie1!$C$1</c:f>
              <c:strCache>
                <c:ptCount val="1"/>
                <c:pt idx="0">
                  <c:v>colectat</c:v>
                </c:pt>
              </c:strCache>
            </c:strRef>
          </c:tx>
          <c:invertIfNegative val="0"/>
          <c:cat>
            <c:numRef>
              <c:f>Foaie1!$A$2:$A$6</c:f>
              <c:numCache>
                <c:formatCode>General</c:formatCode>
                <c:ptCount val="5"/>
                <c:pt idx="0">
                  <c:v>2008</c:v>
                </c:pt>
                <c:pt idx="1">
                  <c:v>2009</c:v>
                </c:pt>
                <c:pt idx="2">
                  <c:v>2010</c:v>
                </c:pt>
                <c:pt idx="3">
                  <c:v>2011</c:v>
                </c:pt>
                <c:pt idx="4">
                  <c:v>2012</c:v>
                </c:pt>
              </c:numCache>
            </c:numRef>
          </c:cat>
          <c:val>
            <c:numRef>
              <c:f>Foaie1!$C$2:$C$6</c:f>
              <c:numCache>
                <c:formatCode>General</c:formatCode>
                <c:ptCount val="5"/>
                <c:pt idx="0">
                  <c:v>2069</c:v>
                </c:pt>
                <c:pt idx="1">
                  <c:v>548</c:v>
                </c:pt>
                <c:pt idx="2">
                  <c:v>960</c:v>
                </c:pt>
                <c:pt idx="3">
                  <c:v>1220</c:v>
                </c:pt>
                <c:pt idx="4">
                  <c:v>1374</c:v>
                </c:pt>
              </c:numCache>
            </c:numRef>
          </c:val>
        </c:ser>
        <c:ser>
          <c:idx val="2"/>
          <c:order val="2"/>
          <c:tx>
            <c:strRef>
              <c:f>Foaie1!$D$1</c:f>
              <c:strCache>
                <c:ptCount val="1"/>
                <c:pt idx="0">
                  <c:v>valorificat</c:v>
                </c:pt>
              </c:strCache>
            </c:strRef>
          </c:tx>
          <c:invertIfNegative val="0"/>
          <c:cat>
            <c:numRef>
              <c:f>Foaie1!$A$2:$A$6</c:f>
              <c:numCache>
                <c:formatCode>General</c:formatCode>
                <c:ptCount val="5"/>
                <c:pt idx="0">
                  <c:v>2008</c:v>
                </c:pt>
                <c:pt idx="1">
                  <c:v>2009</c:v>
                </c:pt>
                <c:pt idx="2">
                  <c:v>2010</c:v>
                </c:pt>
                <c:pt idx="3">
                  <c:v>2011</c:v>
                </c:pt>
                <c:pt idx="4">
                  <c:v>2012</c:v>
                </c:pt>
              </c:numCache>
            </c:numRef>
          </c:cat>
          <c:val>
            <c:numRef>
              <c:f>Foaie1!$D$2:$D$6</c:f>
              <c:numCache>
                <c:formatCode>General</c:formatCode>
                <c:ptCount val="5"/>
                <c:pt idx="0">
                  <c:v>1982</c:v>
                </c:pt>
                <c:pt idx="1">
                  <c:v>612</c:v>
                </c:pt>
                <c:pt idx="2">
                  <c:v>928</c:v>
                </c:pt>
                <c:pt idx="3">
                  <c:v>1149</c:v>
                </c:pt>
                <c:pt idx="4">
                  <c:v>1453</c:v>
                </c:pt>
              </c:numCache>
            </c:numRef>
          </c:val>
        </c:ser>
        <c:ser>
          <c:idx val="3"/>
          <c:order val="3"/>
          <c:tx>
            <c:strRef>
              <c:f>Foaie1!$E$1</c:f>
              <c:strCache>
                <c:ptCount val="1"/>
                <c:pt idx="0">
                  <c:v>Cantitatea de deseuri de materiale plastice</c:v>
                </c:pt>
              </c:strCache>
            </c:strRef>
          </c:tx>
          <c:invertIfNegative val="0"/>
          <c:cat>
            <c:numRef>
              <c:f>Foaie1!$A$2:$A$6</c:f>
              <c:numCache>
                <c:formatCode>General</c:formatCode>
                <c:ptCount val="5"/>
                <c:pt idx="0">
                  <c:v>2008</c:v>
                </c:pt>
                <c:pt idx="1">
                  <c:v>2009</c:v>
                </c:pt>
                <c:pt idx="2">
                  <c:v>2010</c:v>
                </c:pt>
                <c:pt idx="3">
                  <c:v>2011</c:v>
                </c:pt>
                <c:pt idx="4">
                  <c:v>2012</c:v>
                </c:pt>
              </c:numCache>
            </c:numRef>
          </c:cat>
          <c:val>
            <c:numRef>
              <c:f>Foaie1!$E$2:$E$6</c:f>
              <c:numCache>
                <c:formatCode>General</c:formatCode>
                <c:ptCount val="5"/>
              </c:numCache>
            </c:numRef>
          </c:val>
        </c:ser>
        <c:ser>
          <c:idx val="4"/>
          <c:order val="4"/>
          <c:tx>
            <c:strRef>
              <c:f>Foaie1!$F$1</c:f>
              <c:strCache>
                <c:ptCount val="1"/>
                <c:pt idx="0">
                  <c:v>  colectat</c:v>
                </c:pt>
              </c:strCache>
            </c:strRef>
          </c:tx>
          <c:invertIfNegative val="0"/>
          <c:cat>
            <c:numRef>
              <c:f>Foaie1!$A$2:$A$6</c:f>
              <c:numCache>
                <c:formatCode>General</c:formatCode>
                <c:ptCount val="5"/>
                <c:pt idx="0">
                  <c:v>2008</c:v>
                </c:pt>
                <c:pt idx="1">
                  <c:v>2009</c:v>
                </c:pt>
                <c:pt idx="2">
                  <c:v>2010</c:v>
                </c:pt>
                <c:pt idx="3">
                  <c:v>2011</c:v>
                </c:pt>
                <c:pt idx="4">
                  <c:v>2012</c:v>
                </c:pt>
              </c:numCache>
            </c:numRef>
          </c:cat>
          <c:val>
            <c:numRef>
              <c:f>Foaie1!$F$2:$F$6</c:f>
              <c:numCache>
                <c:formatCode>General</c:formatCode>
                <c:ptCount val="5"/>
                <c:pt idx="0">
                  <c:v>328</c:v>
                </c:pt>
                <c:pt idx="1">
                  <c:v>272</c:v>
                </c:pt>
                <c:pt idx="2">
                  <c:v>185</c:v>
                </c:pt>
                <c:pt idx="3">
                  <c:v>385</c:v>
                </c:pt>
                <c:pt idx="4">
                  <c:v>498</c:v>
                </c:pt>
              </c:numCache>
            </c:numRef>
          </c:val>
        </c:ser>
        <c:ser>
          <c:idx val="5"/>
          <c:order val="5"/>
          <c:tx>
            <c:strRef>
              <c:f>Foaie1!$G$1</c:f>
              <c:strCache>
                <c:ptCount val="1"/>
                <c:pt idx="0">
                  <c:v>   valorificat</c:v>
                </c:pt>
              </c:strCache>
            </c:strRef>
          </c:tx>
          <c:invertIfNegative val="0"/>
          <c:cat>
            <c:numRef>
              <c:f>Foaie1!$A$2:$A$6</c:f>
              <c:numCache>
                <c:formatCode>General</c:formatCode>
                <c:ptCount val="5"/>
                <c:pt idx="0">
                  <c:v>2008</c:v>
                </c:pt>
                <c:pt idx="1">
                  <c:v>2009</c:v>
                </c:pt>
                <c:pt idx="2">
                  <c:v>2010</c:v>
                </c:pt>
                <c:pt idx="3">
                  <c:v>2011</c:v>
                </c:pt>
                <c:pt idx="4">
                  <c:v>2012</c:v>
                </c:pt>
              </c:numCache>
            </c:numRef>
          </c:cat>
          <c:val>
            <c:numRef>
              <c:f>Foaie1!$G$2:$G$6</c:f>
              <c:numCache>
                <c:formatCode>General</c:formatCode>
                <c:ptCount val="5"/>
                <c:pt idx="0">
                  <c:v>326</c:v>
                </c:pt>
                <c:pt idx="1">
                  <c:v>226</c:v>
                </c:pt>
                <c:pt idx="2">
                  <c:v>178</c:v>
                </c:pt>
                <c:pt idx="3">
                  <c:v>268</c:v>
                </c:pt>
                <c:pt idx="4">
                  <c:v>436</c:v>
                </c:pt>
              </c:numCache>
            </c:numRef>
          </c:val>
        </c:ser>
        <c:dLbls>
          <c:showLegendKey val="0"/>
          <c:showVal val="0"/>
          <c:showCatName val="0"/>
          <c:showSerName val="0"/>
          <c:showPercent val="0"/>
          <c:showBubbleSize val="0"/>
        </c:dLbls>
        <c:gapWidth val="150"/>
        <c:axId val="299354752"/>
        <c:axId val="299360640"/>
      </c:barChart>
      <c:catAx>
        <c:axId val="299354752"/>
        <c:scaling>
          <c:orientation val="minMax"/>
        </c:scaling>
        <c:delete val="0"/>
        <c:axPos val="b"/>
        <c:numFmt formatCode="General" sourceLinked="1"/>
        <c:majorTickMark val="out"/>
        <c:minorTickMark val="none"/>
        <c:tickLblPos val="nextTo"/>
        <c:crossAx val="299360640"/>
        <c:crosses val="autoZero"/>
        <c:auto val="1"/>
        <c:lblAlgn val="ctr"/>
        <c:lblOffset val="100"/>
        <c:noMultiLvlLbl val="0"/>
      </c:catAx>
      <c:valAx>
        <c:axId val="299360640"/>
        <c:scaling>
          <c:orientation val="minMax"/>
        </c:scaling>
        <c:delete val="0"/>
        <c:axPos val="l"/>
        <c:majorGridlines/>
        <c:numFmt formatCode="General" sourceLinked="1"/>
        <c:majorTickMark val="out"/>
        <c:minorTickMark val="none"/>
        <c:tickLblPos val="nextTo"/>
        <c:crossAx val="299354752"/>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272B90-D354-40C5-9593-D0E67F7CB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992</TotalTime>
  <Pages>170</Pages>
  <Words>47894</Words>
  <Characters>273000</Characters>
  <Application>Microsoft Office Word</Application>
  <DocSecurity>0</DocSecurity>
  <Lines>2275</Lines>
  <Paragraphs>640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mihaela.burlacu</dc:creator>
  <cp:keywords/>
  <dc:description/>
  <cp:lastModifiedBy>Irina Birsa</cp:lastModifiedBy>
  <cp:revision>63</cp:revision>
  <cp:lastPrinted>2015-08-04T05:46:00Z</cp:lastPrinted>
  <dcterms:created xsi:type="dcterms:W3CDTF">2015-08-04T05:11:00Z</dcterms:created>
  <dcterms:modified xsi:type="dcterms:W3CDTF">2017-01-18T07:42:00Z</dcterms:modified>
</cp:coreProperties>
</file>