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E" w:rsidRDefault="00105B86" w:rsidP="00BD4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BD4822" w:rsidRPr="00BD4822" w:rsidRDefault="00BD4822" w:rsidP="006B0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050B" w:rsidRPr="0002158C" w:rsidRDefault="009E050B" w:rsidP="006B0CF8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050B" w:rsidRPr="0002158C" w:rsidRDefault="00105B86" w:rsidP="006B0CF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>
        <w:rPr>
          <w:rFonts w:ascii="Times New Roman" w:hAnsi="Times New Roman"/>
          <w:i w:val="0"/>
          <w:sz w:val="26"/>
          <w:szCs w:val="26"/>
          <w:lang w:val="ro-RO"/>
        </w:rPr>
        <w:t>Nr. -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  <w:r w:rsidR="009E050B"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>
        <w:rPr>
          <w:rFonts w:ascii="Times New Roman" w:hAnsi="Times New Roman"/>
          <w:i w:val="0"/>
          <w:sz w:val="26"/>
          <w:szCs w:val="26"/>
          <w:lang w:val="ro-RO"/>
        </w:rPr>
        <w:t>12.06</w:t>
      </w:r>
      <w:r w:rsidR="002248CD"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9E050B" w:rsidRPr="00BD4822" w:rsidRDefault="009E050B" w:rsidP="00BD482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E050B" w:rsidRPr="0051648E" w:rsidRDefault="002248CD" w:rsidP="00E071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4B3A9C">
        <w:rPr>
          <w:rFonts w:ascii="Times New Roman" w:hAnsi="Times New Roman"/>
          <w:b/>
          <w:sz w:val="24"/>
          <w:szCs w:val="24"/>
          <w:lang w:val="ro-RO"/>
        </w:rPr>
        <w:t xml:space="preserve"> COMUNA EPURENI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</w:t>
      </w:r>
      <w:r w:rsidR="004B3A9C">
        <w:rPr>
          <w:rFonts w:ascii="Times New Roman" w:hAnsi="Times New Roman"/>
          <w:sz w:val="24"/>
          <w:szCs w:val="24"/>
          <w:lang w:val="ro-RO"/>
        </w:rPr>
        <w:t xml:space="preserve"> satul Epureni, comuna Epureni</w:t>
      </w:r>
      <w:r w:rsidR="005A359C">
        <w:rPr>
          <w:rFonts w:ascii="Times New Roman" w:hAnsi="Times New Roman"/>
          <w:sz w:val="24"/>
          <w:szCs w:val="24"/>
          <w:lang w:val="ro-RO"/>
        </w:rPr>
        <w:t>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A359C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5A359C">
        <w:rPr>
          <w:rStyle w:val="tpa1"/>
          <w:rFonts w:ascii="Times New Roman" w:hAnsi="Times New Roman"/>
          <w:sz w:val="24"/>
          <w:szCs w:val="24"/>
        </w:rPr>
        <w:t xml:space="preserve"> Vaslui</w:t>
      </w:r>
      <w:r w:rsidRPr="0051648E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51648E">
        <w:rPr>
          <w:rFonts w:ascii="Times New Roman" w:hAnsi="Times New Roman"/>
          <w:sz w:val="24"/>
          <w:szCs w:val="24"/>
          <w:lang w:val="ro-RO"/>
        </w:rPr>
        <w:t>înregistrată la APM Vaslui cu nr.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3A9C">
        <w:rPr>
          <w:rFonts w:ascii="Times New Roman" w:hAnsi="Times New Roman"/>
          <w:sz w:val="24"/>
          <w:szCs w:val="24"/>
          <w:lang w:val="ro-RO"/>
        </w:rPr>
        <w:t>4994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4B3A9C">
        <w:rPr>
          <w:rFonts w:ascii="Times New Roman" w:hAnsi="Times New Roman"/>
          <w:sz w:val="24"/>
          <w:szCs w:val="24"/>
          <w:lang w:val="ro-RO"/>
        </w:rPr>
        <w:t>19.07</w:t>
      </w:r>
      <w:r w:rsidRPr="0051648E">
        <w:rPr>
          <w:rFonts w:ascii="Times New Roman" w:hAnsi="Times New Roman"/>
          <w:sz w:val="24"/>
          <w:szCs w:val="24"/>
          <w:lang w:val="ro-RO"/>
        </w:rPr>
        <w:t>.201</w:t>
      </w:r>
      <w:r w:rsidR="004B3A9C">
        <w:rPr>
          <w:rFonts w:ascii="Times New Roman" w:hAnsi="Times New Roman"/>
          <w:sz w:val="24"/>
          <w:szCs w:val="24"/>
          <w:lang w:val="ro-RO"/>
        </w:rPr>
        <w:t>8</w:t>
      </w:r>
      <w:r w:rsidR="009E050B"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2248CD" w:rsidRPr="0051648E" w:rsidRDefault="009E050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autoritatea competentă pentru protecţia mediului APM Vaslui decide, ca urmare a consultărilor desfăşurate în cadrul şedinţe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51648E">
        <w:rPr>
          <w:rFonts w:ascii="Times New Roman" w:hAnsi="Times New Roman"/>
          <w:sz w:val="24"/>
          <w:szCs w:val="24"/>
          <w:lang w:val="ro-RO"/>
        </w:rPr>
        <w:t>Comisiei de Analiză Tehnică din data de</w:t>
      </w:r>
      <w:r w:rsidR="004B3A9C">
        <w:rPr>
          <w:rFonts w:ascii="Times New Roman" w:hAnsi="Times New Roman"/>
          <w:sz w:val="24"/>
          <w:szCs w:val="24"/>
          <w:lang w:val="ro-RO"/>
        </w:rPr>
        <w:t xml:space="preserve"> 11.06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2248CD" w:rsidRPr="0051648E">
        <w:rPr>
          <w:rFonts w:ascii="Times New Roman" w:hAnsi="Times New Roman"/>
          <w:b/>
          <w:sz w:val="24"/>
          <w:szCs w:val="24"/>
        </w:rPr>
        <w:t>“</w:t>
      </w:r>
      <w:r w:rsidR="004B3A9C">
        <w:rPr>
          <w:rFonts w:ascii="Times New Roman" w:hAnsi="Times New Roman"/>
          <w:b/>
          <w:i/>
          <w:sz w:val="24"/>
          <w:szCs w:val="24"/>
          <w:lang w:val="ro-RO"/>
        </w:rPr>
        <w:t>Construire Centru de zi de asistenta si recuperare</w:t>
      </w:r>
      <w:r w:rsidR="005A359C" w:rsidRPr="00566F8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5A359C" w:rsidRPr="00566F8F">
        <w:rPr>
          <w:rFonts w:ascii="Times New Roman" w:hAnsi="Times New Roman"/>
          <w:sz w:val="24"/>
          <w:szCs w:val="24"/>
          <w:lang w:val="ro-RO"/>
        </w:rPr>
        <w:t xml:space="preserve"> propus a fi amplasat în intravi</w:t>
      </w:r>
      <w:r w:rsidR="004B3A9C">
        <w:rPr>
          <w:rFonts w:ascii="Times New Roman" w:hAnsi="Times New Roman"/>
          <w:sz w:val="24"/>
          <w:szCs w:val="24"/>
          <w:lang w:val="ro-RO"/>
        </w:rPr>
        <w:t>lanul satului Epureni, comuna Epureni</w:t>
      </w:r>
      <w:r w:rsidR="005A359C" w:rsidRPr="000D386B">
        <w:rPr>
          <w:rFonts w:ascii="Times New Roman" w:hAnsi="Times New Roman"/>
          <w:sz w:val="28"/>
          <w:szCs w:val="28"/>
          <w:lang w:val="ro-RO"/>
        </w:rPr>
        <w:t>, județul Vaslui</w:t>
      </w:r>
    </w:p>
    <w:p w:rsidR="002248CD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9E050B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="009E050B"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9E050B"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Justificarea prezentei decizii:</w:t>
      </w: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mediului sunt următoarele:</w:t>
      </w:r>
    </w:p>
    <w:p w:rsidR="009D71B7" w:rsidRPr="004B3A9C" w:rsidRDefault="00C27F29" w:rsidP="004B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Bodytext4NotItalic"/>
          <w:rFonts w:eastAsia="Calibri"/>
          <w:sz w:val="24"/>
          <w:szCs w:val="24"/>
        </w:rPr>
        <w:t>a)</w:t>
      </w:r>
      <w:r w:rsidR="009D71B7" w:rsidRPr="004B3A9C">
        <w:rPr>
          <w:rStyle w:val="Bodytext4NotItalic"/>
          <w:rFonts w:eastAsia="Calibri"/>
          <w:sz w:val="24"/>
          <w:szCs w:val="24"/>
        </w:rPr>
        <w:t>proiectul se încadrează în prevederile Legii nr. 292/2018 privind evaluarea impactului anumitor proiecte publice şi private asu</w:t>
      </w:r>
      <w:r w:rsidR="004B3A9C" w:rsidRPr="004B3A9C">
        <w:rPr>
          <w:rStyle w:val="Bodytext4NotItalic"/>
          <w:rFonts w:eastAsia="Calibri"/>
          <w:sz w:val="24"/>
          <w:szCs w:val="24"/>
        </w:rPr>
        <w:t>pra mediului, anexa nr.2, pct.l0.b</w:t>
      </w:r>
      <w:r w:rsidR="009D71B7" w:rsidRPr="004B3A9C">
        <w:rPr>
          <w:rStyle w:val="Bodytext4NotItalic"/>
          <w:rFonts w:eastAsia="Calibri"/>
          <w:sz w:val="24"/>
          <w:szCs w:val="24"/>
        </w:rPr>
        <w:t xml:space="preserve"> </w:t>
      </w:r>
      <w:r w:rsidR="009D71B7" w:rsidRPr="004B3A9C">
        <w:rPr>
          <w:rStyle w:val="Bodytext2115pt"/>
          <w:rFonts w:eastAsia="Calibri"/>
          <w:sz w:val="24"/>
          <w:szCs w:val="24"/>
        </w:rPr>
        <w:t xml:space="preserve">- </w:t>
      </w:r>
      <w:r w:rsidR="00CB6F3A" w:rsidRPr="004B3A9C">
        <w:rPr>
          <w:rStyle w:val="Bodytext2115pt"/>
          <w:rFonts w:eastAsia="Calibri"/>
          <w:sz w:val="24"/>
          <w:szCs w:val="24"/>
        </w:rPr>
        <w:t>"</w:t>
      </w:r>
      <w:r w:rsidR="004B3A9C" w:rsidRPr="004B3A9C">
        <w:rPr>
          <w:rFonts w:ascii="Times New Roman" w:hAnsi="Times New Roman"/>
          <w:i/>
          <w:sz w:val="24"/>
          <w:szCs w:val="24"/>
          <w:lang w:val="ro-RO"/>
        </w:rPr>
        <w:t>proiecte de dezvoltare urbană, inclusiv construcţia centrelor comerciale şi a parcărilor auto publice</w:t>
      </w:r>
      <w:r w:rsidR="004B3A9C" w:rsidRPr="004B3A9C">
        <w:rPr>
          <w:rFonts w:ascii="Times New Roman" w:hAnsi="Times New Roman"/>
          <w:sz w:val="24"/>
          <w:szCs w:val="24"/>
          <w:lang w:val="ro-RO"/>
        </w:rPr>
        <w:t>;</w:t>
      </w:r>
    </w:p>
    <w:p w:rsidR="004F1969" w:rsidRPr="00610FE6" w:rsidRDefault="00C27F29" w:rsidP="00C27F29">
      <w:pPr>
        <w:pStyle w:val="Bodytext20"/>
        <w:shd w:val="clear" w:color="auto" w:fill="auto"/>
        <w:tabs>
          <w:tab w:val="left" w:pos="59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b)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prin aplicarea criteriilor din Anexa 3 la Legea 292/2018, s-au constatat următoarele:</w:t>
      </w:r>
    </w:p>
    <w:p w:rsidR="009D71B7" w:rsidRPr="00610FE6" w:rsidRDefault="009D71B7" w:rsidP="00E071D9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D4822" w:rsidRPr="00566F8F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dimensiunea şi concepţia întregului proiect </w:t>
      </w:r>
    </w:p>
    <w:p w:rsidR="00C27F29" w:rsidRPr="00C27F29" w:rsidRDefault="00C27F29" w:rsidP="00C27F29">
      <w:pPr>
        <w:spacing w:after="0"/>
        <w:ind w:right="-23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C27F29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proiect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propune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construirea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unui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centru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zi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asistenta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recuperare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in care se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desfasura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activitati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ingrijire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consiliere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persoanele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27F29">
        <w:rPr>
          <w:rFonts w:ascii="Times New Roman" w:hAnsi="Times New Roman"/>
          <w:sz w:val="24"/>
          <w:szCs w:val="24"/>
          <w:lang w:val="en-GB"/>
        </w:rPr>
        <w:t>varstnice</w:t>
      </w:r>
      <w:proofErr w:type="spellEnd"/>
      <w:r w:rsidRPr="00C27F29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C27F29" w:rsidRPr="00C27F29" w:rsidRDefault="00C27F29" w:rsidP="00C27F2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27F29">
        <w:rPr>
          <w:rFonts w:ascii="Times New Roman" w:hAnsi="Times New Roman"/>
          <w:sz w:val="24"/>
          <w:szCs w:val="24"/>
          <w:lang w:val="ro-RO"/>
        </w:rPr>
        <w:t>Constructia va adaposti cabinet pentru asistenta si recuperare, oficiu, grupuri sanitare separate pe sexe si pentru persoanele cu dizabilitati, hol acces si spatiu tehnic.</w:t>
      </w:r>
    </w:p>
    <w:p w:rsidR="00C27F29" w:rsidRPr="00C27F29" w:rsidRDefault="00C27F29" w:rsidP="00C27F29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Descriere functionala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850"/>
      </w:tblGrid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C2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Functiune</w:t>
            </w:r>
            <w:proofErr w:type="spellEnd"/>
            <w:r w:rsidRPr="00C2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Incapere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Suprafata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U.M.</w:t>
            </w:r>
          </w:p>
        </w:tc>
      </w:tr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G.S.</w:t>
            </w:r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11.68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C.T.</w:t>
            </w:r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Oficiu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C27F29" w:rsidRPr="00C27F29" w:rsidTr="004050A7">
        <w:trPr>
          <w:trHeight w:hRule="exact" w:val="340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Cabinet</w:t>
            </w:r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C27F29" w:rsidRPr="00C27F29" w:rsidTr="005E3F99">
        <w:trPr>
          <w:trHeight w:hRule="exact" w:val="508"/>
        </w:trPr>
        <w:tc>
          <w:tcPr>
            <w:tcW w:w="3544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29">
              <w:rPr>
                <w:rFonts w:ascii="Times New Roman" w:hAnsi="Times New Roman"/>
                <w:sz w:val="24"/>
                <w:szCs w:val="24"/>
              </w:rPr>
              <w:t>59.79</w:t>
            </w:r>
          </w:p>
        </w:tc>
        <w:tc>
          <w:tcPr>
            <w:tcW w:w="850" w:type="dxa"/>
            <w:shd w:val="clear" w:color="auto" w:fill="auto"/>
          </w:tcPr>
          <w:p w:rsidR="00C27F29" w:rsidRPr="00C27F29" w:rsidRDefault="00C27F29" w:rsidP="0040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F29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</w:tbl>
    <w:p w:rsidR="000776F4" w:rsidRPr="000776F4" w:rsidRDefault="000776F4" w:rsidP="000776F4">
      <w:pPr>
        <w:widowControl w:val="0"/>
        <w:tabs>
          <w:tab w:val="left" w:pos="720"/>
        </w:tabs>
        <w:suppressAutoHyphens/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 w:rsidRPr="000776F4">
        <w:rPr>
          <w:rFonts w:ascii="Times New Roman" w:eastAsia="Lucida Sans Unicode" w:hAnsi="Times New Roman"/>
          <w:sz w:val="24"/>
          <w:szCs w:val="24"/>
          <w:lang w:val="ro-RO" w:bidi="en-US"/>
        </w:rPr>
        <w:t xml:space="preserve">Alimentarea cu apa potabila se va realiza din reteaua publica printr-un bransament din polietilena cu dimetrul de 20 mm pe care este amplasat un camin pentru apometru. Apa </w:t>
      </w:r>
      <w:r w:rsidRPr="000776F4">
        <w:rPr>
          <w:rFonts w:ascii="Times New Roman" w:eastAsia="Lucida Sans Unicode" w:hAnsi="Times New Roman"/>
          <w:sz w:val="24"/>
          <w:szCs w:val="24"/>
          <w:lang w:val="ro-RO" w:bidi="en-US"/>
        </w:rPr>
        <w:lastRenderedPageBreak/>
        <w:t>calda va fi preparata in boilerul bivalent din centrala termica propusa. Acesta va avea capacitatea de 200 l.</w:t>
      </w:r>
      <w:r w:rsidRPr="000776F4">
        <w:rPr>
          <w:rFonts w:ascii="Times New Roman" w:eastAsia="Times New Roman" w:hAnsi="Times New Roman"/>
          <w:sz w:val="24"/>
          <w:szCs w:val="24"/>
          <w:lang w:val="fr-FR" w:eastAsia="ar-SA"/>
        </w:rPr>
        <w:tab/>
      </w:r>
    </w:p>
    <w:p w:rsidR="000776F4" w:rsidRPr="000776F4" w:rsidRDefault="000776F4" w:rsidP="000776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Alimentarea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obiectelor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proofErr w:type="gram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realiza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montarea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distribuitor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rece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calda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menajera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baie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conductele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alimentare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</w:t>
      </w:r>
      <w:proofErr w:type="gram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obiectelor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monteaza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ingropat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sapa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pereti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aceestea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fiind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prevazute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izolatie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prevenirea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condensului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0776F4" w:rsidRPr="000776F4" w:rsidRDefault="000776F4" w:rsidP="000776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proofErr w:type="spell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Instalatii</w:t>
      </w:r>
      <w:proofErr w:type="spellEnd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</w:t>
      </w:r>
      <w:proofErr w:type="gram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de  </w:t>
      </w:r>
      <w:proofErr w:type="spell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apa</w:t>
      </w:r>
      <w:proofErr w:type="spellEnd"/>
      <w:proofErr w:type="gramEnd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calda</w:t>
      </w:r>
      <w:proofErr w:type="spellEnd"/>
    </w:p>
    <w:p w:rsidR="000776F4" w:rsidRPr="000776F4" w:rsidRDefault="000776F4" w:rsidP="00077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proofErr w:type="gram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calda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menaje</w:t>
      </w:r>
      <w:bookmarkStart w:id="0" w:name="_GoBack"/>
      <w:bookmarkEnd w:id="0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ra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(55°C) se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furnizeaza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obiectele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asigurarea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grad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sporit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confort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igiena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0776F4" w:rsidRPr="000776F4" w:rsidRDefault="000776F4" w:rsidP="00077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Alimentarea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proofErr w:type="gram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proofErr w:type="gram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calda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menajera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se face local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centralizat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boilerul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bivalent de 200 l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montat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in camera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tehnica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Conductele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alimentare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proofErr w:type="gram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proofErr w:type="gram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calda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menajera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montează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trasee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paralele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obicei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împreuna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apa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rece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ghene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închise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etans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tavan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fals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0776F4" w:rsidRPr="000776F4" w:rsidRDefault="000776F4" w:rsidP="000776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proofErr w:type="spell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Instalatii</w:t>
      </w:r>
      <w:proofErr w:type="spellEnd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</w:t>
      </w:r>
      <w:proofErr w:type="gram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de  </w:t>
      </w:r>
      <w:proofErr w:type="spellStart"/>
      <w:r w:rsidRPr="000776F4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canalizare</w:t>
      </w:r>
      <w:proofErr w:type="spellEnd"/>
      <w:proofErr w:type="gramEnd"/>
    </w:p>
    <w:p w:rsidR="000776F4" w:rsidRPr="000776F4" w:rsidRDefault="000776F4" w:rsidP="000776F4">
      <w:pPr>
        <w:spacing w:after="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val="en-GB"/>
        </w:rPr>
      </w:pPr>
      <w:r w:rsidRPr="000776F4">
        <w:rPr>
          <w:rFonts w:ascii="Times New Roman" w:eastAsia="Lucida Sans Unicode" w:hAnsi="Times New Roman"/>
          <w:sz w:val="24"/>
          <w:szCs w:val="24"/>
          <w:lang w:val="ro-RO" w:bidi="en-US"/>
        </w:rPr>
        <w:t xml:space="preserve">Canalizarea menajera se va realiza din sisteme de conducte din polipropilena (PP) pentru instalatiile de canalizare ape uzate menajere etansate cu garnituri de cauciuc.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Apele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uzate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menajere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fi evacuate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intermediul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căminelor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776F4">
        <w:rPr>
          <w:rFonts w:ascii="Times New Roman" w:eastAsia="Times New Roman" w:hAnsi="Times New Roman"/>
          <w:sz w:val="24"/>
          <w:szCs w:val="24"/>
          <w:lang w:val="en-GB"/>
        </w:rPr>
        <w:t>vizitare</w:t>
      </w:r>
      <w:proofErr w:type="spellEnd"/>
      <w:r w:rsidRPr="000776F4">
        <w:rPr>
          <w:rFonts w:ascii="Times New Roman" w:eastAsia="Times New Roman" w:hAnsi="Times New Roman"/>
          <w:sz w:val="24"/>
          <w:szCs w:val="24"/>
          <w:lang w:val="en-GB"/>
        </w:rPr>
        <w:t xml:space="preserve"> la</w:t>
      </w:r>
      <w:r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bazinul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vidanjabil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de 5mc.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Dimetrul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conductelor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de PVCKG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folosit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  <w:lang w:val="en-GB"/>
        </w:rPr>
        <w:t>fiind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/>
          <w:sz w:val="24"/>
          <w:szCs w:val="24"/>
          <w:lang w:val="en-GB"/>
        </w:rPr>
        <w:t>cuprinse</w:t>
      </w:r>
      <w:proofErr w:type="spell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  Ø110</w:t>
      </w:r>
      <w:proofErr w:type="gramEnd"/>
      <w:r>
        <w:rPr>
          <w:rFonts w:asciiTheme="majorHAnsi" w:eastAsia="Times New Roman" w:hAnsiTheme="majorHAnsi"/>
          <w:sz w:val="24"/>
          <w:szCs w:val="24"/>
          <w:lang w:val="en-GB"/>
        </w:rPr>
        <w:t xml:space="preserve">. 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cu alte proiecte existente şi/sau aprobate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resurselor naturale, în special a solului, a terenurilor, a apei şi a biodiversităţii - utilizare teren în suprafaţă mică;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cantitatea şi tipurile de deşeuri generate/gestionate - în perioada de execuţie a lucrărilor prevăzute în proiect rezultă: deşeuri de materiale de construcţii, în cantităţi mici, ce se vor depozita la locul stabilit de primăria </w:t>
      </w:r>
      <w:r w:rsidR="00C27F29">
        <w:rPr>
          <w:color w:val="000000"/>
          <w:sz w:val="24"/>
          <w:szCs w:val="24"/>
          <w:lang w:val="ro-RO" w:eastAsia="ro-RO" w:bidi="ro-RO"/>
        </w:rPr>
        <w:t>comunei Epureni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poluarea şi alte efecte negative - nu este cazul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pentru sănătatea umană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utilizarea actuală şi aprobată a terenului </w:t>
      </w:r>
      <w:r w:rsidR="005A359C">
        <w:rPr>
          <w:color w:val="000000"/>
          <w:sz w:val="24"/>
          <w:szCs w:val="24"/>
          <w:lang w:val="ro-RO" w:eastAsia="ro-RO" w:bidi="ro-RO"/>
        </w:rPr>
        <w:t>–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ter</w:t>
      </w:r>
      <w:r w:rsidR="0051648E">
        <w:rPr>
          <w:color w:val="000000"/>
          <w:sz w:val="24"/>
          <w:szCs w:val="24"/>
          <w:lang w:val="ro-RO" w:eastAsia="ro-RO" w:bidi="ro-RO"/>
        </w:rPr>
        <w:t>enul</w:t>
      </w:r>
      <w:r w:rsidR="00C27F29">
        <w:rPr>
          <w:color w:val="000000"/>
          <w:sz w:val="24"/>
          <w:szCs w:val="24"/>
          <w:lang w:val="ro-RO" w:eastAsia="ro-RO" w:bidi="ro-RO"/>
        </w:rPr>
        <w:t xml:space="preserve"> aferent proiectului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este domeniu </w:t>
      </w:r>
      <w:r w:rsidR="00C27F29">
        <w:rPr>
          <w:color w:val="000000"/>
          <w:sz w:val="24"/>
          <w:szCs w:val="24"/>
          <w:lang w:val="ro-RO" w:eastAsia="ro-RO" w:bidi="ro-RO"/>
        </w:rPr>
        <w:t>public al comunei Epureni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și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are </w:t>
      </w:r>
      <w:r w:rsidR="005A359C">
        <w:rPr>
          <w:color w:val="000000"/>
          <w:sz w:val="24"/>
          <w:szCs w:val="24"/>
          <w:lang w:val="ro-RO" w:eastAsia="ro-RO" w:bidi="ro-RO"/>
        </w:rPr>
        <w:t>folosința actuală cai de comunicatie rutiera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capacitatea de absorbţie a mediului natural, acordându-se o atenţie specială următoarelor zone: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umede, zone riverane, guri ale râurilor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costiere şi mediu marin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montane şi forestiere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arii naturale protejate de interes naţional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cu o densitate mare a populaţiei - nu este cazul;</w:t>
      </w:r>
    </w:p>
    <w:p w:rsidR="009D71B7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peisaje şi situri importante din punct de vedere istoric, cultural sau arheologic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>importanţa şi extinderea spaţia</w:t>
      </w:r>
      <w:r w:rsidR="007D4202" w:rsidRPr="00610FE6">
        <w:rPr>
          <w:color w:val="000000"/>
          <w:sz w:val="24"/>
          <w:szCs w:val="24"/>
          <w:lang w:val="ro-RO" w:eastAsia="ro-RO" w:bidi="ro-RO"/>
        </w:rPr>
        <w:t>lă a impactului: aria geografică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şi numărul persoanelor afectate - impact nesemnificativ, local, în perioada de realizare a lucrărilor;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impactului - direct şi temporar, în perioada de realizare a lucrărilor;</w:t>
      </w:r>
    </w:p>
    <w:p w:rsidR="009D71B7" w:rsidRPr="00610FE6" w:rsidRDefault="002F04EE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transfr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ontieră a impactului - nu este cazul;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intensitatea şi complexitatea impactului - în perioada de execuţie a proiectului impact nesemnificativ;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probabilitatea impactului - redusă.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impactului cu impactul altor proiecte existente şi/sau aprobate - nu este cazul.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posibilitatea de reducere efectivă a impactului - prin aplicarea condiţiilor de realizare a proiectului</w:t>
      </w:r>
      <w:r w:rsidR="004164D6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4164D6" w:rsidRPr="00610FE6" w:rsidRDefault="004164D6" w:rsidP="004164D6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adecvate sunt următoarele: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</w:t>
      </w:r>
      <w:r w:rsidR="008077FB" w:rsidRPr="00610FE6">
        <w:rPr>
          <w:color w:val="000000"/>
          <w:sz w:val="24"/>
          <w:szCs w:val="24"/>
          <w:lang w:val="ro-RO" w:eastAsia="ro-RO" w:bidi="ro-RO"/>
        </w:rPr>
        <w:t xml:space="preserve"> protejată de interes comunitar.</w:t>
      </w:r>
    </w:p>
    <w:p w:rsidR="008077FB" w:rsidRPr="00610FE6" w:rsidRDefault="008077FB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0C0DFF" w:rsidRPr="00610FE6" w:rsidRDefault="009D71B7" w:rsidP="008077F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prevederilor art. 48 şi 54 din Legea apelor nr. 107/1996, cu modificările şi completările ulterioare.</w:t>
      </w:r>
    </w:p>
    <w:p w:rsidR="000C0DFF" w:rsidRPr="00610FE6" w:rsidRDefault="00E3032B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>Î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ntrucât s-a decis că evaluarea impactului asupra mediului nu es</w:t>
      </w:r>
      <w:r w:rsidR="000C0DFF" w:rsidRPr="00610FE6">
        <w:rPr>
          <w:color w:val="000000"/>
          <w:sz w:val="24"/>
          <w:szCs w:val="24"/>
          <w:lang w:val="ro-RO" w:eastAsia="ro-RO" w:bidi="ro-RO"/>
        </w:rPr>
        <w:t>te necesară pentru proiectul cu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caracteristicile prezentate anterior, se impun următoarele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val="ro-RO" w:eastAsia="ro-RO" w:bidi="ro-RO"/>
        </w:rPr>
        <w:t>pentru evitarea sau prevenirea eventualelor efecte negative semnificative asupra mediului:</w:t>
      </w:r>
    </w:p>
    <w:p w:rsidR="009D71B7" w:rsidRPr="00610FE6" w:rsidRDefault="005E3F99" w:rsidP="005E3F99">
      <w:pPr>
        <w:pStyle w:val="Bodytext20"/>
        <w:shd w:val="clear" w:color="auto" w:fill="auto"/>
        <w:spacing w:before="0" w:line="240" w:lineRule="auto"/>
        <w:ind w:left="4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 xml:space="preserve">1. 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Se vor respecta prevederile OUG nr. 195/2005 privind protecţia mediului, cu modificările şi completările ulterioare.</w:t>
      </w:r>
    </w:p>
    <w:p w:rsidR="00BD4822" w:rsidRPr="005E3F99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2.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 xml:space="preserve">Se vor obţine avizele precizate în certificatul de urbanism şi se vor respecta condiţiile din acestea şi 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>din documentaţia tehnică depusă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5E3F99" w:rsidRPr="005E3F99" w:rsidRDefault="005E3F99" w:rsidP="005E3F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3.</w:t>
      </w:r>
      <w:r w:rsidRPr="005E3F99">
        <w:rPr>
          <w:rFonts w:ascii="Times New Roman" w:hAnsi="Times New Roman"/>
          <w:color w:val="000000"/>
          <w:sz w:val="24"/>
          <w:szCs w:val="24"/>
          <w:lang w:val="ro-RO" w:eastAsia="ro-RO"/>
        </w:rPr>
        <w:t>Se vor respecta prevederile HG 300/ 2006 - privind cerinţele minime de securitate şi sănătate pentru şantierele temporare sau mobile, cap. IV și Legii 259/ 2004 - privind simplificarea formalităţilor la înregistrarea în registrul comerţului a persoanelor fizice, asociaţiilor familiale şi persoanelor juridice, înregistrarea fiscală a acestora, precum şi la autorizarea funcţionării persoanelor juridice, art. 17, alin. (1), art. 41, alin. (1).</w:t>
      </w:r>
    </w:p>
    <w:p w:rsidR="005E3F99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4.Solicitare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obtinere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Directia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Sanatate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Vaslui.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5.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Deseurile produse vo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r fi stocate temporar selectiv î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n spa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ț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ii special amenajate; se interzice ab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andonarea /stocarea deşeurilor î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 xml:space="preserve">n afara spatiilor amenajate 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în acest scop; deș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 xml:space="preserve">eurile de construcţii se vor depozita la locul stabilit de primăria </w:t>
      </w:r>
      <w:r w:rsidR="00C27F29">
        <w:rPr>
          <w:color w:val="000000"/>
          <w:sz w:val="24"/>
          <w:szCs w:val="24"/>
          <w:lang w:val="ro-RO" w:eastAsia="ro-RO" w:bidi="ro-RO"/>
        </w:rPr>
        <w:t>Epureni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6.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7.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Implementarea tuturor măsurilor de protecţie a factorilor</w:t>
      </w:r>
      <w:r w:rsidR="00546CDB" w:rsidRPr="00610FE6">
        <w:rPr>
          <w:color w:val="000000"/>
          <w:sz w:val="24"/>
          <w:szCs w:val="24"/>
          <w:lang w:val="ro-RO" w:eastAsia="ro-RO" w:bidi="ro-RO"/>
        </w:rPr>
        <w:t xml:space="preserve"> de mediu propuse prin proiect și descrise î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n documentaţia care a stat la baza emiterii acestei decizii.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8.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9.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D4822" w:rsidRPr="00610FE6" w:rsidRDefault="005E3F99" w:rsidP="005E3F9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lastRenderedPageBreak/>
        <w:t>10.</w:t>
      </w:r>
      <w:r w:rsidR="00BD4822" w:rsidRPr="00610FE6">
        <w:rPr>
          <w:color w:val="000000"/>
          <w:sz w:val="24"/>
          <w:szCs w:val="24"/>
          <w:lang w:val="ro-RO" w:eastAsia="ro-RO" w:bidi="ro-RO"/>
        </w:rPr>
        <w:t>Nerespectarea prevederilor prezentei decizii atrage suspendarea sau anularea acesteia, după caz, in conformitate cu prevederile legale.</w:t>
      </w:r>
    </w:p>
    <w:p w:rsidR="00E3032B" w:rsidRPr="00610FE6" w:rsidRDefault="00E3032B" w:rsidP="00E071D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nr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546CDB" w:rsidRPr="0002158C" w:rsidRDefault="00546CD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071D9" w:rsidRPr="00E10C0E" w:rsidRDefault="00C27F2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E071D9" w:rsidRPr="00E10C0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E071D9" w:rsidRPr="00E10C0E" w:rsidRDefault="00C27F2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 </w:t>
      </w:r>
      <w:r w:rsidR="00E711E9">
        <w:rPr>
          <w:rFonts w:ascii="Times New Roman" w:hAnsi="Times New Roman"/>
          <w:b/>
          <w:sz w:val="26"/>
          <w:szCs w:val="26"/>
          <w:lang w:val="ro-RO"/>
        </w:rPr>
        <w:t>Mihaela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BUDIANU</w:t>
      </w: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0776F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Pr="0023613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4"/>
          <w:szCs w:val="4"/>
          <w:lang w:val="ro-RO"/>
        </w:rPr>
      </w:pP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66"/>
      </w:tblGrid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C27F2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E071D9" w:rsidRPr="00E10C0E">
              <w:rPr>
                <w:rFonts w:ascii="Times New Roman" w:hAnsi="Times New Roman"/>
                <w:sz w:val="26"/>
                <w:szCs w:val="26"/>
                <w:lang w:val="ro-RO"/>
              </w:rPr>
              <w:t>Şef Serviciu Avize, Acorduri, Autorizații</w:t>
            </w:r>
          </w:p>
          <w:p w:rsidR="00E071D9" w:rsidRPr="00E10C0E" w:rsidRDefault="00E711E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DANILA Ramona Nicoleta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5056" w:type="dxa"/>
            <w:shd w:val="clear" w:color="auto" w:fill="auto"/>
          </w:tcPr>
          <w:p w:rsidR="00E071D9" w:rsidRPr="00E10C0E" w:rsidRDefault="00C27F2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</w:t>
            </w:r>
            <w:r w:rsidR="00E071D9" w:rsidRPr="00E10C0E">
              <w:rPr>
                <w:rFonts w:ascii="Times New Roman" w:hAnsi="Times New Roman"/>
                <w:sz w:val="26"/>
                <w:szCs w:val="26"/>
                <w:lang w:val="ro-RO"/>
              </w:rPr>
              <w:t>Compartiment CFM - Biodiversitate</w:t>
            </w:r>
          </w:p>
          <w:p w:rsidR="00E071D9" w:rsidRDefault="00C27F2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MOCANU Monica</w:t>
            </w: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Întocmit:</w:t>
            </w:r>
          </w:p>
          <w:p w:rsidR="00E071D9" w:rsidRPr="00E10C0E" w:rsidRDefault="00C27F29" w:rsidP="00546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CHIRIAC Iuliana</w:t>
            </w: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9D71B7" w:rsidRPr="0002158C" w:rsidRDefault="00E3032B" w:rsidP="00E3032B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02158C">
        <w:rPr>
          <w:rFonts w:ascii="Times New Roman" w:hAnsi="Times New Roman"/>
          <w:sz w:val="24"/>
          <w:szCs w:val="24"/>
        </w:rPr>
        <w:tab/>
      </w:r>
    </w:p>
    <w:sectPr w:rsidR="009D71B7" w:rsidRPr="0002158C" w:rsidSect="007456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10" w:right="1134" w:bottom="170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46" w:rsidRDefault="00BC7546" w:rsidP="00F03188">
      <w:pPr>
        <w:spacing w:after="0" w:line="240" w:lineRule="auto"/>
      </w:pPr>
      <w:r>
        <w:separator/>
      </w:r>
    </w:p>
  </w:endnote>
  <w:endnote w:type="continuationSeparator" w:id="0">
    <w:p w:rsidR="00BC7546" w:rsidRDefault="00BC7546" w:rsidP="00F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005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C754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2019491404"/>
        </w:sdtPr>
        <w:sdtEndPr>
          <w:rPr>
            <w:sz w:val="22"/>
            <w:szCs w:val="22"/>
          </w:rPr>
        </w:sdtEndPr>
        <w:sdtContent>
          <w:p w:rsidR="00F03188" w:rsidRPr="002367AC" w:rsidRDefault="00F03188" w:rsidP="00F03188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87DF5" wp14:editId="71B4C8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="00BC754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0;text-align:left;margin-left:-4.75pt;margin-top:.85pt;width:41.9pt;height:34.45pt;z-index:-251646976;mso-position-horizontal-relative:text;mso-position-vertical-relative:text">
                  <v:imagedata r:id="rId1" o:title=""/>
                </v:shape>
                <o:OLEObject Type="Embed" ProgID="CorelDRAW.Graphic.13" ShapeID="_x0000_s2054" DrawAspect="Content" ObjectID="_1621845765" r:id="rId2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p>
          <w:p w:rsidR="00F03188" w:rsidRPr="007B5B7C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Str.Călugăreni, nr.63, Vaslui, Cod 730149</w:t>
            </w:r>
          </w:p>
          <w:p w:rsidR="00F03188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  <w:hyperlink r:id="rId3" w:history="1">
              <w:r w:rsidRPr="007B5B7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office@apmvs.anpm.ro</w:t>
              </w:r>
            </w:hyperlink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; </w:t>
            </w: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Tel</w:t>
            </w:r>
            <w:r w:rsidRPr="007B5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0335/401723; Fax: 0235/361.842</w:t>
            </w:r>
          </w:p>
          <w:p w:rsidR="000E7226" w:rsidRPr="00F03188" w:rsidRDefault="00F03188" w:rsidP="00F03188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 w:rsidRPr="00B24DCE">
              <w:rPr>
                <w:color w:val="00214E"/>
                <w:sz w:val="18"/>
                <w:szCs w:val="18"/>
                <w:lang w:val="ro-RO"/>
              </w:rPr>
              <w:t xml:space="preserve">*Operator de date </w:t>
            </w:r>
            <w:r>
              <w:rPr>
                <w:color w:val="00214E"/>
                <w:sz w:val="18"/>
                <w:szCs w:val="18"/>
                <w:lang w:val="ro-RO"/>
              </w:rPr>
              <w:t>cu  caracter personal nr. 9848*</w:t>
            </w:r>
          </w:p>
        </w:sdtContent>
      </w:sdt>
      <w:p w:rsidR="00B72680" w:rsidRPr="004407AE" w:rsidRDefault="00000530" w:rsidP="00E70C94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407AE">
          <w:rPr>
            <w:rFonts w:ascii="Times New Roman" w:hAnsi="Times New Roman"/>
            <w:sz w:val="20"/>
            <w:szCs w:val="20"/>
          </w:rPr>
          <w:fldChar w:fldCharType="begin"/>
        </w:r>
        <w:r w:rsidRPr="004407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407AE">
          <w:rPr>
            <w:rFonts w:ascii="Times New Roman" w:hAnsi="Times New Roman"/>
            <w:sz w:val="20"/>
            <w:szCs w:val="20"/>
          </w:rPr>
          <w:fldChar w:fldCharType="separate"/>
        </w:r>
        <w:r w:rsidR="000776F4">
          <w:rPr>
            <w:rFonts w:ascii="Times New Roman" w:hAnsi="Times New Roman"/>
            <w:noProof/>
            <w:sz w:val="20"/>
            <w:szCs w:val="20"/>
          </w:rPr>
          <w:t>5</w:t>
        </w:r>
        <w:r w:rsidRPr="004407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03188" w:rsidRPr="002367AC" w:rsidRDefault="00F03188" w:rsidP="00F0318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A9B8E7" wp14:editId="6527353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8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KnKPC/fAAAACQEAAA8AAAAAAAAAAAAAAAAAgwQAAGRy&#10;cy9kb3ducmV2LnhtbFBLBQYAAAAABAAEAPMAAACPBQAAAAA=&#10;" strokecolor="#00214e" strokeweight="1.5pt"/>
              </w:pict>
            </mc:Fallback>
          </mc:AlternateContent>
        </w:r>
        <w:r w:rsidR="00BC7546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52" DrawAspect="Content" ObjectID="_1621845766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F03188" w:rsidRPr="007B5B7C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F03188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72680" w:rsidRPr="00F03188" w:rsidRDefault="00F03188" w:rsidP="00F03188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46" w:rsidRDefault="00BC7546" w:rsidP="00F03188">
      <w:pPr>
        <w:spacing w:after="0" w:line="240" w:lineRule="auto"/>
      </w:pPr>
      <w:r>
        <w:separator/>
      </w:r>
    </w:p>
  </w:footnote>
  <w:footnote w:type="continuationSeparator" w:id="0">
    <w:p w:rsidR="00BC7546" w:rsidRDefault="00BC7546" w:rsidP="00F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756A232" wp14:editId="719906EB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16AB4C66" wp14:editId="449EB59A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>Ministerul Mediului</w:t>
    </w:r>
  </w:p>
  <w:p w:rsidR="00AB75D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AB75D4" w:rsidRPr="00992BFF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AB75D4" w:rsidRPr="00992BFF" w:rsidTr="001858B6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5D4" w:rsidRPr="00F30DE4" w:rsidRDefault="00AB75D4" w:rsidP="001858B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B72680" w:rsidRPr="00D56C73" w:rsidRDefault="00BC7546" w:rsidP="00D56C73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13"/>
    <w:multiLevelType w:val="hybridMultilevel"/>
    <w:tmpl w:val="78889FCC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432E8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396088C">
      <w:start w:val="1"/>
      <w:numFmt w:val="decimal"/>
      <w:lvlText w:val="%3."/>
      <w:lvlJc w:val="left"/>
      <w:pPr>
        <w:ind w:left="3000" w:hanging="48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0CC6"/>
    <w:multiLevelType w:val="hybridMultilevel"/>
    <w:tmpl w:val="D856F4EA"/>
    <w:lvl w:ilvl="0" w:tplc="F802F738">
      <w:start w:val="3"/>
      <w:numFmt w:val="bullet"/>
      <w:lvlText w:val="-"/>
      <w:lvlJc w:val="left"/>
      <w:pPr>
        <w:tabs>
          <w:tab w:val="num" w:pos="804"/>
        </w:tabs>
        <w:ind w:left="804" w:hanging="384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2512E1"/>
    <w:multiLevelType w:val="hybridMultilevel"/>
    <w:tmpl w:val="D7F0AF66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A61"/>
    <w:multiLevelType w:val="multilevel"/>
    <w:tmpl w:val="6DB2D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4FE9"/>
    <w:multiLevelType w:val="multilevel"/>
    <w:tmpl w:val="B63E0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02A98"/>
    <w:multiLevelType w:val="hybridMultilevel"/>
    <w:tmpl w:val="5B0064EE"/>
    <w:lvl w:ilvl="0" w:tplc="70946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F5121"/>
    <w:multiLevelType w:val="hybridMultilevel"/>
    <w:tmpl w:val="D2267A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F7C15D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8547A3"/>
    <w:multiLevelType w:val="multilevel"/>
    <w:tmpl w:val="0F1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6B0D12"/>
    <w:multiLevelType w:val="hybridMultilevel"/>
    <w:tmpl w:val="36EA2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3B21"/>
    <w:multiLevelType w:val="multilevel"/>
    <w:tmpl w:val="64EABCC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4CF38FA"/>
    <w:multiLevelType w:val="multilevel"/>
    <w:tmpl w:val="11E82F6A"/>
    <w:lvl w:ilvl="0">
      <w:start w:val="7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B628B"/>
    <w:multiLevelType w:val="multilevel"/>
    <w:tmpl w:val="76F04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4435C"/>
    <w:multiLevelType w:val="multilevel"/>
    <w:tmpl w:val="E5A46086"/>
    <w:lvl w:ilvl="0">
      <w:start w:val="1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9799D"/>
    <w:multiLevelType w:val="hybridMultilevel"/>
    <w:tmpl w:val="79C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C6C"/>
    <w:multiLevelType w:val="hybridMultilevel"/>
    <w:tmpl w:val="7694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5966"/>
    <w:multiLevelType w:val="hybridMultilevel"/>
    <w:tmpl w:val="D64E2C2A"/>
    <w:lvl w:ilvl="0" w:tplc="8F7C15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E055A"/>
    <w:multiLevelType w:val="multilevel"/>
    <w:tmpl w:val="F7C49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E2B87"/>
    <w:multiLevelType w:val="hybridMultilevel"/>
    <w:tmpl w:val="4ACE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4AC9"/>
    <w:multiLevelType w:val="hybridMultilevel"/>
    <w:tmpl w:val="05D0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B3EB2"/>
    <w:multiLevelType w:val="hybridMultilevel"/>
    <w:tmpl w:val="0926671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FC4C71"/>
    <w:multiLevelType w:val="multilevel"/>
    <w:tmpl w:val="548A9834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4A7DC5"/>
    <w:multiLevelType w:val="hybridMultilevel"/>
    <w:tmpl w:val="627E1004"/>
    <w:lvl w:ilvl="0" w:tplc="8F7C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E7CC3"/>
    <w:multiLevelType w:val="hybridMultilevel"/>
    <w:tmpl w:val="990CE888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C75FF"/>
    <w:multiLevelType w:val="hybridMultilevel"/>
    <w:tmpl w:val="8C82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69098F"/>
    <w:multiLevelType w:val="hybridMultilevel"/>
    <w:tmpl w:val="44EEE1AA"/>
    <w:lvl w:ilvl="0" w:tplc="763E8E16">
      <w:start w:val="4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4"/>
  </w:num>
  <w:num w:numId="14">
    <w:abstractNumId w:val="31"/>
  </w:num>
  <w:num w:numId="15">
    <w:abstractNumId w:val="8"/>
  </w:num>
  <w:num w:numId="16">
    <w:abstractNumId w:val="29"/>
  </w:num>
  <w:num w:numId="17">
    <w:abstractNumId w:val="35"/>
  </w:num>
  <w:num w:numId="18">
    <w:abstractNumId w:val="10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7"/>
  </w:num>
  <w:num w:numId="24">
    <w:abstractNumId w:val="20"/>
  </w:num>
  <w:num w:numId="25">
    <w:abstractNumId w:val="15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4"/>
  </w:num>
  <w:num w:numId="31">
    <w:abstractNumId w:val="1"/>
  </w:num>
  <w:num w:numId="32">
    <w:abstractNumId w:val="27"/>
  </w:num>
  <w:num w:numId="33">
    <w:abstractNumId w:val="33"/>
  </w:num>
  <w:num w:numId="34">
    <w:abstractNumId w:val="30"/>
  </w:num>
  <w:num w:numId="35">
    <w:abstractNumId w:val="26"/>
  </w:num>
  <w:num w:numId="36">
    <w:abstractNumId w:val="36"/>
  </w:num>
  <w:num w:numId="37">
    <w:abstractNumId w:val="2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F"/>
    <w:rsid w:val="00000530"/>
    <w:rsid w:val="00001C05"/>
    <w:rsid w:val="00002A44"/>
    <w:rsid w:val="00006A0B"/>
    <w:rsid w:val="0001222C"/>
    <w:rsid w:val="000134A5"/>
    <w:rsid w:val="00021505"/>
    <w:rsid w:val="0002158C"/>
    <w:rsid w:val="00021867"/>
    <w:rsid w:val="00035632"/>
    <w:rsid w:val="00047B5A"/>
    <w:rsid w:val="00060105"/>
    <w:rsid w:val="00061BB3"/>
    <w:rsid w:val="00074D4A"/>
    <w:rsid w:val="000776F4"/>
    <w:rsid w:val="00084771"/>
    <w:rsid w:val="00087A2F"/>
    <w:rsid w:val="0009514D"/>
    <w:rsid w:val="000B44F7"/>
    <w:rsid w:val="000C0DFF"/>
    <w:rsid w:val="000C507F"/>
    <w:rsid w:val="000D155B"/>
    <w:rsid w:val="000E7AFC"/>
    <w:rsid w:val="000F354E"/>
    <w:rsid w:val="001004CC"/>
    <w:rsid w:val="00100DA9"/>
    <w:rsid w:val="0010346F"/>
    <w:rsid w:val="00104069"/>
    <w:rsid w:val="00105B86"/>
    <w:rsid w:val="00111471"/>
    <w:rsid w:val="001178A1"/>
    <w:rsid w:val="00122432"/>
    <w:rsid w:val="001327E7"/>
    <w:rsid w:val="00154A72"/>
    <w:rsid w:val="001637C8"/>
    <w:rsid w:val="00167B74"/>
    <w:rsid w:val="0019340B"/>
    <w:rsid w:val="001A3826"/>
    <w:rsid w:val="001B02C2"/>
    <w:rsid w:val="001B067B"/>
    <w:rsid w:val="001B47A7"/>
    <w:rsid w:val="001B484F"/>
    <w:rsid w:val="001D091B"/>
    <w:rsid w:val="001D63BC"/>
    <w:rsid w:val="001D642D"/>
    <w:rsid w:val="001E4685"/>
    <w:rsid w:val="001F31B2"/>
    <w:rsid w:val="001F6BB6"/>
    <w:rsid w:val="002000DE"/>
    <w:rsid w:val="0020052C"/>
    <w:rsid w:val="002051EA"/>
    <w:rsid w:val="00210C2E"/>
    <w:rsid w:val="00211AD7"/>
    <w:rsid w:val="00222B82"/>
    <w:rsid w:val="002248CD"/>
    <w:rsid w:val="00232A28"/>
    <w:rsid w:val="002457C4"/>
    <w:rsid w:val="00246116"/>
    <w:rsid w:val="002508D7"/>
    <w:rsid w:val="00255436"/>
    <w:rsid w:val="00265AA7"/>
    <w:rsid w:val="00272788"/>
    <w:rsid w:val="002B64DE"/>
    <w:rsid w:val="002C1F03"/>
    <w:rsid w:val="002C3F47"/>
    <w:rsid w:val="002C66E1"/>
    <w:rsid w:val="002D32F0"/>
    <w:rsid w:val="002D5D80"/>
    <w:rsid w:val="002E01D5"/>
    <w:rsid w:val="002E0903"/>
    <w:rsid w:val="002E1068"/>
    <w:rsid w:val="002E6BD7"/>
    <w:rsid w:val="002F04EE"/>
    <w:rsid w:val="002F0AD8"/>
    <w:rsid w:val="002F175B"/>
    <w:rsid w:val="002F207B"/>
    <w:rsid w:val="0030032D"/>
    <w:rsid w:val="00307AED"/>
    <w:rsid w:val="00313806"/>
    <w:rsid w:val="00315D3F"/>
    <w:rsid w:val="003247D4"/>
    <w:rsid w:val="00326DD9"/>
    <w:rsid w:val="00353843"/>
    <w:rsid w:val="00354297"/>
    <w:rsid w:val="003555C0"/>
    <w:rsid w:val="00355FEB"/>
    <w:rsid w:val="00356B44"/>
    <w:rsid w:val="0035733E"/>
    <w:rsid w:val="00363A38"/>
    <w:rsid w:val="00366AEA"/>
    <w:rsid w:val="0037047B"/>
    <w:rsid w:val="00392F7C"/>
    <w:rsid w:val="003C51AB"/>
    <w:rsid w:val="003D2249"/>
    <w:rsid w:val="003E7529"/>
    <w:rsid w:val="003F0805"/>
    <w:rsid w:val="003F2A63"/>
    <w:rsid w:val="003F5D4F"/>
    <w:rsid w:val="004002DB"/>
    <w:rsid w:val="0040182E"/>
    <w:rsid w:val="004126BE"/>
    <w:rsid w:val="004164D6"/>
    <w:rsid w:val="0042244D"/>
    <w:rsid w:val="004262EA"/>
    <w:rsid w:val="00436BE8"/>
    <w:rsid w:val="004407AE"/>
    <w:rsid w:val="00441958"/>
    <w:rsid w:val="00443537"/>
    <w:rsid w:val="004467E6"/>
    <w:rsid w:val="0045019E"/>
    <w:rsid w:val="00460DC9"/>
    <w:rsid w:val="00475083"/>
    <w:rsid w:val="004A1789"/>
    <w:rsid w:val="004A23C6"/>
    <w:rsid w:val="004A62C6"/>
    <w:rsid w:val="004B3A9C"/>
    <w:rsid w:val="004B40CE"/>
    <w:rsid w:val="004B43F6"/>
    <w:rsid w:val="004B5447"/>
    <w:rsid w:val="004E13CC"/>
    <w:rsid w:val="004E4023"/>
    <w:rsid w:val="004E4328"/>
    <w:rsid w:val="004F09CB"/>
    <w:rsid w:val="004F1969"/>
    <w:rsid w:val="004F31A1"/>
    <w:rsid w:val="0051648E"/>
    <w:rsid w:val="00546CDB"/>
    <w:rsid w:val="00547A50"/>
    <w:rsid w:val="0055384A"/>
    <w:rsid w:val="00557135"/>
    <w:rsid w:val="00566F8F"/>
    <w:rsid w:val="0059420E"/>
    <w:rsid w:val="005A003D"/>
    <w:rsid w:val="005A1C15"/>
    <w:rsid w:val="005A359C"/>
    <w:rsid w:val="005B641D"/>
    <w:rsid w:val="005C1472"/>
    <w:rsid w:val="005E16D5"/>
    <w:rsid w:val="005E3F99"/>
    <w:rsid w:val="0060614A"/>
    <w:rsid w:val="00610FE6"/>
    <w:rsid w:val="00630B66"/>
    <w:rsid w:val="006336E2"/>
    <w:rsid w:val="00634F2B"/>
    <w:rsid w:val="00641569"/>
    <w:rsid w:val="00657DE1"/>
    <w:rsid w:val="006655AE"/>
    <w:rsid w:val="00680E7E"/>
    <w:rsid w:val="00696379"/>
    <w:rsid w:val="006967F6"/>
    <w:rsid w:val="006B0B7F"/>
    <w:rsid w:val="006B3A02"/>
    <w:rsid w:val="006B4FE4"/>
    <w:rsid w:val="006D3B52"/>
    <w:rsid w:val="006D5D9F"/>
    <w:rsid w:val="006E08CC"/>
    <w:rsid w:val="006E7788"/>
    <w:rsid w:val="006F4883"/>
    <w:rsid w:val="00713768"/>
    <w:rsid w:val="00721E39"/>
    <w:rsid w:val="007223DD"/>
    <w:rsid w:val="00730EC1"/>
    <w:rsid w:val="007456B8"/>
    <w:rsid w:val="007458A5"/>
    <w:rsid w:val="00751FAD"/>
    <w:rsid w:val="00752968"/>
    <w:rsid w:val="00763D13"/>
    <w:rsid w:val="007647E6"/>
    <w:rsid w:val="00764E5B"/>
    <w:rsid w:val="00767ADB"/>
    <w:rsid w:val="00773ED2"/>
    <w:rsid w:val="00774866"/>
    <w:rsid w:val="0079515D"/>
    <w:rsid w:val="00795A6F"/>
    <w:rsid w:val="007A4F6E"/>
    <w:rsid w:val="007B6B75"/>
    <w:rsid w:val="007C1732"/>
    <w:rsid w:val="007D4202"/>
    <w:rsid w:val="007D467C"/>
    <w:rsid w:val="007D5CA9"/>
    <w:rsid w:val="007D72BF"/>
    <w:rsid w:val="007E0AC8"/>
    <w:rsid w:val="007E4B29"/>
    <w:rsid w:val="007E544E"/>
    <w:rsid w:val="007F32D4"/>
    <w:rsid w:val="007F5279"/>
    <w:rsid w:val="00805427"/>
    <w:rsid w:val="008077FB"/>
    <w:rsid w:val="00810282"/>
    <w:rsid w:val="00820EEF"/>
    <w:rsid w:val="00827D6F"/>
    <w:rsid w:val="00830E0C"/>
    <w:rsid w:val="00831B67"/>
    <w:rsid w:val="00834B4D"/>
    <w:rsid w:val="00842B1E"/>
    <w:rsid w:val="00844F04"/>
    <w:rsid w:val="00851300"/>
    <w:rsid w:val="00855B12"/>
    <w:rsid w:val="00877D74"/>
    <w:rsid w:val="00884E3D"/>
    <w:rsid w:val="00885333"/>
    <w:rsid w:val="008A6E7A"/>
    <w:rsid w:val="008B4A0C"/>
    <w:rsid w:val="008B539C"/>
    <w:rsid w:val="008B6034"/>
    <w:rsid w:val="008D5A3E"/>
    <w:rsid w:val="008D7E8E"/>
    <w:rsid w:val="008F6730"/>
    <w:rsid w:val="0091325A"/>
    <w:rsid w:val="009147C1"/>
    <w:rsid w:val="009329A2"/>
    <w:rsid w:val="00943D4A"/>
    <w:rsid w:val="009503B6"/>
    <w:rsid w:val="00954185"/>
    <w:rsid w:val="00962240"/>
    <w:rsid w:val="00981BE6"/>
    <w:rsid w:val="0098335B"/>
    <w:rsid w:val="00984587"/>
    <w:rsid w:val="00992210"/>
    <w:rsid w:val="009932F1"/>
    <w:rsid w:val="009957CF"/>
    <w:rsid w:val="009A1549"/>
    <w:rsid w:val="009B2B45"/>
    <w:rsid w:val="009C1D0F"/>
    <w:rsid w:val="009C23AA"/>
    <w:rsid w:val="009D71B7"/>
    <w:rsid w:val="009E050B"/>
    <w:rsid w:val="00A25FDC"/>
    <w:rsid w:val="00A2623F"/>
    <w:rsid w:val="00A32090"/>
    <w:rsid w:val="00A34FF0"/>
    <w:rsid w:val="00A3584E"/>
    <w:rsid w:val="00A376EC"/>
    <w:rsid w:val="00A44511"/>
    <w:rsid w:val="00A44CC1"/>
    <w:rsid w:val="00A45E06"/>
    <w:rsid w:val="00A45F9D"/>
    <w:rsid w:val="00A47A5D"/>
    <w:rsid w:val="00A55EFB"/>
    <w:rsid w:val="00A66AB2"/>
    <w:rsid w:val="00A701B8"/>
    <w:rsid w:val="00A81701"/>
    <w:rsid w:val="00A86BBD"/>
    <w:rsid w:val="00A93AB2"/>
    <w:rsid w:val="00AA3100"/>
    <w:rsid w:val="00AB5DA2"/>
    <w:rsid w:val="00AB75D4"/>
    <w:rsid w:val="00AD093F"/>
    <w:rsid w:val="00AE28E2"/>
    <w:rsid w:val="00AE3BB9"/>
    <w:rsid w:val="00B0750F"/>
    <w:rsid w:val="00B079CC"/>
    <w:rsid w:val="00B13631"/>
    <w:rsid w:val="00B20F90"/>
    <w:rsid w:val="00B2679E"/>
    <w:rsid w:val="00B35B6E"/>
    <w:rsid w:val="00B5470F"/>
    <w:rsid w:val="00B559CC"/>
    <w:rsid w:val="00B60524"/>
    <w:rsid w:val="00B62D60"/>
    <w:rsid w:val="00B64160"/>
    <w:rsid w:val="00B66085"/>
    <w:rsid w:val="00B721E1"/>
    <w:rsid w:val="00B80366"/>
    <w:rsid w:val="00B92560"/>
    <w:rsid w:val="00BA3A09"/>
    <w:rsid w:val="00BA5FB4"/>
    <w:rsid w:val="00BB1424"/>
    <w:rsid w:val="00BB6272"/>
    <w:rsid w:val="00BB7D72"/>
    <w:rsid w:val="00BC0916"/>
    <w:rsid w:val="00BC7546"/>
    <w:rsid w:val="00BD3093"/>
    <w:rsid w:val="00BD4822"/>
    <w:rsid w:val="00BE347C"/>
    <w:rsid w:val="00C02A41"/>
    <w:rsid w:val="00C03A8F"/>
    <w:rsid w:val="00C04CB6"/>
    <w:rsid w:val="00C20451"/>
    <w:rsid w:val="00C2146D"/>
    <w:rsid w:val="00C2520A"/>
    <w:rsid w:val="00C27F29"/>
    <w:rsid w:val="00C30DE0"/>
    <w:rsid w:val="00C30F88"/>
    <w:rsid w:val="00C3479A"/>
    <w:rsid w:val="00C349E5"/>
    <w:rsid w:val="00C66FE0"/>
    <w:rsid w:val="00C67BAE"/>
    <w:rsid w:val="00C7060A"/>
    <w:rsid w:val="00C763E5"/>
    <w:rsid w:val="00C837F9"/>
    <w:rsid w:val="00C860AC"/>
    <w:rsid w:val="00C90A12"/>
    <w:rsid w:val="00CA2175"/>
    <w:rsid w:val="00CA45E3"/>
    <w:rsid w:val="00CB0666"/>
    <w:rsid w:val="00CB240A"/>
    <w:rsid w:val="00CB2F69"/>
    <w:rsid w:val="00CB4CC2"/>
    <w:rsid w:val="00CB6F3A"/>
    <w:rsid w:val="00CC0F5A"/>
    <w:rsid w:val="00CC7FAC"/>
    <w:rsid w:val="00CD08F2"/>
    <w:rsid w:val="00CD0BF7"/>
    <w:rsid w:val="00CD54C8"/>
    <w:rsid w:val="00CD6800"/>
    <w:rsid w:val="00CE6C86"/>
    <w:rsid w:val="00D012CD"/>
    <w:rsid w:val="00D06959"/>
    <w:rsid w:val="00D074CC"/>
    <w:rsid w:val="00D11B68"/>
    <w:rsid w:val="00D17BED"/>
    <w:rsid w:val="00D212F1"/>
    <w:rsid w:val="00D226BB"/>
    <w:rsid w:val="00D36F50"/>
    <w:rsid w:val="00D56C73"/>
    <w:rsid w:val="00D572D5"/>
    <w:rsid w:val="00D6799B"/>
    <w:rsid w:val="00D73698"/>
    <w:rsid w:val="00D90C32"/>
    <w:rsid w:val="00D9330E"/>
    <w:rsid w:val="00DB597F"/>
    <w:rsid w:val="00DB7587"/>
    <w:rsid w:val="00DC2C22"/>
    <w:rsid w:val="00DC7AEC"/>
    <w:rsid w:val="00DD6F92"/>
    <w:rsid w:val="00DD767B"/>
    <w:rsid w:val="00DD7AA3"/>
    <w:rsid w:val="00DE0A91"/>
    <w:rsid w:val="00DE695C"/>
    <w:rsid w:val="00DF6C1B"/>
    <w:rsid w:val="00E049EC"/>
    <w:rsid w:val="00E071D9"/>
    <w:rsid w:val="00E103A1"/>
    <w:rsid w:val="00E2405E"/>
    <w:rsid w:val="00E25442"/>
    <w:rsid w:val="00E25A45"/>
    <w:rsid w:val="00E302FC"/>
    <w:rsid w:val="00E3032B"/>
    <w:rsid w:val="00E34139"/>
    <w:rsid w:val="00E53E1F"/>
    <w:rsid w:val="00E60B27"/>
    <w:rsid w:val="00E64638"/>
    <w:rsid w:val="00E70C94"/>
    <w:rsid w:val="00E711E9"/>
    <w:rsid w:val="00E7144D"/>
    <w:rsid w:val="00E863C9"/>
    <w:rsid w:val="00E92914"/>
    <w:rsid w:val="00E965E0"/>
    <w:rsid w:val="00EA2516"/>
    <w:rsid w:val="00EA4C96"/>
    <w:rsid w:val="00EA5255"/>
    <w:rsid w:val="00EB308B"/>
    <w:rsid w:val="00EB4D49"/>
    <w:rsid w:val="00EC07F3"/>
    <w:rsid w:val="00EC15A5"/>
    <w:rsid w:val="00EC3C70"/>
    <w:rsid w:val="00ED7D5F"/>
    <w:rsid w:val="00EE1FB1"/>
    <w:rsid w:val="00EF5079"/>
    <w:rsid w:val="00F009A3"/>
    <w:rsid w:val="00F01141"/>
    <w:rsid w:val="00F01776"/>
    <w:rsid w:val="00F023C4"/>
    <w:rsid w:val="00F03188"/>
    <w:rsid w:val="00F059CA"/>
    <w:rsid w:val="00F148D6"/>
    <w:rsid w:val="00F164E7"/>
    <w:rsid w:val="00F17C7A"/>
    <w:rsid w:val="00F22E0E"/>
    <w:rsid w:val="00F24EDD"/>
    <w:rsid w:val="00F33CE3"/>
    <w:rsid w:val="00F358E4"/>
    <w:rsid w:val="00F36417"/>
    <w:rsid w:val="00F45AC8"/>
    <w:rsid w:val="00F713BE"/>
    <w:rsid w:val="00F8054C"/>
    <w:rsid w:val="00F80D5B"/>
    <w:rsid w:val="00F86308"/>
    <w:rsid w:val="00F91550"/>
    <w:rsid w:val="00FB1965"/>
    <w:rsid w:val="00FB31B6"/>
    <w:rsid w:val="00FC4DC3"/>
    <w:rsid w:val="00FD36B6"/>
    <w:rsid w:val="00FD38BF"/>
    <w:rsid w:val="00FE09DD"/>
    <w:rsid w:val="00FE55E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Neculai Stanciu</cp:lastModifiedBy>
  <cp:revision>6</cp:revision>
  <cp:lastPrinted>2019-06-12T08:55:00Z</cp:lastPrinted>
  <dcterms:created xsi:type="dcterms:W3CDTF">2019-06-12T07:50:00Z</dcterms:created>
  <dcterms:modified xsi:type="dcterms:W3CDTF">2019-06-12T08:56:00Z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eb12a426-79e1-45ed-a374-3e2ae1ab6714</vt:lpwstr>
  </property>
</Properties>
</file>