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E" w:rsidRDefault="0051648E" w:rsidP="00BD4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BD4822" w:rsidRPr="00BD4822" w:rsidRDefault="00BD4822" w:rsidP="006B0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050B" w:rsidRPr="0002158C" w:rsidRDefault="009E050B" w:rsidP="006B0CF8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050B" w:rsidRPr="0002158C" w:rsidRDefault="009E050B" w:rsidP="006B0CF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Nr. 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-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21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>.02</w:t>
      </w:r>
      <w:r w:rsidR="002248CD"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9E050B" w:rsidRPr="00BD4822" w:rsidRDefault="009E050B" w:rsidP="00BD482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E050B" w:rsidRPr="0051648E" w:rsidRDefault="002248CD" w:rsidP="00E071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 xml:space="preserve"> S.C. GAZ EST S.A.,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 Vaslui,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mun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Vaslui, str.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Călugăreni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51648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43, </w:t>
      </w:r>
      <w:r w:rsidRPr="0051648E">
        <w:rPr>
          <w:rFonts w:ascii="Times New Roman" w:hAnsi="Times New Roman"/>
          <w:sz w:val="24"/>
          <w:szCs w:val="24"/>
          <w:lang w:val="ro-RO"/>
        </w:rPr>
        <w:t>înregistrată la APM Vaslui cu nr.</w:t>
      </w:r>
      <w:proofErr w:type="gramEnd"/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730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>29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.01</w:t>
      </w:r>
      <w:r w:rsidRPr="0051648E">
        <w:rPr>
          <w:rFonts w:ascii="Times New Roman" w:hAnsi="Times New Roman"/>
          <w:sz w:val="24"/>
          <w:szCs w:val="24"/>
          <w:lang w:val="ro-RO"/>
        </w:rPr>
        <w:t>.201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9</w:t>
      </w:r>
      <w:r w:rsidR="009E050B"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2248CD" w:rsidRPr="0051648E" w:rsidRDefault="009E050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autoritatea competentă pentru protecţia mediului APM Vaslui decide, ca urmare a consultărilor desfăşurate în cadrul şedinţe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51648E">
        <w:rPr>
          <w:rFonts w:ascii="Times New Roman" w:hAnsi="Times New Roman"/>
          <w:sz w:val="24"/>
          <w:szCs w:val="24"/>
          <w:lang w:val="ro-RO"/>
        </w:rPr>
        <w:t>Comisiei de Analiză Tehnică din data de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19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.02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2248CD" w:rsidRPr="0051648E">
        <w:rPr>
          <w:rFonts w:ascii="Times New Roman" w:hAnsi="Times New Roman"/>
          <w:b/>
          <w:sz w:val="24"/>
          <w:szCs w:val="24"/>
        </w:rPr>
        <w:t>“</w:t>
      </w:r>
      <w:r w:rsidR="0051648E" w:rsidRPr="0051648E">
        <w:rPr>
          <w:rFonts w:ascii="Times New Roman" w:hAnsi="Times New Roman"/>
          <w:b/>
          <w:i/>
          <w:sz w:val="24"/>
          <w:szCs w:val="24"/>
          <w:lang w:val="ro-RO"/>
        </w:rPr>
        <w:t>Modificare regim racord ramificat existent în conductă de distribuție din PEHD, extindere conductă de distribuție, racorduri gaz presiune redusă din PEHD100, SDR11, str. E 581 la imobilele fam. Stan Georgeta, nr. 138, Stan Aurel, nr. 137, Gohoreanu Lenuța, nr. 134, sat Tutova, com. Tutova, jud. Vaslui</w:t>
      </w:r>
      <w:r w:rsidR="0051648E" w:rsidRPr="0051648E">
        <w:rPr>
          <w:rFonts w:ascii="Times New Roman" w:hAnsi="Times New Roman"/>
          <w:b/>
          <w:sz w:val="24"/>
          <w:szCs w:val="24"/>
          <w:lang w:val="ro-RO"/>
        </w:rPr>
        <w:t>“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propus a fi amplasat în satul Tutova, comuna Tutova, str. E 581, județul Vaslui</w:t>
      </w:r>
    </w:p>
    <w:p w:rsidR="002248CD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9E050B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="009E050B"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9E050B"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Justificarea prezentei decizii:</w:t>
      </w: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mediului sunt următoarele:</w:t>
      </w:r>
    </w:p>
    <w:p w:rsidR="009D71B7" w:rsidRPr="00610FE6" w:rsidRDefault="009D71B7" w:rsidP="00E071D9">
      <w:pPr>
        <w:pStyle w:val="Bodytext40"/>
        <w:numPr>
          <w:ilvl w:val="0"/>
          <w:numId w:val="29"/>
        </w:numPr>
        <w:shd w:val="clear" w:color="auto" w:fill="auto"/>
        <w:tabs>
          <w:tab w:val="left" w:pos="588"/>
        </w:tabs>
        <w:spacing w:line="240" w:lineRule="auto"/>
        <w:ind w:firstLine="280"/>
        <w:rPr>
          <w:sz w:val="24"/>
          <w:szCs w:val="24"/>
        </w:rPr>
      </w:pPr>
      <w:r w:rsidRPr="00610FE6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pct.l3.a </w:t>
      </w:r>
      <w:r w:rsidRPr="00610FE6">
        <w:rPr>
          <w:rStyle w:val="Bodytext2115pt"/>
          <w:sz w:val="24"/>
          <w:szCs w:val="24"/>
        </w:rPr>
        <w:t xml:space="preserve">- </w:t>
      </w:r>
      <w:r w:rsidR="00CB6F3A" w:rsidRPr="00610FE6">
        <w:rPr>
          <w:rStyle w:val="Bodytext2115pt"/>
          <w:sz w:val="24"/>
          <w:szCs w:val="24"/>
        </w:rPr>
        <w:t>"</w:t>
      </w:r>
      <w:r w:rsidR="00CB6F3A" w:rsidRPr="00610FE6">
        <w:rPr>
          <w:rStyle w:val="Bodytext2115pt"/>
          <w:b/>
          <w:i w:val="0"/>
          <w:sz w:val="24"/>
          <w:szCs w:val="24"/>
        </w:rPr>
        <w:t>O</w:t>
      </w:r>
      <w:r w:rsidRPr="00610FE6">
        <w:rPr>
          <w:color w:val="000000"/>
          <w:sz w:val="24"/>
          <w:szCs w:val="24"/>
          <w:lang w:val="ro-RO" w:eastAsia="ro-RO" w:bidi="ro-RO"/>
        </w:rPr>
        <w:t>rice modificări sau extinderi, altele decât cele prevăzute la pct.24 din anexa nr.l, ale proiectelor prevăzute în anexa nr.l sau în prezenta anexă, deja autorizate, executate sau în curs de a fi executate, care pot avea efecte semnificative negative asupra mediului</w:t>
      </w:r>
      <w:r w:rsidR="00CB6F3A" w:rsidRPr="00610FE6">
        <w:rPr>
          <w:color w:val="000000"/>
          <w:sz w:val="24"/>
          <w:szCs w:val="24"/>
          <w:lang w:val="ro-RO" w:eastAsia="ro-RO" w:bidi="ro-RO"/>
        </w:rPr>
        <w:t>"</w:t>
      </w:r>
      <w:r w:rsidRPr="00610FE6">
        <w:rPr>
          <w:rStyle w:val="Bodytext2115pt"/>
          <w:sz w:val="24"/>
          <w:szCs w:val="24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29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prin aplicarea criteriilor din Anexa 3 la Legea 292/2018, s-au constatat următoarele:</w:t>
      </w:r>
    </w:p>
    <w:p w:rsidR="004F1969" w:rsidRPr="00610FE6" w:rsidRDefault="004F1969" w:rsidP="004F196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D4822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dimensiunea şi concepţia întregului proiect </w:t>
      </w:r>
    </w:p>
    <w:p w:rsidR="00C837F9" w:rsidRPr="00610FE6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În vederea alimentării cu gaze naturale, se propune extinderea conductei de distribuție presiune redusă,  cu conductă din P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>EHD, diametrul de 63 mm, L</w:t>
      </w:r>
      <w:r w:rsidRPr="00610FE6">
        <w:rPr>
          <w:rFonts w:ascii="Times New Roman" w:hAnsi="Times New Roman"/>
          <w:sz w:val="24"/>
          <w:szCs w:val="24"/>
          <w:lang w:val="ro-RO"/>
        </w:rPr>
        <w:t>=</w:t>
      </w:r>
      <w:r w:rsidR="0051648E">
        <w:rPr>
          <w:rFonts w:ascii="Times New Roman" w:hAnsi="Times New Roman"/>
          <w:sz w:val="24"/>
          <w:szCs w:val="24"/>
          <w:lang w:val="ro-RO"/>
        </w:rPr>
        <w:t>90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 xml:space="preserve"> m 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și realizare de branșamente </w:t>
      </w:r>
      <w:r w:rsidR="0051648E">
        <w:rPr>
          <w:rFonts w:ascii="Times New Roman" w:hAnsi="Times New Roman"/>
          <w:sz w:val="24"/>
          <w:szCs w:val="24"/>
          <w:lang w:val="ro-RO"/>
        </w:rPr>
        <w:t xml:space="preserve">individuale la 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>la imobilele fam. Stan Georgeta, nr. 138, Stan Aurel, nr. 137, Gohoreanu Lenuța, nr. 134, sat Tutova, com. Tutova, jud. Vaslui</w:t>
      </w:r>
      <w:r w:rsidR="00C837F9" w:rsidRPr="0051648E">
        <w:rPr>
          <w:rFonts w:ascii="Times New Roman" w:hAnsi="Times New Roman"/>
          <w:sz w:val="24"/>
          <w:szCs w:val="24"/>
          <w:lang w:val="ro-RO"/>
        </w:rPr>
        <w:t>.</w:t>
      </w:r>
    </w:p>
    <w:p w:rsidR="00BD4822" w:rsidRPr="00610FE6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Conductele de gaz se vor poza îngropat la adâncimea de 0,90m, la distanța de 0,5m față de limitele de proprietate, săpăturile făcându-se prin foraj sau manual, funcție de utilitățile din zonă.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cu alte proiecte existente şi/sau aprobate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resurselor naturale, în special a solului, a terenurilor, a apei şi a biodiversităţii - utilizare teren în suprafaţă mică;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cantitatea şi tipurile de deşeuri generate/gestionate - în perioada de execuţie a lucrărilor </w:t>
      </w: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 xml:space="preserve">prevăzute în proiect rezultă: deşeuri de materiale de construcţii, în cantităţi mici, ce se vor 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comunei 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poluarea şi alte efecte negative - nu este cazul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pentru sănătatea umană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actuală şi aprobată a terenului - ter</w:t>
      </w:r>
      <w:r w:rsidR="0051648E">
        <w:rPr>
          <w:color w:val="000000"/>
          <w:sz w:val="24"/>
          <w:szCs w:val="24"/>
          <w:lang w:val="ro-RO" w:eastAsia="ro-RO" w:bidi="ro-RO"/>
        </w:rPr>
        <w:t>enul este domeniu public al comunei Tutova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și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are folosința actuală de drum satesc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capacitatea de absorbţie a mediului natural, acordându-se o atenţie specială următoarelor zone: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umede, zone riverane, guri ale râurilor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costiere şi mediu marin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montane şi forestiere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arii naturale protejate de interes naţional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cu o densitate mare a populaţiei - nu este cazul;</w:t>
      </w:r>
    </w:p>
    <w:p w:rsidR="009D71B7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peisaje şi situri importante din punct de vedere istoric, cultural sau arheologic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importanţa şi extinderea spaţia</w:t>
      </w:r>
      <w:r w:rsidR="007D4202" w:rsidRPr="00610FE6">
        <w:rPr>
          <w:color w:val="000000"/>
          <w:sz w:val="24"/>
          <w:szCs w:val="24"/>
          <w:lang w:val="ro-RO" w:eastAsia="ro-RO" w:bidi="ro-RO"/>
        </w:rPr>
        <w:t>lă a impactului: aria geografică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şi numărul persoanelor afectate - impact nesemnificativ, local, în perioada de realizare a lucrărilor;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impactului - direct şi temporar, în perioada de realizare a lucrărilor;</w:t>
      </w:r>
    </w:p>
    <w:p w:rsidR="009D71B7" w:rsidRPr="00610FE6" w:rsidRDefault="002F04EE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transfr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ontieră a impactului - nu este cazul;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intensitatea şi complexitatea impactului - în perioada de execuţie a proiectului impact nesemnificativ;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probabilitatea impactului - redusă.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impactului cu impactul altor proiecte existente şi/sau aprobate - nu este cazul.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posibilitatea de reducere efectivă a impactului - prin aplicarea condiţiilor de realizare a proiectului</w:t>
      </w:r>
      <w:r w:rsidR="004164D6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4164D6" w:rsidRPr="00610FE6" w:rsidRDefault="004164D6" w:rsidP="004164D6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adecvate sunt următoarele: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</w:t>
      </w:r>
      <w:r w:rsidR="008077FB" w:rsidRPr="00610FE6">
        <w:rPr>
          <w:color w:val="000000"/>
          <w:sz w:val="24"/>
          <w:szCs w:val="24"/>
          <w:lang w:val="ro-RO" w:eastAsia="ro-RO" w:bidi="ro-RO"/>
        </w:rPr>
        <w:t xml:space="preserve"> protejată de interes comunitar.</w:t>
      </w:r>
    </w:p>
    <w:p w:rsidR="008077FB" w:rsidRPr="00610FE6" w:rsidRDefault="008077FB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0C0DFF" w:rsidRPr="00610FE6" w:rsidRDefault="009D71B7" w:rsidP="008077F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prevederilor art. 48 şi 54 din Legea apelor nr. 107/1996, cu modificările şi completările ulterioare.</w:t>
      </w:r>
    </w:p>
    <w:p w:rsidR="000C0DFF" w:rsidRPr="00610FE6" w:rsidRDefault="00E3032B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>Î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ntrucât s-a decis că evaluarea impactului asupra mediului nu es</w:t>
      </w:r>
      <w:r w:rsidR="000C0DFF" w:rsidRPr="00610FE6">
        <w:rPr>
          <w:color w:val="000000"/>
          <w:sz w:val="24"/>
          <w:szCs w:val="24"/>
          <w:lang w:val="ro-RO" w:eastAsia="ro-RO" w:bidi="ro-RO"/>
        </w:rPr>
        <w:t>te necesară pentru proiectul cu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caracteristicile prezentate anterior, se impun următoarele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val="ro-RO" w:eastAsia="ro-RO" w:bidi="ro-RO"/>
        </w:rPr>
        <w:t>pentru evitarea sau prevenirea eventualelor efecte negative semnificative asupra mediului: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1. </w:t>
      </w:r>
      <w:r w:rsid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Pr="00610FE6">
        <w:rPr>
          <w:color w:val="000000"/>
          <w:sz w:val="24"/>
          <w:szCs w:val="24"/>
          <w:lang w:val="ro-RO" w:eastAsia="ro-RO" w:bidi="ro-RO"/>
        </w:rPr>
        <w:t>Se vor respecta prevederile OUG nr. 195/2005 privind protecţia mediului, cu modificările şi completările ulterioare.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Se vor obţine avizele precizate în certificatul de urbanism şi se vor respecta condiţiile din acestea şi 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>din documentaţia tehnică depusă</w:t>
      </w:r>
      <w:r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Deseurile produse vo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r fi stocate temporar selectiv î</w:t>
      </w:r>
      <w:r w:rsidRPr="00610FE6">
        <w:rPr>
          <w:color w:val="000000"/>
          <w:sz w:val="24"/>
          <w:szCs w:val="24"/>
          <w:lang w:val="ro-RO" w:eastAsia="ro-RO" w:bidi="ro-RO"/>
        </w:rPr>
        <w:t>n spa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ț</w:t>
      </w:r>
      <w:r w:rsidRPr="00610FE6">
        <w:rPr>
          <w:color w:val="000000"/>
          <w:sz w:val="24"/>
          <w:szCs w:val="24"/>
          <w:lang w:val="ro-RO" w:eastAsia="ro-RO" w:bidi="ro-RO"/>
        </w:rPr>
        <w:t>ii special amenajate; se interzice ab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andonarea /stocarea deşeurilor î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n afara spatiilor amenajate 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în acest scop; deș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eurile de construcţii se vor 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Implementarea tuturor măsurilor de protecţie a factorilor</w:t>
      </w:r>
      <w:r w:rsidR="00546CDB" w:rsidRPr="00610FE6">
        <w:rPr>
          <w:color w:val="000000"/>
          <w:sz w:val="24"/>
          <w:szCs w:val="24"/>
          <w:lang w:val="ro-RO" w:eastAsia="ro-RO" w:bidi="ro-RO"/>
        </w:rPr>
        <w:t xml:space="preserve"> de mediu propuse prin proiect și descrise î</w:t>
      </w:r>
      <w:r w:rsidRPr="00610FE6">
        <w:rPr>
          <w:color w:val="000000"/>
          <w:sz w:val="24"/>
          <w:szCs w:val="24"/>
          <w:lang w:val="ro-RO" w:eastAsia="ro-RO" w:bidi="ro-RO"/>
        </w:rPr>
        <w:t>n documentaţia care a stat la baza emiterii acestei decizii.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Nerespectarea prevederilor prezentei decizii atrage suspendarea sau anularea acesteia, după caz, in conformitate cu prevederile legale.</w:t>
      </w:r>
    </w:p>
    <w:p w:rsidR="00E3032B" w:rsidRPr="00610FE6" w:rsidRDefault="00E3032B" w:rsidP="00E071D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nr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546CDB" w:rsidRPr="0002158C" w:rsidRDefault="00546CD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Mădălina NISTOR</w:t>
      </w: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Pr="0023613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4"/>
          <w:szCs w:val="4"/>
          <w:lang w:val="ro-RO"/>
        </w:rPr>
      </w:pP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Şef Serviciu Avize, Acorduri, Autorizații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BUDIANU Mihaela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Compartiment CFM - Biodiversitate</w:t>
            </w: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POPA Magdalena</w:t>
            </w: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Întocmit:</w:t>
            </w:r>
          </w:p>
          <w:p w:rsidR="00E071D9" w:rsidRPr="00E10C0E" w:rsidRDefault="00C2520A" w:rsidP="00546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STANCIU Neculai</w:t>
            </w:r>
            <w:bookmarkStart w:id="0" w:name="_GoBack"/>
            <w:bookmarkEnd w:id="0"/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9D71B7" w:rsidRPr="0002158C" w:rsidRDefault="00E3032B" w:rsidP="00E3032B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02158C">
        <w:rPr>
          <w:rFonts w:ascii="Times New Roman" w:hAnsi="Times New Roman"/>
          <w:sz w:val="24"/>
          <w:szCs w:val="24"/>
        </w:rPr>
        <w:tab/>
      </w:r>
    </w:p>
    <w:sectPr w:rsidR="009D71B7" w:rsidRPr="0002158C" w:rsidSect="007456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10" w:right="1134" w:bottom="170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5F" w:rsidRDefault="00ED7D5F" w:rsidP="00F03188">
      <w:pPr>
        <w:spacing w:after="0" w:line="240" w:lineRule="auto"/>
      </w:pPr>
      <w:r>
        <w:separator/>
      </w:r>
    </w:p>
  </w:endnote>
  <w:endnote w:type="continuationSeparator" w:id="0">
    <w:p w:rsidR="00ED7D5F" w:rsidRDefault="00ED7D5F" w:rsidP="00F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005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D7D5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2019491404"/>
        </w:sdtPr>
        <w:sdtEndPr>
          <w:rPr>
            <w:sz w:val="22"/>
            <w:szCs w:val="22"/>
          </w:rPr>
        </w:sdtEndPr>
        <w:sdtContent>
          <w:p w:rsidR="00F03188" w:rsidRPr="002367AC" w:rsidRDefault="00F03188" w:rsidP="00F03188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87DF5" wp14:editId="71B4C8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="00ED7D5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0;text-align:left;margin-left:-4.75pt;margin-top:.85pt;width:41.9pt;height:34.45pt;z-index:-251646976;mso-position-horizontal-relative:text;mso-position-vertical-relative:text">
                  <v:imagedata r:id="rId1" o:title=""/>
                </v:shape>
                <o:OLEObject Type="Embed" ProgID="CorelDRAW.Graphic.13" ShapeID="_x0000_s2054" DrawAspect="Content" ObjectID="_1612242860" r:id="rId2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p>
          <w:p w:rsidR="00F03188" w:rsidRPr="007B5B7C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Str.Călugăreni, nr.63, Vaslui, Cod 730149</w:t>
            </w:r>
          </w:p>
          <w:p w:rsidR="00F03188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  <w:hyperlink r:id="rId3" w:history="1">
              <w:r w:rsidRPr="007B5B7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office@apmvs.anpm.ro</w:t>
              </w:r>
            </w:hyperlink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; </w:t>
            </w: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Tel</w:t>
            </w:r>
            <w:r w:rsidRPr="007B5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0335/401723; Fax: 0235/361.842</w:t>
            </w:r>
          </w:p>
          <w:p w:rsidR="000E7226" w:rsidRPr="00F03188" w:rsidRDefault="00F03188" w:rsidP="00F03188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 w:rsidRPr="00B24DCE">
              <w:rPr>
                <w:color w:val="00214E"/>
                <w:sz w:val="18"/>
                <w:szCs w:val="18"/>
                <w:lang w:val="ro-RO"/>
              </w:rPr>
              <w:t xml:space="preserve">*Operator de date </w:t>
            </w:r>
            <w:r>
              <w:rPr>
                <w:color w:val="00214E"/>
                <w:sz w:val="18"/>
                <w:szCs w:val="18"/>
                <w:lang w:val="ro-RO"/>
              </w:rPr>
              <w:t>cu  caracter personal nr. 9848*</w:t>
            </w:r>
          </w:p>
        </w:sdtContent>
      </w:sdt>
      <w:p w:rsidR="00B72680" w:rsidRPr="004407AE" w:rsidRDefault="00000530" w:rsidP="00E70C94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407AE">
          <w:rPr>
            <w:rFonts w:ascii="Times New Roman" w:hAnsi="Times New Roman"/>
            <w:sz w:val="20"/>
            <w:szCs w:val="20"/>
          </w:rPr>
          <w:fldChar w:fldCharType="begin"/>
        </w:r>
        <w:r w:rsidRPr="004407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407AE">
          <w:rPr>
            <w:rFonts w:ascii="Times New Roman" w:hAnsi="Times New Roman"/>
            <w:sz w:val="20"/>
            <w:szCs w:val="20"/>
          </w:rPr>
          <w:fldChar w:fldCharType="separate"/>
        </w:r>
        <w:r w:rsidR="0051648E">
          <w:rPr>
            <w:rFonts w:ascii="Times New Roman" w:hAnsi="Times New Roman"/>
            <w:noProof/>
            <w:sz w:val="20"/>
            <w:szCs w:val="20"/>
          </w:rPr>
          <w:t>2</w:t>
        </w:r>
        <w:r w:rsidRPr="004407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03188" w:rsidRPr="002367AC" w:rsidRDefault="00F03188" w:rsidP="00F0318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A9B8E7" wp14:editId="6527353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8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KnKPC/fAAAACQEAAA8AAAAAAAAAAAAAAAAAgwQAAGRy&#10;cy9kb3ducmV2LnhtbFBLBQYAAAAABAAEAPMAAACPBQAAAAA=&#10;" strokecolor="#00214e" strokeweight="1.5pt"/>
              </w:pict>
            </mc:Fallback>
          </mc:AlternateContent>
        </w:r>
        <w:r w:rsidR="00ED7D5F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52" DrawAspect="Content" ObjectID="_1612242861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F03188" w:rsidRPr="007B5B7C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F03188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72680" w:rsidRPr="00F03188" w:rsidRDefault="00F03188" w:rsidP="00F03188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5F" w:rsidRDefault="00ED7D5F" w:rsidP="00F03188">
      <w:pPr>
        <w:spacing w:after="0" w:line="240" w:lineRule="auto"/>
      </w:pPr>
      <w:r>
        <w:separator/>
      </w:r>
    </w:p>
  </w:footnote>
  <w:footnote w:type="continuationSeparator" w:id="0">
    <w:p w:rsidR="00ED7D5F" w:rsidRDefault="00ED7D5F" w:rsidP="00F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756A232" wp14:editId="719906EB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16AB4C66" wp14:editId="449EB59A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>Ministerul Mediului</w:t>
    </w:r>
  </w:p>
  <w:p w:rsidR="00AB75D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AB75D4" w:rsidRPr="00992BFF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AB75D4" w:rsidRPr="00992BFF" w:rsidTr="001858B6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5D4" w:rsidRPr="00F30DE4" w:rsidRDefault="00AB75D4" w:rsidP="001858B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B72680" w:rsidRPr="00D56C73" w:rsidRDefault="00ED7D5F" w:rsidP="00D56C73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13"/>
    <w:multiLevelType w:val="hybridMultilevel"/>
    <w:tmpl w:val="78889FCC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432E8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396088C">
      <w:start w:val="1"/>
      <w:numFmt w:val="decimal"/>
      <w:lvlText w:val="%3."/>
      <w:lvlJc w:val="left"/>
      <w:pPr>
        <w:ind w:left="3000" w:hanging="48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0CC6"/>
    <w:multiLevelType w:val="hybridMultilevel"/>
    <w:tmpl w:val="D856F4EA"/>
    <w:lvl w:ilvl="0" w:tplc="F802F738">
      <w:start w:val="3"/>
      <w:numFmt w:val="bullet"/>
      <w:lvlText w:val="-"/>
      <w:lvlJc w:val="left"/>
      <w:pPr>
        <w:tabs>
          <w:tab w:val="num" w:pos="804"/>
        </w:tabs>
        <w:ind w:left="804" w:hanging="384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2512E1"/>
    <w:multiLevelType w:val="hybridMultilevel"/>
    <w:tmpl w:val="D7F0AF66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A61"/>
    <w:multiLevelType w:val="multilevel"/>
    <w:tmpl w:val="6DB2D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4FE9"/>
    <w:multiLevelType w:val="multilevel"/>
    <w:tmpl w:val="B63E0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02A98"/>
    <w:multiLevelType w:val="hybridMultilevel"/>
    <w:tmpl w:val="5B0064EE"/>
    <w:lvl w:ilvl="0" w:tplc="70946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F5121"/>
    <w:multiLevelType w:val="hybridMultilevel"/>
    <w:tmpl w:val="D2267A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F7C15D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8547A3"/>
    <w:multiLevelType w:val="multilevel"/>
    <w:tmpl w:val="0F1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6B0D12"/>
    <w:multiLevelType w:val="hybridMultilevel"/>
    <w:tmpl w:val="36EA2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3B21"/>
    <w:multiLevelType w:val="multilevel"/>
    <w:tmpl w:val="64EABCC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4CF38FA"/>
    <w:multiLevelType w:val="multilevel"/>
    <w:tmpl w:val="11E82F6A"/>
    <w:lvl w:ilvl="0">
      <w:start w:val="7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B628B"/>
    <w:multiLevelType w:val="multilevel"/>
    <w:tmpl w:val="76F04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4435C"/>
    <w:multiLevelType w:val="multilevel"/>
    <w:tmpl w:val="E5A46086"/>
    <w:lvl w:ilvl="0">
      <w:start w:val="1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9799D"/>
    <w:multiLevelType w:val="hybridMultilevel"/>
    <w:tmpl w:val="79C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C6C"/>
    <w:multiLevelType w:val="hybridMultilevel"/>
    <w:tmpl w:val="7694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5966"/>
    <w:multiLevelType w:val="hybridMultilevel"/>
    <w:tmpl w:val="D64E2C2A"/>
    <w:lvl w:ilvl="0" w:tplc="8F7C15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E055A"/>
    <w:multiLevelType w:val="multilevel"/>
    <w:tmpl w:val="F7C49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E2B87"/>
    <w:multiLevelType w:val="hybridMultilevel"/>
    <w:tmpl w:val="4ACE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B3EB2"/>
    <w:multiLevelType w:val="hybridMultilevel"/>
    <w:tmpl w:val="0926671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C4C71"/>
    <w:multiLevelType w:val="multilevel"/>
    <w:tmpl w:val="548A9834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4A7DC5"/>
    <w:multiLevelType w:val="hybridMultilevel"/>
    <w:tmpl w:val="627E1004"/>
    <w:lvl w:ilvl="0" w:tplc="8F7C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E7CC3"/>
    <w:multiLevelType w:val="hybridMultilevel"/>
    <w:tmpl w:val="990CE888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9098F"/>
    <w:multiLevelType w:val="hybridMultilevel"/>
    <w:tmpl w:val="44EEE1AA"/>
    <w:lvl w:ilvl="0" w:tplc="763E8E16">
      <w:start w:val="4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3"/>
  </w:num>
  <w:num w:numId="14">
    <w:abstractNumId w:val="30"/>
  </w:num>
  <w:num w:numId="15">
    <w:abstractNumId w:val="8"/>
  </w:num>
  <w:num w:numId="16">
    <w:abstractNumId w:val="28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7"/>
  </w:num>
  <w:num w:numId="24">
    <w:abstractNumId w:val="20"/>
  </w:num>
  <w:num w:numId="25">
    <w:abstractNumId w:val="15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4"/>
  </w:num>
  <w:num w:numId="31">
    <w:abstractNumId w:val="1"/>
  </w:num>
  <w:num w:numId="32">
    <w:abstractNumId w:val="26"/>
  </w:num>
  <w:num w:numId="33">
    <w:abstractNumId w:val="32"/>
  </w:num>
  <w:num w:numId="34">
    <w:abstractNumId w:val="29"/>
  </w:num>
  <w:num w:numId="35">
    <w:abstractNumId w:val="25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F"/>
    <w:rsid w:val="00000530"/>
    <w:rsid w:val="00001C05"/>
    <w:rsid w:val="00002A44"/>
    <w:rsid w:val="00006A0B"/>
    <w:rsid w:val="000134A5"/>
    <w:rsid w:val="00021505"/>
    <w:rsid w:val="0002158C"/>
    <w:rsid w:val="00021867"/>
    <w:rsid w:val="00035632"/>
    <w:rsid w:val="00047B5A"/>
    <w:rsid w:val="00060105"/>
    <w:rsid w:val="00061BB3"/>
    <w:rsid w:val="00074D4A"/>
    <w:rsid w:val="00087A2F"/>
    <w:rsid w:val="0009514D"/>
    <w:rsid w:val="000B44F7"/>
    <w:rsid w:val="000C0DFF"/>
    <w:rsid w:val="000C507F"/>
    <w:rsid w:val="000D155B"/>
    <w:rsid w:val="000E7AFC"/>
    <w:rsid w:val="000F354E"/>
    <w:rsid w:val="001004CC"/>
    <w:rsid w:val="00100DA9"/>
    <w:rsid w:val="0010346F"/>
    <w:rsid w:val="00104069"/>
    <w:rsid w:val="00111471"/>
    <w:rsid w:val="001178A1"/>
    <w:rsid w:val="00122432"/>
    <w:rsid w:val="001327E7"/>
    <w:rsid w:val="00154A72"/>
    <w:rsid w:val="001637C8"/>
    <w:rsid w:val="00167B74"/>
    <w:rsid w:val="0019340B"/>
    <w:rsid w:val="001A3826"/>
    <w:rsid w:val="001B02C2"/>
    <w:rsid w:val="001B067B"/>
    <w:rsid w:val="001B47A7"/>
    <w:rsid w:val="001D091B"/>
    <w:rsid w:val="001D63BC"/>
    <w:rsid w:val="001D642D"/>
    <w:rsid w:val="001E4685"/>
    <w:rsid w:val="001F31B2"/>
    <w:rsid w:val="001F6BB6"/>
    <w:rsid w:val="002000DE"/>
    <w:rsid w:val="0020052C"/>
    <w:rsid w:val="002051EA"/>
    <w:rsid w:val="00210C2E"/>
    <w:rsid w:val="00211AD7"/>
    <w:rsid w:val="00222B82"/>
    <w:rsid w:val="002248CD"/>
    <w:rsid w:val="00232A28"/>
    <w:rsid w:val="002457C4"/>
    <w:rsid w:val="00246116"/>
    <w:rsid w:val="002508D7"/>
    <w:rsid w:val="00255436"/>
    <w:rsid w:val="00265AA7"/>
    <w:rsid w:val="00272788"/>
    <w:rsid w:val="002B64DE"/>
    <w:rsid w:val="002C1F03"/>
    <w:rsid w:val="002C3F47"/>
    <w:rsid w:val="002C66E1"/>
    <w:rsid w:val="002D32F0"/>
    <w:rsid w:val="002D5D80"/>
    <w:rsid w:val="002E01D5"/>
    <w:rsid w:val="002E0903"/>
    <w:rsid w:val="002E1068"/>
    <w:rsid w:val="002E6BD7"/>
    <w:rsid w:val="002F04EE"/>
    <w:rsid w:val="002F0AD8"/>
    <w:rsid w:val="002F175B"/>
    <w:rsid w:val="002F207B"/>
    <w:rsid w:val="0030032D"/>
    <w:rsid w:val="00307AED"/>
    <w:rsid w:val="00313806"/>
    <w:rsid w:val="00315D3F"/>
    <w:rsid w:val="003247D4"/>
    <w:rsid w:val="00326DD9"/>
    <w:rsid w:val="00353843"/>
    <w:rsid w:val="00354297"/>
    <w:rsid w:val="003555C0"/>
    <w:rsid w:val="00355FEB"/>
    <w:rsid w:val="00356B44"/>
    <w:rsid w:val="0035733E"/>
    <w:rsid w:val="00363A38"/>
    <w:rsid w:val="00366AEA"/>
    <w:rsid w:val="0037047B"/>
    <w:rsid w:val="00392F7C"/>
    <w:rsid w:val="003C51AB"/>
    <w:rsid w:val="003D2249"/>
    <w:rsid w:val="003E7529"/>
    <w:rsid w:val="003F0805"/>
    <w:rsid w:val="003F2A63"/>
    <w:rsid w:val="003F5D4F"/>
    <w:rsid w:val="004002DB"/>
    <w:rsid w:val="0040182E"/>
    <w:rsid w:val="004126BE"/>
    <w:rsid w:val="004164D6"/>
    <w:rsid w:val="004262EA"/>
    <w:rsid w:val="004407AE"/>
    <w:rsid w:val="00441958"/>
    <w:rsid w:val="00443537"/>
    <w:rsid w:val="004467E6"/>
    <w:rsid w:val="0045019E"/>
    <w:rsid w:val="00460DC9"/>
    <w:rsid w:val="00475083"/>
    <w:rsid w:val="004A1789"/>
    <w:rsid w:val="004A23C6"/>
    <w:rsid w:val="004A62C6"/>
    <w:rsid w:val="004B40CE"/>
    <w:rsid w:val="004B43F6"/>
    <w:rsid w:val="004B5447"/>
    <w:rsid w:val="004E13CC"/>
    <w:rsid w:val="004E4023"/>
    <w:rsid w:val="004E4328"/>
    <w:rsid w:val="004F09CB"/>
    <w:rsid w:val="004F1969"/>
    <w:rsid w:val="004F31A1"/>
    <w:rsid w:val="0051648E"/>
    <w:rsid w:val="00546CDB"/>
    <w:rsid w:val="00547A50"/>
    <w:rsid w:val="0055384A"/>
    <w:rsid w:val="00557135"/>
    <w:rsid w:val="0059420E"/>
    <w:rsid w:val="005A003D"/>
    <w:rsid w:val="005A1C15"/>
    <w:rsid w:val="005B641D"/>
    <w:rsid w:val="005C1472"/>
    <w:rsid w:val="005E16D5"/>
    <w:rsid w:val="0060614A"/>
    <w:rsid w:val="00610FE6"/>
    <w:rsid w:val="00630B66"/>
    <w:rsid w:val="00634F2B"/>
    <w:rsid w:val="00641569"/>
    <w:rsid w:val="00657DE1"/>
    <w:rsid w:val="00680E7E"/>
    <w:rsid w:val="00696379"/>
    <w:rsid w:val="006967F6"/>
    <w:rsid w:val="006B0B7F"/>
    <w:rsid w:val="006B4FE4"/>
    <w:rsid w:val="006D3B52"/>
    <w:rsid w:val="006D5D9F"/>
    <w:rsid w:val="006E08CC"/>
    <w:rsid w:val="006E7788"/>
    <w:rsid w:val="006F4883"/>
    <w:rsid w:val="00713768"/>
    <w:rsid w:val="00721E39"/>
    <w:rsid w:val="007223DD"/>
    <w:rsid w:val="00730EC1"/>
    <w:rsid w:val="007456B8"/>
    <w:rsid w:val="007458A5"/>
    <w:rsid w:val="00751FAD"/>
    <w:rsid w:val="00752968"/>
    <w:rsid w:val="00763D13"/>
    <w:rsid w:val="007647E6"/>
    <w:rsid w:val="00764E5B"/>
    <w:rsid w:val="00767ADB"/>
    <w:rsid w:val="00773ED2"/>
    <w:rsid w:val="00774866"/>
    <w:rsid w:val="0079515D"/>
    <w:rsid w:val="00795A6F"/>
    <w:rsid w:val="007B6B75"/>
    <w:rsid w:val="007C1732"/>
    <w:rsid w:val="007D4202"/>
    <w:rsid w:val="007D467C"/>
    <w:rsid w:val="007D5CA9"/>
    <w:rsid w:val="007D72BF"/>
    <w:rsid w:val="007E0AC8"/>
    <w:rsid w:val="007E4B29"/>
    <w:rsid w:val="007E544E"/>
    <w:rsid w:val="007F32D4"/>
    <w:rsid w:val="007F5279"/>
    <w:rsid w:val="00805427"/>
    <w:rsid w:val="008077FB"/>
    <w:rsid w:val="00820EEF"/>
    <w:rsid w:val="00827D6F"/>
    <w:rsid w:val="00830E0C"/>
    <w:rsid w:val="00831B67"/>
    <w:rsid w:val="00834B4D"/>
    <w:rsid w:val="00844F04"/>
    <w:rsid w:val="00851300"/>
    <w:rsid w:val="00855B12"/>
    <w:rsid w:val="00877D74"/>
    <w:rsid w:val="00884E3D"/>
    <w:rsid w:val="00885333"/>
    <w:rsid w:val="008A6E7A"/>
    <w:rsid w:val="008B4A0C"/>
    <w:rsid w:val="008B539C"/>
    <w:rsid w:val="008B6034"/>
    <w:rsid w:val="008D5A3E"/>
    <w:rsid w:val="008D7E8E"/>
    <w:rsid w:val="008F6730"/>
    <w:rsid w:val="0091325A"/>
    <w:rsid w:val="009147C1"/>
    <w:rsid w:val="009329A2"/>
    <w:rsid w:val="00943D4A"/>
    <w:rsid w:val="009503B6"/>
    <w:rsid w:val="00954185"/>
    <w:rsid w:val="00962240"/>
    <w:rsid w:val="00981BE6"/>
    <w:rsid w:val="0098335B"/>
    <w:rsid w:val="00984587"/>
    <w:rsid w:val="00992210"/>
    <w:rsid w:val="009932F1"/>
    <w:rsid w:val="009957CF"/>
    <w:rsid w:val="009A1549"/>
    <w:rsid w:val="009B2B45"/>
    <w:rsid w:val="009C1D0F"/>
    <w:rsid w:val="009C23AA"/>
    <w:rsid w:val="009D71B7"/>
    <w:rsid w:val="009E050B"/>
    <w:rsid w:val="00A25FDC"/>
    <w:rsid w:val="00A2623F"/>
    <w:rsid w:val="00A32090"/>
    <w:rsid w:val="00A34FF0"/>
    <w:rsid w:val="00A3584E"/>
    <w:rsid w:val="00A376EC"/>
    <w:rsid w:val="00A44511"/>
    <w:rsid w:val="00A44CC1"/>
    <w:rsid w:val="00A45E06"/>
    <w:rsid w:val="00A45F9D"/>
    <w:rsid w:val="00A47A5D"/>
    <w:rsid w:val="00A55EFB"/>
    <w:rsid w:val="00A66AB2"/>
    <w:rsid w:val="00A701B8"/>
    <w:rsid w:val="00A81701"/>
    <w:rsid w:val="00A86BBD"/>
    <w:rsid w:val="00A93AB2"/>
    <w:rsid w:val="00AA3100"/>
    <w:rsid w:val="00AB5DA2"/>
    <w:rsid w:val="00AB75D4"/>
    <w:rsid w:val="00AD093F"/>
    <w:rsid w:val="00AE28E2"/>
    <w:rsid w:val="00AE3BB9"/>
    <w:rsid w:val="00B0750F"/>
    <w:rsid w:val="00B079CC"/>
    <w:rsid w:val="00B13631"/>
    <w:rsid w:val="00B20F90"/>
    <w:rsid w:val="00B2679E"/>
    <w:rsid w:val="00B35B6E"/>
    <w:rsid w:val="00B5470F"/>
    <w:rsid w:val="00B559CC"/>
    <w:rsid w:val="00B60524"/>
    <w:rsid w:val="00B62D60"/>
    <w:rsid w:val="00B64160"/>
    <w:rsid w:val="00B66085"/>
    <w:rsid w:val="00B721E1"/>
    <w:rsid w:val="00B80366"/>
    <w:rsid w:val="00B92560"/>
    <w:rsid w:val="00BA3A09"/>
    <w:rsid w:val="00BA5FB4"/>
    <w:rsid w:val="00BB1424"/>
    <w:rsid w:val="00BB6272"/>
    <w:rsid w:val="00BB7D72"/>
    <w:rsid w:val="00BC0916"/>
    <w:rsid w:val="00BD3093"/>
    <w:rsid w:val="00BD4822"/>
    <w:rsid w:val="00BE347C"/>
    <w:rsid w:val="00C02A41"/>
    <w:rsid w:val="00C03A8F"/>
    <w:rsid w:val="00C20451"/>
    <w:rsid w:val="00C2146D"/>
    <w:rsid w:val="00C2520A"/>
    <w:rsid w:val="00C30DE0"/>
    <w:rsid w:val="00C30F88"/>
    <w:rsid w:val="00C3479A"/>
    <w:rsid w:val="00C349E5"/>
    <w:rsid w:val="00C66FE0"/>
    <w:rsid w:val="00C67BAE"/>
    <w:rsid w:val="00C7060A"/>
    <w:rsid w:val="00C763E5"/>
    <w:rsid w:val="00C837F9"/>
    <w:rsid w:val="00C860AC"/>
    <w:rsid w:val="00C90A12"/>
    <w:rsid w:val="00CA2175"/>
    <w:rsid w:val="00CA45E3"/>
    <w:rsid w:val="00CB0666"/>
    <w:rsid w:val="00CB240A"/>
    <w:rsid w:val="00CB2F69"/>
    <w:rsid w:val="00CB4CC2"/>
    <w:rsid w:val="00CB6F3A"/>
    <w:rsid w:val="00CC0F5A"/>
    <w:rsid w:val="00CC7FAC"/>
    <w:rsid w:val="00CD08F2"/>
    <w:rsid w:val="00CD54C8"/>
    <w:rsid w:val="00CD6800"/>
    <w:rsid w:val="00CE6C86"/>
    <w:rsid w:val="00D012CD"/>
    <w:rsid w:val="00D06959"/>
    <w:rsid w:val="00D074CC"/>
    <w:rsid w:val="00D11B68"/>
    <w:rsid w:val="00D17BED"/>
    <w:rsid w:val="00D212F1"/>
    <w:rsid w:val="00D226BB"/>
    <w:rsid w:val="00D36F50"/>
    <w:rsid w:val="00D56C73"/>
    <w:rsid w:val="00D572D5"/>
    <w:rsid w:val="00D6799B"/>
    <w:rsid w:val="00D73698"/>
    <w:rsid w:val="00D90C32"/>
    <w:rsid w:val="00DB597F"/>
    <w:rsid w:val="00DB7587"/>
    <w:rsid w:val="00DC2C22"/>
    <w:rsid w:val="00DC7AEC"/>
    <w:rsid w:val="00DD6F92"/>
    <w:rsid w:val="00DD767B"/>
    <w:rsid w:val="00DD7AA3"/>
    <w:rsid w:val="00DE695C"/>
    <w:rsid w:val="00E049EC"/>
    <w:rsid w:val="00E071D9"/>
    <w:rsid w:val="00E103A1"/>
    <w:rsid w:val="00E2405E"/>
    <w:rsid w:val="00E25442"/>
    <w:rsid w:val="00E3032B"/>
    <w:rsid w:val="00E34139"/>
    <w:rsid w:val="00E53E1F"/>
    <w:rsid w:val="00E60B27"/>
    <w:rsid w:val="00E64638"/>
    <w:rsid w:val="00E70C94"/>
    <w:rsid w:val="00E7144D"/>
    <w:rsid w:val="00E863C9"/>
    <w:rsid w:val="00E92914"/>
    <w:rsid w:val="00E965E0"/>
    <w:rsid w:val="00EA2516"/>
    <w:rsid w:val="00EA4C96"/>
    <w:rsid w:val="00EA5255"/>
    <w:rsid w:val="00EB308B"/>
    <w:rsid w:val="00EC07F3"/>
    <w:rsid w:val="00ED7D5F"/>
    <w:rsid w:val="00EE1FB1"/>
    <w:rsid w:val="00EF5079"/>
    <w:rsid w:val="00F009A3"/>
    <w:rsid w:val="00F01141"/>
    <w:rsid w:val="00F01776"/>
    <w:rsid w:val="00F023C4"/>
    <w:rsid w:val="00F03188"/>
    <w:rsid w:val="00F059CA"/>
    <w:rsid w:val="00F148D6"/>
    <w:rsid w:val="00F164E7"/>
    <w:rsid w:val="00F17C7A"/>
    <w:rsid w:val="00F22E0E"/>
    <w:rsid w:val="00F24EDD"/>
    <w:rsid w:val="00F33CE3"/>
    <w:rsid w:val="00F358E4"/>
    <w:rsid w:val="00F36417"/>
    <w:rsid w:val="00F45AC8"/>
    <w:rsid w:val="00F713BE"/>
    <w:rsid w:val="00F8054C"/>
    <w:rsid w:val="00F80D5B"/>
    <w:rsid w:val="00F86308"/>
    <w:rsid w:val="00F91550"/>
    <w:rsid w:val="00FB1965"/>
    <w:rsid w:val="00FB31B6"/>
    <w:rsid w:val="00FC4DC3"/>
    <w:rsid w:val="00FD38BF"/>
    <w:rsid w:val="00FE09DD"/>
    <w:rsid w:val="00FE55E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Neculai Stanciu</cp:lastModifiedBy>
  <cp:revision>3</cp:revision>
  <cp:lastPrinted>2019-02-18T06:07:00Z</cp:lastPrinted>
  <dcterms:created xsi:type="dcterms:W3CDTF">2019-02-21T06:19:00Z</dcterms:created>
  <dcterms:modified xsi:type="dcterms:W3CDTF">2019-02-21T06:28:00Z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eb12a426-79e1-45ed-a374-3e2ae1ab6714</vt:lpwstr>
  </property>
</Properties>
</file>